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B242" w14:textId="5AAFDA8F" w:rsidR="00943B33" w:rsidRPr="00E60FB8" w:rsidRDefault="008C4A92" w:rsidP="00943B33">
      <w:pPr>
        <w:spacing w:line="240" w:lineRule="auto"/>
        <w:rPr>
          <w:sz w:val="2"/>
          <w:lang w:val="en-US" w:eastAsia="ja-JP"/>
        </w:rPr>
      </w:pPr>
      <w:bookmarkStart w:id="0" w:name="_Hlk44500355"/>
      <w:bookmarkEnd w:id="0"/>
      <w:proofErr w:type="spellStart"/>
      <w:r>
        <w:rPr>
          <w:sz w:val="2"/>
          <w:lang w:val="en-US" w:eastAsia="ja-JP"/>
        </w:rPr>
        <w:t>x</w:t>
      </w:r>
      <w:r w:rsidR="00303743">
        <w:rPr>
          <w:sz w:val="2"/>
          <w:lang w:val="en-US" w:eastAsia="ja-JP"/>
        </w:rPr>
        <w:t>ion</w:t>
      </w:r>
      <w:r w:rsidR="00FD6398">
        <w:rPr>
          <w:sz w:val="2"/>
          <w:lang w:val="en-US" w:eastAsia="ja-JP"/>
        </w:rPr>
        <w:t>b</w:t>
      </w:r>
      <w:proofErr w:type="spellEnd"/>
    </w:p>
    <w:p w14:paraId="04DD5F57" w14:textId="3FE015C3" w:rsidR="00EA1A6E" w:rsidRPr="005A0039" w:rsidRDefault="00EA1A6E" w:rsidP="00EA1A6E">
      <w:pPr>
        <w:spacing w:line="20" w:lineRule="exact"/>
        <w:rPr>
          <w:sz w:val="2"/>
          <w:lang w:val="en-US"/>
        </w:rPr>
        <w:sectPr w:rsidR="00EA1A6E" w:rsidRPr="005A0039" w:rsidSect="00BB1219">
          <w:headerReference w:type="even" r:id="rId11"/>
          <w:headerReference w:type="default" r:id="rId12"/>
          <w:footerReference w:type="even" r:id="rId13"/>
          <w:footerReference w:type="default" r:id="rId14"/>
          <w:footerReference w:type="first" r:id="rId15"/>
          <w:endnotePr>
            <w:numFmt w:val="decimal"/>
          </w:endnotePr>
          <w:type w:val="continuous"/>
          <w:pgSz w:w="12240" w:h="15840" w:code="1"/>
          <w:pgMar w:top="1742" w:right="1195" w:bottom="1901" w:left="1195" w:header="576" w:footer="878" w:gutter="0"/>
          <w:pgNumType w:start="1"/>
          <w:cols w:space="720"/>
          <w:noEndnote/>
          <w:titlePg/>
          <w:docGrid w:linePitch="278"/>
        </w:sectPr>
      </w:pPr>
    </w:p>
    <w:p w14:paraId="1B700C46" w14:textId="77777777" w:rsidR="00A641E6" w:rsidRPr="007A66B8" w:rsidRDefault="00A641E6" w:rsidP="00C941FD">
      <w:pPr>
        <w:spacing w:line="240" w:lineRule="auto"/>
        <w:rPr>
          <w:b/>
          <w:sz w:val="32"/>
          <w:szCs w:val="32"/>
        </w:rPr>
      </w:pPr>
    </w:p>
    <w:p w14:paraId="2A6B3C46" w14:textId="0A244327" w:rsidR="00943B33" w:rsidRDefault="00C941FD" w:rsidP="00C941FD">
      <w:pPr>
        <w:spacing w:line="240" w:lineRule="auto"/>
        <w:rPr>
          <w:b/>
          <w:bCs/>
          <w:sz w:val="28"/>
          <w:szCs w:val="28"/>
        </w:rPr>
      </w:pPr>
      <w:r w:rsidRPr="00C941FD">
        <w:rPr>
          <w:b/>
          <w:bCs/>
          <w:sz w:val="28"/>
          <w:szCs w:val="28"/>
        </w:rPr>
        <w:t xml:space="preserve">Annex </w:t>
      </w:r>
      <w:r w:rsidR="00014B74">
        <w:rPr>
          <w:b/>
          <w:bCs/>
          <w:sz w:val="28"/>
          <w:szCs w:val="28"/>
        </w:rPr>
        <w:t>I</w:t>
      </w:r>
      <w:r w:rsidR="002161C6">
        <w:rPr>
          <w:b/>
          <w:bCs/>
          <w:sz w:val="28"/>
          <w:szCs w:val="28"/>
        </w:rPr>
        <w:t xml:space="preserve"> </w:t>
      </w:r>
      <w:r w:rsidRPr="00C941FD">
        <w:rPr>
          <w:b/>
          <w:bCs/>
          <w:sz w:val="28"/>
          <w:szCs w:val="28"/>
        </w:rPr>
        <w:t xml:space="preserve">to </w:t>
      </w:r>
      <w:r w:rsidRPr="00333716">
        <w:rPr>
          <w:b/>
          <w:bCs/>
          <w:sz w:val="28"/>
          <w:szCs w:val="28"/>
        </w:rPr>
        <w:t>DP/</w:t>
      </w:r>
      <w:r w:rsidR="00B15D43" w:rsidRPr="00333716">
        <w:rPr>
          <w:b/>
          <w:bCs/>
          <w:sz w:val="28"/>
          <w:szCs w:val="28"/>
        </w:rPr>
        <w:t>202</w:t>
      </w:r>
      <w:r w:rsidR="00641965">
        <w:rPr>
          <w:b/>
          <w:bCs/>
          <w:sz w:val="28"/>
          <w:szCs w:val="28"/>
        </w:rPr>
        <w:t>3</w:t>
      </w:r>
      <w:r w:rsidRPr="00333716">
        <w:rPr>
          <w:b/>
          <w:bCs/>
          <w:sz w:val="28"/>
          <w:szCs w:val="28"/>
        </w:rPr>
        <w:t>/</w:t>
      </w:r>
      <w:r w:rsidR="00333716" w:rsidRPr="00333716">
        <w:rPr>
          <w:b/>
          <w:bCs/>
          <w:sz w:val="28"/>
          <w:szCs w:val="28"/>
        </w:rPr>
        <w:t>2</w:t>
      </w:r>
      <w:r w:rsidR="00641965">
        <w:rPr>
          <w:b/>
          <w:bCs/>
          <w:sz w:val="28"/>
          <w:szCs w:val="28"/>
        </w:rPr>
        <w:t>6</w:t>
      </w:r>
    </w:p>
    <w:p w14:paraId="3A67C518" w14:textId="5598A3FB" w:rsidR="005E3EFB" w:rsidRDefault="0085388E" w:rsidP="00C941FD">
      <w:pPr>
        <w:spacing w:line="240" w:lineRule="auto"/>
        <w:rPr>
          <w:b/>
          <w:bCs/>
          <w:sz w:val="28"/>
          <w:szCs w:val="28"/>
        </w:rPr>
      </w:pPr>
      <w:r>
        <w:rPr>
          <w:b/>
          <w:bCs/>
          <w:sz w:val="28"/>
          <w:szCs w:val="28"/>
        </w:rPr>
        <w:t>Detailed a</w:t>
      </w:r>
      <w:r w:rsidR="005E3EFB">
        <w:rPr>
          <w:b/>
          <w:bCs/>
          <w:sz w:val="28"/>
          <w:szCs w:val="28"/>
        </w:rPr>
        <w:t xml:space="preserve">nnual review of the financial situation, </w:t>
      </w:r>
      <w:r w:rsidR="00B15D43">
        <w:rPr>
          <w:b/>
          <w:bCs/>
          <w:sz w:val="28"/>
          <w:szCs w:val="28"/>
        </w:rPr>
        <w:t>202</w:t>
      </w:r>
      <w:r w:rsidR="00641965">
        <w:rPr>
          <w:b/>
          <w:bCs/>
          <w:sz w:val="28"/>
          <w:szCs w:val="28"/>
        </w:rPr>
        <w:t>2</w:t>
      </w:r>
    </w:p>
    <w:p w14:paraId="2DCB7495" w14:textId="71444A8C" w:rsidR="00DB4B09" w:rsidRDefault="00DB4B09" w:rsidP="00C941FD">
      <w:pPr>
        <w:spacing w:line="240" w:lineRule="auto"/>
        <w:rPr>
          <w:b/>
          <w:bCs/>
          <w:sz w:val="28"/>
          <w:szCs w:val="28"/>
        </w:rPr>
      </w:pPr>
    </w:p>
    <w:p w14:paraId="6BAA1713" w14:textId="77777777" w:rsidR="00DB4B09" w:rsidRDefault="00DB4B09" w:rsidP="00DB4B09">
      <w:pPr>
        <w:rPr>
          <w:b/>
          <w:color w:val="FF0000"/>
        </w:rPr>
      </w:pPr>
      <w:bookmarkStart w:id="1" w:name="_Hlk77761346"/>
    </w:p>
    <w:p w14:paraId="774430CE" w14:textId="77777777" w:rsidR="00DB4B09" w:rsidRDefault="00DB4B09" w:rsidP="00DB4B09">
      <w:pPr>
        <w:pBdr>
          <w:top w:val="single" w:sz="4" w:space="1" w:color="auto"/>
          <w:left w:val="single" w:sz="4" w:space="4" w:color="auto"/>
          <w:bottom w:val="single" w:sz="4" w:space="1" w:color="auto"/>
          <w:right w:val="single" w:sz="4" w:space="4" w:color="auto"/>
        </w:pBdr>
        <w:suppressAutoHyphens w:val="0"/>
        <w:spacing w:line="240" w:lineRule="auto"/>
        <w:jc w:val="both"/>
        <w:rPr>
          <w:i/>
        </w:rPr>
      </w:pPr>
    </w:p>
    <w:p w14:paraId="0E114740" w14:textId="77777777" w:rsidR="00DB4B09" w:rsidRDefault="00DB4B09" w:rsidP="00DB4B09">
      <w:pPr>
        <w:pBdr>
          <w:top w:val="single" w:sz="4" w:space="1" w:color="auto"/>
          <w:left w:val="single" w:sz="4" w:space="4" w:color="auto"/>
          <w:bottom w:val="single" w:sz="4" w:space="1" w:color="auto"/>
          <w:right w:val="single" w:sz="4" w:space="4" w:color="auto"/>
        </w:pBdr>
        <w:suppressAutoHyphens w:val="0"/>
        <w:spacing w:line="240" w:lineRule="auto"/>
        <w:jc w:val="both"/>
        <w:rPr>
          <w:color w:val="FF0000"/>
        </w:rPr>
      </w:pPr>
      <w:r w:rsidRPr="00D023DF">
        <w:rPr>
          <w:i/>
        </w:rPr>
        <w:t>Summary</w:t>
      </w:r>
      <w:r w:rsidRPr="00D023DF">
        <w:t xml:space="preserve"> </w:t>
      </w:r>
      <w:r>
        <w:t xml:space="preserve">   </w:t>
      </w:r>
    </w:p>
    <w:p w14:paraId="47E711D4" w14:textId="77777777" w:rsidR="00DB4B09" w:rsidRDefault="00DB4B09" w:rsidP="00DB4B09">
      <w:pPr>
        <w:pBdr>
          <w:top w:val="single" w:sz="4" w:space="1" w:color="auto"/>
          <w:left w:val="single" w:sz="4" w:space="4" w:color="auto"/>
          <w:bottom w:val="single" w:sz="4" w:space="1" w:color="auto"/>
          <w:right w:val="single" w:sz="4" w:space="4" w:color="auto"/>
        </w:pBdr>
        <w:suppressAutoHyphens w:val="0"/>
        <w:spacing w:line="240" w:lineRule="auto"/>
        <w:jc w:val="both"/>
      </w:pPr>
    </w:p>
    <w:p w14:paraId="794F225C" w14:textId="5BD7AB53" w:rsidR="00DB4B09" w:rsidRPr="00D023DF" w:rsidRDefault="00C86912" w:rsidP="00DB4B09">
      <w:pPr>
        <w:pBdr>
          <w:top w:val="single" w:sz="4" w:space="1" w:color="auto"/>
          <w:left w:val="single" w:sz="4" w:space="4" w:color="auto"/>
          <w:bottom w:val="single" w:sz="4" w:space="1" w:color="auto"/>
          <w:right w:val="single" w:sz="4" w:space="4" w:color="auto"/>
        </w:pBdr>
        <w:suppressAutoHyphens w:val="0"/>
        <w:spacing w:line="240" w:lineRule="auto"/>
        <w:jc w:val="both"/>
      </w:pPr>
      <w:r w:rsidRPr="00AD3CC8">
        <w:t xml:space="preserve">The report on the annual review of the financial situation </w:t>
      </w:r>
      <w:r w:rsidR="00892042">
        <w:t>presents</w:t>
      </w:r>
      <w:r w:rsidRPr="00AD3CC8">
        <w:t xml:space="preserve"> a comprehensive review and analysis of UNDP activities at the global and aggregate levels</w:t>
      </w:r>
      <w:r w:rsidR="0026697C">
        <w:t xml:space="preserve"> </w:t>
      </w:r>
      <w:r w:rsidR="0026697C" w:rsidRPr="00AD3CC8">
        <w:t xml:space="preserve">from </w:t>
      </w:r>
      <w:r w:rsidR="0026697C">
        <w:t>a</w:t>
      </w:r>
      <w:r w:rsidR="0026697C" w:rsidRPr="00AD3CC8">
        <w:t xml:space="preserve"> financial perspective</w:t>
      </w:r>
      <w:r w:rsidRPr="00AD3CC8">
        <w:t xml:space="preserve">. </w:t>
      </w:r>
      <w:r w:rsidR="002B1F4E" w:rsidRPr="002B1F4E">
        <w:t>The overview assesses funding performance by nature - regular resources, other resources - and provides a summary of the financial position of UNDP at the end of 202</w:t>
      </w:r>
      <w:r w:rsidR="00641965">
        <w:t>2</w:t>
      </w:r>
      <w:r w:rsidR="002B1F4E" w:rsidRPr="002B1F4E">
        <w:t xml:space="preserve"> with prior year comparatives</w:t>
      </w:r>
      <w:r w:rsidR="00641965">
        <w:t>.</w:t>
      </w:r>
    </w:p>
    <w:p w14:paraId="27643FEF" w14:textId="4BEF7332" w:rsidR="002B1F4E" w:rsidRDefault="002B1F4E" w:rsidP="00AD3CC8">
      <w:pPr>
        <w:pBdr>
          <w:top w:val="single" w:sz="4" w:space="1" w:color="auto"/>
          <w:left w:val="single" w:sz="4" w:space="4" w:color="auto"/>
          <w:bottom w:val="single" w:sz="4" w:space="1" w:color="auto"/>
          <w:right w:val="single" w:sz="4" w:space="4" w:color="auto"/>
        </w:pBdr>
        <w:suppressAutoHyphens w:val="0"/>
        <w:spacing w:line="240" w:lineRule="auto"/>
        <w:jc w:val="both"/>
      </w:pPr>
    </w:p>
    <w:p w14:paraId="79F834BF" w14:textId="2039B986" w:rsidR="002B1F4E" w:rsidRPr="002B1F4E" w:rsidRDefault="002B1F4E" w:rsidP="00AD3CC8">
      <w:pPr>
        <w:pBdr>
          <w:top w:val="single" w:sz="4" w:space="1" w:color="auto"/>
          <w:left w:val="single" w:sz="4" w:space="4" w:color="auto"/>
          <w:bottom w:val="single" w:sz="4" w:space="1" w:color="auto"/>
          <w:right w:val="single" w:sz="4" w:space="4" w:color="auto"/>
        </w:pBdr>
        <w:suppressAutoHyphens w:val="0"/>
        <w:spacing w:line="240" w:lineRule="auto"/>
        <w:jc w:val="both"/>
      </w:pPr>
      <w:r w:rsidRPr="002B1F4E">
        <w:t>To streamline documentation for the Executive Board per their Decision 2019/18, the annual review of the financial</w:t>
      </w:r>
      <w:r w:rsidRPr="002B1F4E">
        <w:rPr>
          <w:strike/>
        </w:rPr>
        <w:t xml:space="preserve"> </w:t>
      </w:r>
      <w:r w:rsidRPr="002B1F4E">
        <w:t>situation is integrated with DP/202</w:t>
      </w:r>
      <w:r w:rsidR="00641965">
        <w:t>3</w:t>
      </w:r>
      <w:r w:rsidRPr="002B1F4E">
        <w:t>/2</w:t>
      </w:r>
      <w:r w:rsidR="00641965">
        <w:t>6</w:t>
      </w:r>
      <w:r w:rsidRPr="002B1F4E">
        <w:t xml:space="preserve"> - Structured Funding Dialogue (SFD).</w:t>
      </w:r>
    </w:p>
    <w:p w14:paraId="74763F86" w14:textId="77777777" w:rsidR="00DB4B09" w:rsidRDefault="00DB4B09" w:rsidP="00DB4B09">
      <w:pPr>
        <w:pBdr>
          <w:top w:val="single" w:sz="4" w:space="1" w:color="auto"/>
          <w:left w:val="single" w:sz="4" w:space="4" w:color="auto"/>
          <w:bottom w:val="single" w:sz="4" w:space="1" w:color="auto"/>
          <w:right w:val="single" w:sz="4" w:space="4" w:color="auto"/>
        </w:pBdr>
        <w:suppressAutoHyphens w:val="0"/>
        <w:spacing w:line="240" w:lineRule="auto"/>
        <w:jc w:val="both"/>
      </w:pPr>
    </w:p>
    <w:p w14:paraId="776FFB7A" w14:textId="77777777" w:rsidR="00DB4B09" w:rsidRDefault="00DB4B09" w:rsidP="00DB4B09">
      <w:pPr>
        <w:suppressAutoHyphens w:val="0"/>
        <w:spacing w:line="240" w:lineRule="auto"/>
        <w:jc w:val="both"/>
      </w:pPr>
      <w:r>
        <w:t xml:space="preserve">   </w:t>
      </w:r>
      <w:bookmarkEnd w:id="1"/>
    </w:p>
    <w:p w14:paraId="6EF40020" w14:textId="1A405042" w:rsidR="00E605A4" w:rsidRPr="000E57AE" w:rsidRDefault="00E605A4">
      <w:pPr>
        <w:suppressAutoHyphens w:val="0"/>
        <w:spacing w:line="240" w:lineRule="auto"/>
      </w:pPr>
    </w:p>
    <w:p w14:paraId="21B5BC65" w14:textId="3BEEE11D" w:rsidR="00E605A4" w:rsidRDefault="00E605A4" w:rsidP="00D925ED">
      <w:pPr>
        <w:pStyle w:val="HCh"/>
        <w:spacing w:after="120"/>
        <w:outlineLvl w:val="9"/>
        <w:rPr>
          <w:b w:val="0"/>
        </w:rPr>
      </w:pPr>
      <w:r w:rsidRPr="000E57AE">
        <w:rPr>
          <w:b w:val="0"/>
        </w:rPr>
        <w:t>Contents</w:t>
      </w:r>
    </w:p>
    <w:sdt>
      <w:sdtPr>
        <w:id w:val="221801565"/>
        <w:docPartObj>
          <w:docPartGallery w:val="Table of Contents"/>
          <w:docPartUnique/>
        </w:docPartObj>
      </w:sdtPr>
      <w:sdtEndPr>
        <w:rPr>
          <w:b/>
          <w:bCs/>
          <w:noProof/>
        </w:rPr>
      </w:sdtEndPr>
      <w:sdtContent>
        <w:p w14:paraId="4C12F7EA" w14:textId="0BE7AEDB" w:rsidR="005761CD" w:rsidRDefault="002E6FA7">
          <w:pPr>
            <w:pStyle w:val="TOC1"/>
            <w:rPr>
              <w:rFonts w:asciiTheme="minorHAnsi" w:eastAsiaTheme="minorEastAsia" w:hAnsiTheme="minorHAnsi" w:cstheme="minorBidi"/>
              <w:noProof/>
              <w:spacing w:val="0"/>
              <w:w w:val="100"/>
              <w:kern w:val="2"/>
              <w:sz w:val="22"/>
              <w:szCs w:val="22"/>
              <w:lang w:val="en-US" w:eastAsia="zh-CN"/>
              <w14:ligatures w14:val="standardContextual"/>
            </w:rPr>
          </w:pPr>
          <w:r>
            <w:fldChar w:fldCharType="begin"/>
          </w:r>
          <w:r>
            <w:instrText xml:space="preserve"> TOC \o "1-3" \h \z \u </w:instrText>
          </w:r>
          <w:r>
            <w:fldChar w:fldCharType="separate"/>
          </w:r>
          <w:hyperlink w:anchor="_Toc139289128" w:history="1">
            <w:r w:rsidR="005761CD" w:rsidRPr="00A00A43">
              <w:rPr>
                <w:rStyle w:val="Hyperlink"/>
                <w:noProof/>
              </w:rPr>
              <w:t>I.</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Introduction</w:t>
            </w:r>
            <w:r w:rsidR="005761CD">
              <w:rPr>
                <w:noProof/>
                <w:webHidden/>
              </w:rPr>
              <w:tab/>
            </w:r>
            <w:r w:rsidR="005761CD">
              <w:rPr>
                <w:noProof/>
                <w:webHidden/>
              </w:rPr>
              <w:fldChar w:fldCharType="begin"/>
            </w:r>
            <w:r w:rsidR="005761CD">
              <w:rPr>
                <w:noProof/>
                <w:webHidden/>
              </w:rPr>
              <w:instrText xml:space="preserve"> PAGEREF _Toc139289128 \h </w:instrText>
            </w:r>
            <w:r w:rsidR="005761CD">
              <w:rPr>
                <w:noProof/>
                <w:webHidden/>
              </w:rPr>
            </w:r>
            <w:r w:rsidR="005761CD">
              <w:rPr>
                <w:noProof/>
                <w:webHidden/>
              </w:rPr>
              <w:fldChar w:fldCharType="separate"/>
            </w:r>
            <w:r w:rsidR="00D17AFC">
              <w:rPr>
                <w:noProof/>
                <w:webHidden/>
              </w:rPr>
              <w:t>2</w:t>
            </w:r>
            <w:r w:rsidR="005761CD">
              <w:rPr>
                <w:noProof/>
                <w:webHidden/>
              </w:rPr>
              <w:fldChar w:fldCharType="end"/>
            </w:r>
          </w:hyperlink>
        </w:p>
        <w:p w14:paraId="0EBDA10E" w14:textId="06674747"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29" w:history="1">
            <w:r w:rsidR="005761CD" w:rsidRPr="00A00A43">
              <w:rPr>
                <w:rStyle w:val="Hyperlink"/>
                <w:noProof/>
              </w:rPr>
              <w:t>II.</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Overview</w:t>
            </w:r>
            <w:r w:rsidR="005761CD">
              <w:rPr>
                <w:noProof/>
                <w:webHidden/>
              </w:rPr>
              <w:tab/>
            </w:r>
            <w:r w:rsidR="005761CD">
              <w:rPr>
                <w:noProof/>
                <w:webHidden/>
              </w:rPr>
              <w:fldChar w:fldCharType="begin"/>
            </w:r>
            <w:r w:rsidR="005761CD">
              <w:rPr>
                <w:noProof/>
                <w:webHidden/>
              </w:rPr>
              <w:instrText xml:space="preserve"> PAGEREF _Toc139289129 \h </w:instrText>
            </w:r>
            <w:r w:rsidR="005761CD">
              <w:rPr>
                <w:noProof/>
                <w:webHidden/>
              </w:rPr>
            </w:r>
            <w:r w:rsidR="005761CD">
              <w:rPr>
                <w:noProof/>
                <w:webHidden/>
              </w:rPr>
              <w:fldChar w:fldCharType="separate"/>
            </w:r>
            <w:r w:rsidR="00D17AFC">
              <w:rPr>
                <w:noProof/>
                <w:webHidden/>
              </w:rPr>
              <w:t>2</w:t>
            </w:r>
            <w:r w:rsidR="005761CD">
              <w:rPr>
                <w:noProof/>
                <w:webHidden/>
              </w:rPr>
              <w:fldChar w:fldCharType="end"/>
            </w:r>
          </w:hyperlink>
        </w:p>
        <w:p w14:paraId="1BD84FC9" w14:textId="729E6E98"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30" w:history="1">
            <w:r w:rsidR="005761CD" w:rsidRPr="00A00A43">
              <w:rPr>
                <w:rStyle w:val="Hyperlink"/>
                <w:noProof/>
              </w:rPr>
              <w:t>III.</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Financial highlights for 2022</w:t>
            </w:r>
            <w:r w:rsidR="005761CD">
              <w:rPr>
                <w:noProof/>
                <w:webHidden/>
              </w:rPr>
              <w:tab/>
            </w:r>
            <w:r w:rsidR="005761CD">
              <w:rPr>
                <w:noProof/>
                <w:webHidden/>
              </w:rPr>
              <w:fldChar w:fldCharType="begin"/>
            </w:r>
            <w:r w:rsidR="005761CD">
              <w:rPr>
                <w:noProof/>
                <w:webHidden/>
              </w:rPr>
              <w:instrText xml:space="preserve"> PAGEREF _Toc139289130 \h </w:instrText>
            </w:r>
            <w:r w:rsidR="005761CD">
              <w:rPr>
                <w:noProof/>
                <w:webHidden/>
              </w:rPr>
            </w:r>
            <w:r w:rsidR="005761CD">
              <w:rPr>
                <w:noProof/>
                <w:webHidden/>
              </w:rPr>
              <w:fldChar w:fldCharType="separate"/>
            </w:r>
            <w:r w:rsidR="00D17AFC">
              <w:rPr>
                <w:noProof/>
                <w:webHidden/>
              </w:rPr>
              <w:t>5</w:t>
            </w:r>
            <w:r w:rsidR="005761CD">
              <w:rPr>
                <w:noProof/>
                <w:webHidden/>
              </w:rPr>
              <w:fldChar w:fldCharType="end"/>
            </w:r>
          </w:hyperlink>
        </w:p>
        <w:p w14:paraId="54798040" w14:textId="1414D8C8"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31" w:history="1">
            <w:r w:rsidR="005761CD" w:rsidRPr="00A00A43">
              <w:rPr>
                <w:rStyle w:val="Hyperlink"/>
                <w:noProof/>
              </w:rPr>
              <w:t>A.</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Summary of UNDP financial situation</w:t>
            </w:r>
            <w:r w:rsidR="005761CD">
              <w:rPr>
                <w:noProof/>
                <w:webHidden/>
              </w:rPr>
              <w:tab/>
            </w:r>
            <w:r w:rsidR="005761CD">
              <w:rPr>
                <w:noProof/>
                <w:webHidden/>
              </w:rPr>
              <w:fldChar w:fldCharType="begin"/>
            </w:r>
            <w:r w:rsidR="005761CD">
              <w:rPr>
                <w:noProof/>
                <w:webHidden/>
              </w:rPr>
              <w:instrText xml:space="preserve"> PAGEREF _Toc139289131 \h </w:instrText>
            </w:r>
            <w:r w:rsidR="005761CD">
              <w:rPr>
                <w:noProof/>
                <w:webHidden/>
              </w:rPr>
            </w:r>
            <w:r w:rsidR="005761CD">
              <w:rPr>
                <w:noProof/>
                <w:webHidden/>
              </w:rPr>
              <w:fldChar w:fldCharType="separate"/>
            </w:r>
            <w:r w:rsidR="00D17AFC">
              <w:rPr>
                <w:noProof/>
                <w:webHidden/>
              </w:rPr>
              <w:t>5</w:t>
            </w:r>
            <w:r w:rsidR="005761CD">
              <w:rPr>
                <w:noProof/>
                <w:webHidden/>
              </w:rPr>
              <w:fldChar w:fldCharType="end"/>
            </w:r>
          </w:hyperlink>
        </w:p>
        <w:p w14:paraId="5439F3DC" w14:textId="3138CC65"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32" w:history="1">
            <w:r w:rsidR="005761CD" w:rsidRPr="00A00A43">
              <w:rPr>
                <w:rStyle w:val="Hyperlink"/>
                <w:noProof/>
              </w:rPr>
              <w:t>B.</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Revenue</w:t>
            </w:r>
            <w:r w:rsidR="005761CD">
              <w:rPr>
                <w:noProof/>
                <w:webHidden/>
              </w:rPr>
              <w:tab/>
            </w:r>
            <w:r w:rsidR="005761CD">
              <w:rPr>
                <w:noProof/>
                <w:webHidden/>
              </w:rPr>
              <w:fldChar w:fldCharType="begin"/>
            </w:r>
            <w:r w:rsidR="005761CD">
              <w:rPr>
                <w:noProof/>
                <w:webHidden/>
              </w:rPr>
              <w:instrText xml:space="preserve"> PAGEREF _Toc139289132 \h </w:instrText>
            </w:r>
            <w:r w:rsidR="005761CD">
              <w:rPr>
                <w:noProof/>
                <w:webHidden/>
              </w:rPr>
            </w:r>
            <w:r w:rsidR="005761CD">
              <w:rPr>
                <w:noProof/>
                <w:webHidden/>
              </w:rPr>
              <w:fldChar w:fldCharType="separate"/>
            </w:r>
            <w:r w:rsidR="00D17AFC">
              <w:rPr>
                <w:noProof/>
                <w:webHidden/>
              </w:rPr>
              <w:t>5</w:t>
            </w:r>
            <w:r w:rsidR="005761CD">
              <w:rPr>
                <w:noProof/>
                <w:webHidden/>
              </w:rPr>
              <w:fldChar w:fldCharType="end"/>
            </w:r>
          </w:hyperlink>
        </w:p>
        <w:p w14:paraId="4C1CBF80" w14:textId="55EA6FBB"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40" w:history="1">
            <w:r w:rsidR="005761CD" w:rsidRPr="00A00A43">
              <w:rPr>
                <w:rStyle w:val="Hyperlink"/>
                <w:noProof/>
              </w:rPr>
              <w:t>C.</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Expenses</w:t>
            </w:r>
            <w:r w:rsidR="005761CD">
              <w:rPr>
                <w:noProof/>
                <w:webHidden/>
              </w:rPr>
              <w:tab/>
            </w:r>
            <w:r w:rsidR="005761CD">
              <w:rPr>
                <w:noProof/>
                <w:webHidden/>
              </w:rPr>
              <w:fldChar w:fldCharType="begin"/>
            </w:r>
            <w:r w:rsidR="005761CD">
              <w:rPr>
                <w:noProof/>
                <w:webHidden/>
              </w:rPr>
              <w:instrText xml:space="preserve"> PAGEREF _Toc139289140 \h </w:instrText>
            </w:r>
            <w:r w:rsidR="005761CD">
              <w:rPr>
                <w:noProof/>
                <w:webHidden/>
              </w:rPr>
            </w:r>
            <w:r w:rsidR="005761CD">
              <w:rPr>
                <w:noProof/>
                <w:webHidden/>
              </w:rPr>
              <w:fldChar w:fldCharType="separate"/>
            </w:r>
            <w:r w:rsidR="00D17AFC">
              <w:rPr>
                <w:noProof/>
                <w:webHidden/>
              </w:rPr>
              <w:t>10</w:t>
            </w:r>
            <w:r w:rsidR="005761CD">
              <w:rPr>
                <w:noProof/>
                <w:webHidden/>
              </w:rPr>
              <w:fldChar w:fldCharType="end"/>
            </w:r>
          </w:hyperlink>
        </w:p>
        <w:p w14:paraId="15F018DC" w14:textId="5FF87194"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48" w:history="1">
            <w:r w:rsidR="005761CD" w:rsidRPr="00A00A43">
              <w:rPr>
                <w:rStyle w:val="Hyperlink"/>
                <w:noProof/>
              </w:rPr>
              <w:t>IV.</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Financial position</w:t>
            </w:r>
            <w:r w:rsidR="005761CD">
              <w:rPr>
                <w:noProof/>
                <w:webHidden/>
              </w:rPr>
              <w:tab/>
            </w:r>
            <w:r w:rsidR="005761CD">
              <w:rPr>
                <w:noProof/>
                <w:webHidden/>
              </w:rPr>
              <w:fldChar w:fldCharType="begin"/>
            </w:r>
            <w:r w:rsidR="005761CD">
              <w:rPr>
                <w:noProof/>
                <w:webHidden/>
              </w:rPr>
              <w:instrText xml:space="preserve"> PAGEREF _Toc139289148 \h </w:instrText>
            </w:r>
            <w:r w:rsidR="005761CD">
              <w:rPr>
                <w:noProof/>
                <w:webHidden/>
              </w:rPr>
            </w:r>
            <w:r w:rsidR="005761CD">
              <w:rPr>
                <w:noProof/>
                <w:webHidden/>
              </w:rPr>
              <w:fldChar w:fldCharType="separate"/>
            </w:r>
            <w:r w:rsidR="00D17AFC">
              <w:rPr>
                <w:noProof/>
                <w:webHidden/>
              </w:rPr>
              <w:t>15</w:t>
            </w:r>
            <w:r w:rsidR="005761CD">
              <w:rPr>
                <w:noProof/>
                <w:webHidden/>
              </w:rPr>
              <w:fldChar w:fldCharType="end"/>
            </w:r>
          </w:hyperlink>
        </w:p>
        <w:p w14:paraId="36F67C93" w14:textId="71E37692"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49" w:history="1">
            <w:r w:rsidR="005761CD" w:rsidRPr="00A00A43">
              <w:rPr>
                <w:rStyle w:val="Hyperlink"/>
                <w:noProof/>
              </w:rPr>
              <w:t>A.</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Assets</w:t>
            </w:r>
            <w:r w:rsidR="005761CD">
              <w:rPr>
                <w:noProof/>
                <w:webHidden/>
              </w:rPr>
              <w:tab/>
            </w:r>
            <w:r w:rsidR="005761CD">
              <w:rPr>
                <w:noProof/>
                <w:webHidden/>
              </w:rPr>
              <w:fldChar w:fldCharType="begin"/>
            </w:r>
            <w:r w:rsidR="005761CD">
              <w:rPr>
                <w:noProof/>
                <w:webHidden/>
              </w:rPr>
              <w:instrText xml:space="preserve"> PAGEREF _Toc139289149 \h </w:instrText>
            </w:r>
            <w:r w:rsidR="005761CD">
              <w:rPr>
                <w:noProof/>
                <w:webHidden/>
              </w:rPr>
            </w:r>
            <w:r w:rsidR="005761CD">
              <w:rPr>
                <w:noProof/>
                <w:webHidden/>
              </w:rPr>
              <w:fldChar w:fldCharType="separate"/>
            </w:r>
            <w:r w:rsidR="00D17AFC">
              <w:rPr>
                <w:noProof/>
                <w:webHidden/>
              </w:rPr>
              <w:t>15</w:t>
            </w:r>
            <w:r w:rsidR="005761CD">
              <w:rPr>
                <w:noProof/>
                <w:webHidden/>
              </w:rPr>
              <w:fldChar w:fldCharType="end"/>
            </w:r>
          </w:hyperlink>
        </w:p>
        <w:p w14:paraId="6FE020B8" w14:textId="584C9A8C"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52" w:history="1">
            <w:r w:rsidR="005761CD" w:rsidRPr="00A00A43">
              <w:rPr>
                <w:rStyle w:val="Hyperlink"/>
                <w:noProof/>
              </w:rPr>
              <w:t>B.</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Liabilities</w:t>
            </w:r>
            <w:r w:rsidR="005761CD">
              <w:rPr>
                <w:noProof/>
                <w:webHidden/>
              </w:rPr>
              <w:tab/>
            </w:r>
            <w:r w:rsidR="005761CD">
              <w:rPr>
                <w:noProof/>
                <w:webHidden/>
              </w:rPr>
              <w:fldChar w:fldCharType="begin"/>
            </w:r>
            <w:r w:rsidR="005761CD">
              <w:rPr>
                <w:noProof/>
                <w:webHidden/>
              </w:rPr>
              <w:instrText xml:space="preserve"> PAGEREF _Toc139289152 \h </w:instrText>
            </w:r>
            <w:r w:rsidR="005761CD">
              <w:rPr>
                <w:noProof/>
                <w:webHidden/>
              </w:rPr>
            </w:r>
            <w:r w:rsidR="005761CD">
              <w:rPr>
                <w:noProof/>
                <w:webHidden/>
              </w:rPr>
              <w:fldChar w:fldCharType="separate"/>
            </w:r>
            <w:r w:rsidR="00D17AFC">
              <w:rPr>
                <w:noProof/>
                <w:webHidden/>
              </w:rPr>
              <w:t>16</w:t>
            </w:r>
            <w:r w:rsidR="005761CD">
              <w:rPr>
                <w:noProof/>
                <w:webHidden/>
              </w:rPr>
              <w:fldChar w:fldCharType="end"/>
            </w:r>
          </w:hyperlink>
        </w:p>
        <w:p w14:paraId="04542AF5" w14:textId="30590490"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53" w:history="1">
            <w:r w:rsidR="005761CD" w:rsidRPr="00A00A43">
              <w:rPr>
                <w:rStyle w:val="Hyperlink"/>
                <w:noProof/>
              </w:rPr>
              <w:t>C.</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Accumulated surplus</w:t>
            </w:r>
            <w:r w:rsidR="005761CD">
              <w:rPr>
                <w:noProof/>
                <w:webHidden/>
              </w:rPr>
              <w:tab/>
            </w:r>
            <w:r w:rsidR="005761CD">
              <w:rPr>
                <w:noProof/>
                <w:webHidden/>
              </w:rPr>
              <w:fldChar w:fldCharType="begin"/>
            </w:r>
            <w:r w:rsidR="005761CD">
              <w:rPr>
                <w:noProof/>
                <w:webHidden/>
              </w:rPr>
              <w:instrText xml:space="preserve"> PAGEREF _Toc139289153 \h </w:instrText>
            </w:r>
            <w:r w:rsidR="005761CD">
              <w:rPr>
                <w:noProof/>
                <w:webHidden/>
              </w:rPr>
            </w:r>
            <w:r w:rsidR="005761CD">
              <w:rPr>
                <w:noProof/>
                <w:webHidden/>
              </w:rPr>
              <w:fldChar w:fldCharType="separate"/>
            </w:r>
            <w:r w:rsidR="00D17AFC">
              <w:rPr>
                <w:noProof/>
                <w:webHidden/>
              </w:rPr>
              <w:t>18</w:t>
            </w:r>
            <w:r w:rsidR="005761CD">
              <w:rPr>
                <w:noProof/>
                <w:webHidden/>
              </w:rPr>
              <w:fldChar w:fldCharType="end"/>
            </w:r>
          </w:hyperlink>
        </w:p>
        <w:p w14:paraId="2C00B313" w14:textId="03212406"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54" w:history="1">
            <w:r w:rsidR="005761CD" w:rsidRPr="00A00A43">
              <w:rPr>
                <w:rStyle w:val="Hyperlink"/>
                <w:noProof/>
              </w:rPr>
              <w:t>V.</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Others</w:t>
            </w:r>
            <w:r w:rsidR="005761CD">
              <w:rPr>
                <w:noProof/>
                <w:webHidden/>
              </w:rPr>
              <w:tab/>
            </w:r>
            <w:r w:rsidR="005761CD">
              <w:rPr>
                <w:noProof/>
                <w:webHidden/>
              </w:rPr>
              <w:fldChar w:fldCharType="begin"/>
            </w:r>
            <w:r w:rsidR="005761CD">
              <w:rPr>
                <w:noProof/>
                <w:webHidden/>
              </w:rPr>
              <w:instrText xml:space="preserve"> PAGEREF _Toc139289154 \h </w:instrText>
            </w:r>
            <w:r w:rsidR="005761CD">
              <w:rPr>
                <w:noProof/>
                <w:webHidden/>
              </w:rPr>
            </w:r>
            <w:r w:rsidR="005761CD">
              <w:rPr>
                <w:noProof/>
                <w:webHidden/>
              </w:rPr>
              <w:fldChar w:fldCharType="separate"/>
            </w:r>
            <w:r w:rsidR="00D17AFC">
              <w:rPr>
                <w:noProof/>
                <w:webHidden/>
              </w:rPr>
              <w:t>19</w:t>
            </w:r>
            <w:r w:rsidR="005761CD">
              <w:rPr>
                <w:noProof/>
                <w:webHidden/>
              </w:rPr>
              <w:fldChar w:fldCharType="end"/>
            </w:r>
          </w:hyperlink>
        </w:p>
        <w:p w14:paraId="6E70A496" w14:textId="7CEFC8D2"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61" w:history="1">
            <w:r w:rsidR="005761CD" w:rsidRPr="00A00A43">
              <w:rPr>
                <w:rStyle w:val="Hyperlink"/>
                <w:noProof/>
              </w:rPr>
              <w:t>VI.</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United Nations reform and support to United Nations organizations</w:t>
            </w:r>
            <w:r w:rsidR="005761CD">
              <w:rPr>
                <w:noProof/>
                <w:webHidden/>
              </w:rPr>
              <w:tab/>
            </w:r>
            <w:r w:rsidR="005761CD">
              <w:rPr>
                <w:noProof/>
                <w:webHidden/>
              </w:rPr>
              <w:fldChar w:fldCharType="begin"/>
            </w:r>
            <w:r w:rsidR="005761CD">
              <w:rPr>
                <w:noProof/>
                <w:webHidden/>
              </w:rPr>
              <w:instrText xml:space="preserve"> PAGEREF _Toc139289161 \h </w:instrText>
            </w:r>
            <w:r w:rsidR="005761CD">
              <w:rPr>
                <w:noProof/>
                <w:webHidden/>
              </w:rPr>
            </w:r>
            <w:r w:rsidR="005761CD">
              <w:rPr>
                <w:noProof/>
                <w:webHidden/>
              </w:rPr>
              <w:fldChar w:fldCharType="separate"/>
            </w:r>
            <w:r w:rsidR="00D17AFC">
              <w:rPr>
                <w:noProof/>
                <w:webHidden/>
              </w:rPr>
              <w:t>20</w:t>
            </w:r>
            <w:r w:rsidR="005761CD">
              <w:rPr>
                <w:noProof/>
                <w:webHidden/>
              </w:rPr>
              <w:fldChar w:fldCharType="end"/>
            </w:r>
          </w:hyperlink>
        </w:p>
        <w:p w14:paraId="7266F6A4" w14:textId="6874AAF9"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62" w:history="1">
            <w:r w:rsidR="005761CD" w:rsidRPr="00A00A43">
              <w:rPr>
                <w:rStyle w:val="Hyperlink"/>
                <w:noProof/>
              </w:rPr>
              <w:t>A.</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UNDP administrative agent function</w:t>
            </w:r>
            <w:r w:rsidR="005761CD">
              <w:rPr>
                <w:noProof/>
                <w:webHidden/>
              </w:rPr>
              <w:tab/>
            </w:r>
            <w:r w:rsidR="005761CD">
              <w:rPr>
                <w:noProof/>
                <w:webHidden/>
              </w:rPr>
              <w:fldChar w:fldCharType="begin"/>
            </w:r>
            <w:r w:rsidR="005761CD">
              <w:rPr>
                <w:noProof/>
                <w:webHidden/>
              </w:rPr>
              <w:instrText xml:space="preserve"> PAGEREF _Toc139289162 \h </w:instrText>
            </w:r>
            <w:r w:rsidR="005761CD">
              <w:rPr>
                <w:noProof/>
                <w:webHidden/>
              </w:rPr>
            </w:r>
            <w:r w:rsidR="005761CD">
              <w:rPr>
                <w:noProof/>
                <w:webHidden/>
              </w:rPr>
              <w:fldChar w:fldCharType="separate"/>
            </w:r>
            <w:r w:rsidR="00D17AFC">
              <w:rPr>
                <w:noProof/>
                <w:webHidden/>
              </w:rPr>
              <w:t>20</w:t>
            </w:r>
            <w:r w:rsidR="005761CD">
              <w:rPr>
                <w:noProof/>
                <w:webHidden/>
              </w:rPr>
              <w:fldChar w:fldCharType="end"/>
            </w:r>
          </w:hyperlink>
        </w:p>
        <w:p w14:paraId="7310DDFF" w14:textId="5D7B3EF7"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64" w:history="1">
            <w:r w:rsidR="005761CD" w:rsidRPr="00A00A43">
              <w:rPr>
                <w:rStyle w:val="Hyperlink"/>
                <w:noProof/>
              </w:rPr>
              <w:t>B.</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Support to United Nations organizations</w:t>
            </w:r>
            <w:r w:rsidR="005761CD">
              <w:rPr>
                <w:noProof/>
                <w:webHidden/>
              </w:rPr>
              <w:tab/>
            </w:r>
            <w:r w:rsidR="005761CD">
              <w:rPr>
                <w:noProof/>
                <w:webHidden/>
              </w:rPr>
              <w:fldChar w:fldCharType="begin"/>
            </w:r>
            <w:r w:rsidR="005761CD">
              <w:rPr>
                <w:noProof/>
                <w:webHidden/>
              </w:rPr>
              <w:instrText xml:space="preserve"> PAGEREF _Toc139289164 \h </w:instrText>
            </w:r>
            <w:r w:rsidR="005761CD">
              <w:rPr>
                <w:noProof/>
                <w:webHidden/>
              </w:rPr>
            </w:r>
            <w:r w:rsidR="005761CD">
              <w:rPr>
                <w:noProof/>
                <w:webHidden/>
              </w:rPr>
              <w:fldChar w:fldCharType="separate"/>
            </w:r>
            <w:r w:rsidR="00D17AFC">
              <w:rPr>
                <w:noProof/>
                <w:webHidden/>
              </w:rPr>
              <w:t>21</w:t>
            </w:r>
            <w:r w:rsidR="005761CD">
              <w:rPr>
                <w:noProof/>
                <w:webHidden/>
              </w:rPr>
              <w:fldChar w:fldCharType="end"/>
            </w:r>
          </w:hyperlink>
        </w:p>
        <w:p w14:paraId="6921798B" w14:textId="5D65B300" w:rsidR="005761CD" w:rsidRDefault="00000000">
          <w:pPr>
            <w:pStyle w:val="TOC2"/>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68" w:history="1">
            <w:r w:rsidR="005761CD" w:rsidRPr="00A00A43">
              <w:rPr>
                <w:rStyle w:val="Hyperlink"/>
                <w:noProof/>
              </w:rPr>
              <w:t>C.</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United Nations-mandated security costs</w:t>
            </w:r>
            <w:r w:rsidR="005761CD">
              <w:rPr>
                <w:noProof/>
                <w:webHidden/>
              </w:rPr>
              <w:tab/>
            </w:r>
            <w:r w:rsidR="005761CD">
              <w:rPr>
                <w:noProof/>
                <w:webHidden/>
              </w:rPr>
              <w:fldChar w:fldCharType="begin"/>
            </w:r>
            <w:r w:rsidR="005761CD">
              <w:rPr>
                <w:noProof/>
                <w:webHidden/>
              </w:rPr>
              <w:instrText xml:space="preserve"> PAGEREF _Toc139289168 \h </w:instrText>
            </w:r>
            <w:r w:rsidR="005761CD">
              <w:rPr>
                <w:noProof/>
                <w:webHidden/>
              </w:rPr>
            </w:r>
            <w:r w:rsidR="005761CD">
              <w:rPr>
                <w:noProof/>
                <w:webHidden/>
              </w:rPr>
              <w:fldChar w:fldCharType="separate"/>
            </w:r>
            <w:r w:rsidR="00D17AFC">
              <w:rPr>
                <w:noProof/>
                <w:webHidden/>
              </w:rPr>
              <w:t>21</w:t>
            </w:r>
            <w:r w:rsidR="005761CD">
              <w:rPr>
                <w:noProof/>
                <w:webHidden/>
              </w:rPr>
              <w:fldChar w:fldCharType="end"/>
            </w:r>
          </w:hyperlink>
        </w:p>
        <w:p w14:paraId="4440B7B7" w14:textId="0A3A1703"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70" w:history="1">
            <w:r w:rsidR="005761CD" w:rsidRPr="00A00A43">
              <w:rPr>
                <w:rStyle w:val="Hyperlink"/>
                <w:noProof/>
              </w:rPr>
              <w:t>VII.</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‘Greening’ UNDP</w:t>
            </w:r>
            <w:r w:rsidR="005761CD">
              <w:rPr>
                <w:noProof/>
                <w:webHidden/>
              </w:rPr>
              <w:tab/>
            </w:r>
            <w:r w:rsidR="005761CD">
              <w:rPr>
                <w:noProof/>
                <w:webHidden/>
              </w:rPr>
              <w:fldChar w:fldCharType="begin"/>
            </w:r>
            <w:r w:rsidR="005761CD">
              <w:rPr>
                <w:noProof/>
                <w:webHidden/>
              </w:rPr>
              <w:instrText xml:space="preserve"> PAGEREF _Toc139289170 \h </w:instrText>
            </w:r>
            <w:r w:rsidR="005761CD">
              <w:rPr>
                <w:noProof/>
                <w:webHidden/>
              </w:rPr>
            </w:r>
            <w:r w:rsidR="005761CD">
              <w:rPr>
                <w:noProof/>
                <w:webHidden/>
              </w:rPr>
              <w:fldChar w:fldCharType="separate"/>
            </w:r>
            <w:r w:rsidR="00D17AFC">
              <w:rPr>
                <w:noProof/>
                <w:webHidden/>
              </w:rPr>
              <w:t>21</w:t>
            </w:r>
            <w:r w:rsidR="005761CD">
              <w:rPr>
                <w:noProof/>
                <w:webHidden/>
              </w:rPr>
              <w:fldChar w:fldCharType="end"/>
            </w:r>
          </w:hyperlink>
        </w:p>
        <w:p w14:paraId="01D4C8BE" w14:textId="284F8139" w:rsidR="005761CD" w:rsidRDefault="00000000">
          <w:pPr>
            <w:pStyle w:val="TOC1"/>
            <w:rPr>
              <w:rFonts w:asciiTheme="minorHAnsi" w:eastAsiaTheme="minorEastAsia" w:hAnsiTheme="minorHAnsi" w:cstheme="minorBidi"/>
              <w:noProof/>
              <w:spacing w:val="0"/>
              <w:w w:val="100"/>
              <w:kern w:val="2"/>
              <w:sz w:val="22"/>
              <w:szCs w:val="22"/>
              <w:lang w:val="en-US" w:eastAsia="zh-CN"/>
              <w14:ligatures w14:val="standardContextual"/>
            </w:rPr>
          </w:pPr>
          <w:hyperlink w:anchor="_Toc139289180" w:history="1">
            <w:r w:rsidR="005761CD" w:rsidRPr="00A00A43">
              <w:rPr>
                <w:rStyle w:val="Hyperlink"/>
                <w:noProof/>
              </w:rPr>
              <w:t>VIII.</w:t>
            </w:r>
            <w:r w:rsidR="005761CD">
              <w:rPr>
                <w:rFonts w:asciiTheme="minorHAnsi" w:eastAsiaTheme="minorEastAsia" w:hAnsiTheme="minorHAnsi" w:cstheme="minorBidi"/>
                <w:noProof/>
                <w:spacing w:val="0"/>
                <w:w w:val="100"/>
                <w:kern w:val="2"/>
                <w:sz w:val="22"/>
                <w:szCs w:val="22"/>
                <w:lang w:val="en-US" w:eastAsia="zh-CN"/>
                <w14:ligatures w14:val="standardContextual"/>
              </w:rPr>
              <w:tab/>
            </w:r>
            <w:r w:rsidR="005761CD" w:rsidRPr="00A00A43">
              <w:rPr>
                <w:rStyle w:val="Hyperlink"/>
                <w:noProof/>
              </w:rPr>
              <w:t xml:space="preserve">Appendices </w:t>
            </w:r>
            <w:r w:rsidR="005761CD" w:rsidRPr="00A00A43">
              <w:rPr>
                <w:rStyle w:val="Hyperlink"/>
                <w:bCs/>
                <w:noProof/>
              </w:rPr>
              <w:t>(available on the UNDP Executive Board web page)</w:t>
            </w:r>
            <w:r w:rsidR="005761CD">
              <w:rPr>
                <w:noProof/>
                <w:webHidden/>
              </w:rPr>
              <w:tab/>
            </w:r>
            <w:r w:rsidR="005761CD">
              <w:rPr>
                <w:noProof/>
                <w:webHidden/>
              </w:rPr>
              <w:fldChar w:fldCharType="begin"/>
            </w:r>
            <w:r w:rsidR="005761CD">
              <w:rPr>
                <w:noProof/>
                <w:webHidden/>
              </w:rPr>
              <w:instrText xml:space="preserve"> PAGEREF _Toc139289180 \h </w:instrText>
            </w:r>
            <w:r w:rsidR="005761CD">
              <w:rPr>
                <w:noProof/>
                <w:webHidden/>
              </w:rPr>
            </w:r>
            <w:r w:rsidR="005761CD">
              <w:rPr>
                <w:noProof/>
                <w:webHidden/>
              </w:rPr>
              <w:fldChar w:fldCharType="separate"/>
            </w:r>
            <w:r w:rsidR="00D17AFC">
              <w:rPr>
                <w:noProof/>
                <w:webHidden/>
              </w:rPr>
              <w:t>22</w:t>
            </w:r>
            <w:r w:rsidR="005761CD">
              <w:rPr>
                <w:noProof/>
                <w:webHidden/>
              </w:rPr>
              <w:fldChar w:fldCharType="end"/>
            </w:r>
          </w:hyperlink>
        </w:p>
        <w:p w14:paraId="25EDF886" w14:textId="6C98260E" w:rsidR="00122E90" w:rsidRPr="00681331" w:rsidRDefault="002E6FA7">
          <w:pPr>
            <w:rPr>
              <w:noProof/>
            </w:rPr>
          </w:pPr>
          <w:r>
            <w:rPr>
              <w:b/>
              <w:bCs/>
              <w:noProof/>
            </w:rPr>
            <w:fldChar w:fldCharType="end"/>
          </w:r>
          <w:r w:rsidR="001E476E" w:rsidRPr="00681331" w:rsidDel="001E476E">
            <w:rPr>
              <w:noProof/>
            </w:rPr>
            <w:t xml:space="preserve"> </w:t>
          </w:r>
        </w:p>
        <w:p w14:paraId="3F72B558" w14:textId="44D21076" w:rsidR="002E6FA7" w:rsidRDefault="00000000"/>
      </w:sdtContent>
    </w:sdt>
    <w:p w14:paraId="0BBD9D2C" w14:textId="295847E5" w:rsidR="00AE5C22" w:rsidRDefault="00AE5C22" w:rsidP="00935569">
      <w:pPr>
        <w:suppressAutoHyphens w:val="0"/>
        <w:spacing w:line="240" w:lineRule="auto"/>
      </w:pPr>
      <w:bookmarkStart w:id="2" w:name="_Toc44600413"/>
      <w:bookmarkStart w:id="3" w:name="_Toc44600760"/>
      <w:bookmarkStart w:id="4" w:name="_Toc44600414"/>
      <w:bookmarkStart w:id="5" w:name="_Toc44600761"/>
      <w:bookmarkStart w:id="6" w:name="_Toc44600415"/>
      <w:bookmarkStart w:id="7" w:name="_Toc44600762"/>
      <w:bookmarkStart w:id="8" w:name="_Toc44600416"/>
      <w:bookmarkStart w:id="9" w:name="_Toc44600763"/>
      <w:bookmarkStart w:id="10" w:name="_Toc39596148"/>
      <w:bookmarkStart w:id="11" w:name="_Toc39596192"/>
      <w:bookmarkStart w:id="12" w:name="_Toc39596236"/>
      <w:bookmarkEnd w:id="2"/>
      <w:bookmarkEnd w:id="3"/>
      <w:bookmarkEnd w:id="4"/>
      <w:bookmarkEnd w:id="5"/>
      <w:bookmarkEnd w:id="6"/>
      <w:bookmarkEnd w:id="7"/>
      <w:bookmarkEnd w:id="8"/>
      <w:bookmarkEnd w:id="9"/>
      <w:bookmarkEnd w:id="10"/>
      <w:bookmarkEnd w:id="11"/>
      <w:bookmarkEnd w:id="12"/>
    </w:p>
    <w:p w14:paraId="597D9E25" w14:textId="359902D4" w:rsidR="007E3F7F" w:rsidRPr="003A26A4" w:rsidRDefault="007E3F7F" w:rsidP="005F648C">
      <w:pPr>
        <w:pStyle w:val="HCh"/>
        <w:numPr>
          <w:ilvl w:val="0"/>
          <w:numId w:val="13"/>
        </w:numPr>
        <w:spacing w:before="360" w:after="240" w:line="240" w:lineRule="auto"/>
        <w:ind w:right="1267"/>
      </w:pPr>
      <w:bookmarkStart w:id="13" w:name="_Toc139289128"/>
      <w:r w:rsidRPr="003A26A4">
        <w:lastRenderedPageBreak/>
        <w:t>Introduction</w:t>
      </w:r>
      <w:bookmarkEnd w:id="13"/>
    </w:p>
    <w:p w14:paraId="3ACAD8F5" w14:textId="09351442" w:rsidR="007E3F7F" w:rsidRPr="007459CA" w:rsidRDefault="007E3F7F" w:rsidP="00AF3FD4">
      <w:pPr>
        <w:pStyle w:val="ListParagraph"/>
        <w:numPr>
          <w:ilvl w:val="0"/>
          <w:numId w:val="5"/>
        </w:numPr>
        <w:spacing w:before="240" w:after="240" w:line="240" w:lineRule="auto"/>
        <w:ind w:right="1267"/>
        <w:contextualSpacing w:val="0"/>
        <w:jc w:val="both"/>
      </w:pPr>
      <w:r w:rsidRPr="007459CA">
        <w:t xml:space="preserve">This </w:t>
      </w:r>
      <w:r w:rsidR="00772FB5">
        <w:t>Annex</w:t>
      </w:r>
      <w:r w:rsidRPr="007459CA">
        <w:t xml:space="preserve"> provides an overview of the financial position of UNDP – including the United Nations Volunteers (UNV) and the United Nations Office for South-South Cooperation (UNOSSC) at the end of 20</w:t>
      </w:r>
      <w:r w:rsidR="00AD5834">
        <w:t>2</w:t>
      </w:r>
      <w:r w:rsidR="00E711B2">
        <w:t>2</w:t>
      </w:r>
      <w:r w:rsidR="00CF54E7">
        <w:t>.</w:t>
      </w:r>
    </w:p>
    <w:p w14:paraId="12F214C2" w14:textId="01B5C0B9" w:rsidR="007E3F7F" w:rsidRPr="00043410" w:rsidRDefault="007F402D" w:rsidP="00AF3FD4">
      <w:pPr>
        <w:pStyle w:val="ListParagraph"/>
        <w:numPr>
          <w:ilvl w:val="0"/>
          <w:numId w:val="5"/>
        </w:numPr>
        <w:spacing w:before="240" w:after="240" w:line="240" w:lineRule="auto"/>
        <w:ind w:right="1267"/>
        <w:contextualSpacing w:val="0"/>
        <w:jc w:val="both"/>
      </w:pPr>
      <w:r w:rsidRPr="00043410">
        <w:t>A</w:t>
      </w:r>
      <w:r>
        <w:t xml:space="preserve">ppendices </w:t>
      </w:r>
      <w:r w:rsidR="007E3F7F" w:rsidRPr="00043410">
        <w:t>I-V</w:t>
      </w:r>
      <w:r w:rsidR="00DB256A">
        <w:t>I</w:t>
      </w:r>
      <w:r w:rsidR="007E3F7F" w:rsidRPr="00043410">
        <w:t xml:space="preserve"> are available on the Executive Board web page. Tables 1-1</w:t>
      </w:r>
      <w:r w:rsidR="00CC46AD">
        <w:t>0</w:t>
      </w:r>
      <w:r w:rsidR="007E3F7F" w:rsidRPr="00043410">
        <w:t xml:space="preserve">, in </w:t>
      </w:r>
      <w:r>
        <w:t>Appendix VI</w:t>
      </w:r>
      <w:r w:rsidR="00DB256A">
        <w:t>I</w:t>
      </w:r>
      <w:r w:rsidR="007E3F7F" w:rsidRPr="00043410">
        <w:t>, provide further details of the activities undertaken by UNDP.</w:t>
      </w:r>
    </w:p>
    <w:p w14:paraId="4A0E5B41" w14:textId="25268828" w:rsidR="007E3F7F" w:rsidRDefault="007E3F7F" w:rsidP="5E7BD891">
      <w:pPr>
        <w:pStyle w:val="ListParagraph"/>
        <w:numPr>
          <w:ilvl w:val="0"/>
          <w:numId w:val="5"/>
        </w:numPr>
        <w:spacing w:before="240" w:after="240" w:line="240" w:lineRule="auto"/>
        <w:ind w:right="1267"/>
        <w:jc w:val="both"/>
      </w:pPr>
      <w:r w:rsidRPr="00043410">
        <w:t>In accordance with Executive Board decision 2013/28, this report includes a comparative overview of actual 20</w:t>
      </w:r>
      <w:r w:rsidR="00105FBD">
        <w:t>2</w:t>
      </w:r>
      <w:r w:rsidR="00E711B2">
        <w:t>2</w:t>
      </w:r>
      <w:r w:rsidRPr="00043410">
        <w:t xml:space="preserve"> utilization compared to the resource planning figures in </w:t>
      </w:r>
      <w:r w:rsidR="009650CC" w:rsidRPr="009650CC">
        <w:t>UNDP integrated resources plan and integrated budget estimates for 2022-2025 (DP/2021/29)</w:t>
      </w:r>
      <w:r w:rsidR="009650CC">
        <w:t xml:space="preserve"> </w:t>
      </w:r>
      <w:r w:rsidRPr="00043410">
        <w:t>and the corresponding a</w:t>
      </w:r>
      <w:r w:rsidR="00822D21">
        <w:t>ppendix</w:t>
      </w:r>
      <w:r w:rsidRPr="00043410">
        <w:t xml:space="preserve"> II. It includes </w:t>
      </w:r>
      <w:r w:rsidR="00822D21" w:rsidRPr="00043410">
        <w:t>a</w:t>
      </w:r>
      <w:r w:rsidR="00822D21">
        <w:t>ppendices</w:t>
      </w:r>
      <w:r w:rsidRPr="00043410">
        <w:t xml:space="preserve"> III.A and III.B in the format of the UNDP integrated resources plan. A</w:t>
      </w:r>
      <w:r w:rsidR="00822D21">
        <w:t>ppendix</w:t>
      </w:r>
      <w:r w:rsidRPr="00043410">
        <w:t xml:space="preserve"> III.C provides the resources allocated to posts, by location.</w:t>
      </w:r>
      <w:r w:rsidR="003E1191">
        <w:t xml:space="preserve"> Appendix </w:t>
      </w:r>
      <w:r w:rsidR="007746E8">
        <w:t>IV provides</w:t>
      </w:r>
      <w:r w:rsidR="009270E6">
        <w:t xml:space="preserve"> </w:t>
      </w:r>
      <w:r w:rsidR="00021ACF">
        <w:t xml:space="preserve">annual </w:t>
      </w:r>
      <w:r w:rsidR="00021ACF" w:rsidRPr="00E45F33">
        <w:t>contributions</w:t>
      </w:r>
      <w:r w:rsidR="00021ACF">
        <w:t xml:space="preserve"> (regular </w:t>
      </w:r>
      <w:r w:rsidR="003B7EC8">
        <w:t>resources)</w:t>
      </w:r>
      <w:r w:rsidR="00021ACF" w:rsidRPr="00E45F33">
        <w:t xml:space="preserve"> from top 10 donors</w:t>
      </w:r>
      <w:r w:rsidR="00021ACF">
        <w:t xml:space="preserve">, and </w:t>
      </w:r>
      <w:r w:rsidR="001B5D54" w:rsidRPr="001B5D54">
        <w:t>an update on general management services cost-recovery waivers is described in A</w:t>
      </w:r>
      <w:r w:rsidR="00DD5F9A">
        <w:t>ppendix</w:t>
      </w:r>
      <w:r w:rsidR="001B5D54" w:rsidRPr="001B5D54">
        <w:t xml:space="preserve"> V.</w:t>
      </w:r>
      <w:r w:rsidR="006424C4">
        <w:t xml:space="preserve"> </w:t>
      </w:r>
      <w:r w:rsidR="003B7EC8">
        <w:t xml:space="preserve"> </w:t>
      </w:r>
      <w:r w:rsidR="009270E6">
        <w:t>The detailed agenda of Appendices can be found in Section VIII.</w:t>
      </w:r>
    </w:p>
    <w:p w14:paraId="76EE0022" w14:textId="0971D29F" w:rsidR="0050288D" w:rsidRPr="003A26A4" w:rsidRDefault="0050288D" w:rsidP="005F648C">
      <w:pPr>
        <w:pStyle w:val="HCh"/>
        <w:numPr>
          <w:ilvl w:val="0"/>
          <w:numId w:val="13"/>
        </w:numPr>
        <w:spacing w:before="360" w:after="240" w:line="240" w:lineRule="auto"/>
        <w:ind w:right="1267"/>
      </w:pPr>
      <w:bookmarkStart w:id="14" w:name="_Toc75466821"/>
      <w:bookmarkStart w:id="15" w:name="_Toc75466822"/>
      <w:bookmarkStart w:id="16" w:name="_Toc75466823"/>
      <w:bookmarkStart w:id="17" w:name="_Toc75466824"/>
      <w:bookmarkStart w:id="18" w:name="_Toc75466825"/>
      <w:bookmarkStart w:id="19" w:name="_Toc75466826"/>
      <w:bookmarkStart w:id="20" w:name="_Toc75466827"/>
      <w:bookmarkStart w:id="21" w:name="_Toc75466828"/>
      <w:bookmarkStart w:id="22" w:name="_Toc139289129"/>
      <w:bookmarkEnd w:id="14"/>
      <w:bookmarkEnd w:id="15"/>
      <w:bookmarkEnd w:id="16"/>
      <w:bookmarkEnd w:id="17"/>
      <w:bookmarkEnd w:id="18"/>
      <w:bookmarkEnd w:id="19"/>
      <w:bookmarkEnd w:id="20"/>
      <w:bookmarkEnd w:id="21"/>
      <w:r w:rsidRPr="003A26A4">
        <w:t>Overview</w:t>
      </w:r>
      <w:bookmarkEnd w:id="22"/>
    </w:p>
    <w:p w14:paraId="65DB55B9" w14:textId="4C87CBF3" w:rsidR="00F34CC0" w:rsidRPr="00F34CC0" w:rsidRDefault="00615A16" w:rsidP="00AF3FD4">
      <w:pPr>
        <w:pStyle w:val="ListParagraph"/>
        <w:numPr>
          <w:ilvl w:val="0"/>
          <w:numId w:val="5"/>
        </w:numPr>
        <w:spacing w:before="240" w:after="240" w:line="240" w:lineRule="auto"/>
        <w:ind w:right="1267"/>
        <w:contextualSpacing w:val="0"/>
        <w:jc w:val="both"/>
      </w:pPr>
      <w:r w:rsidRPr="00615A16">
        <w:t>Financial stability remained a top corporate priority in 20</w:t>
      </w:r>
      <w:r w:rsidR="00394912">
        <w:t>2</w:t>
      </w:r>
      <w:r w:rsidR="00E711B2">
        <w:t>2</w:t>
      </w:r>
      <w:r w:rsidRPr="00615A16">
        <w:t xml:space="preserve"> for UNDP.</w:t>
      </w:r>
      <w:r w:rsidR="00F34CC0">
        <w:t xml:space="preserve"> </w:t>
      </w:r>
      <w:r w:rsidR="00F34CC0" w:rsidRPr="00F34CC0">
        <w:t xml:space="preserve">UNDP continued to focus on the effective implementation of its programmatic activities, </w:t>
      </w:r>
      <w:r w:rsidR="00151D55">
        <w:t xml:space="preserve">with the </w:t>
      </w:r>
      <w:r w:rsidR="00F34CC0" w:rsidRPr="00F34CC0">
        <w:t>support from partners/donors.</w:t>
      </w:r>
    </w:p>
    <w:p w14:paraId="5764968A" w14:textId="423CF68E" w:rsidR="73AB3A99" w:rsidRPr="00AF3FD4" w:rsidRDefault="00BC3550" w:rsidP="00AF3FD4">
      <w:pPr>
        <w:pStyle w:val="ListParagraph"/>
        <w:numPr>
          <w:ilvl w:val="0"/>
          <w:numId w:val="5"/>
        </w:numPr>
        <w:spacing w:before="240" w:after="240" w:line="240" w:lineRule="auto"/>
        <w:ind w:right="1267"/>
        <w:contextualSpacing w:val="0"/>
        <w:jc w:val="both"/>
      </w:pPr>
      <w:r w:rsidRPr="004D509D">
        <w:t>Total revenue, including voluntary contributions, was $5.</w:t>
      </w:r>
      <w:r w:rsidR="00E26C0D">
        <w:t>3</w:t>
      </w:r>
      <w:r w:rsidRPr="004D509D">
        <w:t xml:space="preserve"> billion, a decrease of $</w:t>
      </w:r>
      <w:r w:rsidR="00E26C0D">
        <w:t>315</w:t>
      </w:r>
      <w:r w:rsidRPr="004D509D">
        <w:t xml:space="preserve"> </w:t>
      </w:r>
      <w:r w:rsidR="00E26C0D">
        <w:t>m</w:t>
      </w:r>
      <w:r w:rsidRPr="004D509D">
        <w:t>illion (</w:t>
      </w:r>
      <w:r w:rsidR="00E26C0D">
        <w:t>6</w:t>
      </w:r>
      <w:r w:rsidRPr="004D509D">
        <w:t xml:space="preserve"> per cent) from 202</w:t>
      </w:r>
      <w:r w:rsidR="00E26C0D">
        <w:t>1</w:t>
      </w:r>
      <w:r w:rsidRPr="004D509D">
        <w:t>. Voluntary contributions were $5.</w:t>
      </w:r>
      <w:r w:rsidR="00E26C0D">
        <w:t>0</w:t>
      </w:r>
      <w:r w:rsidRPr="004D509D">
        <w:t xml:space="preserve"> billion, a decrease of $</w:t>
      </w:r>
      <w:r w:rsidR="00E26C0D">
        <w:t>306 m</w:t>
      </w:r>
      <w:r w:rsidRPr="004D509D">
        <w:t>illion (</w:t>
      </w:r>
      <w:r w:rsidR="00AA5454">
        <w:t>6</w:t>
      </w:r>
      <w:r w:rsidRPr="004D509D">
        <w:t xml:space="preserve"> per cent) from 202</w:t>
      </w:r>
      <w:r w:rsidR="00E26C0D">
        <w:t>1</w:t>
      </w:r>
      <w:r w:rsidRPr="004D509D">
        <w:t xml:space="preserve">. </w:t>
      </w:r>
      <w:r w:rsidRPr="006944A4">
        <w:t xml:space="preserve">The decrease in voluntary contributions was </w:t>
      </w:r>
      <w:r w:rsidR="009F4FE3" w:rsidRPr="000060C0">
        <w:t xml:space="preserve">the result of </w:t>
      </w:r>
      <w:r w:rsidR="009F4FE3" w:rsidRPr="00173BBF">
        <w:t>lower revenue from regular resources and cost sharing contributions</w:t>
      </w:r>
      <w:r w:rsidR="009F4FE3">
        <w:t>.</w:t>
      </w:r>
      <w:r w:rsidR="009F4FE3" w:rsidRPr="000060C0" w:rsidDel="00173BBF">
        <w:t xml:space="preserve"> </w:t>
      </w:r>
    </w:p>
    <w:p w14:paraId="488C4368" w14:textId="47EDBC2D" w:rsidR="00DE5735" w:rsidRPr="002B34AB" w:rsidRDefault="00DE5735" w:rsidP="002B34AB">
      <w:pPr>
        <w:pStyle w:val="ListParagraph"/>
        <w:numPr>
          <w:ilvl w:val="0"/>
          <w:numId w:val="5"/>
        </w:numPr>
        <w:spacing w:before="240" w:after="240" w:line="240" w:lineRule="auto"/>
        <w:ind w:right="1267"/>
        <w:contextualSpacing w:val="0"/>
        <w:jc w:val="both"/>
      </w:pPr>
      <w:r w:rsidRPr="004D509D">
        <w:t xml:space="preserve">Total expenses, including programme </w:t>
      </w:r>
      <w:r w:rsidR="004F7C52">
        <w:t>expenses</w:t>
      </w:r>
      <w:r w:rsidRPr="004D509D">
        <w:t>, were $5.</w:t>
      </w:r>
      <w:r w:rsidR="009F4FE3">
        <w:t>3</w:t>
      </w:r>
      <w:r w:rsidRPr="004D509D">
        <w:t xml:space="preserve"> billion, </w:t>
      </w:r>
      <w:r w:rsidR="007C01A2" w:rsidRPr="004D509D">
        <w:t xml:space="preserve">a </w:t>
      </w:r>
      <w:r w:rsidR="007C01A2">
        <w:t>de</w:t>
      </w:r>
      <w:r w:rsidR="007C01A2" w:rsidRPr="004D509D">
        <w:t>crease of $</w:t>
      </w:r>
      <w:r w:rsidR="007C01A2">
        <w:t>38</w:t>
      </w:r>
      <w:r w:rsidR="002B34AB">
        <w:t xml:space="preserve"> </w:t>
      </w:r>
      <w:r w:rsidR="007C01A2">
        <w:t>m</w:t>
      </w:r>
      <w:r w:rsidR="007C01A2" w:rsidRPr="004D509D">
        <w:t>illion (</w:t>
      </w:r>
      <w:r w:rsidR="007C01A2">
        <w:t>1</w:t>
      </w:r>
      <w:r w:rsidR="007C01A2" w:rsidRPr="004D509D">
        <w:t xml:space="preserve"> per cent) from 202</w:t>
      </w:r>
      <w:r w:rsidR="007C01A2">
        <w:t>1</w:t>
      </w:r>
      <w:r w:rsidRPr="004D509D">
        <w:t xml:space="preserve">. </w:t>
      </w:r>
      <w:r>
        <w:t>P</w:t>
      </w:r>
      <w:r w:rsidRPr="004D509D">
        <w:t>rogramme expenses were $4.</w:t>
      </w:r>
      <w:r w:rsidR="007C01A2">
        <w:t>6</w:t>
      </w:r>
      <w:r w:rsidRPr="004D509D">
        <w:t xml:space="preserve"> billion, </w:t>
      </w:r>
      <w:r w:rsidR="004E3A1E" w:rsidRPr="004D509D">
        <w:t xml:space="preserve">a </w:t>
      </w:r>
      <w:r w:rsidR="004E3A1E">
        <w:t>de</w:t>
      </w:r>
      <w:r w:rsidR="004E3A1E" w:rsidRPr="004D509D">
        <w:t>crease of $</w:t>
      </w:r>
      <w:r w:rsidR="00B65293">
        <w:t>19</w:t>
      </w:r>
      <w:r w:rsidR="004E3A1E">
        <w:t xml:space="preserve"> m</w:t>
      </w:r>
      <w:r w:rsidR="004E3A1E" w:rsidRPr="004D509D">
        <w:t>illion (</w:t>
      </w:r>
      <w:r w:rsidR="004E3A1E" w:rsidRPr="0012220C">
        <w:t>1</w:t>
      </w:r>
      <w:r w:rsidR="004E3A1E">
        <w:t xml:space="preserve"> </w:t>
      </w:r>
      <w:r w:rsidR="004E3A1E" w:rsidRPr="004D509D">
        <w:t>per cent) from 202</w:t>
      </w:r>
      <w:r w:rsidR="004E3A1E">
        <w:t>1</w:t>
      </w:r>
      <w:r w:rsidR="004E3A1E" w:rsidRPr="004D509D">
        <w:t>.</w:t>
      </w:r>
    </w:p>
    <w:p w14:paraId="6D5DCD20" w14:textId="143A3FE9" w:rsidR="00A744E5" w:rsidRDefault="00A744E5" w:rsidP="00B57DDF">
      <w:pPr>
        <w:pStyle w:val="ListParagraph"/>
        <w:numPr>
          <w:ilvl w:val="0"/>
          <w:numId w:val="5"/>
        </w:numPr>
        <w:spacing w:before="240" w:after="240" w:line="240" w:lineRule="auto"/>
        <w:ind w:right="1267"/>
        <w:contextualSpacing w:val="0"/>
        <w:jc w:val="both"/>
      </w:pPr>
      <w:r w:rsidRPr="0085324B">
        <w:t xml:space="preserve">Total revenue </w:t>
      </w:r>
      <w:proofErr w:type="gramStart"/>
      <w:r w:rsidRPr="0085324B">
        <w:t>less</w:t>
      </w:r>
      <w:proofErr w:type="gramEnd"/>
      <w:r w:rsidRPr="0085324B">
        <w:t xml:space="preserve"> total expenses resulted in a </w:t>
      </w:r>
      <w:r>
        <w:t>deficit</w:t>
      </w:r>
      <w:r w:rsidRPr="0085324B">
        <w:t xml:space="preserve"> of $</w:t>
      </w:r>
      <w:r>
        <w:t>25</w:t>
      </w:r>
      <w:r w:rsidRPr="0085324B">
        <w:t xml:space="preserve"> million, compared to a surplus of $252 million in 2021. </w:t>
      </w:r>
      <w:r w:rsidRPr="00EE672C">
        <w:t xml:space="preserve">The </w:t>
      </w:r>
      <w:r>
        <w:t>de</w:t>
      </w:r>
      <w:r w:rsidRPr="00EE672C">
        <w:t>crea</w:t>
      </w:r>
      <w:r w:rsidR="00D07458">
        <w:t xml:space="preserve">se is due to </w:t>
      </w:r>
      <w:r w:rsidR="00C405B9">
        <w:t xml:space="preserve">the nature of </w:t>
      </w:r>
      <w:r w:rsidRPr="001E0224">
        <w:rPr>
          <w:spacing w:val="5"/>
        </w:rPr>
        <w:t>UNDP</w:t>
      </w:r>
      <w:r w:rsidR="00C405B9">
        <w:rPr>
          <w:spacing w:val="5"/>
        </w:rPr>
        <w:t>’s</w:t>
      </w:r>
      <w:r w:rsidRPr="001E0224">
        <w:rPr>
          <w:spacing w:val="5"/>
        </w:rPr>
        <w:t xml:space="preserve"> funding </w:t>
      </w:r>
      <w:r w:rsidR="00C405B9">
        <w:rPr>
          <w:spacing w:val="5"/>
        </w:rPr>
        <w:t xml:space="preserve">which </w:t>
      </w:r>
      <w:r w:rsidRPr="001E0224">
        <w:rPr>
          <w:spacing w:val="3"/>
        </w:rPr>
        <w:t xml:space="preserve">is </w:t>
      </w:r>
      <w:r w:rsidRPr="001E0224">
        <w:rPr>
          <w:spacing w:val="5"/>
        </w:rPr>
        <w:t xml:space="preserve">received </w:t>
      </w:r>
      <w:r w:rsidRPr="001E0224">
        <w:rPr>
          <w:spacing w:val="2"/>
        </w:rPr>
        <w:t xml:space="preserve">on </w:t>
      </w:r>
      <w:r w:rsidRPr="001E0224">
        <w:t xml:space="preserve">a </w:t>
      </w:r>
      <w:r w:rsidRPr="001E0224">
        <w:rPr>
          <w:spacing w:val="5"/>
        </w:rPr>
        <w:t>cyclical basis,</w:t>
      </w:r>
      <w:r w:rsidR="005251FB">
        <w:t xml:space="preserve"> meaning</w:t>
      </w:r>
      <w:r w:rsidRPr="00EE672C">
        <w:rPr>
          <w:spacing w:val="8"/>
        </w:rPr>
        <w:t xml:space="preserve"> </w:t>
      </w:r>
      <w:r w:rsidRPr="00EE672C">
        <w:t xml:space="preserve">the </w:t>
      </w:r>
      <w:r w:rsidRPr="00EE672C">
        <w:rPr>
          <w:spacing w:val="5"/>
        </w:rPr>
        <w:t xml:space="preserve">revenue from multi-year </w:t>
      </w:r>
      <w:r w:rsidRPr="00EE672C">
        <w:rPr>
          <w:spacing w:val="6"/>
        </w:rPr>
        <w:t xml:space="preserve">agreements </w:t>
      </w:r>
      <w:r w:rsidRPr="00EE672C">
        <w:t xml:space="preserve">with </w:t>
      </w:r>
      <w:r w:rsidRPr="00EE672C">
        <w:rPr>
          <w:spacing w:val="5"/>
        </w:rPr>
        <w:t xml:space="preserve">donors </w:t>
      </w:r>
      <w:r w:rsidRPr="00EE672C">
        <w:rPr>
          <w:spacing w:val="3"/>
        </w:rPr>
        <w:t xml:space="preserve">is </w:t>
      </w:r>
      <w:r w:rsidRPr="00EE672C">
        <w:rPr>
          <w:spacing w:val="5"/>
        </w:rPr>
        <w:t xml:space="preserve">recorded </w:t>
      </w:r>
      <w:r w:rsidRPr="00EE672C">
        <w:rPr>
          <w:spacing w:val="3"/>
        </w:rPr>
        <w:t xml:space="preserve">in </w:t>
      </w:r>
      <w:r w:rsidRPr="00EE672C">
        <w:t xml:space="preserve">full when </w:t>
      </w:r>
      <w:r w:rsidRPr="00EE672C">
        <w:rPr>
          <w:spacing w:val="5"/>
        </w:rPr>
        <w:t xml:space="preserve">those agreements </w:t>
      </w:r>
      <w:r w:rsidRPr="00EE672C">
        <w:t xml:space="preserve">are </w:t>
      </w:r>
      <w:r w:rsidRPr="00EE672C">
        <w:rPr>
          <w:spacing w:val="5"/>
        </w:rPr>
        <w:t xml:space="preserve">signed, provided </w:t>
      </w:r>
      <w:r w:rsidRPr="00EE672C">
        <w:t>that certain criteria are me</w:t>
      </w:r>
      <w:r w:rsidRPr="00E302F6">
        <w:t xml:space="preserve">t. </w:t>
      </w:r>
      <w:r w:rsidRPr="00E302F6">
        <w:rPr>
          <w:spacing w:val="3"/>
        </w:rPr>
        <w:t>However, spending is only available to UNDP once cash is received from donors.</w:t>
      </w:r>
    </w:p>
    <w:p w14:paraId="0EDF8316" w14:textId="43B95063" w:rsidR="00EE24FA" w:rsidRDefault="00EE24FA" w:rsidP="002B7CB9">
      <w:pPr>
        <w:pStyle w:val="ListParagraph"/>
        <w:numPr>
          <w:ilvl w:val="0"/>
          <w:numId w:val="5"/>
        </w:numPr>
        <w:spacing w:before="240" w:after="240" w:line="240" w:lineRule="auto"/>
        <w:ind w:right="1267"/>
        <w:contextualSpacing w:val="0"/>
        <w:jc w:val="both"/>
      </w:pPr>
      <w:r w:rsidRPr="00D03857">
        <w:t>The 202</w:t>
      </w:r>
      <w:r>
        <w:t>2</w:t>
      </w:r>
      <w:r w:rsidRPr="00D03857">
        <w:t xml:space="preserve"> institutional budget was fully balanced for </w:t>
      </w:r>
      <w:r w:rsidR="009123FB">
        <w:t>the</w:t>
      </w:r>
      <w:r w:rsidRPr="00D03857">
        <w:t xml:space="preserve"> </w:t>
      </w:r>
      <w:r>
        <w:t>six</w:t>
      </w:r>
      <w:r w:rsidRPr="00D03857">
        <w:t xml:space="preserve">th consecutive year. </w:t>
      </w:r>
    </w:p>
    <w:p w14:paraId="65B44154" w14:textId="3179894E" w:rsidR="00922FEB" w:rsidRDefault="00805082" w:rsidP="00805082">
      <w:pPr>
        <w:pStyle w:val="ListParagraph"/>
        <w:numPr>
          <w:ilvl w:val="0"/>
          <w:numId w:val="5"/>
        </w:numPr>
        <w:spacing w:before="240" w:after="240" w:line="240" w:lineRule="auto"/>
        <w:ind w:right="1267"/>
        <w:contextualSpacing w:val="0"/>
        <w:jc w:val="both"/>
      </w:pPr>
      <w:r>
        <w:t>In 2022</w:t>
      </w:r>
      <w:r w:rsidR="00922FEB" w:rsidRPr="00FF4F1C">
        <w:t>, 69 per cent of regular</w:t>
      </w:r>
      <w:r w:rsidR="00922FEB">
        <w:t xml:space="preserve"> </w:t>
      </w:r>
      <w:r w:rsidR="00922FEB" w:rsidRPr="00FF4F1C">
        <w:t>resources were allocated to development programmes (66 per cent in 2021), and 31 per cent to institutional activities (34 per cent in 2021). The increase reflects UNDP's decision to increase 2022 development programme allocations together with cost containment measures undertaken for institutional activities. The planned ratio of programmatic activities to institutional budget in the 2022 – 2025 Integrated Resources Plan and Integrated Budget is 68 per cent to 32 per cent.</w:t>
      </w:r>
    </w:p>
    <w:p w14:paraId="765C58C2" w14:textId="12652F15" w:rsidR="00D82FB9" w:rsidRPr="00C66044" w:rsidRDefault="00723B58" w:rsidP="00E94046">
      <w:pPr>
        <w:pStyle w:val="ListParagraph"/>
        <w:numPr>
          <w:ilvl w:val="0"/>
          <w:numId w:val="5"/>
        </w:numPr>
        <w:spacing w:before="240" w:after="240" w:line="240" w:lineRule="auto"/>
        <w:ind w:right="1267"/>
        <w:contextualSpacing w:val="0"/>
        <w:jc w:val="both"/>
      </w:pPr>
      <w:r w:rsidRPr="00723B58">
        <w:t>In 202</w:t>
      </w:r>
      <w:r w:rsidR="00922FEB">
        <w:t>2</w:t>
      </w:r>
      <w:r w:rsidRPr="00723B58">
        <w:t xml:space="preserve">, </w:t>
      </w:r>
      <w:r w:rsidR="00426932">
        <w:rPr>
          <w:rStyle w:val="normaltextrun"/>
        </w:rPr>
        <w:t>91 cents of every dollar spent went to programmes and services to achieve development results, unchanged from prior years.</w:t>
      </w:r>
      <w:r w:rsidR="00C66044">
        <w:rPr>
          <w:rStyle w:val="eop"/>
        </w:rPr>
        <w:t xml:space="preserve"> </w:t>
      </w:r>
      <w:r w:rsidR="00C66044" w:rsidRPr="00C66044">
        <w:rPr>
          <w:rFonts w:eastAsia="Calibri"/>
        </w:rPr>
        <w:t>Every regular resource dollar spent on programmes leveraged $10 in other resources.</w:t>
      </w:r>
    </w:p>
    <w:p w14:paraId="1F0BAE73" w14:textId="004DCE35" w:rsidR="0054781B" w:rsidRPr="009E3260" w:rsidRDefault="002E3B4B" w:rsidP="0054781B">
      <w:pPr>
        <w:pStyle w:val="ListParagraph"/>
        <w:numPr>
          <w:ilvl w:val="0"/>
          <w:numId w:val="5"/>
        </w:numPr>
        <w:spacing w:after="120"/>
        <w:ind w:right="1422"/>
        <w:jc w:val="both"/>
        <w:textAlignment w:val="baseline"/>
      </w:pPr>
      <w:r w:rsidRPr="002E3B4B">
        <w:lastRenderedPageBreak/>
        <w:t xml:space="preserve">Total accumulated surpluses </w:t>
      </w:r>
      <w:r w:rsidR="00D82FB9" w:rsidRPr="009E3260">
        <w:t xml:space="preserve">excluding reserves, increased by </w:t>
      </w:r>
      <w:r w:rsidR="00D82FB9">
        <w:t>1</w:t>
      </w:r>
      <w:r w:rsidR="00D82FB9" w:rsidRPr="009E3260">
        <w:t xml:space="preserve"> per cent, to $1</w:t>
      </w:r>
      <w:r w:rsidR="00D82FB9">
        <w:t>1.4</w:t>
      </w:r>
      <w:r w:rsidR="00D82FB9" w:rsidRPr="009E3260">
        <w:t xml:space="preserve"> billion (2021: $11.3 billion). The accumulated surplus includes $5.</w:t>
      </w:r>
      <w:r w:rsidR="00D82FB9">
        <w:t>1</w:t>
      </w:r>
      <w:r w:rsidR="00D82FB9" w:rsidRPr="009E3260">
        <w:t xml:space="preserve"> billion of non-cash receivables (2021: $4.</w:t>
      </w:r>
      <w:r w:rsidR="00D82FB9">
        <w:t>8</w:t>
      </w:r>
      <w:r w:rsidR="00D82FB9" w:rsidRPr="009E3260">
        <w:t xml:space="preserve"> billion) and $978 million of cash and investments for </w:t>
      </w:r>
      <w:r w:rsidR="00C860BF" w:rsidRPr="00C860BF">
        <w:t>after-service health insurance and end-of-service</w:t>
      </w:r>
      <w:r w:rsidR="00C860BF">
        <w:t xml:space="preserve"> </w:t>
      </w:r>
      <w:r w:rsidR="00D82FB9" w:rsidRPr="009E3260">
        <w:t>portfolios. A significant portion of accumulated surpluses is therefore not available for programme delivery. Under its Financial Regulations and Rules, UNDP is permitted to spend only when the cash is received.</w:t>
      </w:r>
      <w:r w:rsidR="008366CB" w:rsidRPr="008366CB">
        <w:t xml:space="preserve"> It should be noted that the present value of future </w:t>
      </w:r>
      <w:r w:rsidR="00C860BF" w:rsidRPr="00C860BF">
        <w:t>after-service health insurance</w:t>
      </w:r>
      <w:r w:rsidR="008366CB" w:rsidRPr="008366CB">
        <w:t xml:space="preserve"> liabilities was reduced in 2022 due to the discount rate applied to the actuarial valuation of the liability. This</w:t>
      </w:r>
      <w:r w:rsidR="00594F7A">
        <w:t xml:space="preserve"> </w:t>
      </w:r>
      <w:r w:rsidR="008366CB" w:rsidRPr="008366CB">
        <w:t>had a positive financial impact on the accumulated surplus which is not expected to recur.</w:t>
      </w:r>
      <w:r w:rsidR="00871E73">
        <w:t xml:space="preserve"> </w:t>
      </w:r>
    </w:p>
    <w:p w14:paraId="34D86E82" w14:textId="7A93C576" w:rsidR="00584234" w:rsidRPr="00D603A6" w:rsidRDefault="00E94046" w:rsidP="007314DD">
      <w:pPr>
        <w:pStyle w:val="ListParagraph"/>
        <w:numPr>
          <w:ilvl w:val="0"/>
          <w:numId w:val="5"/>
        </w:numPr>
        <w:spacing w:before="240" w:after="240" w:line="240" w:lineRule="auto"/>
        <w:ind w:right="1267"/>
        <w:contextualSpacing w:val="0"/>
        <w:jc w:val="both"/>
      </w:pPr>
      <w:r w:rsidRPr="00D603A6">
        <w:t xml:space="preserve">Total UNDP cash and investments (excluding MPTFO), including the </w:t>
      </w:r>
      <w:r w:rsidR="00C860BF" w:rsidRPr="00C860BF">
        <w:t xml:space="preserve">after-service health </w:t>
      </w:r>
      <w:r w:rsidR="00D52EEC" w:rsidRPr="00C860BF">
        <w:t xml:space="preserve">insurance </w:t>
      </w:r>
      <w:r w:rsidR="00D52EEC" w:rsidRPr="00D603A6">
        <w:t>and</w:t>
      </w:r>
      <w:r w:rsidRPr="00D603A6">
        <w:t xml:space="preserve"> </w:t>
      </w:r>
      <w:r w:rsidR="00C860BF" w:rsidRPr="00C860BF">
        <w:t>end-of-service</w:t>
      </w:r>
      <w:r w:rsidR="00C860BF">
        <w:t xml:space="preserve"> </w:t>
      </w:r>
      <w:r w:rsidRPr="00D603A6">
        <w:t xml:space="preserve">portfolio, </w:t>
      </w:r>
      <w:r w:rsidR="00D603A6" w:rsidRPr="00D603A6">
        <w:t>de</w:t>
      </w:r>
      <w:r w:rsidRPr="00D603A6">
        <w:t xml:space="preserve">creased by </w:t>
      </w:r>
      <w:r w:rsidRPr="00D46389">
        <w:t>$</w:t>
      </w:r>
      <w:r w:rsidR="00740A85">
        <w:t>400</w:t>
      </w:r>
      <w:r w:rsidRPr="00D46389">
        <w:t xml:space="preserve"> million to $8.</w:t>
      </w:r>
      <w:r w:rsidR="00D603A6" w:rsidRPr="00D46389">
        <w:t>1</w:t>
      </w:r>
      <w:r w:rsidRPr="00D46389">
        <w:t xml:space="preserve"> billion</w:t>
      </w:r>
      <w:r w:rsidRPr="00D603A6">
        <w:t xml:space="preserve"> (202</w:t>
      </w:r>
      <w:r w:rsidR="00D603A6" w:rsidRPr="00D603A6">
        <w:t>1</w:t>
      </w:r>
      <w:r w:rsidRPr="00D603A6">
        <w:t>: $8.</w:t>
      </w:r>
      <w:r w:rsidR="00D603A6" w:rsidRPr="00D603A6">
        <w:t>5</w:t>
      </w:r>
      <w:r w:rsidRPr="00D603A6">
        <w:t xml:space="preserve"> billion). </w:t>
      </w:r>
    </w:p>
    <w:p w14:paraId="01D00CB1" w14:textId="3E1FD856" w:rsidR="00817CE1" w:rsidRPr="00817CE1" w:rsidRDefault="00817CE1" w:rsidP="00817CE1">
      <w:pPr>
        <w:pStyle w:val="ListParagraph"/>
        <w:numPr>
          <w:ilvl w:val="0"/>
          <w:numId w:val="5"/>
        </w:numPr>
        <w:spacing w:before="240" w:after="240" w:line="240" w:lineRule="auto"/>
        <w:ind w:right="1267"/>
        <w:contextualSpacing w:val="0"/>
        <w:jc w:val="both"/>
      </w:pPr>
      <w:r w:rsidRPr="00817CE1">
        <w:t xml:space="preserve">The liability for </w:t>
      </w:r>
      <w:r w:rsidR="00082639" w:rsidRPr="00C860BF">
        <w:t>after-service health insurance</w:t>
      </w:r>
      <w:r w:rsidRPr="00817CE1">
        <w:t xml:space="preserve"> was valued at $891 million as of 31 December 2022 ($1</w:t>
      </w:r>
      <w:r w:rsidR="00240B5E">
        <w:t>.2</w:t>
      </w:r>
      <w:r w:rsidRPr="00817CE1">
        <w:t xml:space="preserve"> billion in 2021), a decrease of 25 per cent.  The decrease of $299 million in the </w:t>
      </w:r>
      <w:r w:rsidR="00082639" w:rsidRPr="00C860BF">
        <w:t>after-service health insurance</w:t>
      </w:r>
      <w:r w:rsidRPr="00817CE1">
        <w:t xml:space="preserve"> liability is due to a significant increase </w:t>
      </w:r>
      <w:r w:rsidR="00FF6383">
        <w:t xml:space="preserve">of single equivalent discount </w:t>
      </w:r>
      <w:r w:rsidR="005A25F9">
        <w:t xml:space="preserve">rate </w:t>
      </w:r>
      <w:r w:rsidR="005A25F9" w:rsidRPr="00817CE1">
        <w:t>from</w:t>
      </w:r>
      <w:r w:rsidRPr="00817CE1">
        <w:t xml:space="preserve"> 3.16 per cent (2021) to 5.21 per cent (2022</w:t>
      </w:r>
      <w:r w:rsidR="005A25F9">
        <w:t>)</w:t>
      </w:r>
      <w:r w:rsidRPr="00817CE1">
        <w:t xml:space="preserve"> partially offset by an increase in health-care costs.</w:t>
      </w:r>
      <w:r w:rsidR="005A25F9" w:rsidRPr="005A25F9">
        <w:t xml:space="preserve"> </w:t>
      </w:r>
      <w:r w:rsidR="005A25F9">
        <w:t>The end-of-service/repatriation benefit liability was actuarially valued at $99 million (2021: $108 million).</w:t>
      </w:r>
    </w:p>
    <w:p w14:paraId="64BD05A2" w14:textId="2E9439F7" w:rsidR="00FC10C9" w:rsidRPr="00FC10C9" w:rsidRDefault="005C1D4C" w:rsidP="000B18D3">
      <w:pPr>
        <w:pStyle w:val="ListParagraph"/>
        <w:numPr>
          <w:ilvl w:val="0"/>
          <w:numId w:val="5"/>
        </w:numPr>
        <w:spacing w:before="240" w:after="240" w:line="240" w:lineRule="auto"/>
        <w:ind w:right="1267"/>
        <w:contextualSpacing w:val="0"/>
        <w:jc w:val="both"/>
      </w:pPr>
      <w:r>
        <w:t xml:space="preserve">UNDP holds $917 million in cash and investments to fund its after-service health insurance liabilities (103 per cent funded) (2021: $1.0 billion and 85 per cent funded) and $61 million in cash and investments to fund its end-of-service/repatriation liabilities (61 per cent funded) (2021: $70 million and 65 per cent funded). </w:t>
      </w:r>
      <w:r w:rsidR="00FC10C9" w:rsidRPr="00FC10C9">
        <w:t xml:space="preserve">With the cash injection and the decrease in the 2022 </w:t>
      </w:r>
      <w:r w:rsidR="00082639" w:rsidRPr="00C860BF">
        <w:t>after-service health insurance</w:t>
      </w:r>
      <w:r w:rsidR="00FC10C9" w:rsidRPr="00FC10C9">
        <w:t xml:space="preserve"> liability, based on a full actuarial valuation, this </w:t>
      </w:r>
      <w:r w:rsidR="008E231F">
        <w:t xml:space="preserve">after-service health insurance </w:t>
      </w:r>
      <w:r w:rsidR="00FC10C9" w:rsidRPr="00FC10C9">
        <w:t>liability is now fully funded</w:t>
      </w:r>
      <w:r w:rsidR="000B18D3">
        <w:t>, noting t</w:t>
      </w:r>
      <w:r w:rsidR="000B18D3" w:rsidRPr="00264A73">
        <w:t>he excess in funding is temporary in nature and primarily due to the volatility of the actuarial valuation of the after-service health insurance liabilities.</w:t>
      </w:r>
    </w:p>
    <w:p w14:paraId="73105D3A" w14:textId="77777777" w:rsidR="00AC1B96" w:rsidRPr="00837D3D" w:rsidRDefault="007A4504" w:rsidP="007A4504">
      <w:pPr>
        <w:pStyle w:val="ListParagraph"/>
        <w:numPr>
          <w:ilvl w:val="0"/>
          <w:numId w:val="5"/>
        </w:numPr>
        <w:spacing w:before="240" w:after="240" w:line="240" w:lineRule="auto"/>
        <w:ind w:right="1267"/>
        <w:contextualSpacing w:val="0"/>
        <w:jc w:val="both"/>
      </w:pPr>
      <w:r w:rsidRPr="007A4504">
        <w:t>UNDP incurred net Foreign Exchange (FX) gains of $13 million (2021: $1</w:t>
      </w:r>
      <w:r w:rsidR="00C3689C">
        <w:t>8</w:t>
      </w:r>
      <w:r w:rsidRPr="007A4504">
        <w:t xml:space="preserve"> million net FX losses) to core resources.  Overall, in 2022 UNDP had a net foreign exchange loss of $4.4 million (2021: $22.4 million) which is low in consideration to the value of the investment portfolio of UNDP and speaks to the success of UNDP’s FX risk management. </w:t>
      </w:r>
      <w:bookmarkStart w:id="23" w:name="_Hlk45028216"/>
    </w:p>
    <w:bookmarkEnd w:id="23"/>
    <w:p w14:paraId="25978B89" w14:textId="5F04D5BF" w:rsidR="00FC5C99" w:rsidRPr="00DE74D1" w:rsidRDefault="00F21C31" w:rsidP="00DE74D1">
      <w:pPr>
        <w:pStyle w:val="ListParagraph"/>
        <w:numPr>
          <w:ilvl w:val="0"/>
          <w:numId w:val="5"/>
        </w:numPr>
        <w:spacing w:before="240" w:after="240" w:line="240" w:lineRule="auto"/>
        <w:ind w:right="1267"/>
        <w:contextualSpacing w:val="0"/>
        <w:jc w:val="both"/>
      </w:pPr>
      <w:r w:rsidRPr="000E57AE">
        <w:t xml:space="preserve">Figure </w:t>
      </w:r>
      <w:r w:rsidR="004D4DCC">
        <w:t>I</w:t>
      </w:r>
      <w:r w:rsidR="00442030">
        <w:t xml:space="preserve"> (</w:t>
      </w:r>
      <w:r w:rsidR="004D4DCC">
        <w:t>a</w:t>
      </w:r>
      <w:r w:rsidR="00442030">
        <w:t>)</w:t>
      </w:r>
      <w:r w:rsidR="005569A9">
        <w:t xml:space="preserve"> </w:t>
      </w:r>
      <w:r>
        <w:t>-</w:t>
      </w:r>
      <w:r w:rsidR="004D4DCC">
        <w:t>I</w:t>
      </w:r>
      <w:r w:rsidR="00442030">
        <w:t xml:space="preserve"> (</w:t>
      </w:r>
      <w:r w:rsidR="004D4DCC">
        <w:t>c</w:t>
      </w:r>
      <w:r w:rsidR="00442030">
        <w:t>)</w:t>
      </w:r>
      <w:r w:rsidRPr="000E57AE">
        <w:t xml:space="preserve"> illustrates the trend of total revenue and total expenses.</w:t>
      </w:r>
      <w:r w:rsidR="00065220" w:rsidRPr="000E57AE" w:rsidDel="00065220">
        <w:t xml:space="preserve"> </w:t>
      </w:r>
    </w:p>
    <w:p w14:paraId="6A0AAF0A" w14:textId="77777777" w:rsidR="00C01E8F" w:rsidRDefault="00C01E8F" w:rsidP="00FC5C99">
      <w:pPr>
        <w:pStyle w:val="ListParagraph"/>
        <w:spacing w:before="240" w:after="240" w:line="240" w:lineRule="auto"/>
        <w:ind w:left="1343" w:right="1267"/>
        <w:contextualSpacing w:val="0"/>
        <w:jc w:val="both"/>
        <w:rPr>
          <w:b/>
          <w:bCs/>
        </w:rPr>
      </w:pPr>
    </w:p>
    <w:p w14:paraId="405B4582" w14:textId="77777777" w:rsidR="00C01E8F" w:rsidRDefault="00C01E8F" w:rsidP="00FC5C99">
      <w:pPr>
        <w:pStyle w:val="ListParagraph"/>
        <w:spacing w:before="240" w:after="240" w:line="240" w:lineRule="auto"/>
        <w:ind w:left="1343" w:right="1267"/>
        <w:contextualSpacing w:val="0"/>
        <w:jc w:val="both"/>
        <w:rPr>
          <w:b/>
          <w:bCs/>
        </w:rPr>
      </w:pPr>
    </w:p>
    <w:p w14:paraId="277D9327" w14:textId="77777777" w:rsidR="00C01E8F" w:rsidRDefault="00C01E8F" w:rsidP="00FC5C99">
      <w:pPr>
        <w:pStyle w:val="ListParagraph"/>
        <w:spacing w:before="240" w:after="240" w:line="240" w:lineRule="auto"/>
        <w:ind w:left="1343" w:right="1267"/>
        <w:contextualSpacing w:val="0"/>
        <w:jc w:val="both"/>
        <w:rPr>
          <w:b/>
          <w:bCs/>
        </w:rPr>
      </w:pPr>
    </w:p>
    <w:p w14:paraId="029919BA" w14:textId="77777777" w:rsidR="00C01E8F" w:rsidRDefault="00C01E8F" w:rsidP="00FC5C99">
      <w:pPr>
        <w:pStyle w:val="ListParagraph"/>
        <w:spacing w:before="240" w:after="240" w:line="240" w:lineRule="auto"/>
        <w:ind w:left="1343" w:right="1267"/>
        <w:contextualSpacing w:val="0"/>
        <w:jc w:val="both"/>
        <w:rPr>
          <w:b/>
          <w:bCs/>
        </w:rPr>
      </w:pPr>
    </w:p>
    <w:p w14:paraId="5D5C7078" w14:textId="77777777" w:rsidR="00C01E8F" w:rsidRDefault="00C01E8F" w:rsidP="00FC5C99">
      <w:pPr>
        <w:pStyle w:val="ListParagraph"/>
        <w:spacing w:before="240" w:after="240" w:line="240" w:lineRule="auto"/>
        <w:ind w:left="1343" w:right="1267"/>
        <w:contextualSpacing w:val="0"/>
        <w:jc w:val="both"/>
        <w:rPr>
          <w:b/>
          <w:bCs/>
        </w:rPr>
      </w:pPr>
    </w:p>
    <w:p w14:paraId="184BD0FB" w14:textId="77777777" w:rsidR="006F6CB8" w:rsidRDefault="006F6CB8" w:rsidP="00FC5C99">
      <w:pPr>
        <w:pStyle w:val="ListParagraph"/>
        <w:spacing w:before="240" w:after="240" w:line="240" w:lineRule="auto"/>
        <w:ind w:left="1343" w:right="1267"/>
        <w:contextualSpacing w:val="0"/>
        <w:jc w:val="both"/>
        <w:rPr>
          <w:b/>
          <w:bCs/>
        </w:rPr>
      </w:pPr>
    </w:p>
    <w:p w14:paraId="16BC50EB" w14:textId="77777777" w:rsidR="006F6CB8" w:rsidRDefault="006F6CB8" w:rsidP="00FC5C99">
      <w:pPr>
        <w:pStyle w:val="ListParagraph"/>
        <w:spacing w:before="240" w:after="240" w:line="240" w:lineRule="auto"/>
        <w:ind w:left="1343" w:right="1267"/>
        <w:contextualSpacing w:val="0"/>
        <w:jc w:val="both"/>
        <w:rPr>
          <w:b/>
          <w:bCs/>
        </w:rPr>
      </w:pPr>
    </w:p>
    <w:p w14:paraId="6E6DF148" w14:textId="77777777" w:rsidR="00C01E8F" w:rsidRPr="00687939" w:rsidRDefault="00C01E8F" w:rsidP="00687939">
      <w:pPr>
        <w:spacing w:before="240" w:after="240" w:line="240" w:lineRule="auto"/>
        <w:ind w:right="1267"/>
        <w:jc w:val="both"/>
        <w:rPr>
          <w:b/>
          <w:bCs/>
        </w:rPr>
      </w:pPr>
    </w:p>
    <w:p w14:paraId="292E2534" w14:textId="415BC1B7" w:rsidR="00602496" w:rsidRPr="00FC5C99" w:rsidRDefault="00687939" w:rsidP="00FC5C99">
      <w:pPr>
        <w:pStyle w:val="ListParagraph"/>
        <w:spacing w:before="240" w:after="240" w:line="240" w:lineRule="auto"/>
        <w:ind w:left="1343" w:right="1267"/>
        <w:contextualSpacing w:val="0"/>
        <w:jc w:val="both"/>
        <w:rPr>
          <w:b/>
          <w:bCs/>
        </w:rPr>
      </w:pPr>
      <w:r>
        <w:rPr>
          <w:b/>
          <w:bCs/>
        </w:rPr>
        <w:t xml:space="preserve">                                  </w:t>
      </w:r>
      <w:r w:rsidR="5AB731AC" w:rsidRPr="00FC5C99">
        <w:rPr>
          <w:b/>
          <w:bCs/>
        </w:rPr>
        <w:t xml:space="preserve">Figure </w:t>
      </w:r>
      <w:r w:rsidR="0C6E9214" w:rsidRPr="00FC5C99">
        <w:rPr>
          <w:b/>
          <w:bCs/>
        </w:rPr>
        <w:t>I</w:t>
      </w:r>
      <w:r w:rsidR="1CCDB147" w:rsidRPr="00FC5C99">
        <w:rPr>
          <w:b/>
          <w:bCs/>
        </w:rPr>
        <w:t xml:space="preserve"> (</w:t>
      </w:r>
      <w:r w:rsidR="0C6E9214" w:rsidRPr="00FC5C99">
        <w:rPr>
          <w:b/>
          <w:bCs/>
        </w:rPr>
        <w:t>a</w:t>
      </w:r>
      <w:r w:rsidR="1CCDB147" w:rsidRPr="00FC5C99">
        <w:rPr>
          <w:b/>
          <w:bCs/>
        </w:rPr>
        <w:t>)</w:t>
      </w:r>
      <w:r w:rsidR="5563B11C" w:rsidRPr="00B664C6">
        <w:t>.</w:t>
      </w:r>
      <w:r w:rsidR="43C7FF81" w:rsidRPr="00B664C6">
        <w:t xml:space="preserve"> </w:t>
      </w:r>
      <w:r w:rsidR="5EA9AB55" w:rsidRPr="00FC5C99">
        <w:rPr>
          <w:b/>
          <w:bCs/>
        </w:rPr>
        <w:t xml:space="preserve">UNDP </w:t>
      </w:r>
      <w:r w:rsidR="588618F6" w:rsidRPr="00FC5C99">
        <w:rPr>
          <w:b/>
          <w:bCs/>
        </w:rPr>
        <w:t>total revenue trend</w:t>
      </w:r>
    </w:p>
    <w:p w14:paraId="1DC1510D" w14:textId="0224CBE7" w:rsidR="009E1009" w:rsidRDefault="000F5E50" w:rsidP="000F5E50">
      <w:pPr>
        <w:pStyle w:val="SingleTxt"/>
        <w:keepNext/>
        <w:tabs>
          <w:tab w:val="clear" w:pos="1267"/>
          <w:tab w:val="clear" w:pos="1742"/>
          <w:tab w:val="left" w:pos="1530"/>
        </w:tabs>
        <w:spacing w:line="240" w:lineRule="auto"/>
        <w:ind w:left="1426" w:firstLine="1426"/>
        <w:rPr>
          <w:noProof/>
        </w:rPr>
      </w:pPr>
      <w:r>
        <w:rPr>
          <w:i/>
          <w:sz w:val="18"/>
          <w:szCs w:val="18"/>
        </w:rPr>
        <w:lastRenderedPageBreak/>
        <w:t xml:space="preserve">                </w:t>
      </w:r>
      <w:r w:rsidR="00602496" w:rsidRPr="005C6019">
        <w:rPr>
          <w:i/>
          <w:sz w:val="18"/>
          <w:szCs w:val="18"/>
        </w:rPr>
        <w:t>(In millions of United States dollars)</w:t>
      </w:r>
      <w:r w:rsidR="00940B06" w:rsidRPr="00940B06">
        <w:rPr>
          <w:noProof/>
        </w:rPr>
        <w:t xml:space="preserve"> </w:t>
      </w:r>
    </w:p>
    <w:p w14:paraId="2AA2A4EA" w14:textId="4C96809F" w:rsidR="000F5E50" w:rsidRDefault="00940B06" w:rsidP="00940B06">
      <w:pPr>
        <w:pStyle w:val="SingleTxt"/>
        <w:keepNext/>
        <w:tabs>
          <w:tab w:val="clear" w:pos="1267"/>
          <w:tab w:val="clear" w:pos="1742"/>
          <w:tab w:val="left" w:pos="1530"/>
        </w:tabs>
        <w:spacing w:line="240" w:lineRule="auto"/>
        <w:ind w:left="1426"/>
        <w:rPr>
          <w:b/>
          <w:bCs/>
        </w:rPr>
      </w:pPr>
      <w:r>
        <w:rPr>
          <w:noProof/>
        </w:rPr>
        <w:drawing>
          <wp:inline distT="0" distB="0" distL="0" distR="0" wp14:anchorId="2742F2C0" wp14:editId="725D6F0B">
            <wp:extent cx="5175739" cy="1858108"/>
            <wp:effectExtent l="0" t="0" r="6350" b="8890"/>
            <wp:docPr id="655520600" name="Chart 1">
              <a:extLst xmlns:a="http://schemas.openxmlformats.org/drawingml/2006/main">
                <a:ext uri="{FF2B5EF4-FFF2-40B4-BE49-F238E27FC236}">
                  <a16:creationId xmlns:a16="http://schemas.microsoft.com/office/drawing/2014/main" id="{09B23D48-3CD5-F44A-97C9-3E47F0DCE4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DC7158" w14:textId="78D586C5" w:rsidR="00602496" w:rsidRDefault="5AB731AC" w:rsidP="00382DB3">
      <w:pPr>
        <w:pStyle w:val="SingleTxt"/>
        <w:keepNext/>
        <w:tabs>
          <w:tab w:val="clear" w:pos="1267"/>
          <w:tab w:val="clear" w:pos="1742"/>
          <w:tab w:val="left" w:pos="1530"/>
        </w:tabs>
        <w:spacing w:line="240" w:lineRule="auto"/>
        <w:ind w:left="0" w:firstLine="1426"/>
        <w:jc w:val="center"/>
        <w:rPr>
          <w:b/>
          <w:bCs/>
        </w:rPr>
      </w:pPr>
      <w:r w:rsidRPr="5D788B90">
        <w:rPr>
          <w:b/>
          <w:bCs/>
        </w:rPr>
        <w:t xml:space="preserve">Figure </w:t>
      </w:r>
      <w:r w:rsidR="0C6E9214">
        <w:rPr>
          <w:b/>
          <w:bCs/>
        </w:rPr>
        <w:t>I</w:t>
      </w:r>
      <w:r w:rsidR="1CCDB147">
        <w:rPr>
          <w:b/>
          <w:bCs/>
        </w:rPr>
        <w:t xml:space="preserve"> (</w:t>
      </w:r>
      <w:r w:rsidR="0C6E9214">
        <w:rPr>
          <w:b/>
          <w:bCs/>
        </w:rPr>
        <w:t>b</w:t>
      </w:r>
      <w:r w:rsidR="1CCDB147">
        <w:rPr>
          <w:b/>
          <w:bCs/>
        </w:rPr>
        <w:t>)</w:t>
      </w:r>
      <w:r w:rsidR="5563B11C">
        <w:rPr>
          <w:b/>
          <w:bCs/>
        </w:rPr>
        <w:t>.</w:t>
      </w:r>
      <w:r w:rsidR="588618F6" w:rsidRPr="5D788B90">
        <w:rPr>
          <w:b/>
          <w:bCs/>
        </w:rPr>
        <w:t xml:space="preserve"> </w:t>
      </w:r>
      <w:r w:rsidR="588618F6" w:rsidRPr="00935569">
        <w:rPr>
          <w:b/>
          <w:bCs/>
        </w:rPr>
        <w:t>UNDP total expenses tre</w:t>
      </w:r>
      <w:r w:rsidR="40B1F630" w:rsidRPr="00935569">
        <w:rPr>
          <w:b/>
          <w:bCs/>
        </w:rPr>
        <w:t>nd</w:t>
      </w:r>
    </w:p>
    <w:p w14:paraId="5C09DDF5" w14:textId="4D9E5980" w:rsidR="005C22A0" w:rsidRDefault="004339AF" w:rsidP="00382DB3">
      <w:pPr>
        <w:pStyle w:val="SingleTxt"/>
        <w:keepNext/>
        <w:tabs>
          <w:tab w:val="clear" w:pos="1267"/>
          <w:tab w:val="clear" w:pos="1742"/>
          <w:tab w:val="left" w:pos="1530"/>
        </w:tabs>
        <w:spacing w:line="240" w:lineRule="auto"/>
        <w:ind w:left="0" w:firstLine="1426"/>
        <w:jc w:val="center"/>
        <w:rPr>
          <w:i/>
          <w:sz w:val="18"/>
          <w:szCs w:val="18"/>
        </w:rPr>
      </w:pPr>
      <w:r w:rsidRPr="005C6019">
        <w:rPr>
          <w:i/>
          <w:sz w:val="18"/>
          <w:szCs w:val="18"/>
        </w:rPr>
        <w:t>(In millions of United States dollars)</w:t>
      </w:r>
    </w:p>
    <w:p w14:paraId="700B3394" w14:textId="4D5FF4BC" w:rsidR="007942BA" w:rsidRDefault="003A2A41" w:rsidP="00D0653B">
      <w:pPr>
        <w:pStyle w:val="SingleTxt"/>
        <w:keepNext/>
        <w:tabs>
          <w:tab w:val="clear" w:pos="1267"/>
          <w:tab w:val="clear" w:pos="1742"/>
          <w:tab w:val="left" w:pos="1530"/>
        </w:tabs>
        <w:spacing w:line="240" w:lineRule="auto"/>
        <w:ind w:left="0" w:firstLine="1426"/>
        <w:jc w:val="center"/>
        <w:rPr>
          <w:b/>
          <w:bCs/>
        </w:rPr>
      </w:pPr>
      <w:r>
        <w:rPr>
          <w:noProof/>
        </w:rPr>
        <w:drawing>
          <wp:inline distT="0" distB="0" distL="0" distR="0" wp14:anchorId="50C9D234" wp14:editId="4D0446B7">
            <wp:extent cx="5149850" cy="1930400"/>
            <wp:effectExtent l="0" t="0" r="12700" b="12700"/>
            <wp:docPr id="748229461" name="Chart 1">
              <a:extLst xmlns:a="http://schemas.openxmlformats.org/drawingml/2006/main">
                <a:ext uri="{FF2B5EF4-FFF2-40B4-BE49-F238E27FC236}">
                  <a16:creationId xmlns:a16="http://schemas.microsoft.com/office/drawing/2014/main" id="{71D73497-8E3D-4460-87D2-CFB52AD1D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43C383" w14:textId="6C4D97D3" w:rsidR="006C0436" w:rsidRPr="00F85E48" w:rsidRDefault="00272195" w:rsidP="002E54E5">
      <w:pPr>
        <w:pStyle w:val="SingleTxt"/>
        <w:spacing w:before="60" w:after="0" w:line="240" w:lineRule="auto"/>
        <w:rPr>
          <w:i/>
          <w:iCs/>
          <w:sz w:val="13"/>
          <w:szCs w:val="13"/>
        </w:rPr>
      </w:pPr>
      <w:r w:rsidRPr="00F85E48">
        <w:rPr>
          <w:i/>
          <w:iCs/>
          <w:sz w:val="13"/>
          <w:szCs w:val="13"/>
        </w:rPr>
        <w:t xml:space="preserve">Note: </w:t>
      </w:r>
      <w:r w:rsidRPr="00F85E48">
        <w:rPr>
          <w:sz w:val="13"/>
          <w:szCs w:val="13"/>
        </w:rPr>
        <w:t>Non-programme e</w:t>
      </w:r>
      <w:r w:rsidR="00A23414" w:rsidRPr="00F85E48">
        <w:rPr>
          <w:sz w:val="13"/>
          <w:szCs w:val="13"/>
        </w:rPr>
        <w:t xml:space="preserve">xpenses consist of </w:t>
      </w:r>
      <w:r w:rsidR="00B70F08">
        <w:rPr>
          <w:sz w:val="13"/>
          <w:szCs w:val="13"/>
        </w:rPr>
        <w:t xml:space="preserve">(a) </w:t>
      </w:r>
      <w:r w:rsidR="00394277" w:rsidRPr="00F85E48">
        <w:rPr>
          <w:sz w:val="13"/>
          <w:szCs w:val="13"/>
        </w:rPr>
        <w:t>development effectiveness</w:t>
      </w:r>
      <w:r w:rsidR="001C65BE">
        <w:rPr>
          <w:sz w:val="13"/>
          <w:szCs w:val="13"/>
        </w:rPr>
        <w:t xml:space="preserve">; </w:t>
      </w:r>
      <w:r w:rsidR="00B70F08">
        <w:rPr>
          <w:sz w:val="13"/>
          <w:szCs w:val="13"/>
        </w:rPr>
        <w:t xml:space="preserve">(b) </w:t>
      </w:r>
      <w:r w:rsidR="00394277" w:rsidRPr="00930615">
        <w:rPr>
          <w:sz w:val="13"/>
          <w:szCs w:val="13"/>
        </w:rPr>
        <w:t>United Nations development coordination</w:t>
      </w:r>
      <w:r w:rsidR="001C65BE">
        <w:rPr>
          <w:sz w:val="13"/>
          <w:szCs w:val="13"/>
        </w:rPr>
        <w:t>;</w:t>
      </w:r>
      <w:r w:rsidR="00394277" w:rsidRPr="00930615">
        <w:rPr>
          <w:sz w:val="13"/>
          <w:szCs w:val="13"/>
        </w:rPr>
        <w:t xml:space="preserve"> </w:t>
      </w:r>
      <w:r w:rsidR="00B70F08">
        <w:rPr>
          <w:sz w:val="13"/>
          <w:szCs w:val="13"/>
        </w:rPr>
        <w:t xml:space="preserve">(c) </w:t>
      </w:r>
      <w:r w:rsidR="00394277" w:rsidRPr="00930615">
        <w:rPr>
          <w:sz w:val="13"/>
          <w:szCs w:val="13"/>
        </w:rPr>
        <w:t>management</w:t>
      </w:r>
      <w:r w:rsidR="001C65BE">
        <w:rPr>
          <w:sz w:val="13"/>
          <w:szCs w:val="13"/>
        </w:rPr>
        <w:t xml:space="preserve">; </w:t>
      </w:r>
      <w:r w:rsidR="00B70F08">
        <w:rPr>
          <w:sz w:val="13"/>
          <w:szCs w:val="13"/>
        </w:rPr>
        <w:t xml:space="preserve">(d) </w:t>
      </w:r>
      <w:r w:rsidR="00930615" w:rsidRPr="00930615">
        <w:rPr>
          <w:sz w:val="13"/>
          <w:szCs w:val="13"/>
        </w:rPr>
        <w:t>independent oversight and assurance</w:t>
      </w:r>
      <w:r w:rsidR="001C65BE">
        <w:rPr>
          <w:sz w:val="13"/>
          <w:szCs w:val="13"/>
        </w:rPr>
        <w:t>;</w:t>
      </w:r>
      <w:r w:rsidR="00394277" w:rsidRPr="00930615">
        <w:rPr>
          <w:sz w:val="13"/>
          <w:szCs w:val="13"/>
        </w:rPr>
        <w:t xml:space="preserve"> and</w:t>
      </w:r>
      <w:r w:rsidR="00394277" w:rsidRPr="00F85E48">
        <w:rPr>
          <w:sz w:val="13"/>
          <w:szCs w:val="13"/>
        </w:rPr>
        <w:t xml:space="preserve"> </w:t>
      </w:r>
      <w:r w:rsidR="00B70F08">
        <w:rPr>
          <w:sz w:val="13"/>
          <w:szCs w:val="13"/>
        </w:rPr>
        <w:t>(e) special</w:t>
      </w:r>
      <w:r w:rsidR="00394277" w:rsidRPr="00F85E48">
        <w:rPr>
          <w:sz w:val="13"/>
          <w:szCs w:val="13"/>
        </w:rPr>
        <w:t xml:space="preserve"> purpose</w:t>
      </w:r>
      <w:r w:rsidR="002E10B5" w:rsidRPr="00F85E48">
        <w:rPr>
          <w:i/>
          <w:iCs/>
          <w:sz w:val="13"/>
          <w:szCs w:val="13"/>
        </w:rPr>
        <w:t>.</w:t>
      </w:r>
    </w:p>
    <w:p w14:paraId="093BA2DF" w14:textId="77777777" w:rsidR="00DE74D1" w:rsidRDefault="00DE74D1">
      <w:pPr>
        <w:suppressAutoHyphens w:val="0"/>
        <w:spacing w:line="240" w:lineRule="auto"/>
      </w:pPr>
    </w:p>
    <w:p w14:paraId="3FD4F30C" w14:textId="1101BD8E" w:rsidR="00CC7EA4" w:rsidRPr="000E57AE" w:rsidRDefault="00F27DB5" w:rsidP="003F5F37">
      <w:pPr>
        <w:keepNext/>
        <w:tabs>
          <w:tab w:val="left" w:pos="1530"/>
        </w:tabs>
        <w:suppressAutoHyphens w:val="0"/>
        <w:spacing w:line="240" w:lineRule="auto"/>
        <w:rPr>
          <w:b/>
        </w:rPr>
      </w:pPr>
      <w:r>
        <w:tab/>
      </w:r>
      <w:bookmarkStart w:id="24" w:name="_Hlk10826233"/>
      <w:r w:rsidR="006E5E37">
        <w:tab/>
      </w:r>
      <w:r w:rsidR="006E5E37">
        <w:tab/>
      </w:r>
      <w:r w:rsidR="005F0CCC">
        <w:t xml:space="preserve">    </w:t>
      </w:r>
      <w:r w:rsidR="00CC7EA4" w:rsidRPr="0031223C">
        <w:rPr>
          <w:b/>
        </w:rPr>
        <w:t xml:space="preserve">Figure </w:t>
      </w:r>
      <w:r w:rsidR="004D4DCC" w:rsidRPr="0031223C">
        <w:rPr>
          <w:b/>
        </w:rPr>
        <w:t>I</w:t>
      </w:r>
      <w:r w:rsidR="00442030" w:rsidRPr="0031223C">
        <w:rPr>
          <w:b/>
        </w:rPr>
        <w:t xml:space="preserve"> (</w:t>
      </w:r>
      <w:r w:rsidR="001E05F1" w:rsidRPr="0031223C">
        <w:rPr>
          <w:b/>
        </w:rPr>
        <w:t>c</w:t>
      </w:r>
      <w:r w:rsidR="00442030" w:rsidRPr="0031223C">
        <w:rPr>
          <w:b/>
        </w:rPr>
        <w:t>)</w:t>
      </w:r>
      <w:r w:rsidR="00CC7EA4" w:rsidRPr="0031223C">
        <w:rPr>
          <w:b/>
        </w:rPr>
        <w:t xml:space="preserve">. </w:t>
      </w:r>
      <w:r w:rsidR="00FC1FDA" w:rsidRPr="0031223C">
        <w:rPr>
          <w:b/>
        </w:rPr>
        <w:t xml:space="preserve"> </w:t>
      </w:r>
      <w:r w:rsidR="004C4202" w:rsidRPr="0031223C">
        <w:rPr>
          <w:b/>
        </w:rPr>
        <w:t xml:space="preserve"> </w:t>
      </w:r>
      <w:r w:rsidR="003C7F38" w:rsidRPr="00487C9A">
        <w:rPr>
          <w:b/>
        </w:rPr>
        <w:t>Total r</w:t>
      </w:r>
      <w:r w:rsidR="00CC7EA4" w:rsidRPr="00487C9A">
        <w:rPr>
          <w:b/>
        </w:rPr>
        <w:t>evenue and expenses</w:t>
      </w:r>
      <w:r w:rsidR="00887D87" w:rsidRPr="00487C9A">
        <w:rPr>
          <w:b/>
        </w:rPr>
        <w:t xml:space="preserve"> trend</w:t>
      </w:r>
      <w:r w:rsidR="00CC7EA4" w:rsidRPr="00487C9A">
        <w:rPr>
          <w:b/>
        </w:rPr>
        <w:t>, 20</w:t>
      </w:r>
      <w:r w:rsidR="00F96828">
        <w:rPr>
          <w:b/>
        </w:rPr>
        <w:t>1</w:t>
      </w:r>
      <w:r w:rsidR="00CD31B0">
        <w:rPr>
          <w:b/>
        </w:rPr>
        <w:t>8</w:t>
      </w:r>
      <w:r w:rsidR="00CC7EA4" w:rsidRPr="00487C9A">
        <w:rPr>
          <w:b/>
        </w:rPr>
        <w:t>-20</w:t>
      </w:r>
      <w:r w:rsidR="00351A74" w:rsidRPr="00487C9A">
        <w:rPr>
          <w:b/>
        </w:rPr>
        <w:t>2</w:t>
      </w:r>
      <w:r w:rsidR="00CD31B0">
        <w:rPr>
          <w:b/>
        </w:rPr>
        <w:t>2</w:t>
      </w:r>
    </w:p>
    <w:bookmarkEnd w:id="24"/>
    <w:p w14:paraId="72445836" w14:textId="7BDBEC31" w:rsidR="002E54E5" w:rsidRDefault="005F0CCC" w:rsidP="00382DB3">
      <w:pPr>
        <w:keepNext/>
        <w:tabs>
          <w:tab w:val="left" w:pos="1260"/>
          <w:tab w:val="left" w:pos="1530"/>
        </w:tabs>
        <w:suppressAutoHyphens w:val="0"/>
        <w:spacing w:line="240" w:lineRule="auto"/>
        <w:jc w:val="center"/>
        <w:rPr>
          <w:i/>
          <w:sz w:val="18"/>
          <w:szCs w:val="18"/>
        </w:rPr>
      </w:pPr>
      <w:r>
        <w:rPr>
          <w:b/>
          <w:sz w:val="18"/>
          <w:szCs w:val="18"/>
        </w:rPr>
        <w:t xml:space="preserve">    </w:t>
      </w:r>
      <w:r w:rsidR="00CC7EA4" w:rsidRPr="005C6019">
        <w:rPr>
          <w:b/>
          <w:sz w:val="18"/>
          <w:szCs w:val="18"/>
        </w:rPr>
        <w:t xml:space="preserve"> </w:t>
      </w:r>
      <w:r w:rsidR="00CC7EA4" w:rsidRPr="005C6019">
        <w:rPr>
          <w:i/>
          <w:sz w:val="18"/>
          <w:szCs w:val="18"/>
        </w:rPr>
        <w:t>(</w:t>
      </w:r>
      <w:r w:rsidR="00C17B9D" w:rsidRPr="005C6019">
        <w:rPr>
          <w:i/>
          <w:sz w:val="18"/>
          <w:szCs w:val="18"/>
        </w:rPr>
        <w:t>In</w:t>
      </w:r>
      <w:r w:rsidR="00CC7EA4" w:rsidRPr="005C6019">
        <w:rPr>
          <w:i/>
          <w:sz w:val="18"/>
          <w:szCs w:val="18"/>
        </w:rPr>
        <w:t xml:space="preserve"> millions of </w:t>
      </w:r>
      <w:r w:rsidR="00E44330" w:rsidRPr="005C6019">
        <w:rPr>
          <w:i/>
          <w:sz w:val="18"/>
          <w:szCs w:val="18"/>
        </w:rPr>
        <w:t xml:space="preserve">United States </w:t>
      </w:r>
      <w:r w:rsidR="00CC7EA4" w:rsidRPr="005C6019">
        <w:rPr>
          <w:i/>
          <w:sz w:val="18"/>
          <w:szCs w:val="18"/>
        </w:rPr>
        <w:t>dollars)</w:t>
      </w:r>
    </w:p>
    <w:p w14:paraId="7887981D" w14:textId="77777777" w:rsidR="001371C9" w:rsidRPr="005C6019" w:rsidRDefault="001371C9" w:rsidP="00382DB3">
      <w:pPr>
        <w:keepNext/>
        <w:tabs>
          <w:tab w:val="left" w:pos="1260"/>
          <w:tab w:val="left" w:pos="1530"/>
        </w:tabs>
        <w:suppressAutoHyphens w:val="0"/>
        <w:spacing w:line="240" w:lineRule="auto"/>
        <w:jc w:val="center"/>
        <w:rPr>
          <w:i/>
          <w:sz w:val="18"/>
          <w:szCs w:val="18"/>
        </w:rPr>
      </w:pPr>
    </w:p>
    <w:p w14:paraId="0B93A719" w14:textId="71E55750" w:rsidR="002A0E72" w:rsidRDefault="009F35D5" w:rsidP="00CF54E7">
      <w:pPr>
        <w:keepNext/>
        <w:tabs>
          <w:tab w:val="left" w:pos="1260"/>
          <w:tab w:val="left" w:pos="1530"/>
        </w:tabs>
        <w:suppressAutoHyphens w:val="0"/>
        <w:spacing w:line="240" w:lineRule="auto"/>
        <w:ind w:left="952"/>
        <w:jc w:val="center"/>
        <w:rPr>
          <w:i/>
        </w:rPr>
      </w:pPr>
      <w:r>
        <w:rPr>
          <w:noProof/>
        </w:rPr>
        <w:drawing>
          <wp:inline distT="0" distB="0" distL="0" distR="0" wp14:anchorId="13919CE8" wp14:editId="5DCB711B">
            <wp:extent cx="5105400" cy="2076450"/>
            <wp:effectExtent l="0" t="0" r="0" b="0"/>
            <wp:docPr id="2113390128" name="Chart 1">
              <a:extLst xmlns:a="http://schemas.openxmlformats.org/drawingml/2006/main">
                <a:ext uri="{FF2B5EF4-FFF2-40B4-BE49-F238E27FC236}">
                  <a16:creationId xmlns:a16="http://schemas.microsoft.com/office/drawing/2014/main" id="{E7E283A8-AA20-4E34-B9D1-824E9CD61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99A50D" w14:textId="02BBAA2F" w:rsidR="001955C8" w:rsidRDefault="001955C8" w:rsidP="00CC7EA4">
      <w:pPr>
        <w:pStyle w:val="SingleTxt"/>
        <w:spacing w:before="60" w:after="0" w:line="120" w:lineRule="exact"/>
        <w:rPr>
          <w:i/>
          <w:sz w:val="14"/>
          <w:szCs w:val="14"/>
        </w:rPr>
      </w:pPr>
    </w:p>
    <w:p w14:paraId="0D24F77F" w14:textId="72316669" w:rsidR="003C31AA" w:rsidRDefault="002E54E5" w:rsidP="002E54E5">
      <w:pPr>
        <w:pStyle w:val="SingleTxt"/>
        <w:spacing w:before="60" w:after="0" w:line="240" w:lineRule="auto"/>
        <w:rPr>
          <w:i/>
          <w:sz w:val="18"/>
          <w:szCs w:val="18"/>
        </w:rPr>
      </w:pPr>
      <w:r w:rsidRPr="00E82C84">
        <w:rPr>
          <w:i/>
          <w:iCs/>
          <w:sz w:val="13"/>
          <w:szCs w:val="13"/>
        </w:rPr>
        <w:t>Note</w:t>
      </w:r>
      <w:r w:rsidRPr="00E82C84">
        <w:rPr>
          <w:sz w:val="13"/>
          <w:szCs w:val="13"/>
        </w:rPr>
        <w:t>: In 2019, UNDP changed its accounting policy for revenue recognition</w:t>
      </w:r>
      <w:r w:rsidR="008E0F7B">
        <w:rPr>
          <w:sz w:val="13"/>
          <w:szCs w:val="13"/>
        </w:rPr>
        <w:t xml:space="preserve">. </w:t>
      </w:r>
      <w:r w:rsidRPr="00E82C84">
        <w:rPr>
          <w:sz w:val="13"/>
          <w:szCs w:val="13"/>
        </w:rPr>
        <w:t xml:space="preserve">This accounting policy change, in line with IPSAS 23, has resulted in revenue being recorded in full when agreements with donors are signed, provided certain criteria are met. </w:t>
      </w:r>
      <w:r w:rsidR="003C31AA">
        <w:rPr>
          <w:i/>
          <w:sz w:val="18"/>
          <w:szCs w:val="18"/>
        </w:rPr>
        <w:br w:type="page"/>
      </w:r>
    </w:p>
    <w:p w14:paraId="5CC01D42" w14:textId="38191DB0" w:rsidR="003D3B1E" w:rsidRPr="000E57AE" w:rsidRDefault="003D3B1E" w:rsidP="005F648C">
      <w:pPr>
        <w:pStyle w:val="HCh"/>
        <w:numPr>
          <w:ilvl w:val="0"/>
          <w:numId w:val="13"/>
        </w:numPr>
        <w:tabs>
          <w:tab w:val="clear" w:pos="1267"/>
          <w:tab w:val="left" w:pos="1260"/>
        </w:tabs>
        <w:spacing w:before="360" w:after="240" w:line="240" w:lineRule="auto"/>
        <w:ind w:right="1267"/>
      </w:pPr>
      <w:bookmarkStart w:id="25" w:name="_Toc139289130"/>
      <w:r w:rsidRPr="000E57AE">
        <w:lastRenderedPageBreak/>
        <w:t xml:space="preserve">Financial </w:t>
      </w:r>
      <w:r w:rsidR="00E82350" w:rsidRPr="000E57AE">
        <w:t>h</w:t>
      </w:r>
      <w:r w:rsidRPr="000E57AE">
        <w:t>ighlights for 20</w:t>
      </w:r>
      <w:r w:rsidR="00ED4140">
        <w:t>2</w:t>
      </w:r>
      <w:r w:rsidR="00573A6D">
        <w:t>2</w:t>
      </w:r>
      <w:bookmarkEnd w:id="25"/>
    </w:p>
    <w:p w14:paraId="1D6C1539" w14:textId="3301024A" w:rsidR="003D3B1E" w:rsidRPr="00B664C6" w:rsidRDefault="003D3B1E" w:rsidP="009E5F63">
      <w:pPr>
        <w:pStyle w:val="H1"/>
        <w:numPr>
          <w:ilvl w:val="1"/>
          <w:numId w:val="6"/>
        </w:numPr>
        <w:tabs>
          <w:tab w:val="clear" w:pos="1022"/>
          <w:tab w:val="clear" w:pos="1742"/>
          <w:tab w:val="right" w:pos="1440"/>
          <w:tab w:val="left" w:pos="1800"/>
        </w:tabs>
        <w:spacing w:before="240" w:after="240" w:line="240" w:lineRule="auto"/>
        <w:ind w:left="1152" w:right="0"/>
        <w:outlineLvl w:val="1"/>
      </w:pPr>
      <w:bookmarkStart w:id="26" w:name="_Toc39596151"/>
      <w:bookmarkStart w:id="27" w:name="_Toc39596195"/>
      <w:bookmarkStart w:id="28" w:name="_Toc39596239"/>
      <w:bookmarkStart w:id="29" w:name="_Toc139289131"/>
      <w:bookmarkEnd w:id="26"/>
      <w:bookmarkEnd w:id="27"/>
      <w:bookmarkEnd w:id="28"/>
      <w:r w:rsidRPr="00B664C6">
        <w:t>Summary of UNDP financial situation</w:t>
      </w:r>
      <w:bookmarkEnd w:id="29"/>
      <w:r w:rsidRPr="00B664C6">
        <w:t xml:space="preserve"> </w:t>
      </w:r>
    </w:p>
    <w:p w14:paraId="35115E64" w14:textId="05938BDD" w:rsidR="00787EA9" w:rsidRDefault="006D630A" w:rsidP="008264C8">
      <w:pPr>
        <w:pStyle w:val="SingleTxt"/>
        <w:keepNext/>
        <w:spacing w:after="0"/>
        <w:jc w:val="center"/>
        <w:rPr>
          <w:b/>
        </w:rPr>
      </w:pPr>
      <w:r w:rsidRPr="00B664C6">
        <w:rPr>
          <w:b/>
        </w:rPr>
        <w:t>Table 1.</w:t>
      </w:r>
      <w:r w:rsidR="002861BE" w:rsidRPr="00B664C6">
        <w:rPr>
          <w:b/>
        </w:rPr>
        <w:t xml:space="preserve"> </w:t>
      </w:r>
      <w:r w:rsidR="003E2000" w:rsidRPr="00B664C6">
        <w:rPr>
          <w:b/>
        </w:rPr>
        <w:t>UNDP financial situation, 20</w:t>
      </w:r>
      <w:r w:rsidR="00384BD7">
        <w:rPr>
          <w:b/>
        </w:rPr>
        <w:t>2</w:t>
      </w:r>
      <w:r w:rsidR="00573A6D">
        <w:rPr>
          <w:b/>
        </w:rPr>
        <w:t>1</w:t>
      </w:r>
      <w:r w:rsidR="00494E10" w:rsidRPr="00B664C6">
        <w:rPr>
          <w:b/>
        </w:rPr>
        <w:t>-</w:t>
      </w:r>
      <w:r w:rsidR="003E2000" w:rsidRPr="00B664C6">
        <w:rPr>
          <w:b/>
        </w:rPr>
        <w:t>20</w:t>
      </w:r>
      <w:bookmarkStart w:id="30" w:name="_Toc40281075"/>
      <w:bookmarkStart w:id="31" w:name="_Toc40281234"/>
      <w:bookmarkEnd w:id="30"/>
      <w:bookmarkEnd w:id="31"/>
      <w:r w:rsidR="00133FAF" w:rsidRPr="00B664C6">
        <w:rPr>
          <w:b/>
        </w:rPr>
        <w:t>2</w:t>
      </w:r>
      <w:r w:rsidR="00573A6D">
        <w:rPr>
          <w:b/>
        </w:rPr>
        <w:t>2</w:t>
      </w:r>
    </w:p>
    <w:p w14:paraId="0E73A800" w14:textId="167A4EF8" w:rsidR="008C76BF" w:rsidRPr="005C6019" w:rsidRDefault="00787EA9" w:rsidP="008264C8">
      <w:pPr>
        <w:pStyle w:val="SingleTxt"/>
        <w:keepNext/>
        <w:spacing w:after="0"/>
        <w:jc w:val="center"/>
        <w:rPr>
          <w:b/>
          <w:sz w:val="18"/>
          <w:szCs w:val="18"/>
        </w:rPr>
      </w:pPr>
      <w:r w:rsidRPr="005C6019">
        <w:rPr>
          <w:i/>
          <w:iCs/>
          <w:color w:val="000000"/>
          <w:spacing w:val="0"/>
          <w:w w:val="100"/>
          <w:kern w:val="0"/>
          <w:sz w:val="18"/>
          <w:szCs w:val="18"/>
          <w:lang w:val="en-US"/>
        </w:rPr>
        <w:t xml:space="preserve">(In </w:t>
      </w:r>
      <w:r w:rsidR="00B53E79">
        <w:rPr>
          <w:i/>
          <w:iCs/>
          <w:color w:val="000000"/>
          <w:spacing w:val="0"/>
          <w:w w:val="100"/>
          <w:kern w:val="0"/>
          <w:sz w:val="18"/>
          <w:szCs w:val="18"/>
          <w:lang w:val="en-US"/>
        </w:rPr>
        <w:t>m</w:t>
      </w:r>
      <w:r w:rsidRPr="005C6019">
        <w:rPr>
          <w:i/>
          <w:iCs/>
          <w:color w:val="000000"/>
          <w:spacing w:val="0"/>
          <w:w w:val="100"/>
          <w:kern w:val="0"/>
          <w:sz w:val="18"/>
          <w:szCs w:val="18"/>
          <w:lang w:val="en-US"/>
        </w:rPr>
        <w:t>illions of United States dollars)</w:t>
      </w:r>
    </w:p>
    <w:tbl>
      <w:tblPr>
        <w:tblStyle w:val="TableGrid"/>
        <w:tblpPr w:leftFromText="180" w:rightFromText="180" w:vertAnchor="text" w:horzAnchor="page" w:tblpX="1916" w:tblpY="55"/>
        <w:tblW w:w="8708" w:type="dxa"/>
        <w:tblLayout w:type="fixed"/>
        <w:tblCellMar>
          <w:top w:w="43" w:type="dxa"/>
          <w:left w:w="43" w:type="dxa"/>
          <w:bottom w:w="43" w:type="dxa"/>
          <w:right w:w="43" w:type="dxa"/>
        </w:tblCellMar>
        <w:tblLook w:val="04A0" w:firstRow="1" w:lastRow="0" w:firstColumn="1" w:lastColumn="0" w:noHBand="0" w:noVBand="1"/>
      </w:tblPr>
      <w:tblGrid>
        <w:gridCol w:w="2700"/>
        <w:gridCol w:w="1696"/>
        <w:gridCol w:w="1434"/>
        <w:gridCol w:w="1434"/>
        <w:gridCol w:w="1435"/>
        <w:gridCol w:w="9"/>
      </w:tblGrid>
      <w:tr w:rsidR="001A228F" w:rsidRPr="00B664C6" w14:paraId="35520FEF" w14:textId="70B6C5AB" w:rsidTr="00215006">
        <w:trPr>
          <w:gridAfter w:val="1"/>
          <w:wAfter w:w="9" w:type="dxa"/>
          <w:trHeight w:val="410"/>
        </w:trPr>
        <w:tc>
          <w:tcPr>
            <w:tcW w:w="2700" w:type="dxa"/>
            <w:tcBorders>
              <w:top w:val="nil"/>
              <w:left w:val="nil"/>
              <w:bottom w:val="single" w:sz="4" w:space="0" w:color="auto"/>
              <w:right w:val="nil"/>
            </w:tcBorders>
            <w:hideMark/>
          </w:tcPr>
          <w:p w14:paraId="551575D8" w14:textId="6D342ACD" w:rsidR="001A228F" w:rsidRPr="00787EA9" w:rsidRDefault="001A228F" w:rsidP="009741B1">
            <w:pPr>
              <w:keepNext/>
              <w:rPr>
                <w:i/>
                <w:iCs/>
                <w:color w:val="000000"/>
                <w:spacing w:val="0"/>
                <w:w w:val="100"/>
                <w:kern w:val="0"/>
                <w:sz w:val="16"/>
                <w:szCs w:val="16"/>
                <w:lang w:val="en-US"/>
              </w:rPr>
            </w:pPr>
            <w:bookmarkStart w:id="32" w:name="_Toc40281076"/>
            <w:bookmarkStart w:id="33" w:name="_Toc40281235"/>
            <w:bookmarkEnd w:id="32"/>
            <w:bookmarkEnd w:id="33"/>
          </w:p>
        </w:tc>
        <w:tc>
          <w:tcPr>
            <w:tcW w:w="1696" w:type="dxa"/>
            <w:tcBorders>
              <w:top w:val="nil"/>
              <w:left w:val="nil"/>
              <w:bottom w:val="single" w:sz="4" w:space="0" w:color="auto"/>
              <w:right w:val="nil"/>
            </w:tcBorders>
            <w:vAlign w:val="center"/>
            <w:hideMark/>
          </w:tcPr>
          <w:p w14:paraId="3356B975" w14:textId="08694ED1" w:rsidR="001A228F" w:rsidRPr="00B664C6" w:rsidRDefault="004F0A43" w:rsidP="009741B1">
            <w:pPr>
              <w:keepNext/>
              <w:suppressAutoHyphens w:val="0"/>
              <w:spacing w:line="240" w:lineRule="auto"/>
              <w:jc w:val="center"/>
              <w:rPr>
                <w:b/>
                <w:bCs/>
                <w:i/>
                <w:iCs/>
                <w:color w:val="000000"/>
                <w:spacing w:val="0"/>
                <w:w w:val="100"/>
                <w:kern w:val="0"/>
                <w:sz w:val="18"/>
                <w:szCs w:val="18"/>
                <w:lang w:val="en-US"/>
              </w:rPr>
            </w:pPr>
            <w:bookmarkStart w:id="34" w:name="_Toc40281077"/>
            <w:bookmarkStart w:id="35" w:name="_Toc40281236"/>
            <w:bookmarkEnd w:id="34"/>
            <w:bookmarkEnd w:id="35"/>
            <w:r w:rsidRPr="00B664C6">
              <w:rPr>
                <w:b/>
                <w:bCs/>
                <w:i/>
                <w:iCs/>
                <w:color w:val="000000"/>
                <w:spacing w:val="0"/>
                <w:w w:val="100"/>
                <w:kern w:val="0"/>
                <w:sz w:val="18"/>
                <w:szCs w:val="18"/>
                <w:lang w:val="en-US"/>
              </w:rPr>
              <w:t>202</w:t>
            </w:r>
            <w:r w:rsidR="00573A6D">
              <w:rPr>
                <w:b/>
                <w:bCs/>
                <w:i/>
                <w:iCs/>
                <w:color w:val="000000"/>
                <w:spacing w:val="0"/>
                <w:w w:val="100"/>
                <w:kern w:val="0"/>
                <w:sz w:val="18"/>
                <w:szCs w:val="18"/>
                <w:lang w:val="en-US"/>
              </w:rPr>
              <w:t>2</w:t>
            </w:r>
            <w:bookmarkStart w:id="36" w:name="_Toc40281078"/>
            <w:bookmarkStart w:id="37" w:name="_Toc40281237"/>
            <w:bookmarkEnd w:id="36"/>
            <w:bookmarkEnd w:id="37"/>
          </w:p>
        </w:tc>
        <w:tc>
          <w:tcPr>
            <w:tcW w:w="1434" w:type="dxa"/>
            <w:tcBorders>
              <w:top w:val="nil"/>
              <w:left w:val="nil"/>
              <w:bottom w:val="single" w:sz="4" w:space="0" w:color="auto"/>
              <w:right w:val="nil"/>
            </w:tcBorders>
            <w:vAlign w:val="center"/>
          </w:tcPr>
          <w:p w14:paraId="21159D1D" w14:textId="4B015DE0" w:rsidR="00A87E6F" w:rsidRPr="00B664C6" w:rsidRDefault="004F0A43" w:rsidP="009741B1">
            <w:pPr>
              <w:keepNext/>
              <w:suppressAutoHyphens w:val="0"/>
              <w:spacing w:line="240" w:lineRule="auto"/>
              <w:jc w:val="center"/>
              <w:rPr>
                <w:b/>
                <w:bCs/>
                <w:i/>
                <w:iCs/>
                <w:color w:val="000000"/>
                <w:spacing w:val="0"/>
                <w:w w:val="100"/>
                <w:kern w:val="0"/>
                <w:sz w:val="18"/>
                <w:szCs w:val="18"/>
                <w:lang w:val="en-US"/>
              </w:rPr>
            </w:pPr>
            <w:bookmarkStart w:id="38" w:name="_Toc40281079"/>
            <w:bookmarkStart w:id="39" w:name="_Toc40281238"/>
            <w:bookmarkStart w:id="40" w:name="_Toc40281080"/>
            <w:bookmarkStart w:id="41" w:name="_Toc40281239"/>
            <w:bookmarkEnd w:id="38"/>
            <w:bookmarkEnd w:id="39"/>
            <w:bookmarkEnd w:id="40"/>
            <w:bookmarkEnd w:id="41"/>
            <w:r w:rsidRPr="00B664C6">
              <w:rPr>
                <w:b/>
                <w:bCs/>
                <w:i/>
                <w:iCs/>
                <w:color w:val="000000"/>
                <w:spacing w:val="0"/>
                <w:w w:val="100"/>
                <w:kern w:val="0"/>
                <w:sz w:val="18"/>
                <w:szCs w:val="18"/>
                <w:lang w:val="en-US"/>
              </w:rPr>
              <w:t>20</w:t>
            </w:r>
            <w:r w:rsidR="00BC7C45">
              <w:rPr>
                <w:b/>
                <w:bCs/>
                <w:i/>
                <w:iCs/>
                <w:color w:val="000000"/>
                <w:spacing w:val="0"/>
                <w:w w:val="100"/>
                <w:kern w:val="0"/>
                <w:sz w:val="18"/>
                <w:szCs w:val="18"/>
                <w:lang w:val="en-US"/>
              </w:rPr>
              <w:t>2</w:t>
            </w:r>
            <w:r w:rsidR="00573A6D">
              <w:rPr>
                <w:b/>
                <w:bCs/>
                <w:i/>
                <w:iCs/>
                <w:color w:val="000000"/>
                <w:spacing w:val="0"/>
                <w:w w:val="100"/>
                <w:kern w:val="0"/>
                <w:sz w:val="18"/>
                <w:szCs w:val="18"/>
                <w:lang w:val="en-US"/>
              </w:rPr>
              <w:t>1</w:t>
            </w:r>
          </w:p>
        </w:tc>
        <w:tc>
          <w:tcPr>
            <w:tcW w:w="1434" w:type="dxa"/>
            <w:tcBorders>
              <w:top w:val="nil"/>
              <w:left w:val="nil"/>
              <w:bottom w:val="single" w:sz="4" w:space="0" w:color="auto"/>
              <w:right w:val="nil"/>
            </w:tcBorders>
            <w:vAlign w:val="center"/>
            <w:hideMark/>
          </w:tcPr>
          <w:p w14:paraId="553932AE" w14:textId="3F26B5AB" w:rsidR="001A228F" w:rsidRPr="00B664C6" w:rsidRDefault="001A228F" w:rsidP="009741B1">
            <w:pPr>
              <w:keepNext/>
              <w:suppressAutoHyphens w:val="0"/>
              <w:spacing w:line="240" w:lineRule="auto"/>
              <w:jc w:val="center"/>
              <w:rPr>
                <w:color w:val="000000"/>
                <w:spacing w:val="0"/>
                <w:w w:val="100"/>
                <w:kern w:val="0"/>
                <w:sz w:val="18"/>
                <w:szCs w:val="18"/>
                <w:lang w:val="en-US"/>
              </w:rPr>
            </w:pPr>
            <w:r w:rsidRPr="00B664C6">
              <w:rPr>
                <w:color w:val="000000"/>
                <w:spacing w:val="0"/>
                <w:w w:val="100"/>
                <w:kern w:val="0"/>
                <w:sz w:val="18"/>
                <w:szCs w:val="18"/>
                <w:lang w:val="en-US"/>
              </w:rPr>
              <w:t>Increase/</w:t>
            </w:r>
            <w:r w:rsidRPr="00B664C6">
              <w:rPr>
                <w:color w:val="000000"/>
                <w:spacing w:val="0"/>
                <w:w w:val="100"/>
                <w:kern w:val="0"/>
                <w:sz w:val="18"/>
                <w:szCs w:val="18"/>
                <w:lang w:val="en-US"/>
              </w:rPr>
              <w:br/>
              <w:t>(</w:t>
            </w:r>
            <w:r w:rsidR="00CD3F51">
              <w:rPr>
                <w:color w:val="000000"/>
                <w:spacing w:val="0"/>
                <w:w w:val="100"/>
                <w:kern w:val="0"/>
                <w:sz w:val="18"/>
                <w:szCs w:val="18"/>
                <w:lang w:val="en-US"/>
              </w:rPr>
              <w:t>D</w:t>
            </w:r>
            <w:r w:rsidRPr="00B664C6">
              <w:rPr>
                <w:color w:val="000000"/>
                <w:spacing w:val="0"/>
                <w:w w:val="100"/>
                <w:kern w:val="0"/>
                <w:sz w:val="18"/>
                <w:szCs w:val="18"/>
                <w:lang w:val="en-US"/>
              </w:rPr>
              <w:t>ecrease)</w:t>
            </w:r>
            <w:bookmarkStart w:id="42" w:name="_Toc40281081"/>
            <w:bookmarkStart w:id="43" w:name="_Toc40281240"/>
            <w:bookmarkEnd w:id="42"/>
            <w:bookmarkEnd w:id="43"/>
          </w:p>
        </w:tc>
        <w:tc>
          <w:tcPr>
            <w:tcW w:w="1435" w:type="dxa"/>
            <w:tcBorders>
              <w:top w:val="nil"/>
              <w:left w:val="nil"/>
              <w:bottom w:val="single" w:sz="4" w:space="0" w:color="auto"/>
              <w:right w:val="nil"/>
            </w:tcBorders>
            <w:vAlign w:val="center"/>
            <w:hideMark/>
          </w:tcPr>
          <w:p w14:paraId="0E5A328D" w14:textId="5119B11A" w:rsidR="001A228F" w:rsidRPr="00B664C6" w:rsidRDefault="001A228F" w:rsidP="009741B1">
            <w:pPr>
              <w:keepNext/>
              <w:suppressAutoHyphens w:val="0"/>
              <w:spacing w:line="240" w:lineRule="auto"/>
              <w:jc w:val="center"/>
              <w:rPr>
                <w:color w:val="000000"/>
                <w:spacing w:val="0"/>
                <w:w w:val="100"/>
                <w:kern w:val="0"/>
                <w:sz w:val="18"/>
                <w:szCs w:val="18"/>
                <w:lang w:val="en-US"/>
              </w:rPr>
            </w:pPr>
            <w:r w:rsidRPr="00B664C6">
              <w:rPr>
                <w:color w:val="000000"/>
                <w:spacing w:val="0"/>
                <w:w w:val="100"/>
                <w:kern w:val="0"/>
                <w:sz w:val="18"/>
                <w:szCs w:val="18"/>
                <w:lang w:val="en-US"/>
              </w:rPr>
              <w:t>Percentage change</w:t>
            </w:r>
            <w:bookmarkStart w:id="44" w:name="_Toc40281082"/>
            <w:bookmarkStart w:id="45" w:name="_Toc40281241"/>
            <w:bookmarkEnd w:id="44"/>
            <w:bookmarkEnd w:id="45"/>
          </w:p>
        </w:tc>
        <w:bookmarkStart w:id="46" w:name="_Toc40281083"/>
        <w:bookmarkStart w:id="47" w:name="_Toc40281242"/>
        <w:bookmarkEnd w:id="46"/>
        <w:bookmarkEnd w:id="47"/>
      </w:tr>
      <w:tr w:rsidR="000A2AF7" w:rsidRPr="00B664C6" w14:paraId="0B69FB41" w14:textId="6D19D131" w:rsidTr="00215006">
        <w:trPr>
          <w:gridAfter w:val="1"/>
          <w:wAfter w:w="9" w:type="dxa"/>
          <w:trHeight w:val="206"/>
        </w:trPr>
        <w:tc>
          <w:tcPr>
            <w:tcW w:w="2700" w:type="dxa"/>
            <w:tcBorders>
              <w:top w:val="single" w:sz="4" w:space="0" w:color="auto"/>
              <w:left w:val="nil"/>
              <w:bottom w:val="nil"/>
              <w:right w:val="nil"/>
            </w:tcBorders>
            <w:hideMark/>
          </w:tcPr>
          <w:p w14:paraId="283A0CF5" w14:textId="756CE5EC"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Revenue</w:t>
            </w:r>
            <w:r w:rsidRPr="00B664C6">
              <w:rPr>
                <w:b/>
                <w:bCs/>
                <w:color w:val="000000"/>
                <w:spacing w:val="0"/>
                <w:w w:val="100"/>
                <w:kern w:val="0"/>
                <w:sz w:val="18"/>
                <w:szCs w:val="18"/>
                <w:vertAlign w:val="superscript"/>
                <w:lang w:val="en-US"/>
              </w:rPr>
              <w:t xml:space="preserve"> </w:t>
            </w:r>
            <w:r w:rsidRPr="00B664C6">
              <w:rPr>
                <w:b/>
                <w:bCs/>
                <w:color w:val="000000"/>
                <w:spacing w:val="0"/>
                <w:w w:val="100"/>
                <w:kern w:val="0"/>
                <w:vertAlign w:val="superscript"/>
                <w:lang w:val="en-US"/>
              </w:rPr>
              <w:t>a</w:t>
            </w:r>
            <w:bookmarkStart w:id="48" w:name="_Toc40281084"/>
            <w:bookmarkStart w:id="49" w:name="_Toc40281243"/>
            <w:bookmarkEnd w:id="48"/>
            <w:bookmarkEnd w:id="49"/>
          </w:p>
        </w:tc>
        <w:tc>
          <w:tcPr>
            <w:tcW w:w="1696" w:type="dxa"/>
            <w:tcBorders>
              <w:top w:val="single" w:sz="4" w:space="0" w:color="auto"/>
              <w:left w:val="nil"/>
              <w:bottom w:val="nil"/>
              <w:right w:val="nil"/>
            </w:tcBorders>
          </w:tcPr>
          <w:p w14:paraId="560FD145" w14:textId="68EDD745"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50" w:name="_Toc40281085"/>
            <w:bookmarkStart w:id="51" w:name="_Toc40281244"/>
            <w:bookmarkEnd w:id="50"/>
            <w:bookmarkEnd w:id="51"/>
            <w:r>
              <w:t xml:space="preserve">      </w:t>
            </w:r>
            <w:r w:rsidRPr="004768F9">
              <w:rPr>
                <w:sz w:val="18"/>
                <w:szCs w:val="18"/>
              </w:rPr>
              <w:t>5</w:t>
            </w:r>
            <w:r>
              <w:rPr>
                <w:sz w:val="18"/>
                <w:szCs w:val="18"/>
              </w:rPr>
              <w:t xml:space="preserve"> 322</w:t>
            </w:r>
            <w:r>
              <w:t xml:space="preserve"> </w:t>
            </w:r>
            <w:bookmarkStart w:id="52" w:name="_Toc40281086"/>
            <w:bookmarkStart w:id="53" w:name="_Toc40281245"/>
            <w:bookmarkEnd w:id="52"/>
            <w:bookmarkEnd w:id="53"/>
          </w:p>
        </w:tc>
        <w:tc>
          <w:tcPr>
            <w:tcW w:w="1434" w:type="dxa"/>
            <w:tcBorders>
              <w:top w:val="single" w:sz="4" w:space="0" w:color="auto"/>
              <w:left w:val="nil"/>
              <w:bottom w:val="nil"/>
              <w:right w:val="nil"/>
            </w:tcBorders>
          </w:tcPr>
          <w:p w14:paraId="37DC1BBC" w14:textId="4BC6C051"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54" w:name="_Toc40281087"/>
            <w:bookmarkStart w:id="55" w:name="_Toc40281246"/>
            <w:bookmarkEnd w:id="54"/>
            <w:bookmarkEnd w:id="55"/>
            <w:r>
              <w:t xml:space="preserve">      </w:t>
            </w:r>
            <w:r w:rsidRPr="004768F9">
              <w:rPr>
                <w:sz w:val="18"/>
                <w:szCs w:val="18"/>
              </w:rPr>
              <w:t>5</w:t>
            </w:r>
            <w:r>
              <w:rPr>
                <w:sz w:val="18"/>
                <w:szCs w:val="18"/>
              </w:rPr>
              <w:t xml:space="preserve"> </w:t>
            </w:r>
            <w:r w:rsidRPr="004768F9">
              <w:rPr>
                <w:sz w:val="18"/>
                <w:szCs w:val="18"/>
              </w:rPr>
              <w:t>637</w:t>
            </w:r>
            <w:r>
              <w:t xml:space="preserve"> </w:t>
            </w:r>
            <w:bookmarkStart w:id="56" w:name="_Toc40281088"/>
            <w:bookmarkStart w:id="57" w:name="_Toc40281247"/>
            <w:bookmarkEnd w:id="56"/>
            <w:bookmarkEnd w:id="57"/>
          </w:p>
        </w:tc>
        <w:tc>
          <w:tcPr>
            <w:tcW w:w="1434" w:type="dxa"/>
            <w:tcBorders>
              <w:top w:val="single" w:sz="4" w:space="0" w:color="auto"/>
              <w:left w:val="nil"/>
              <w:bottom w:val="nil"/>
              <w:right w:val="nil"/>
            </w:tcBorders>
            <w:noWrap/>
          </w:tcPr>
          <w:p w14:paraId="1220C2B5" w14:textId="250F79A9"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(315)</w:t>
            </w:r>
          </w:p>
        </w:tc>
        <w:tc>
          <w:tcPr>
            <w:tcW w:w="1435" w:type="dxa"/>
            <w:tcBorders>
              <w:top w:val="single" w:sz="4" w:space="0" w:color="auto"/>
              <w:left w:val="nil"/>
              <w:bottom w:val="nil"/>
              <w:right w:val="nil"/>
            </w:tcBorders>
            <w:noWrap/>
          </w:tcPr>
          <w:p w14:paraId="0DDA5134" w14:textId="5DBB0649"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(6%)</w:t>
            </w:r>
            <w:bookmarkStart w:id="58" w:name="_Toc40281090"/>
            <w:bookmarkStart w:id="59" w:name="_Toc40281249"/>
            <w:bookmarkEnd w:id="58"/>
            <w:bookmarkEnd w:id="59"/>
          </w:p>
        </w:tc>
        <w:bookmarkStart w:id="60" w:name="_Toc40281091"/>
        <w:bookmarkStart w:id="61" w:name="_Toc40281250"/>
        <w:bookmarkEnd w:id="60"/>
        <w:bookmarkEnd w:id="61"/>
      </w:tr>
      <w:tr w:rsidR="000A2AF7" w:rsidRPr="00B664C6" w14:paraId="78B8D572" w14:textId="78D5A97B" w:rsidTr="00215006">
        <w:trPr>
          <w:gridAfter w:val="1"/>
          <w:wAfter w:w="9" w:type="dxa"/>
          <w:trHeight w:val="206"/>
        </w:trPr>
        <w:tc>
          <w:tcPr>
            <w:tcW w:w="2700" w:type="dxa"/>
            <w:tcBorders>
              <w:top w:val="nil"/>
              <w:left w:val="nil"/>
              <w:bottom w:val="single" w:sz="4" w:space="0" w:color="auto"/>
              <w:right w:val="nil"/>
            </w:tcBorders>
            <w:hideMark/>
          </w:tcPr>
          <w:p w14:paraId="7BD8AB66" w14:textId="38C250F7"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 xml:space="preserve">Expenses </w:t>
            </w:r>
            <w:r w:rsidRPr="00B664C6">
              <w:rPr>
                <w:b/>
                <w:bCs/>
                <w:color w:val="000000"/>
                <w:spacing w:val="0"/>
                <w:w w:val="100"/>
                <w:kern w:val="0"/>
                <w:vertAlign w:val="superscript"/>
                <w:lang w:val="en-US"/>
              </w:rPr>
              <w:t>a</w:t>
            </w:r>
            <w:bookmarkStart w:id="62" w:name="_Toc40281092"/>
            <w:bookmarkStart w:id="63" w:name="_Toc40281251"/>
            <w:bookmarkEnd w:id="62"/>
            <w:bookmarkEnd w:id="63"/>
          </w:p>
        </w:tc>
        <w:tc>
          <w:tcPr>
            <w:tcW w:w="1696" w:type="dxa"/>
            <w:tcBorders>
              <w:top w:val="nil"/>
              <w:left w:val="nil"/>
              <w:bottom w:val="single" w:sz="4" w:space="0" w:color="auto"/>
              <w:right w:val="nil"/>
            </w:tcBorders>
          </w:tcPr>
          <w:p w14:paraId="42347080" w14:textId="6AECF9B4"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64" w:name="_Toc40281093"/>
            <w:bookmarkStart w:id="65" w:name="_Toc40281252"/>
            <w:bookmarkEnd w:id="64"/>
            <w:bookmarkEnd w:id="65"/>
            <w:r>
              <w:rPr>
                <w:sz w:val="18"/>
                <w:szCs w:val="18"/>
              </w:rPr>
              <w:t>5 347</w:t>
            </w:r>
            <w:bookmarkStart w:id="66" w:name="_Toc40281094"/>
            <w:bookmarkStart w:id="67" w:name="_Toc40281253"/>
            <w:bookmarkEnd w:id="66"/>
            <w:bookmarkEnd w:id="67"/>
          </w:p>
        </w:tc>
        <w:tc>
          <w:tcPr>
            <w:tcW w:w="1434" w:type="dxa"/>
            <w:tcBorders>
              <w:top w:val="nil"/>
              <w:left w:val="nil"/>
              <w:bottom w:val="single" w:sz="4" w:space="0" w:color="auto"/>
              <w:right w:val="nil"/>
            </w:tcBorders>
          </w:tcPr>
          <w:p w14:paraId="70CCAF7F" w14:textId="203470C5"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68" w:name="_Toc40281095"/>
            <w:bookmarkStart w:id="69" w:name="_Toc40281254"/>
            <w:bookmarkEnd w:id="68"/>
            <w:bookmarkEnd w:id="69"/>
            <w:r>
              <w:rPr>
                <w:sz w:val="18"/>
                <w:szCs w:val="18"/>
              </w:rPr>
              <w:t>5 385</w:t>
            </w:r>
            <w:bookmarkStart w:id="70" w:name="_Toc40281096"/>
            <w:bookmarkStart w:id="71" w:name="_Toc40281255"/>
            <w:bookmarkEnd w:id="70"/>
            <w:bookmarkEnd w:id="71"/>
          </w:p>
        </w:tc>
        <w:tc>
          <w:tcPr>
            <w:tcW w:w="1434" w:type="dxa"/>
            <w:tcBorders>
              <w:top w:val="nil"/>
              <w:left w:val="nil"/>
              <w:bottom w:val="single" w:sz="4" w:space="0" w:color="auto"/>
              <w:right w:val="nil"/>
            </w:tcBorders>
            <w:noWrap/>
          </w:tcPr>
          <w:p w14:paraId="77758289" w14:textId="16D6EB25"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w:t>
            </w:r>
            <w:r w:rsidRPr="00492E73">
              <w:rPr>
                <w:sz w:val="18"/>
                <w:szCs w:val="18"/>
              </w:rPr>
              <w:t>3</w:t>
            </w:r>
            <w:r>
              <w:rPr>
                <w:sz w:val="18"/>
                <w:szCs w:val="18"/>
              </w:rPr>
              <w:t>8)</w:t>
            </w:r>
            <w:bookmarkStart w:id="72" w:name="_Toc40281097"/>
            <w:bookmarkStart w:id="73" w:name="_Toc40281256"/>
            <w:bookmarkEnd w:id="72"/>
            <w:bookmarkEnd w:id="73"/>
          </w:p>
        </w:tc>
        <w:tc>
          <w:tcPr>
            <w:tcW w:w="1435" w:type="dxa"/>
            <w:tcBorders>
              <w:top w:val="nil"/>
              <w:left w:val="nil"/>
              <w:bottom w:val="single" w:sz="4" w:space="0" w:color="auto"/>
              <w:right w:val="nil"/>
            </w:tcBorders>
            <w:noWrap/>
          </w:tcPr>
          <w:p w14:paraId="721DB515" w14:textId="14873A74"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(1</w:t>
            </w:r>
            <w:r w:rsidRPr="00192E4D">
              <w:rPr>
                <w:sz w:val="18"/>
                <w:szCs w:val="18"/>
              </w:rPr>
              <w:t>%</w:t>
            </w:r>
            <w:r>
              <w:rPr>
                <w:sz w:val="18"/>
                <w:szCs w:val="18"/>
              </w:rPr>
              <w:t>)</w:t>
            </w:r>
            <w:bookmarkStart w:id="74" w:name="_Toc40281098"/>
            <w:bookmarkStart w:id="75" w:name="_Toc40281257"/>
            <w:bookmarkEnd w:id="74"/>
            <w:bookmarkEnd w:id="75"/>
          </w:p>
        </w:tc>
        <w:bookmarkStart w:id="76" w:name="_Toc40281099"/>
        <w:bookmarkStart w:id="77" w:name="_Toc40281258"/>
        <w:bookmarkEnd w:id="76"/>
        <w:bookmarkEnd w:id="77"/>
      </w:tr>
      <w:tr w:rsidR="000A2AF7" w:rsidRPr="00B664C6" w14:paraId="1E50997D" w14:textId="3B94D94E" w:rsidTr="00DC3E3A">
        <w:trPr>
          <w:gridAfter w:val="1"/>
          <w:wAfter w:w="9" w:type="dxa"/>
          <w:trHeight w:val="250"/>
        </w:trPr>
        <w:tc>
          <w:tcPr>
            <w:tcW w:w="2700" w:type="dxa"/>
            <w:tcBorders>
              <w:top w:val="single" w:sz="4" w:space="0" w:color="auto"/>
              <w:left w:val="nil"/>
              <w:bottom w:val="single" w:sz="4" w:space="0" w:color="auto"/>
              <w:right w:val="nil"/>
            </w:tcBorders>
            <w:hideMark/>
          </w:tcPr>
          <w:p w14:paraId="65E16921" w14:textId="53A58686"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Net revenue</w:t>
            </w:r>
            <w:bookmarkStart w:id="78" w:name="_Toc40281100"/>
            <w:bookmarkStart w:id="79" w:name="_Toc40281259"/>
            <w:bookmarkEnd w:id="78"/>
            <w:bookmarkEnd w:id="79"/>
          </w:p>
        </w:tc>
        <w:tc>
          <w:tcPr>
            <w:tcW w:w="1696" w:type="dxa"/>
            <w:tcBorders>
              <w:top w:val="single" w:sz="4" w:space="0" w:color="auto"/>
              <w:left w:val="nil"/>
              <w:bottom w:val="single" w:sz="4" w:space="0" w:color="auto"/>
              <w:right w:val="nil"/>
            </w:tcBorders>
          </w:tcPr>
          <w:p w14:paraId="138AF46D" w14:textId="22DA267F"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80" w:name="_Toc40281101"/>
            <w:bookmarkStart w:id="81" w:name="_Toc40281260"/>
            <w:bookmarkEnd w:id="80"/>
            <w:bookmarkEnd w:id="81"/>
            <w:r>
              <w:rPr>
                <w:sz w:val="18"/>
                <w:szCs w:val="18"/>
              </w:rPr>
              <w:t>(25)</w:t>
            </w:r>
          </w:p>
        </w:tc>
        <w:tc>
          <w:tcPr>
            <w:tcW w:w="1434" w:type="dxa"/>
            <w:tcBorders>
              <w:top w:val="single" w:sz="4" w:space="0" w:color="auto"/>
              <w:left w:val="nil"/>
              <w:bottom w:val="single" w:sz="4" w:space="0" w:color="auto"/>
              <w:right w:val="nil"/>
            </w:tcBorders>
          </w:tcPr>
          <w:p w14:paraId="54CFC07B" w14:textId="711F1991"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82" w:name="_Toc40281103"/>
            <w:bookmarkStart w:id="83" w:name="_Toc40281262"/>
            <w:bookmarkEnd w:id="82"/>
            <w:bookmarkEnd w:id="83"/>
            <w:r>
              <w:rPr>
                <w:sz w:val="18"/>
                <w:szCs w:val="18"/>
              </w:rPr>
              <w:t>252</w:t>
            </w:r>
            <w:bookmarkStart w:id="84" w:name="_Toc40281104"/>
            <w:bookmarkStart w:id="85" w:name="_Toc40281263"/>
            <w:bookmarkEnd w:id="84"/>
            <w:bookmarkEnd w:id="85"/>
          </w:p>
        </w:tc>
        <w:tc>
          <w:tcPr>
            <w:tcW w:w="1434" w:type="dxa"/>
            <w:tcBorders>
              <w:top w:val="single" w:sz="4" w:space="0" w:color="auto"/>
              <w:left w:val="nil"/>
              <w:bottom w:val="single" w:sz="4" w:space="0" w:color="auto"/>
              <w:right w:val="nil"/>
            </w:tcBorders>
            <w:noWrap/>
          </w:tcPr>
          <w:p w14:paraId="41180214" w14:textId="5124BEA5" w:rsidR="000A2AF7" w:rsidRPr="00B664C6" w:rsidRDefault="00105B18" w:rsidP="000A2AF7">
            <w:pPr>
              <w:keepNext/>
              <w:suppressAutoHyphens w:val="0"/>
              <w:spacing w:line="240" w:lineRule="auto"/>
              <w:jc w:val="right"/>
              <w:rPr>
                <w:color w:val="000000"/>
                <w:spacing w:val="0"/>
                <w:w w:val="100"/>
                <w:kern w:val="0"/>
                <w:sz w:val="18"/>
                <w:szCs w:val="18"/>
                <w:lang w:val="en-US"/>
              </w:rPr>
            </w:pPr>
            <w:r>
              <w:rPr>
                <w:sz w:val="18"/>
                <w:szCs w:val="18"/>
              </w:rPr>
              <w:t>(</w:t>
            </w:r>
            <w:r w:rsidR="000A2AF7">
              <w:rPr>
                <w:sz w:val="18"/>
                <w:szCs w:val="18"/>
              </w:rPr>
              <w:t>277</w:t>
            </w:r>
            <w:r>
              <w:rPr>
                <w:sz w:val="18"/>
                <w:szCs w:val="18"/>
              </w:rPr>
              <w:t>)</w:t>
            </w:r>
            <w:bookmarkStart w:id="86" w:name="_Toc40281105"/>
            <w:bookmarkStart w:id="87" w:name="_Toc40281264"/>
            <w:bookmarkEnd w:id="86"/>
            <w:bookmarkEnd w:id="87"/>
          </w:p>
        </w:tc>
        <w:tc>
          <w:tcPr>
            <w:tcW w:w="1435" w:type="dxa"/>
            <w:tcBorders>
              <w:top w:val="single" w:sz="4" w:space="0" w:color="auto"/>
              <w:left w:val="nil"/>
              <w:bottom w:val="single" w:sz="4" w:space="0" w:color="auto"/>
              <w:right w:val="nil"/>
            </w:tcBorders>
            <w:noWrap/>
          </w:tcPr>
          <w:p w14:paraId="51149979" w14:textId="09B29A3C" w:rsidR="000A2AF7" w:rsidRPr="00DC3E3A" w:rsidRDefault="00DD0C39" w:rsidP="00DC3E3A">
            <w:pPr>
              <w:keepNext/>
              <w:suppressAutoHyphens w:val="0"/>
              <w:spacing w:line="240" w:lineRule="auto"/>
              <w:rPr>
                <w:sz w:val="18"/>
                <w:szCs w:val="18"/>
              </w:rPr>
            </w:pPr>
            <w:r>
              <w:rPr>
                <w:sz w:val="18"/>
                <w:szCs w:val="18"/>
              </w:rPr>
              <w:t xml:space="preserve">      </w:t>
            </w:r>
            <w:r w:rsidR="000A2AF7">
              <w:rPr>
                <w:sz w:val="18"/>
                <w:szCs w:val="18"/>
              </w:rPr>
              <w:t>(110%)</w:t>
            </w:r>
            <w:bookmarkStart w:id="88" w:name="_Toc40281106"/>
            <w:bookmarkStart w:id="89" w:name="_Toc40281265"/>
            <w:bookmarkEnd w:id="88"/>
            <w:bookmarkEnd w:id="89"/>
          </w:p>
        </w:tc>
        <w:bookmarkStart w:id="90" w:name="_Toc40281107"/>
        <w:bookmarkStart w:id="91" w:name="_Toc40281266"/>
        <w:bookmarkEnd w:id="90"/>
        <w:bookmarkEnd w:id="91"/>
      </w:tr>
      <w:tr w:rsidR="000A2AF7" w:rsidRPr="00B664C6" w14:paraId="26B9FE16" w14:textId="51B01BBE" w:rsidTr="00215006">
        <w:trPr>
          <w:gridAfter w:val="1"/>
          <w:wAfter w:w="9" w:type="dxa"/>
          <w:trHeight w:val="206"/>
        </w:trPr>
        <w:tc>
          <w:tcPr>
            <w:tcW w:w="2700" w:type="dxa"/>
            <w:tcBorders>
              <w:top w:val="single" w:sz="4" w:space="0" w:color="auto"/>
              <w:left w:val="nil"/>
              <w:bottom w:val="nil"/>
              <w:right w:val="nil"/>
            </w:tcBorders>
            <w:hideMark/>
          </w:tcPr>
          <w:p w14:paraId="151D24C8" w14:textId="2AAF9178"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Assets</w:t>
            </w:r>
            <w:bookmarkStart w:id="92" w:name="_Toc40281108"/>
            <w:bookmarkStart w:id="93" w:name="_Toc40281267"/>
            <w:bookmarkEnd w:id="92"/>
            <w:bookmarkEnd w:id="93"/>
          </w:p>
        </w:tc>
        <w:tc>
          <w:tcPr>
            <w:tcW w:w="1696" w:type="dxa"/>
            <w:tcBorders>
              <w:top w:val="single" w:sz="4" w:space="0" w:color="auto"/>
              <w:left w:val="nil"/>
              <w:bottom w:val="nil"/>
              <w:right w:val="nil"/>
            </w:tcBorders>
          </w:tcPr>
          <w:p w14:paraId="1A18D45E" w14:textId="23D39E8E"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94" w:name="_Toc40281109"/>
            <w:bookmarkStart w:id="95" w:name="_Toc40281268"/>
            <w:bookmarkEnd w:id="94"/>
            <w:bookmarkEnd w:id="95"/>
            <w:r w:rsidRPr="00E347B2">
              <w:rPr>
                <w:sz w:val="18"/>
                <w:szCs w:val="18"/>
              </w:rPr>
              <w:t>1</w:t>
            </w:r>
            <w:r>
              <w:rPr>
                <w:sz w:val="18"/>
                <w:szCs w:val="18"/>
              </w:rPr>
              <w:t>4 822</w:t>
            </w:r>
            <w:bookmarkStart w:id="96" w:name="_Toc40281110"/>
            <w:bookmarkStart w:id="97" w:name="_Toc40281269"/>
            <w:bookmarkEnd w:id="96"/>
            <w:bookmarkEnd w:id="97"/>
          </w:p>
        </w:tc>
        <w:tc>
          <w:tcPr>
            <w:tcW w:w="1434" w:type="dxa"/>
            <w:tcBorders>
              <w:top w:val="single" w:sz="4" w:space="0" w:color="auto"/>
              <w:left w:val="nil"/>
              <w:bottom w:val="nil"/>
              <w:right w:val="nil"/>
            </w:tcBorders>
          </w:tcPr>
          <w:p w14:paraId="4597C71B" w14:textId="42705DB9"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98" w:name="_Toc40281111"/>
            <w:bookmarkStart w:id="99" w:name="_Toc40281270"/>
            <w:bookmarkEnd w:id="98"/>
            <w:bookmarkEnd w:id="99"/>
            <w:r w:rsidRPr="00E347B2">
              <w:rPr>
                <w:sz w:val="18"/>
                <w:szCs w:val="18"/>
              </w:rPr>
              <w:t>15 151</w:t>
            </w:r>
            <w:bookmarkStart w:id="100" w:name="_Toc40281112"/>
            <w:bookmarkStart w:id="101" w:name="_Toc40281271"/>
            <w:bookmarkEnd w:id="100"/>
            <w:bookmarkEnd w:id="101"/>
          </w:p>
        </w:tc>
        <w:tc>
          <w:tcPr>
            <w:tcW w:w="1434" w:type="dxa"/>
            <w:tcBorders>
              <w:top w:val="single" w:sz="4" w:space="0" w:color="auto"/>
              <w:left w:val="nil"/>
              <w:bottom w:val="nil"/>
              <w:right w:val="nil"/>
            </w:tcBorders>
            <w:noWrap/>
          </w:tcPr>
          <w:p w14:paraId="6ABE300C" w14:textId="6BC85F31"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(329)</w:t>
            </w:r>
            <w:bookmarkStart w:id="102" w:name="_Toc40281113"/>
            <w:bookmarkStart w:id="103" w:name="_Toc40281272"/>
            <w:bookmarkEnd w:id="102"/>
            <w:bookmarkEnd w:id="103"/>
          </w:p>
        </w:tc>
        <w:tc>
          <w:tcPr>
            <w:tcW w:w="1435" w:type="dxa"/>
            <w:tcBorders>
              <w:top w:val="single" w:sz="4" w:space="0" w:color="auto"/>
              <w:left w:val="nil"/>
              <w:bottom w:val="nil"/>
              <w:right w:val="nil"/>
            </w:tcBorders>
            <w:noWrap/>
          </w:tcPr>
          <w:p w14:paraId="1D462303" w14:textId="629B0DB4"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(2</w:t>
            </w:r>
            <w:r w:rsidRPr="00192E4D">
              <w:rPr>
                <w:sz w:val="18"/>
                <w:szCs w:val="18"/>
              </w:rPr>
              <w:t>%</w:t>
            </w:r>
            <w:r>
              <w:rPr>
                <w:sz w:val="18"/>
                <w:szCs w:val="18"/>
              </w:rPr>
              <w:t>)</w:t>
            </w:r>
            <w:bookmarkStart w:id="104" w:name="_Toc40281114"/>
            <w:bookmarkStart w:id="105" w:name="_Toc40281273"/>
            <w:bookmarkEnd w:id="104"/>
            <w:bookmarkEnd w:id="105"/>
          </w:p>
        </w:tc>
        <w:bookmarkStart w:id="106" w:name="_Toc40281115"/>
        <w:bookmarkStart w:id="107" w:name="_Toc40281274"/>
        <w:bookmarkEnd w:id="106"/>
        <w:bookmarkEnd w:id="107"/>
      </w:tr>
      <w:tr w:rsidR="000A2AF7" w:rsidRPr="00B664C6" w14:paraId="49823E71" w14:textId="10B5EEC9" w:rsidTr="00215006">
        <w:trPr>
          <w:gridAfter w:val="1"/>
          <w:wAfter w:w="9" w:type="dxa"/>
          <w:trHeight w:val="206"/>
        </w:trPr>
        <w:tc>
          <w:tcPr>
            <w:tcW w:w="2700" w:type="dxa"/>
            <w:tcBorders>
              <w:top w:val="nil"/>
              <w:left w:val="nil"/>
              <w:bottom w:val="single" w:sz="4" w:space="0" w:color="auto"/>
              <w:right w:val="nil"/>
            </w:tcBorders>
            <w:hideMark/>
          </w:tcPr>
          <w:p w14:paraId="48555D38" w14:textId="68404511"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Liabilities</w:t>
            </w:r>
            <w:bookmarkStart w:id="108" w:name="_Toc40281116"/>
            <w:bookmarkStart w:id="109" w:name="_Toc40281275"/>
            <w:bookmarkEnd w:id="108"/>
            <w:bookmarkEnd w:id="109"/>
          </w:p>
        </w:tc>
        <w:tc>
          <w:tcPr>
            <w:tcW w:w="1696" w:type="dxa"/>
            <w:tcBorders>
              <w:top w:val="nil"/>
              <w:left w:val="nil"/>
              <w:bottom w:val="single" w:sz="4" w:space="0" w:color="auto"/>
              <w:right w:val="nil"/>
            </w:tcBorders>
          </w:tcPr>
          <w:p w14:paraId="0DE61546" w14:textId="71699059"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10" w:name="_Toc40281117"/>
            <w:bookmarkStart w:id="111" w:name="_Toc40281276"/>
            <w:bookmarkEnd w:id="110"/>
            <w:bookmarkEnd w:id="111"/>
            <w:r w:rsidRPr="00E347B2">
              <w:rPr>
                <w:sz w:val="18"/>
                <w:szCs w:val="18"/>
              </w:rPr>
              <w:t xml:space="preserve">3 </w:t>
            </w:r>
            <w:r>
              <w:rPr>
                <w:sz w:val="18"/>
                <w:szCs w:val="18"/>
              </w:rPr>
              <w:t>073</w:t>
            </w:r>
            <w:bookmarkStart w:id="112" w:name="_Toc40281118"/>
            <w:bookmarkStart w:id="113" w:name="_Toc40281277"/>
            <w:bookmarkEnd w:id="112"/>
            <w:bookmarkEnd w:id="113"/>
          </w:p>
        </w:tc>
        <w:tc>
          <w:tcPr>
            <w:tcW w:w="1434" w:type="dxa"/>
            <w:tcBorders>
              <w:top w:val="nil"/>
              <w:left w:val="nil"/>
              <w:bottom w:val="single" w:sz="4" w:space="0" w:color="auto"/>
              <w:right w:val="nil"/>
            </w:tcBorders>
          </w:tcPr>
          <w:p w14:paraId="4ECACF6F" w14:textId="79D3A974"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14" w:name="_Toc40281119"/>
            <w:bookmarkStart w:id="115" w:name="_Toc40281278"/>
            <w:bookmarkEnd w:id="114"/>
            <w:bookmarkEnd w:id="115"/>
            <w:r w:rsidRPr="00E347B2">
              <w:rPr>
                <w:sz w:val="18"/>
                <w:szCs w:val="18"/>
              </w:rPr>
              <w:t>3 574</w:t>
            </w:r>
            <w:bookmarkStart w:id="116" w:name="_Toc40281120"/>
            <w:bookmarkStart w:id="117" w:name="_Toc40281279"/>
            <w:bookmarkEnd w:id="116"/>
            <w:bookmarkEnd w:id="117"/>
          </w:p>
        </w:tc>
        <w:tc>
          <w:tcPr>
            <w:tcW w:w="1434" w:type="dxa"/>
            <w:tcBorders>
              <w:top w:val="nil"/>
              <w:left w:val="nil"/>
              <w:bottom w:val="single" w:sz="4" w:space="0" w:color="auto"/>
              <w:right w:val="nil"/>
            </w:tcBorders>
            <w:noWrap/>
          </w:tcPr>
          <w:p w14:paraId="5584A738" w14:textId="4818C28C"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(501)</w:t>
            </w:r>
            <w:bookmarkStart w:id="118" w:name="_Toc40281121"/>
            <w:bookmarkStart w:id="119" w:name="_Toc40281280"/>
            <w:bookmarkEnd w:id="118"/>
            <w:bookmarkEnd w:id="119"/>
          </w:p>
        </w:tc>
        <w:tc>
          <w:tcPr>
            <w:tcW w:w="1435" w:type="dxa"/>
            <w:tcBorders>
              <w:top w:val="nil"/>
              <w:left w:val="nil"/>
              <w:bottom w:val="single" w:sz="4" w:space="0" w:color="auto"/>
              <w:right w:val="nil"/>
            </w:tcBorders>
            <w:noWrap/>
          </w:tcPr>
          <w:p w14:paraId="5D0FFDA3" w14:textId="1D856FD7"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(14</w:t>
            </w:r>
            <w:r w:rsidRPr="00192E4D">
              <w:rPr>
                <w:sz w:val="18"/>
                <w:szCs w:val="18"/>
              </w:rPr>
              <w:t>%</w:t>
            </w:r>
            <w:r>
              <w:rPr>
                <w:sz w:val="18"/>
                <w:szCs w:val="18"/>
              </w:rPr>
              <w:t>)</w:t>
            </w:r>
            <w:bookmarkStart w:id="120" w:name="_Toc40281122"/>
            <w:bookmarkStart w:id="121" w:name="_Toc40281281"/>
            <w:bookmarkEnd w:id="120"/>
            <w:bookmarkEnd w:id="121"/>
          </w:p>
        </w:tc>
        <w:bookmarkStart w:id="122" w:name="_Toc40281123"/>
        <w:bookmarkStart w:id="123" w:name="_Toc40281282"/>
        <w:bookmarkEnd w:id="122"/>
        <w:bookmarkEnd w:id="123"/>
      </w:tr>
      <w:tr w:rsidR="000A2AF7" w:rsidRPr="00B664C6" w14:paraId="0F6B3746" w14:textId="71C73DFC" w:rsidTr="00215006">
        <w:trPr>
          <w:gridAfter w:val="1"/>
          <w:wAfter w:w="9" w:type="dxa"/>
          <w:trHeight w:val="206"/>
        </w:trPr>
        <w:tc>
          <w:tcPr>
            <w:tcW w:w="2700" w:type="dxa"/>
            <w:tcBorders>
              <w:top w:val="single" w:sz="4" w:space="0" w:color="auto"/>
              <w:left w:val="nil"/>
              <w:bottom w:val="single" w:sz="4" w:space="0" w:color="auto"/>
              <w:right w:val="nil"/>
            </w:tcBorders>
            <w:hideMark/>
          </w:tcPr>
          <w:p w14:paraId="24A241EE" w14:textId="45CBABE8"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Net assets</w:t>
            </w:r>
            <w:bookmarkStart w:id="124" w:name="_Toc40281124"/>
            <w:bookmarkStart w:id="125" w:name="_Toc40281283"/>
            <w:bookmarkEnd w:id="124"/>
            <w:bookmarkEnd w:id="125"/>
          </w:p>
        </w:tc>
        <w:tc>
          <w:tcPr>
            <w:tcW w:w="1696" w:type="dxa"/>
            <w:tcBorders>
              <w:top w:val="single" w:sz="4" w:space="0" w:color="auto"/>
              <w:left w:val="nil"/>
              <w:bottom w:val="single" w:sz="4" w:space="0" w:color="auto"/>
              <w:right w:val="nil"/>
            </w:tcBorders>
          </w:tcPr>
          <w:p w14:paraId="7FC808DF" w14:textId="23203D62"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26" w:name="_Toc40281125"/>
            <w:bookmarkStart w:id="127" w:name="_Toc40281284"/>
            <w:bookmarkEnd w:id="126"/>
            <w:bookmarkEnd w:id="127"/>
            <w:r>
              <w:rPr>
                <w:sz w:val="18"/>
                <w:szCs w:val="18"/>
              </w:rPr>
              <w:t>11 749</w:t>
            </w:r>
            <w:bookmarkStart w:id="128" w:name="_Toc40281126"/>
            <w:bookmarkStart w:id="129" w:name="_Toc40281285"/>
            <w:bookmarkEnd w:id="128"/>
            <w:bookmarkEnd w:id="129"/>
          </w:p>
        </w:tc>
        <w:tc>
          <w:tcPr>
            <w:tcW w:w="1434" w:type="dxa"/>
            <w:tcBorders>
              <w:top w:val="single" w:sz="4" w:space="0" w:color="auto"/>
              <w:left w:val="nil"/>
              <w:bottom w:val="single" w:sz="4" w:space="0" w:color="auto"/>
              <w:right w:val="nil"/>
            </w:tcBorders>
          </w:tcPr>
          <w:p w14:paraId="380942CE" w14:textId="6E1E129C"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30" w:name="_Toc40281127"/>
            <w:bookmarkStart w:id="131" w:name="_Toc40281286"/>
            <w:bookmarkEnd w:id="130"/>
            <w:bookmarkEnd w:id="131"/>
            <w:r>
              <w:rPr>
                <w:sz w:val="18"/>
                <w:szCs w:val="18"/>
              </w:rPr>
              <w:t>11 577</w:t>
            </w:r>
            <w:bookmarkStart w:id="132" w:name="_Toc40281128"/>
            <w:bookmarkStart w:id="133" w:name="_Toc40281287"/>
            <w:bookmarkEnd w:id="132"/>
            <w:bookmarkEnd w:id="133"/>
          </w:p>
        </w:tc>
        <w:tc>
          <w:tcPr>
            <w:tcW w:w="1434" w:type="dxa"/>
            <w:tcBorders>
              <w:top w:val="single" w:sz="4" w:space="0" w:color="auto"/>
              <w:left w:val="nil"/>
              <w:bottom w:val="single" w:sz="4" w:space="0" w:color="auto"/>
              <w:right w:val="nil"/>
            </w:tcBorders>
            <w:noWrap/>
          </w:tcPr>
          <w:p w14:paraId="5654B2F9" w14:textId="12BCD945"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172</w:t>
            </w:r>
          </w:p>
        </w:tc>
        <w:tc>
          <w:tcPr>
            <w:tcW w:w="1435" w:type="dxa"/>
            <w:tcBorders>
              <w:top w:val="single" w:sz="4" w:space="0" w:color="auto"/>
              <w:left w:val="nil"/>
              <w:bottom w:val="single" w:sz="4" w:space="0" w:color="auto"/>
              <w:right w:val="nil"/>
            </w:tcBorders>
            <w:noWrap/>
          </w:tcPr>
          <w:p w14:paraId="0A62E801" w14:textId="680D2271"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1</w:t>
            </w:r>
            <w:r w:rsidRPr="00192E4D">
              <w:rPr>
                <w:sz w:val="18"/>
                <w:szCs w:val="18"/>
              </w:rPr>
              <w:t>%</w:t>
            </w:r>
            <w:bookmarkStart w:id="134" w:name="_Toc40281130"/>
            <w:bookmarkStart w:id="135" w:name="_Toc40281289"/>
            <w:bookmarkEnd w:id="134"/>
            <w:bookmarkEnd w:id="135"/>
          </w:p>
        </w:tc>
        <w:bookmarkStart w:id="136" w:name="_Toc40281131"/>
        <w:bookmarkStart w:id="137" w:name="_Toc40281290"/>
        <w:bookmarkEnd w:id="136"/>
        <w:bookmarkEnd w:id="137"/>
      </w:tr>
      <w:tr w:rsidR="000A2AF7" w:rsidRPr="00B664C6" w14:paraId="6810EEF9" w14:textId="7FCD916D" w:rsidTr="00215006">
        <w:trPr>
          <w:gridAfter w:val="1"/>
          <w:wAfter w:w="9" w:type="dxa"/>
          <w:trHeight w:val="206"/>
        </w:trPr>
        <w:tc>
          <w:tcPr>
            <w:tcW w:w="2700" w:type="dxa"/>
            <w:tcBorders>
              <w:top w:val="single" w:sz="4" w:space="0" w:color="auto"/>
              <w:left w:val="nil"/>
              <w:bottom w:val="nil"/>
              <w:right w:val="nil"/>
            </w:tcBorders>
            <w:hideMark/>
          </w:tcPr>
          <w:p w14:paraId="5174E6F1" w14:textId="0ABACCDB" w:rsidR="000A2AF7" w:rsidRPr="00B664C6" w:rsidRDefault="000A2AF7" w:rsidP="000A2AF7">
            <w:pPr>
              <w:keepNext/>
              <w:suppressAutoHyphens w:val="0"/>
              <w:spacing w:line="240" w:lineRule="auto"/>
              <w:rPr>
                <w:b/>
                <w:bCs/>
                <w:color w:val="000000"/>
                <w:spacing w:val="0"/>
                <w:w w:val="100"/>
                <w:kern w:val="0"/>
                <w:sz w:val="18"/>
                <w:szCs w:val="18"/>
                <w:u w:val="single"/>
                <w:lang w:val="en-US"/>
              </w:rPr>
            </w:pPr>
            <w:bookmarkStart w:id="138" w:name="_Toc40281132"/>
            <w:bookmarkStart w:id="139" w:name="_Toc40281291"/>
            <w:bookmarkStart w:id="140" w:name="_Toc40281133"/>
            <w:bookmarkStart w:id="141" w:name="_Toc40281292"/>
            <w:bookmarkStart w:id="142" w:name="_Toc40281134"/>
            <w:bookmarkStart w:id="143" w:name="_Toc40281293"/>
            <w:bookmarkStart w:id="144" w:name="_Toc40281135"/>
            <w:bookmarkStart w:id="145" w:name="_Toc40281294"/>
            <w:bookmarkStart w:id="146" w:name="_Toc40281136"/>
            <w:bookmarkStart w:id="147" w:name="_Toc40281295"/>
            <w:bookmarkStart w:id="148" w:name="_Toc40281137"/>
            <w:bookmarkStart w:id="149" w:name="_Toc40281296"/>
            <w:bookmarkStart w:id="150" w:name="_Toc40281138"/>
            <w:bookmarkStart w:id="151" w:name="_Toc4028129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B664C6">
              <w:rPr>
                <w:b/>
                <w:bCs/>
                <w:color w:val="000000"/>
                <w:spacing w:val="0"/>
                <w:w w:val="100"/>
                <w:kern w:val="0"/>
                <w:sz w:val="18"/>
                <w:szCs w:val="18"/>
                <w:u w:val="single"/>
                <w:lang w:val="en-US"/>
              </w:rPr>
              <w:t>Composed of:</w:t>
            </w:r>
            <w:bookmarkStart w:id="152" w:name="_Toc40281140"/>
            <w:bookmarkStart w:id="153" w:name="_Toc40281299"/>
            <w:bookmarkEnd w:id="152"/>
            <w:bookmarkEnd w:id="153"/>
          </w:p>
        </w:tc>
        <w:tc>
          <w:tcPr>
            <w:tcW w:w="1696" w:type="dxa"/>
            <w:tcBorders>
              <w:top w:val="single" w:sz="4" w:space="0" w:color="auto"/>
              <w:left w:val="nil"/>
              <w:bottom w:val="nil"/>
              <w:right w:val="nil"/>
            </w:tcBorders>
          </w:tcPr>
          <w:p w14:paraId="0CCC7F06" w14:textId="31902B73" w:rsidR="000A2AF7" w:rsidRPr="00B664C6" w:rsidRDefault="000A2AF7" w:rsidP="000A2AF7">
            <w:pPr>
              <w:keepNext/>
              <w:suppressAutoHyphens w:val="0"/>
              <w:spacing w:line="240" w:lineRule="auto"/>
              <w:rPr>
                <w:b/>
                <w:bCs/>
                <w:color w:val="000000"/>
                <w:spacing w:val="0"/>
                <w:w w:val="100"/>
                <w:kern w:val="0"/>
                <w:sz w:val="18"/>
                <w:szCs w:val="18"/>
                <w:u w:val="single"/>
                <w:lang w:val="en-US"/>
              </w:rPr>
            </w:pPr>
            <w:bookmarkStart w:id="154" w:name="_Toc40281141"/>
            <w:bookmarkStart w:id="155" w:name="_Toc40281300"/>
            <w:bookmarkStart w:id="156" w:name="_Toc40281142"/>
            <w:bookmarkStart w:id="157" w:name="_Toc40281301"/>
            <w:bookmarkEnd w:id="154"/>
            <w:bookmarkEnd w:id="155"/>
            <w:bookmarkEnd w:id="156"/>
            <w:bookmarkEnd w:id="157"/>
          </w:p>
        </w:tc>
        <w:tc>
          <w:tcPr>
            <w:tcW w:w="1434" w:type="dxa"/>
            <w:tcBorders>
              <w:top w:val="single" w:sz="4" w:space="0" w:color="auto"/>
              <w:left w:val="nil"/>
              <w:bottom w:val="nil"/>
              <w:right w:val="nil"/>
            </w:tcBorders>
          </w:tcPr>
          <w:p w14:paraId="1C31C9FF" w14:textId="6D39C27C" w:rsidR="000A2AF7" w:rsidRPr="00B664C6" w:rsidRDefault="000A2AF7" w:rsidP="000A2AF7">
            <w:pPr>
              <w:keepNext/>
              <w:suppressAutoHyphens w:val="0"/>
              <w:spacing w:line="240" w:lineRule="auto"/>
              <w:jc w:val="right"/>
              <w:rPr>
                <w:spacing w:val="0"/>
                <w:w w:val="100"/>
                <w:kern w:val="0"/>
                <w:lang w:val="en-US"/>
              </w:rPr>
            </w:pPr>
            <w:bookmarkStart w:id="158" w:name="_Toc40281143"/>
            <w:bookmarkStart w:id="159" w:name="_Toc40281302"/>
            <w:bookmarkStart w:id="160" w:name="_Toc40281144"/>
            <w:bookmarkStart w:id="161" w:name="_Toc40281303"/>
            <w:bookmarkEnd w:id="158"/>
            <w:bookmarkEnd w:id="159"/>
            <w:bookmarkEnd w:id="160"/>
            <w:bookmarkEnd w:id="161"/>
          </w:p>
        </w:tc>
        <w:tc>
          <w:tcPr>
            <w:tcW w:w="1434" w:type="dxa"/>
            <w:tcBorders>
              <w:top w:val="single" w:sz="4" w:space="0" w:color="auto"/>
              <w:left w:val="nil"/>
              <w:bottom w:val="nil"/>
              <w:right w:val="nil"/>
            </w:tcBorders>
            <w:noWrap/>
          </w:tcPr>
          <w:p w14:paraId="3D1EF3AF" w14:textId="781ED688" w:rsidR="000A2AF7" w:rsidRPr="00B664C6" w:rsidRDefault="000A2AF7" w:rsidP="000A2AF7">
            <w:pPr>
              <w:keepNext/>
              <w:suppressAutoHyphens w:val="0"/>
              <w:spacing w:line="240" w:lineRule="auto"/>
              <w:jc w:val="right"/>
              <w:rPr>
                <w:spacing w:val="0"/>
                <w:w w:val="100"/>
                <w:kern w:val="0"/>
                <w:lang w:val="en-US"/>
              </w:rPr>
            </w:pPr>
            <w:bookmarkStart w:id="162" w:name="_Toc40281145"/>
            <w:bookmarkStart w:id="163" w:name="_Toc40281304"/>
            <w:bookmarkEnd w:id="162"/>
            <w:bookmarkEnd w:id="163"/>
          </w:p>
        </w:tc>
        <w:tc>
          <w:tcPr>
            <w:tcW w:w="1435" w:type="dxa"/>
            <w:tcBorders>
              <w:top w:val="single" w:sz="4" w:space="0" w:color="auto"/>
              <w:left w:val="nil"/>
              <w:bottom w:val="nil"/>
              <w:right w:val="nil"/>
            </w:tcBorders>
            <w:noWrap/>
          </w:tcPr>
          <w:p w14:paraId="67775551" w14:textId="7F9E87D2" w:rsidR="000A2AF7" w:rsidRPr="00B664C6" w:rsidRDefault="000A2AF7" w:rsidP="000A2AF7">
            <w:pPr>
              <w:keepNext/>
              <w:suppressAutoHyphens w:val="0"/>
              <w:spacing w:line="240" w:lineRule="auto"/>
              <w:jc w:val="center"/>
              <w:rPr>
                <w:spacing w:val="0"/>
                <w:w w:val="100"/>
                <w:kern w:val="0"/>
                <w:lang w:val="en-US"/>
              </w:rPr>
            </w:pPr>
            <w:bookmarkStart w:id="164" w:name="_Toc40281146"/>
            <w:bookmarkStart w:id="165" w:name="_Toc40281305"/>
            <w:bookmarkEnd w:id="164"/>
            <w:bookmarkEnd w:id="165"/>
          </w:p>
        </w:tc>
        <w:bookmarkStart w:id="166" w:name="_Toc40281147"/>
        <w:bookmarkStart w:id="167" w:name="_Toc40281306"/>
        <w:bookmarkEnd w:id="166"/>
        <w:bookmarkEnd w:id="167"/>
      </w:tr>
      <w:tr w:rsidR="000A2AF7" w:rsidRPr="00B664C6" w14:paraId="6A775F67" w14:textId="1FC28E5F" w:rsidTr="00215006">
        <w:trPr>
          <w:gridAfter w:val="1"/>
          <w:wAfter w:w="9" w:type="dxa"/>
          <w:trHeight w:val="280"/>
        </w:trPr>
        <w:tc>
          <w:tcPr>
            <w:tcW w:w="2700" w:type="dxa"/>
            <w:tcBorders>
              <w:top w:val="nil"/>
              <w:left w:val="nil"/>
              <w:bottom w:val="nil"/>
              <w:right w:val="nil"/>
            </w:tcBorders>
            <w:noWrap/>
            <w:hideMark/>
          </w:tcPr>
          <w:p w14:paraId="6CACAB88" w14:textId="7CF64BB6"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Accumulated balance</w:t>
            </w:r>
            <w:bookmarkStart w:id="168" w:name="_Toc40281148"/>
            <w:bookmarkStart w:id="169" w:name="_Toc40281307"/>
            <w:bookmarkEnd w:id="168"/>
            <w:bookmarkEnd w:id="169"/>
          </w:p>
        </w:tc>
        <w:tc>
          <w:tcPr>
            <w:tcW w:w="1696" w:type="dxa"/>
            <w:tcBorders>
              <w:top w:val="nil"/>
              <w:left w:val="nil"/>
              <w:bottom w:val="nil"/>
              <w:right w:val="nil"/>
            </w:tcBorders>
          </w:tcPr>
          <w:p w14:paraId="373D81E2" w14:textId="5AEF3279"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70" w:name="_Toc40281149"/>
            <w:bookmarkStart w:id="171" w:name="_Toc40281308"/>
            <w:bookmarkEnd w:id="170"/>
            <w:bookmarkEnd w:id="171"/>
            <w:r>
              <w:rPr>
                <w:sz w:val="18"/>
                <w:szCs w:val="18"/>
              </w:rPr>
              <w:t>11 440</w:t>
            </w:r>
          </w:p>
        </w:tc>
        <w:tc>
          <w:tcPr>
            <w:tcW w:w="1434" w:type="dxa"/>
            <w:tcBorders>
              <w:top w:val="nil"/>
              <w:left w:val="nil"/>
              <w:bottom w:val="nil"/>
              <w:right w:val="nil"/>
            </w:tcBorders>
          </w:tcPr>
          <w:p w14:paraId="4DAC9025" w14:textId="5DAB4F25"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72" w:name="_Toc40281151"/>
            <w:bookmarkStart w:id="173" w:name="_Toc40281310"/>
            <w:bookmarkEnd w:id="172"/>
            <w:bookmarkEnd w:id="173"/>
            <w:r>
              <w:rPr>
                <w:sz w:val="18"/>
                <w:szCs w:val="18"/>
              </w:rPr>
              <w:t>11 275</w:t>
            </w:r>
            <w:bookmarkStart w:id="174" w:name="_Toc40281152"/>
            <w:bookmarkStart w:id="175" w:name="_Toc40281311"/>
            <w:bookmarkEnd w:id="174"/>
            <w:bookmarkEnd w:id="175"/>
          </w:p>
        </w:tc>
        <w:tc>
          <w:tcPr>
            <w:tcW w:w="1434" w:type="dxa"/>
            <w:tcBorders>
              <w:top w:val="nil"/>
              <w:left w:val="nil"/>
              <w:bottom w:val="nil"/>
              <w:right w:val="nil"/>
            </w:tcBorders>
            <w:noWrap/>
          </w:tcPr>
          <w:p w14:paraId="7022BB7F" w14:textId="1008343B"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165</w:t>
            </w:r>
          </w:p>
        </w:tc>
        <w:tc>
          <w:tcPr>
            <w:tcW w:w="1435" w:type="dxa"/>
            <w:tcBorders>
              <w:top w:val="nil"/>
              <w:left w:val="nil"/>
              <w:bottom w:val="nil"/>
              <w:right w:val="nil"/>
            </w:tcBorders>
            <w:noWrap/>
          </w:tcPr>
          <w:p w14:paraId="7F7FF217" w14:textId="186D0EA0"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1</w:t>
            </w:r>
            <w:r w:rsidRPr="00192E4D">
              <w:rPr>
                <w:sz w:val="18"/>
                <w:szCs w:val="18"/>
              </w:rPr>
              <w:t>%</w:t>
            </w:r>
            <w:bookmarkStart w:id="176" w:name="_Toc40281154"/>
            <w:bookmarkStart w:id="177" w:name="_Toc40281313"/>
            <w:bookmarkEnd w:id="176"/>
            <w:bookmarkEnd w:id="177"/>
          </w:p>
        </w:tc>
        <w:bookmarkStart w:id="178" w:name="_Toc40281155"/>
        <w:bookmarkStart w:id="179" w:name="_Toc40281314"/>
        <w:bookmarkEnd w:id="178"/>
        <w:bookmarkEnd w:id="179"/>
      </w:tr>
      <w:tr w:rsidR="000A2AF7" w:rsidRPr="00B664C6" w14:paraId="0C8A5443" w14:textId="226001B5" w:rsidTr="00215006">
        <w:trPr>
          <w:gridAfter w:val="1"/>
          <w:wAfter w:w="9" w:type="dxa"/>
          <w:trHeight w:val="37"/>
        </w:trPr>
        <w:tc>
          <w:tcPr>
            <w:tcW w:w="2700" w:type="dxa"/>
            <w:tcBorders>
              <w:top w:val="nil"/>
              <w:left w:val="nil"/>
              <w:bottom w:val="single" w:sz="4" w:space="0" w:color="auto"/>
              <w:right w:val="nil"/>
            </w:tcBorders>
            <w:hideMark/>
          </w:tcPr>
          <w:p w14:paraId="0093E6C9" w14:textId="72168431" w:rsidR="000A2AF7" w:rsidRPr="00B664C6" w:rsidRDefault="000A2AF7" w:rsidP="000A2AF7">
            <w:pPr>
              <w:keepNext/>
              <w:suppressAutoHyphens w:val="0"/>
              <w:spacing w:line="240" w:lineRule="auto"/>
              <w:rPr>
                <w:b/>
                <w:bCs/>
                <w:color w:val="000000"/>
                <w:spacing w:val="0"/>
                <w:w w:val="100"/>
                <w:kern w:val="0"/>
                <w:sz w:val="18"/>
                <w:szCs w:val="18"/>
                <w:lang w:val="en-US"/>
              </w:rPr>
            </w:pPr>
            <w:r w:rsidRPr="00B664C6">
              <w:rPr>
                <w:b/>
                <w:bCs/>
                <w:color w:val="000000"/>
                <w:spacing w:val="0"/>
                <w:w w:val="100"/>
                <w:kern w:val="0"/>
                <w:sz w:val="18"/>
                <w:szCs w:val="18"/>
                <w:lang w:val="en-US"/>
              </w:rPr>
              <w:t>Reserves</w:t>
            </w:r>
            <w:bookmarkStart w:id="180" w:name="_Toc40281156"/>
            <w:bookmarkStart w:id="181" w:name="_Toc40281315"/>
            <w:bookmarkEnd w:id="180"/>
            <w:bookmarkEnd w:id="181"/>
            <w:r w:rsidRPr="001A2316">
              <w:rPr>
                <w:rStyle w:val="FootnoteReference"/>
                <w:b/>
                <w:bCs/>
                <w:color w:val="auto"/>
                <w:sz w:val="18"/>
                <w:szCs w:val="18"/>
                <w:lang w:val="en-US"/>
              </w:rPr>
              <w:footnoteReference w:id="2"/>
            </w:r>
          </w:p>
        </w:tc>
        <w:tc>
          <w:tcPr>
            <w:tcW w:w="1696" w:type="dxa"/>
            <w:tcBorders>
              <w:top w:val="nil"/>
              <w:left w:val="nil"/>
              <w:bottom w:val="single" w:sz="4" w:space="0" w:color="auto"/>
              <w:right w:val="nil"/>
            </w:tcBorders>
          </w:tcPr>
          <w:p w14:paraId="450963DE" w14:textId="3AAEE377"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82" w:name="_Toc40281157"/>
            <w:bookmarkStart w:id="183" w:name="_Toc40281316"/>
            <w:bookmarkEnd w:id="182"/>
            <w:bookmarkEnd w:id="183"/>
            <w:r>
              <w:rPr>
                <w:sz w:val="18"/>
                <w:szCs w:val="18"/>
              </w:rPr>
              <w:t>309</w:t>
            </w:r>
            <w:bookmarkStart w:id="184" w:name="_Toc40281158"/>
            <w:bookmarkStart w:id="185" w:name="_Toc40281317"/>
            <w:bookmarkEnd w:id="184"/>
            <w:bookmarkEnd w:id="185"/>
          </w:p>
        </w:tc>
        <w:tc>
          <w:tcPr>
            <w:tcW w:w="1434" w:type="dxa"/>
            <w:tcBorders>
              <w:top w:val="nil"/>
              <w:left w:val="nil"/>
              <w:bottom w:val="single" w:sz="4" w:space="0" w:color="auto"/>
              <w:right w:val="nil"/>
            </w:tcBorders>
          </w:tcPr>
          <w:p w14:paraId="144913FE" w14:textId="62592B03"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86" w:name="_Toc40281159"/>
            <w:bookmarkStart w:id="187" w:name="_Toc40281318"/>
            <w:bookmarkEnd w:id="186"/>
            <w:bookmarkEnd w:id="187"/>
            <w:r>
              <w:rPr>
                <w:sz w:val="18"/>
                <w:szCs w:val="18"/>
              </w:rPr>
              <w:t>302</w:t>
            </w:r>
            <w:bookmarkStart w:id="188" w:name="_Toc40281160"/>
            <w:bookmarkStart w:id="189" w:name="_Toc40281319"/>
            <w:bookmarkEnd w:id="188"/>
            <w:bookmarkEnd w:id="189"/>
          </w:p>
        </w:tc>
        <w:tc>
          <w:tcPr>
            <w:tcW w:w="1434" w:type="dxa"/>
            <w:tcBorders>
              <w:top w:val="nil"/>
              <w:left w:val="nil"/>
              <w:bottom w:val="single" w:sz="4" w:space="0" w:color="auto"/>
              <w:right w:val="nil"/>
            </w:tcBorders>
            <w:noWrap/>
          </w:tcPr>
          <w:p w14:paraId="5290BC22" w14:textId="11D409AE"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7</w:t>
            </w:r>
            <w:bookmarkStart w:id="190" w:name="_Toc40281161"/>
            <w:bookmarkStart w:id="191" w:name="_Toc40281320"/>
            <w:bookmarkEnd w:id="190"/>
            <w:bookmarkEnd w:id="191"/>
          </w:p>
        </w:tc>
        <w:tc>
          <w:tcPr>
            <w:tcW w:w="1435" w:type="dxa"/>
            <w:tcBorders>
              <w:top w:val="nil"/>
              <w:left w:val="nil"/>
              <w:bottom w:val="single" w:sz="4" w:space="0" w:color="auto"/>
              <w:right w:val="nil"/>
            </w:tcBorders>
            <w:noWrap/>
          </w:tcPr>
          <w:p w14:paraId="158E3B6C" w14:textId="0E8407CB"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3</w:t>
            </w:r>
            <w:r w:rsidRPr="00192E4D">
              <w:rPr>
                <w:sz w:val="18"/>
                <w:szCs w:val="18"/>
              </w:rPr>
              <w:t>%</w:t>
            </w:r>
            <w:bookmarkStart w:id="192" w:name="_Toc40281162"/>
            <w:bookmarkStart w:id="193" w:name="_Toc40281321"/>
            <w:bookmarkEnd w:id="192"/>
            <w:bookmarkEnd w:id="193"/>
          </w:p>
        </w:tc>
        <w:bookmarkStart w:id="194" w:name="_Toc40281163"/>
        <w:bookmarkStart w:id="195" w:name="_Toc40281322"/>
        <w:bookmarkEnd w:id="194"/>
        <w:bookmarkEnd w:id="195"/>
      </w:tr>
      <w:tr w:rsidR="000A2AF7" w:rsidRPr="00B664C6" w14:paraId="78981BEB" w14:textId="7B89049D" w:rsidTr="00215006">
        <w:trPr>
          <w:gridAfter w:val="1"/>
          <w:wAfter w:w="9" w:type="dxa"/>
          <w:trHeight w:val="206"/>
        </w:trPr>
        <w:tc>
          <w:tcPr>
            <w:tcW w:w="2700" w:type="dxa"/>
            <w:tcBorders>
              <w:top w:val="single" w:sz="4" w:space="0" w:color="auto"/>
              <w:left w:val="nil"/>
              <w:bottom w:val="nil"/>
              <w:right w:val="nil"/>
            </w:tcBorders>
            <w:noWrap/>
            <w:hideMark/>
          </w:tcPr>
          <w:p w14:paraId="31CF4065" w14:textId="02475338" w:rsidR="000A2AF7" w:rsidRPr="00B664C6" w:rsidRDefault="000A2AF7" w:rsidP="000A2AF7">
            <w:pPr>
              <w:keepNext/>
              <w:suppressAutoHyphens w:val="0"/>
              <w:spacing w:line="240" w:lineRule="auto"/>
              <w:rPr>
                <w:color w:val="000000"/>
                <w:spacing w:val="0"/>
                <w:w w:val="100"/>
                <w:kern w:val="0"/>
                <w:sz w:val="18"/>
                <w:szCs w:val="18"/>
                <w:lang w:val="en-US"/>
              </w:rPr>
            </w:pPr>
            <w:r w:rsidRPr="00B664C6">
              <w:rPr>
                <w:color w:val="000000"/>
                <w:spacing w:val="0"/>
                <w:w w:val="100"/>
                <w:kern w:val="0"/>
                <w:sz w:val="18"/>
                <w:szCs w:val="18"/>
                <w:lang w:val="en-US"/>
              </w:rPr>
              <w:t> </w:t>
            </w:r>
            <w:bookmarkStart w:id="196" w:name="_Toc40281164"/>
            <w:bookmarkStart w:id="197" w:name="_Toc40281323"/>
            <w:bookmarkEnd w:id="196"/>
            <w:bookmarkEnd w:id="197"/>
          </w:p>
        </w:tc>
        <w:tc>
          <w:tcPr>
            <w:tcW w:w="1696" w:type="dxa"/>
            <w:tcBorders>
              <w:top w:val="single" w:sz="4" w:space="0" w:color="auto"/>
              <w:left w:val="nil"/>
              <w:bottom w:val="nil"/>
              <w:right w:val="nil"/>
            </w:tcBorders>
          </w:tcPr>
          <w:p w14:paraId="76E6230D" w14:textId="7A2527BE"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198" w:name="_Toc40281165"/>
            <w:bookmarkStart w:id="199" w:name="_Toc40281324"/>
            <w:bookmarkEnd w:id="198"/>
            <w:bookmarkEnd w:id="199"/>
            <w:r w:rsidRPr="00192E4D">
              <w:rPr>
                <w:sz w:val="18"/>
                <w:szCs w:val="18"/>
              </w:rPr>
              <w:t>1</w:t>
            </w:r>
            <w:r>
              <w:rPr>
                <w:sz w:val="18"/>
                <w:szCs w:val="18"/>
              </w:rPr>
              <w:t>1 749</w:t>
            </w:r>
          </w:p>
        </w:tc>
        <w:tc>
          <w:tcPr>
            <w:tcW w:w="1434" w:type="dxa"/>
            <w:tcBorders>
              <w:top w:val="single" w:sz="4" w:space="0" w:color="auto"/>
              <w:left w:val="nil"/>
              <w:bottom w:val="nil"/>
              <w:right w:val="nil"/>
            </w:tcBorders>
          </w:tcPr>
          <w:p w14:paraId="75DBAB0C" w14:textId="102CCA25" w:rsidR="000A2AF7" w:rsidRPr="00B664C6" w:rsidRDefault="000A2AF7" w:rsidP="000A2AF7">
            <w:pPr>
              <w:keepNext/>
              <w:suppressAutoHyphens w:val="0"/>
              <w:spacing w:line="240" w:lineRule="auto"/>
              <w:jc w:val="right"/>
              <w:rPr>
                <w:color w:val="000000"/>
                <w:spacing w:val="0"/>
                <w:w w:val="100"/>
                <w:kern w:val="0"/>
                <w:sz w:val="18"/>
                <w:szCs w:val="18"/>
                <w:lang w:val="en-US"/>
              </w:rPr>
            </w:pPr>
            <w:bookmarkStart w:id="200" w:name="_Toc40281167"/>
            <w:bookmarkStart w:id="201" w:name="_Toc40281326"/>
            <w:bookmarkEnd w:id="200"/>
            <w:bookmarkEnd w:id="201"/>
            <w:r w:rsidRPr="00192E4D">
              <w:rPr>
                <w:sz w:val="18"/>
                <w:szCs w:val="18"/>
              </w:rPr>
              <w:t xml:space="preserve">11 </w:t>
            </w:r>
            <w:r>
              <w:rPr>
                <w:sz w:val="18"/>
                <w:szCs w:val="18"/>
              </w:rPr>
              <w:t>577</w:t>
            </w:r>
            <w:bookmarkStart w:id="202" w:name="_Toc40281168"/>
            <w:bookmarkStart w:id="203" w:name="_Toc40281327"/>
            <w:bookmarkEnd w:id="202"/>
            <w:bookmarkEnd w:id="203"/>
          </w:p>
        </w:tc>
        <w:tc>
          <w:tcPr>
            <w:tcW w:w="1434" w:type="dxa"/>
            <w:tcBorders>
              <w:top w:val="single" w:sz="4" w:space="0" w:color="auto"/>
              <w:left w:val="nil"/>
              <w:bottom w:val="nil"/>
              <w:right w:val="nil"/>
            </w:tcBorders>
            <w:noWrap/>
          </w:tcPr>
          <w:p w14:paraId="073DD8FC" w14:textId="2153B9A5" w:rsidR="000A2AF7" w:rsidRPr="00B664C6" w:rsidRDefault="000A2AF7" w:rsidP="000A2AF7">
            <w:pPr>
              <w:keepNext/>
              <w:suppressAutoHyphens w:val="0"/>
              <w:spacing w:line="240" w:lineRule="auto"/>
              <w:jc w:val="right"/>
              <w:rPr>
                <w:color w:val="000000"/>
                <w:spacing w:val="0"/>
                <w:w w:val="100"/>
                <w:kern w:val="0"/>
                <w:sz w:val="18"/>
                <w:szCs w:val="18"/>
                <w:lang w:val="en-US"/>
              </w:rPr>
            </w:pPr>
            <w:r>
              <w:rPr>
                <w:sz w:val="18"/>
                <w:szCs w:val="18"/>
              </w:rPr>
              <w:t>172</w:t>
            </w:r>
          </w:p>
        </w:tc>
        <w:tc>
          <w:tcPr>
            <w:tcW w:w="1435" w:type="dxa"/>
            <w:tcBorders>
              <w:top w:val="single" w:sz="4" w:space="0" w:color="auto"/>
              <w:left w:val="nil"/>
              <w:bottom w:val="nil"/>
              <w:right w:val="nil"/>
            </w:tcBorders>
            <w:noWrap/>
          </w:tcPr>
          <w:p w14:paraId="6AB9E521" w14:textId="0B64E44F" w:rsidR="000A2AF7" w:rsidRPr="00B664C6" w:rsidRDefault="000A2AF7" w:rsidP="000A2AF7">
            <w:pPr>
              <w:keepNext/>
              <w:suppressAutoHyphens w:val="0"/>
              <w:spacing w:line="240" w:lineRule="auto"/>
              <w:jc w:val="center"/>
              <w:rPr>
                <w:color w:val="000000"/>
                <w:spacing w:val="0"/>
                <w:w w:val="100"/>
                <w:kern w:val="0"/>
                <w:sz w:val="18"/>
                <w:szCs w:val="18"/>
                <w:lang w:val="en-US"/>
              </w:rPr>
            </w:pPr>
            <w:r>
              <w:rPr>
                <w:sz w:val="18"/>
                <w:szCs w:val="18"/>
              </w:rPr>
              <w:t>1</w:t>
            </w:r>
            <w:r w:rsidRPr="00192E4D">
              <w:rPr>
                <w:sz w:val="18"/>
                <w:szCs w:val="18"/>
              </w:rPr>
              <w:t>%</w:t>
            </w:r>
            <w:bookmarkStart w:id="204" w:name="_Toc40281170"/>
            <w:bookmarkStart w:id="205" w:name="_Toc40281329"/>
            <w:bookmarkEnd w:id="204"/>
            <w:bookmarkEnd w:id="205"/>
          </w:p>
        </w:tc>
        <w:bookmarkStart w:id="206" w:name="_Toc40281171"/>
        <w:bookmarkStart w:id="207" w:name="_Toc40281330"/>
        <w:bookmarkEnd w:id="206"/>
        <w:bookmarkEnd w:id="207"/>
      </w:tr>
      <w:tr w:rsidR="00F178B6" w:rsidRPr="00B664C6" w14:paraId="56BB2EE9" w14:textId="0C0E4B44" w:rsidTr="00A87E6F">
        <w:trPr>
          <w:trHeight w:val="226"/>
        </w:trPr>
        <w:tc>
          <w:tcPr>
            <w:tcW w:w="8708" w:type="dxa"/>
            <w:gridSpan w:val="6"/>
            <w:tcBorders>
              <w:top w:val="nil"/>
              <w:left w:val="nil"/>
              <w:bottom w:val="nil"/>
              <w:right w:val="nil"/>
            </w:tcBorders>
          </w:tcPr>
          <w:p w14:paraId="00DDC42A" w14:textId="30D1DC46" w:rsidR="00F178B6" w:rsidRPr="00F178B6" w:rsidRDefault="00F178B6" w:rsidP="00F178B6">
            <w:pPr>
              <w:keepNext/>
              <w:rPr>
                <w:sz w:val="13"/>
                <w:szCs w:val="13"/>
              </w:rPr>
            </w:pPr>
            <w:bookmarkStart w:id="208" w:name="_Toc40281172"/>
            <w:bookmarkStart w:id="209" w:name="_Toc40281331"/>
            <w:bookmarkStart w:id="210" w:name="_Toc40281180"/>
            <w:bookmarkStart w:id="211" w:name="_Toc40281339"/>
            <w:bookmarkStart w:id="212" w:name="_Toc40281181"/>
            <w:bookmarkStart w:id="213" w:name="_Toc40281340"/>
            <w:bookmarkEnd w:id="208"/>
            <w:bookmarkEnd w:id="209"/>
            <w:bookmarkEnd w:id="210"/>
            <w:bookmarkEnd w:id="211"/>
            <w:bookmarkEnd w:id="212"/>
            <w:bookmarkEnd w:id="213"/>
            <w:r w:rsidRPr="00490D21">
              <w:rPr>
                <w:vertAlign w:val="superscript"/>
              </w:rPr>
              <w:t>a</w:t>
            </w:r>
            <w:r w:rsidRPr="00490D21">
              <w:rPr>
                <w:sz w:val="18"/>
                <w:szCs w:val="18"/>
              </w:rPr>
              <w:t xml:space="preserve"> </w:t>
            </w:r>
            <w:r w:rsidRPr="00560317">
              <w:rPr>
                <w:sz w:val="13"/>
                <w:szCs w:val="13"/>
              </w:rPr>
              <w:t xml:space="preserve">Revenue and expense amounts are after elimination </w:t>
            </w:r>
            <w:r>
              <w:rPr>
                <w:sz w:val="13"/>
                <w:szCs w:val="13"/>
              </w:rPr>
              <w:t xml:space="preserve">of internal cost recovery </w:t>
            </w:r>
            <w:r w:rsidRPr="00560317">
              <w:rPr>
                <w:sz w:val="13"/>
                <w:szCs w:val="13"/>
              </w:rPr>
              <w:t>of $2</w:t>
            </w:r>
            <w:r w:rsidR="00667AAE">
              <w:rPr>
                <w:sz w:val="13"/>
                <w:szCs w:val="13"/>
              </w:rPr>
              <w:t>70</w:t>
            </w:r>
            <w:r w:rsidRPr="00560317">
              <w:rPr>
                <w:sz w:val="13"/>
                <w:szCs w:val="13"/>
              </w:rPr>
              <w:t xml:space="preserve"> million in 202</w:t>
            </w:r>
            <w:r w:rsidR="00667AAE">
              <w:rPr>
                <w:sz w:val="13"/>
                <w:szCs w:val="13"/>
              </w:rPr>
              <w:t>2</w:t>
            </w:r>
            <w:r w:rsidRPr="00560317">
              <w:rPr>
                <w:sz w:val="13"/>
                <w:szCs w:val="13"/>
              </w:rPr>
              <w:t xml:space="preserve"> and </w:t>
            </w:r>
            <w:r w:rsidR="00667AAE" w:rsidRPr="00560317">
              <w:rPr>
                <w:sz w:val="13"/>
                <w:szCs w:val="13"/>
              </w:rPr>
              <w:t>$261 million in 2021</w:t>
            </w:r>
            <w:r w:rsidRPr="00560317">
              <w:rPr>
                <w:sz w:val="13"/>
                <w:szCs w:val="13"/>
              </w:rPr>
              <w:t>.</w:t>
            </w:r>
            <w:bookmarkStart w:id="214" w:name="_Toc40281182"/>
            <w:bookmarkStart w:id="215" w:name="_Toc40281341"/>
            <w:bookmarkEnd w:id="214"/>
            <w:bookmarkEnd w:id="215"/>
          </w:p>
        </w:tc>
        <w:bookmarkStart w:id="216" w:name="_Toc40281183"/>
        <w:bookmarkStart w:id="217" w:name="_Toc40281342"/>
        <w:bookmarkEnd w:id="216"/>
        <w:bookmarkEnd w:id="217"/>
      </w:tr>
      <w:tr w:rsidR="00F178B6" w:rsidRPr="00B664C6" w14:paraId="31812186" w14:textId="3F4E26F4" w:rsidTr="00A87E6F">
        <w:trPr>
          <w:trHeight w:val="293"/>
        </w:trPr>
        <w:tc>
          <w:tcPr>
            <w:tcW w:w="8708" w:type="dxa"/>
            <w:gridSpan w:val="6"/>
            <w:tcBorders>
              <w:top w:val="nil"/>
              <w:left w:val="nil"/>
              <w:bottom w:val="nil"/>
              <w:right w:val="nil"/>
            </w:tcBorders>
          </w:tcPr>
          <w:p w14:paraId="66038E90" w14:textId="54BA5DE0" w:rsidR="00F178B6" w:rsidRPr="00B664C6" w:rsidRDefault="005E6E44" w:rsidP="00F178B6">
            <w:pPr>
              <w:keepNext/>
              <w:suppressAutoHyphens w:val="0"/>
              <w:spacing w:line="240" w:lineRule="auto"/>
              <w:rPr>
                <w:spacing w:val="0"/>
                <w:w w:val="100"/>
                <w:kern w:val="0"/>
                <w:sz w:val="16"/>
                <w:szCs w:val="16"/>
                <w:lang w:val="en-US"/>
              </w:rPr>
            </w:pPr>
            <w:bookmarkStart w:id="218" w:name="_Toc40281184"/>
            <w:bookmarkStart w:id="219" w:name="_Toc40281343"/>
            <w:bookmarkStart w:id="220" w:name="_Toc40281185"/>
            <w:bookmarkStart w:id="221" w:name="_Toc40281344"/>
            <w:bookmarkEnd w:id="218"/>
            <w:bookmarkEnd w:id="219"/>
            <w:bookmarkEnd w:id="220"/>
            <w:bookmarkEnd w:id="221"/>
            <w:r>
              <w:rPr>
                <w:sz w:val="13"/>
                <w:szCs w:val="13"/>
                <w:shd w:val="clear" w:color="auto" w:fill="FFFFFF"/>
              </w:rPr>
              <w:t xml:space="preserve">   </w:t>
            </w:r>
            <w:r w:rsidR="00F178B6" w:rsidRPr="00560317">
              <w:rPr>
                <w:sz w:val="13"/>
                <w:szCs w:val="13"/>
                <w:shd w:val="clear" w:color="auto" w:fill="FFFFFF"/>
              </w:rPr>
              <w:t xml:space="preserve">Before elimination: </w:t>
            </w:r>
            <w:r w:rsidR="00357911" w:rsidRPr="001F2C16">
              <w:rPr>
                <w:sz w:val="13"/>
                <w:szCs w:val="13"/>
                <w:shd w:val="clear" w:color="auto" w:fill="FFFFFF"/>
              </w:rPr>
              <w:t>Total revenue: $5 592 million in 2022; $5 898 million in 2021</w:t>
            </w:r>
            <w:r w:rsidR="00357911" w:rsidRPr="001F2C16">
              <w:rPr>
                <w:sz w:val="13"/>
                <w:szCs w:val="13"/>
                <w:shd w:val="clear" w:color="auto" w:fill="FFFFFF"/>
              </w:rPr>
              <w:br/>
              <w:t xml:space="preserve">                                  Total expense: $5 618 million in 2022; $5 646 million in 2021</w:t>
            </w:r>
            <w:bookmarkStart w:id="222" w:name="_Toc40281186"/>
            <w:bookmarkStart w:id="223" w:name="_Toc40281345"/>
            <w:bookmarkEnd w:id="222"/>
            <w:bookmarkEnd w:id="223"/>
          </w:p>
        </w:tc>
        <w:bookmarkStart w:id="224" w:name="_Toc40281187"/>
        <w:bookmarkStart w:id="225" w:name="_Toc40281346"/>
        <w:bookmarkEnd w:id="224"/>
        <w:bookmarkEnd w:id="225"/>
      </w:tr>
      <w:tr w:rsidR="003C31AA" w:rsidRPr="00B664C6" w14:paraId="64F02A2C" w14:textId="77777777" w:rsidTr="00A87E6F">
        <w:trPr>
          <w:trHeight w:val="293"/>
        </w:trPr>
        <w:tc>
          <w:tcPr>
            <w:tcW w:w="8708" w:type="dxa"/>
            <w:gridSpan w:val="6"/>
            <w:tcBorders>
              <w:top w:val="nil"/>
              <w:left w:val="nil"/>
              <w:bottom w:val="nil"/>
              <w:right w:val="nil"/>
            </w:tcBorders>
          </w:tcPr>
          <w:p w14:paraId="01C1052C" w14:textId="77777777" w:rsidR="003C31AA" w:rsidRPr="00357911" w:rsidRDefault="003C31AA" w:rsidP="009741B1">
            <w:pPr>
              <w:keepNext/>
              <w:suppressAutoHyphens w:val="0"/>
              <w:spacing w:line="240" w:lineRule="auto"/>
              <w:rPr>
                <w:spacing w:val="0"/>
                <w:w w:val="100"/>
                <w:kern w:val="0"/>
                <w:sz w:val="16"/>
                <w:szCs w:val="16"/>
              </w:rPr>
            </w:pPr>
          </w:p>
        </w:tc>
      </w:tr>
    </w:tbl>
    <w:p w14:paraId="1F266041" w14:textId="77777777" w:rsidR="003C31AA" w:rsidRDefault="003C31AA" w:rsidP="003C31AA">
      <w:pPr>
        <w:pStyle w:val="H1"/>
        <w:tabs>
          <w:tab w:val="clear" w:pos="1022"/>
          <w:tab w:val="clear" w:pos="1742"/>
          <w:tab w:val="right" w:pos="1440"/>
          <w:tab w:val="left" w:pos="1800"/>
        </w:tabs>
        <w:spacing w:before="240" w:after="240" w:line="240" w:lineRule="auto"/>
        <w:ind w:right="0"/>
        <w:outlineLvl w:val="1"/>
      </w:pPr>
      <w:bookmarkStart w:id="226" w:name="_Toc40281188"/>
      <w:bookmarkStart w:id="227" w:name="_Toc40281347"/>
      <w:bookmarkEnd w:id="226"/>
      <w:bookmarkEnd w:id="227"/>
    </w:p>
    <w:p w14:paraId="24068387" w14:textId="024B55C7" w:rsidR="005156D7" w:rsidRPr="00B664C6" w:rsidRDefault="00354CF1" w:rsidP="009E5F63">
      <w:pPr>
        <w:pStyle w:val="H1"/>
        <w:numPr>
          <w:ilvl w:val="1"/>
          <w:numId w:val="6"/>
        </w:numPr>
        <w:tabs>
          <w:tab w:val="clear" w:pos="1022"/>
          <w:tab w:val="clear" w:pos="1742"/>
          <w:tab w:val="right" w:pos="1440"/>
          <w:tab w:val="left" w:pos="1800"/>
        </w:tabs>
        <w:spacing w:before="240" w:after="240" w:line="240" w:lineRule="auto"/>
        <w:ind w:left="1152" w:right="0"/>
        <w:outlineLvl w:val="1"/>
      </w:pPr>
      <w:bookmarkStart w:id="228" w:name="_Toc139289132"/>
      <w:r w:rsidRPr="00B664C6">
        <w:t>R</w:t>
      </w:r>
      <w:r w:rsidR="005156D7" w:rsidRPr="00B664C6">
        <w:t>evenue</w:t>
      </w:r>
      <w:bookmarkEnd w:id="228"/>
    </w:p>
    <w:p w14:paraId="32B9FD63" w14:textId="42B06B43" w:rsidR="0008355C" w:rsidRPr="00B664C6" w:rsidRDefault="001376AA" w:rsidP="00AF3FD4">
      <w:pPr>
        <w:pStyle w:val="ListParagraph"/>
        <w:numPr>
          <w:ilvl w:val="0"/>
          <w:numId w:val="5"/>
        </w:numPr>
        <w:spacing w:before="240" w:after="240" w:line="240" w:lineRule="auto"/>
        <w:ind w:right="1267"/>
        <w:contextualSpacing w:val="0"/>
        <w:jc w:val="both"/>
      </w:pPr>
      <w:bookmarkStart w:id="229" w:name="_Hlk882987"/>
      <w:r w:rsidRPr="00B664C6">
        <w:t>Total revenue</w:t>
      </w:r>
      <w:r w:rsidR="002311E9" w:rsidRPr="00B664C6">
        <w:t xml:space="preserve"> (including contributions, investment revenue, exchange revenues, etc.) in 20</w:t>
      </w:r>
      <w:r w:rsidR="00B42824" w:rsidRPr="00B664C6">
        <w:t>2</w:t>
      </w:r>
      <w:r w:rsidR="00302ED2">
        <w:t>2</w:t>
      </w:r>
      <w:r w:rsidR="002311E9" w:rsidRPr="00B664C6">
        <w:t xml:space="preserve"> was </w:t>
      </w:r>
      <w:r w:rsidR="002344BA" w:rsidRPr="00B664C6">
        <w:t>$</w:t>
      </w:r>
      <w:r w:rsidR="00CE2276">
        <w:t>5.</w:t>
      </w:r>
      <w:r w:rsidR="009A0556">
        <w:t>3</w:t>
      </w:r>
      <w:r w:rsidR="00E50C72" w:rsidRPr="00B664C6">
        <w:t xml:space="preserve"> </w:t>
      </w:r>
      <w:r w:rsidR="002344BA" w:rsidRPr="00B664C6">
        <w:t xml:space="preserve">billion, </w:t>
      </w:r>
      <w:r w:rsidR="006D1A48" w:rsidRPr="00B664C6">
        <w:t>a</w:t>
      </w:r>
      <w:r w:rsidR="00B42824" w:rsidRPr="00B664C6">
        <w:t xml:space="preserve"> </w:t>
      </w:r>
      <w:r w:rsidR="0021008B">
        <w:t>de</w:t>
      </w:r>
      <w:r w:rsidR="00B42824" w:rsidRPr="00B664C6">
        <w:t>crease</w:t>
      </w:r>
      <w:r w:rsidR="006D1A48" w:rsidRPr="00B664C6">
        <w:t xml:space="preserve"> of $</w:t>
      </w:r>
      <w:r w:rsidR="009A0556">
        <w:t>315 m</w:t>
      </w:r>
      <w:r w:rsidR="006D1A48" w:rsidRPr="00B664C6">
        <w:t xml:space="preserve">illion or </w:t>
      </w:r>
      <w:r w:rsidR="009A0556">
        <w:t>6</w:t>
      </w:r>
      <w:r w:rsidR="006D1A48" w:rsidRPr="00B664C6">
        <w:t xml:space="preserve"> per cent </w:t>
      </w:r>
      <w:r w:rsidR="00363FC4">
        <w:t>from</w:t>
      </w:r>
      <w:r w:rsidR="00363FC4" w:rsidRPr="00B664C6">
        <w:t xml:space="preserve"> </w:t>
      </w:r>
      <w:r w:rsidR="00F976AF" w:rsidRPr="00B664C6">
        <w:t>20</w:t>
      </w:r>
      <w:r w:rsidR="0021008B">
        <w:t>2</w:t>
      </w:r>
      <w:r w:rsidR="009A0556">
        <w:t>1</w:t>
      </w:r>
      <w:r w:rsidR="006D1A48" w:rsidRPr="00B664C6">
        <w:t xml:space="preserve"> revenue of $</w:t>
      </w:r>
      <w:r w:rsidR="009A0556">
        <w:t>5</w:t>
      </w:r>
      <w:r w:rsidR="0021008B">
        <w:t>.6</w:t>
      </w:r>
      <w:r w:rsidR="006D1A48" w:rsidRPr="00B664C6">
        <w:t xml:space="preserve"> billion</w:t>
      </w:r>
      <w:r w:rsidRPr="00B664C6">
        <w:t>.</w:t>
      </w:r>
    </w:p>
    <w:p w14:paraId="3740481C" w14:textId="7AAD9E24" w:rsidR="00D60ACA" w:rsidRPr="00B664C6" w:rsidRDefault="00D60ACA" w:rsidP="000578BE">
      <w:pPr>
        <w:pStyle w:val="H4"/>
        <w:tabs>
          <w:tab w:val="clear" w:pos="1742"/>
          <w:tab w:val="left" w:pos="1440"/>
          <w:tab w:val="left" w:pos="1620"/>
        </w:tabs>
        <w:spacing w:before="240" w:after="240" w:line="240" w:lineRule="auto"/>
        <w:ind w:left="983" w:firstLine="0"/>
        <w:outlineLvl w:val="2"/>
      </w:pPr>
      <w:bookmarkStart w:id="230" w:name="_Toc40281190"/>
      <w:bookmarkStart w:id="231" w:name="_Toc40281349"/>
      <w:bookmarkStart w:id="232" w:name="_Toc44499876"/>
      <w:bookmarkStart w:id="233" w:name="_Toc44603224"/>
      <w:bookmarkStart w:id="234" w:name="_Toc44606537"/>
      <w:bookmarkStart w:id="235" w:name="_Toc45297423"/>
      <w:bookmarkStart w:id="236" w:name="_Toc46221131"/>
      <w:bookmarkStart w:id="237" w:name="_Toc46399196"/>
      <w:bookmarkStart w:id="238" w:name="_Toc75466833"/>
      <w:bookmarkStart w:id="239" w:name="_Toc139289025"/>
      <w:bookmarkStart w:id="240" w:name="_Toc139289133"/>
      <w:r w:rsidRPr="00B664C6">
        <w:t xml:space="preserve">Voluntary </w:t>
      </w:r>
      <w:r w:rsidRPr="00B664C6" w:rsidDel="00FA1EE2">
        <w:t>C</w:t>
      </w:r>
      <w:r w:rsidRPr="00B664C6">
        <w:t>ontributions</w:t>
      </w:r>
      <w:bookmarkEnd w:id="230"/>
      <w:bookmarkEnd w:id="231"/>
      <w:bookmarkEnd w:id="232"/>
      <w:bookmarkEnd w:id="233"/>
      <w:bookmarkEnd w:id="234"/>
      <w:bookmarkEnd w:id="235"/>
      <w:bookmarkEnd w:id="236"/>
      <w:bookmarkEnd w:id="237"/>
      <w:bookmarkEnd w:id="238"/>
      <w:bookmarkEnd w:id="239"/>
      <w:bookmarkEnd w:id="240"/>
    </w:p>
    <w:p w14:paraId="524CFCCB" w14:textId="07342592" w:rsidR="009E482C" w:rsidRPr="00B664C6" w:rsidRDefault="00D049F7" w:rsidP="002C2A17">
      <w:pPr>
        <w:pStyle w:val="ListParagraph"/>
        <w:numPr>
          <w:ilvl w:val="0"/>
          <w:numId w:val="5"/>
        </w:numPr>
        <w:spacing w:before="240" w:after="240" w:line="240" w:lineRule="auto"/>
        <w:ind w:right="1267"/>
        <w:contextualSpacing w:val="0"/>
        <w:jc w:val="both"/>
      </w:pPr>
      <w:r w:rsidRPr="00B664C6">
        <w:t xml:space="preserve">Voluntary Contributions </w:t>
      </w:r>
      <w:r w:rsidR="001768E5" w:rsidRPr="00B664C6">
        <w:t xml:space="preserve">reported in the financial statements in </w:t>
      </w:r>
      <w:r w:rsidR="0083290C" w:rsidRPr="00B664C6">
        <w:t>202</w:t>
      </w:r>
      <w:r w:rsidR="009A0556">
        <w:t>2</w:t>
      </w:r>
      <w:r w:rsidR="0003402B" w:rsidRPr="00B664C6">
        <w:t xml:space="preserve"> </w:t>
      </w:r>
      <w:r w:rsidR="001448B4" w:rsidRPr="00B664C6">
        <w:t>totalled</w:t>
      </w:r>
      <w:r w:rsidR="00BE6087" w:rsidRPr="00B664C6">
        <w:t xml:space="preserve"> </w:t>
      </w:r>
      <w:r w:rsidRPr="00B664C6">
        <w:t>$</w:t>
      </w:r>
      <w:r w:rsidR="004A54B7">
        <w:t>5</w:t>
      </w:r>
      <w:r w:rsidR="009B112A" w:rsidRPr="00B664C6">
        <w:t>.</w:t>
      </w:r>
      <w:r w:rsidR="005C6277">
        <w:t>0</w:t>
      </w:r>
      <w:r w:rsidR="003E2063" w:rsidRPr="00B664C6">
        <w:t xml:space="preserve"> billion</w:t>
      </w:r>
      <w:r w:rsidRPr="00B664C6">
        <w:t>, a</w:t>
      </w:r>
      <w:r w:rsidR="00AC25A2" w:rsidRPr="00B664C6">
        <w:t xml:space="preserve"> </w:t>
      </w:r>
      <w:r w:rsidR="004A54B7">
        <w:t>de</w:t>
      </w:r>
      <w:r w:rsidR="00AC25A2" w:rsidRPr="00B664C6">
        <w:t>crease</w:t>
      </w:r>
      <w:r w:rsidRPr="00B664C6">
        <w:t xml:space="preserve"> of $</w:t>
      </w:r>
      <w:r w:rsidR="005C6277">
        <w:t>306</w:t>
      </w:r>
      <w:r w:rsidRPr="00B664C6">
        <w:t> </w:t>
      </w:r>
      <w:r w:rsidR="005C6277">
        <w:t>m</w:t>
      </w:r>
      <w:r w:rsidRPr="00B664C6">
        <w:t>illion (</w:t>
      </w:r>
      <w:r w:rsidR="00D51B87">
        <w:t>6</w:t>
      </w:r>
      <w:r w:rsidRPr="00B664C6">
        <w:t xml:space="preserve"> per cent) from the </w:t>
      </w:r>
      <w:r w:rsidR="00863256" w:rsidRPr="00B664C6">
        <w:t>201</w:t>
      </w:r>
      <w:r w:rsidR="005C6277">
        <w:t>1</w:t>
      </w:r>
      <w:r w:rsidRPr="00B664C6">
        <w:t xml:space="preserve"> amount of $</w:t>
      </w:r>
      <w:r w:rsidR="005C6277">
        <w:t>5</w:t>
      </w:r>
      <w:r w:rsidR="00137E4C">
        <w:t>.3</w:t>
      </w:r>
      <w:r w:rsidR="003E2063" w:rsidRPr="00B664C6">
        <w:t xml:space="preserve"> billion</w:t>
      </w:r>
      <w:r w:rsidRPr="00B664C6">
        <w:t xml:space="preserve">. </w:t>
      </w:r>
      <w:r w:rsidR="00AD2AA7" w:rsidRPr="00B664C6">
        <w:t>Of $</w:t>
      </w:r>
      <w:r w:rsidR="00940009">
        <w:t>5</w:t>
      </w:r>
      <w:r w:rsidR="009B112A" w:rsidRPr="00B664C6">
        <w:t>.</w:t>
      </w:r>
      <w:r w:rsidR="008D5ABD">
        <w:t>0</w:t>
      </w:r>
      <w:r w:rsidR="00AD2AA7" w:rsidRPr="00B664C6">
        <w:t xml:space="preserve"> billion</w:t>
      </w:r>
      <w:r w:rsidR="002A7337">
        <w:t xml:space="preserve"> net voluntary contributions</w:t>
      </w:r>
      <w:r w:rsidR="00AD2AA7" w:rsidRPr="00B664C6">
        <w:t>, $</w:t>
      </w:r>
      <w:r w:rsidR="00FD000F">
        <w:t>60</w:t>
      </w:r>
      <w:r w:rsidR="00D47C44">
        <w:t>9</w:t>
      </w:r>
      <w:r w:rsidR="00AD2AA7" w:rsidRPr="00B664C6">
        <w:t xml:space="preserve"> million were contributions to regular (core) resources and $</w:t>
      </w:r>
      <w:r w:rsidR="00B83210">
        <w:t>4.4</w:t>
      </w:r>
      <w:r w:rsidR="00AD2AA7" w:rsidRPr="00B664C6">
        <w:t xml:space="preserve"> billion were contributions to other (non-core) resources. </w:t>
      </w:r>
      <w:r w:rsidR="00FA315A" w:rsidRPr="00200918">
        <w:t>The decrease in voluntary contributions was the result of lower revenue from regular resources and cost sharing contributions. Due to the nature of cyclical funding, the top three donors' contributions increased by $103 million from $1</w:t>
      </w:r>
      <w:r w:rsidR="001E4FAF">
        <w:t>.3</w:t>
      </w:r>
      <w:r w:rsidR="00FA315A" w:rsidRPr="00200918">
        <w:t xml:space="preserve"> </w:t>
      </w:r>
      <w:r w:rsidR="001E4FAF">
        <w:t>b</w:t>
      </w:r>
      <w:r w:rsidR="00FA315A" w:rsidRPr="00200918">
        <w:t>illion in 2021 to $1</w:t>
      </w:r>
      <w:r w:rsidR="001E4FAF">
        <w:t>.4</w:t>
      </w:r>
      <w:r w:rsidR="00FA315A" w:rsidRPr="00200918">
        <w:t xml:space="preserve"> </w:t>
      </w:r>
      <w:r w:rsidR="001E4FAF">
        <w:t>b</w:t>
      </w:r>
      <w:r w:rsidR="00FA315A" w:rsidRPr="00200918">
        <w:t>illion in 2022,</w:t>
      </w:r>
      <w:r w:rsidR="00200918">
        <w:t xml:space="preserve"> </w:t>
      </w:r>
      <w:r w:rsidR="00FA315A">
        <w:t>with a reduction in contributions from other donors.</w:t>
      </w:r>
    </w:p>
    <w:p w14:paraId="2B648C82" w14:textId="5CDBB440" w:rsidR="00E63925" w:rsidRPr="00B664C6" w:rsidRDefault="00CC3280" w:rsidP="002C2A17">
      <w:pPr>
        <w:pStyle w:val="ListParagraph"/>
        <w:numPr>
          <w:ilvl w:val="0"/>
          <w:numId w:val="5"/>
        </w:numPr>
        <w:spacing w:before="240" w:after="240" w:line="240" w:lineRule="auto"/>
        <w:ind w:right="1267"/>
        <w:contextualSpacing w:val="0"/>
        <w:jc w:val="both"/>
      </w:pPr>
      <w:r w:rsidRPr="00B664C6">
        <w:t xml:space="preserve">Voluntary </w:t>
      </w:r>
      <w:r w:rsidR="00B35857">
        <w:t>c</w:t>
      </w:r>
      <w:r w:rsidRPr="00B664C6">
        <w:t>ontributions</w:t>
      </w:r>
      <w:r w:rsidR="00C02CEB" w:rsidRPr="00B664C6">
        <w:t xml:space="preserve"> </w:t>
      </w:r>
      <w:r w:rsidR="00E63925" w:rsidRPr="00B664C6">
        <w:t>represent 9</w:t>
      </w:r>
      <w:r w:rsidR="00420C1B">
        <w:t>4</w:t>
      </w:r>
      <w:r w:rsidR="00E63925" w:rsidRPr="00B664C6">
        <w:t xml:space="preserve"> per cent </w:t>
      </w:r>
      <w:r w:rsidR="00C02CEB" w:rsidRPr="00B664C6">
        <w:t>(20</w:t>
      </w:r>
      <w:r w:rsidR="00420C1B">
        <w:t>2</w:t>
      </w:r>
      <w:r w:rsidR="009E482C">
        <w:t>1</w:t>
      </w:r>
      <w:r w:rsidR="00812EED" w:rsidRPr="00B664C6">
        <w:t>: 9</w:t>
      </w:r>
      <w:r w:rsidR="009E482C">
        <w:t>4</w:t>
      </w:r>
      <w:r w:rsidR="00812EED" w:rsidRPr="00B664C6">
        <w:t xml:space="preserve"> per cent</w:t>
      </w:r>
      <w:r w:rsidR="00C02CEB" w:rsidRPr="00B664C6">
        <w:t xml:space="preserve">) </w:t>
      </w:r>
      <w:r w:rsidR="00E63925" w:rsidRPr="00B664C6">
        <w:t xml:space="preserve">of the total revenue, with the remaining </w:t>
      </w:r>
      <w:r w:rsidR="00420C1B">
        <w:t>6</w:t>
      </w:r>
      <w:r w:rsidR="00E63925" w:rsidRPr="00B664C6">
        <w:t xml:space="preserve"> per cent largely consisting of other revenue and investment revenue, as set out in table 2a below. </w:t>
      </w:r>
    </w:p>
    <w:p w14:paraId="2224BB02" w14:textId="4FFC90CD" w:rsidR="001319A0" w:rsidRPr="00B664C6" w:rsidRDefault="00A86695" w:rsidP="00AF3FD4">
      <w:pPr>
        <w:pStyle w:val="ListParagraph"/>
        <w:numPr>
          <w:ilvl w:val="0"/>
          <w:numId w:val="5"/>
        </w:numPr>
        <w:spacing w:before="240" w:after="240" w:line="240" w:lineRule="auto"/>
        <w:ind w:right="1267"/>
        <w:contextualSpacing w:val="0"/>
        <w:jc w:val="both"/>
      </w:pPr>
      <w:r>
        <w:t xml:space="preserve">Based on the </w:t>
      </w:r>
      <w:r w:rsidR="007066F4">
        <w:t xml:space="preserve">UNDP’s </w:t>
      </w:r>
      <w:r w:rsidR="004445AE">
        <w:t>accounting policy</w:t>
      </w:r>
      <w:r w:rsidR="00B664C6">
        <w:t xml:space="preserve"> on</w:t>
      </w:r>
      <w:r w:rsidR="00DF69E9">
        <w:t xml:space="preserve"> IP</w:t>
      </w:r>
      <w:r w:rsidR="00B664C6">
        <w:t>S</w:t>
      </w:r>
      <w:r w:rsidR="00DF69E9">
        <w:t>AS 23</w:t>
      </w:r>
      <w:r w:rsidR="004445AE">
        <w:t xml:space="preserve"> for recognizing revenue from voluntary contributions</w:t>
      </w:r>
      <w:r w:rsidR="007066F4">
        <w:t xml:space="preserve"> effective in 2019</w:t>
      </w:r>
      <w:r w:rsidR="00DF3D2F">
        <w:t xml:space="preserve">, </w:t>
      </w:r>
      <w:r w:rsidR="007066F4">
        <w:t xml:space="preserve">UNDP </w:t>
      </w:r>
      <w:r w:rsidR="00415E55">
        <w:t xml:space="preserve">records </w:t>
      </w:r>
      <w:r w:rsidR="004445AE">
        <w:t xml:space="preserve">the full value of the </w:t>
      </w:r>
      <w:r w:rsidR="004445AE">
        <w:lastRenderedPageBreak/>
        <w:t xml:space="preserve">contribution agreements signed (including multi-year agreements) </w:t>
      </w:r>
      <w:r w:rsidR="00DF3D2F">
        <w:t xml:space="preserve">being </w:t>
      </w:r>
      <w:r w:rsidR="004445AE">
        <w:t xml:space="preserve">recognized as revenue in the year an agreement is signed. </w:t>
      </w:r>
      <w:r w:rsidR="00425AD3">
        <w:t>U</w:t>
      </w:r>
      <w:r w:rsidR="001F53EC">
        <w:t xml:space="preserve">nder UNDP’s Financial Regulations and Rules, UNDP is only permitted to spend up to the amount of cash received; hence, in the following section of this document, where applicable, ‘Annual </w:t>
      </w:r>
      <w:r w:rsidR="00152D26">
        <w:t>c</w:t>
      </w:r>
      <w:r w:rsidR="001F53EC">
        <w:t>ontributions’ are presented to align with the past revenue recognition policies for contributions (i.e., cash received in a reporting year, plus receivables due in a reporting year)</w:t>
      </w:r>
      <w:r w:rsidR="00FE3CCF">
        <w:t>.</w:t>
      </w:r>
      <w:r w:rsidR="00566F90">
        <w:t xml:space="preserve"> </w:t>
      </w:r>
      <w:r w:rsidR="001319A0">
        <w:t xml:space="preserve"> </w:t>
      </w:r>
    </w:p>
    <w:p w14:paraId="79813A37" w14:textId="739EE4AC" w:rsidR="007A2090" w:rsidRPr="00B664C6" w:rsidRDefault="00893F8C" w:rsidP="003F5F37">
      <w:pPr>
        <w:pStyle w:val="SingleTxt"/>
        <w:keepNext/>
        <w:tabs>
          <w:tab w:val="clear" w:pos="1742"/>
          <w:tab w:val="left" w:pos="1530"/>
        </w:tabs>
        <w:spacing w:after="0"/>
        <w:jc w:val="center"/>
        <w:rPr>
          <w:b/>
        </w:rPr>
      </w:pPr>
      <w:r w:rsidRPr="00B664C6">
        <w:rPr>
          <w:b/>
        </w:rPr>
        <w:t>Table 2</w:t>
      </w:r>
      <w:r w:rsidR="00FA1E51" w:rsidRPr="00B664C6">
        <w:rPr>
          <w:b/>
        </w:rPr>
        <w:t>a</w:t>
      </w:r>
      <w:r w:rsidRPr="00B664C6">
        <w:rPr>
          <w:b/>
        </w:rPr>
        <w:t>. UNDP revenue, 20</w:t>
      </w:r>
      <w:r w:rsidR="00412597" w:rsidRPr="00B664C6">
        <w:rPr>
          <w:b/>
        </w:rPr>
        <w:t>2</w:t>
      </w:r>
      <w:r w:rsidR="00804A85">
        <w:rPr>
          <w:b/>
        </w:rPr>
        <w:t>2</w:t>
      </w:r>
    </w:p>
    <w:p w14:paraId="77BFC019" w14:textId="01124D8E" w:rsidR="00893F8C" w:rsidRPr="005C6019" w:rsidRDefault="00893F8C" w:rsidP="003F5F37">
      <w:pPr>
        <w:pStyle w:val="SingleTxt"/>
        <w:keepNext/>
        <w:tabs>
          <w:tab w:val="clear" w:pos="1742"/>
          <w:tab w:val="left" w:pos="1530"/>
        </w:tabs>
        <w:spacing w:after="0"/>
        <w:jc w:val="center"/>
        <w:rPr>
          <w:i/>
          <w:sz w:val="18"/>
          <w:szCs w:val="18"/>
        </w:rPr>
      </w:pPr>
      <w:r w:rsidRPr="005C6019">
        <w:rPr>
          <w:i/>
          <w:sz w:val="18"/>
          <w:szCs w:val="18"/>
        </w:rPr>
        <w:t>(</w:t>
      </w:r>
      <w:r w:rsidR="005C6019" w:rsidRPr="005C6019">
        <w:rPr>
          <w:i/>
          <w:sz w:val="18"/>
          <w:szCs w:val="18"/>
        </w:rPr>
        <w:t>In</w:t>
      </w:r>
      <w:r w:rsidRPr="005C6019">
        <w:rPr>
          <w:i/>
          <w:sz w:val="18"/>
          <w:szCs w:val="18"/>
        </w:rPr>
        <w:t xml:space="preserve"> millions of </w:t>
      </w:r>
      <w:r w:rsidR="007A2090" w:rsidRPr="005C6019">
        <w:rPr>
          <w:i/>
          <w:sz w:val="18"/>
          <w:szCs w:val="18"/>
        </w:rPr>
        <w:t xml:space="preserve">United States </w:t>
      </w:r>
      <w:r w:rsidRPr="005C6019">
        <w:rPr>
          <w:i/>
          <w:sz w:val="18"/>
          <w:szCs w:val="18"/>
        </w:rPr>
        <w:t>dollars)</w:t>
      </w:r>
    </w:p>
    <w:p w14:paraId="6DA34F48" w14:textId="1B8ABC87" w:rsidR="007A2090" w:rsidRPr="00B664C6" w:rsidRDefault="007A2090" w:rsidP="003F5F37">
      <w:pPr>
        <w:pStyle w:val="SingleTxt"/>
        <w:keepNext/>
        <w:tabs>
          <w:tab w:val="clear" w:pos="1742"/>
          <w:tab w:val="left" w:pos="1530"/>
        </w:tabs>
        <w:spacing w:after="0"/>
        <w:rPr>
          <w:i/>
        </w:rPr>
      </w:pPr>
    </w:p>
    <w:tbl>
      <w:tblPr>
        <w:tblW w:w="8116" w:type="dxa"/>
        <w:tblInd w:w="1231" w:type="dxa"/>
        <w:tblLayout w:type="fixed"/>
        <w:tblCellMar>
          <w:left w:w="115" w:type="dxa"/>
          <w:right w:w="115" w:type="dxa"/>
        </w:tblCellMar>
        <w:tblLook w:val="04A0" w:firstRow="1" w:lastRow="0" w:firstColumn="1" w:lastColumn="0" w:noHBand="0" w:noVBand="1"/>
      </w:tblPr>
      <w:tblGrid>
        <w:gridCol w:w="3995"/>
        <w:gridCol w:w="997"/>
        <w:gridCol w:w="997"/>
        <w:gridCol w:w="1081"/>
        <w:gridCol w:w="1046"/>
      </w:tblGrid>
      <w:tr w:rsidR="00573341" w:rsidRPr="00B664C6" w14:paraId="6922DF0B" w14:textId="77777777" w:rsidTr="39D02343">
        <w:trPr>
          <w:trHeight w:val="568"/>
        </w:trPr>
        <w:tc>
          <w:tcPr>
            <w:tcW w:w="3995"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12397F83" w14:textId="77777777" w:rsidR="00573341" w:rsidRPr="00B664C6" w:rsidRDefault="00573341" w:rsidP="003F5F37">
            <w:pPr>
              <w:keepNext/>
              <w:suppressAutoHyphens w:val="0"/>
              <w:spacing w:line="240" w:lineRule="auto"/>
              <w:rPr>
                <w:rFonts w:eastAsia="Times New Roman"/>
                <w:b/>
                <w:iCs/>
                <w:color w:val="000000"/>
                <w:spacing w:val="0"/>
                <w:w w:val="100"/>
                <w:kern w:val="0"/>
                <w:sz w:val="16"/>
                <w:szCs w:val="16"/>
              </w:rPr>
            </w:pPr>
            <w:r w:rsidRPr="00B664C6">
              <w:rPr>
                <w:rFonts w:eastAsia="Times New Roman"/>
                <w:b/>
                <w:iCs/>
                <w:color w:val="000000"/>
                <w:spacing w:val="0"/>
                <w:w w:val="100"/>
                <w:kern w:val="0"/>
                <w:sz w:val="16"/>
                <w:szCs w:val="16"/>
              </w:rPr>
              <w:t>Resources</w:t>
            </w:r>
          </w:p>
        </w:tc>
        <w:tc>
          <w:tcPr>
            <w:tcW w:w="997" w:type="dxa"/>
            <w:tcBorders>
              <w:top w:val="single" w:sz="4" w:space="0" w:color="auto"/>
              <w:left w:val="single" w:sz="4" w:space="0" w:color="auto"/>
              <w:bottom w:val="single" w:sz="4" w:space="0" w:color="auto"/>
              <w:right w:val="single" w:sz="4" w:space="0" w:color="auto"/>
            </w:tcBorders>
            <w:vAlign w:val="center"/>
          </w:tcPr>
          <w:p w14:paraId="062C7F9C" w14:textId="31B78A21" w:rsidR="00573341" w:rsidRPr="00B664C6" w:rsidRDefault="00573341" w:rsidP="00BC6A48">
            <w:pPr>
              <w:keepNext/>
              <w:suppressAutoHyphens w:val="0"/>
              <w:spacing w:line="240" w:lineRule="auto"/>
              <w:jc w:val="center"/>
              <w:rPr>
                <w:rFonts w:eastAsia="Times New Roman"/>
                <w:b/>
                <w:color w:val="000000"/>
                <w:spacing w:val="0"/>
                <w:w w:val="100"/>
                <w:kern w:val="0"/>
                <w:sz w:val="16"/>
                <w:szCs w:val="16"/>
              </w:rPr>
            </w:pPr>
            <w:r w:rsidRPr="00B664C6">
              <w:rPr>
                <w:rFonts w:eastAsia="Times New Roman"/>
                <w:b/>
                <w:color w:val="000000"/>
                <w:spacing w:val="0"/>
                <w:w w:val="100"/>
                <w:kern w:val="0"/>
                <w:sz w:val="16"/>
                <w:szCs w:val="16"/>
              </w:rPr>
              <w:t>20</w:t>
            </w:r>
            <w:r w:rsidR="00CB3F5F" w:rsidRPr="00B664C6">
              <w:rPr>
                <w:rFonts w:eastAsia="Times New Roman"/>
                <w:b/>
                <w:color w:val="000000"/>
                <w:spacing w:val="0"/>
                <w:w w:val="100"/>
                <w:kern w:val="0"/>
                <w:sz w:val="16"/>
                <w:szCs w:val="16"/>
              </w:rPr>
              <w:t>2</w:t>
            </w:r>
            <w:r w:rsidR="00804A85">
              <w:rPr>
                <w:rFonts w:eastAsia="Times New Roman"/>
                <w:b/>
                <w:color w:val="000000"/>
                <w:spacing w:val="0"/>
                <w:w w:val="100"/>
                <w:kern w:val="0"/>
                <w:sz w:val="16"/>
                <w:szCs w:val="16"/>
              </w:rPr>
              <w:t>2</w:t>
            </w:r>
          </w:p>
        </w:tc>
        <w:tc>
          <w:tcPr>
            <w:tcW w:w="997" w:type="dxa"/>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42DD84F4" w14:textId="693AE057" w:rsidR="00573341" w:rsidRPr="00B664C6" w:rsidRDefault="00573341" w:rsidP="00CC147A">
            <w:pPr>
              <w:keepNext/>
              <w:suppressAutoHyphens w:val="0"/>
              <w:spacing w:line="240" w:lineRule="auto"/>
              <w:jc w:val="center"/>
              <w:rPr>
                <w:rFonts w:eastAsia="Times New Roman"/>
                <w:b/>
                <w:color w:val="000000"/>
                <w:spacing w:val="0"/>
                <w:w w:val="100"/>
                <w:kern w:val="0"/>
                <w:sz w:val="16"/>
                <w:szCs w:val="16"/>
              </w:rPr>
            </w:pPr>
            <w:r w:rsidRPr="00B664C6">
              <w:rPr>
                <w:rFonts w:eastAsia="Times New Roman"/>
                <w:b/>
                <w:color w:val="000000"/>
                <w:spacing w:val="0"/>
                <w:w w:val="100"/>
                <w:kern w:val="0"/>
                <w:sz w:val="16"/>
                <w:szCs w:val="16"/>
              </w:rPr>
              <w:t>20</w:t>
            </w:r>
            <w:r w:rsidR="00137E4C">
              <w:rPr>
                <w:rFonts w:eastAsia="Times New Roman"/>
                <w:b/>
                <w:color w:val="000000"/>
                <w:spacing w:val="0"/>
                <w:w w:val="100"/>
                <w:kern w:val="0"/>
                <w:sz w:val="16"/>
                <w:szCs w:val="16"/>
              </w:rPr>
              <w:t>2</w:t>
            </w:r>
            <w:r w:rsidR="00804A85">
              <w:rPr>
                <w:rFonts w:eastAsia="Times New Roman"/>
                <w:b/>
                <w:color w:val="000000"/>
                <w:spacing w:val="0"/>
                <w:w w:val="100"/>
                <w:kern w:val="0"/>
                <w:sz w:val="16"/>
                <w:szCs w:val="16"/>
              </w:rPr>
              <w:t>1</w:t>
            </w:r>
          </w:p>
        </w:tc>
        <w:tc>
          <w:tcPr>
            <w:tcW w:w="1081" w:type="dxa"/>
            <w:tcBorders>
              <w:top w:val="single" w:sz="4" w:space="0" w:color="auto"/>
              <w:left w:val="nil"/>
              <w:bottom w:val="single" w:sz="4" w:space="0" w:color="auto"/>
              <w:right w:val="single" w:sz="4" w:space="0" w:color="000000" w:themeColor="text1"/>
            </w:tcBorders>
            <w:shd w:val="clear" w:color="auto" w:fill="auto"/>
            <w:vAlign w:val="center"/>
            <w:hideMark/>
          </w:tcPr>
          <w:p w14:paraId="585A846A" w14:textId="3BAA47EF" w:rsidR="00573341" w:rsidRPr="00B664C6" w:rsidRDefault="00573341" w:rsidP="000A6045">
            <w:pPr>
              <w:keepNext/>
              <w:suppressAutoHyphens w:val="0"/>
              <w:spacing w:line="240" w:lineRule="auto"/>
              <w:jc w:val="center"/>
              <w:rPr>
                <w:rFonts w:eastAsia="Times New Roman"/>
                <w:b/>
                <w:iCs/>
                <w:color w:val="000000"/>
                <w:spacing w:val="0"/>
                <w:w w:val="100"/>
                <w:kern w:val="0"/>
                <w:sz w:val="16"/>
                <w:szCs w:val="16"/>
              </w:rPr>
            </w:pPr>
            <w:r w:rsidRPr="00B664C6">
              <w:rPr>
                <w:rFonts w:eastAsia="Times New Roman"/>
                <w:b/>
                <w:iCs/>
                <w:color w:val="000000"/>
                <w:spacing w:val="0"/>
                <w:w w:val="100"/>
                <w:kern w:val="0"/>
                <w:sz w:val="16"/>
                <w:szCs w:val="16"/>
              </w:rPr>
              <w:t>Increase/ (</w:t>
            </w:r>
            <w:r w:rsidR="00CD3F51">
              <w:rPr>
                <w:rFonts w:eastAsia="Times New Roman"/>
                <w:b/>
                <w:iCs/>
                <w:color w:val="000000"/>
                <w:spacing w:val="0"/>
                <w:w w:val="100"/>
                <w:kern w:val="0"/>
                <w:sz w:val="16"/>
                <w:szCs w:val="16"/>
              </w:rPr>
              <w:t>D</w:t>
            </w:r>
            <w:r w:rsidRPr="00B664C6">
              <w:rPr>
                <w:rFonts w:eastAsia="Times New Roman"/>
                <w:b/>
                <w:iCs/>
                <w:color w:val="000000"/>
                <w:spacing w:val="0"/>
                <w:w w:val="100"/>
                <w:kern w:val="0"/>
                <w:sz w:val="16"/>
                <w:szCs w:val="16"/>
              </w:rPr>
              <w:t>ecrease)</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396BECF" w14:textId="15C10DEB" w:rsidR="00573341" w:rsidRPr="00B664C6" w:rsidRDefault="00573341" w:rsidP="00BC6A48">
            <w:pPr>
              <w:keepNext/>
              <w:suppressAutoHyphens w:val="0"/>
              <w:spacing w:line="240" w:lineRule="auto"/>
              <w:jc w:val="center"/>
              <w:rPr>
                <w:rFonts w:eastAsia="Times New Roman"/>
                <w:b/>
                <w:iCs/>
                <w:color w:val="000000"/>
                <w:spacing w:val="0"/>
                <w:w w:val="100"/>
                <w:kern w:val="0"/>
                <w:sz w:val="16"/>
                <w:szCs w:val="16"/>
              </w:rPr>
            </w:pPr>
            <w:r w:rsidRPr="00B664C6">
              <w:rPr>
                <w:rFonts w:eastAsia="Times New Roman"/>
                <w:b/>
                <w:iCs/>
                <w:color w:val="000000"/>
                <w:spacing w:val="0"/>
                <w:w w:val="100"/>
                <w:kern w:val="0"/>
                <w:sz w:val="16"/>
                <w:szCs w:val="16"/>
              </w:rPr>
              <w:t>Percentage change</w:t>
            </w:r>
          </w:p>
        </w:tc>
      </w:tr>
      <w:tr w:rsidR="00573341" w:rsidRPr="00B664C6" w14:paraId="4D55CA11" w14:textId="77777777" w:rsidTr="39D02343">
        <w:trPr>
          <w:trHeight w:val="317"/>
        </w:trPr>
        <w:tc>
          <w:tcPr>
            <w:tcW w:w="3995" w:type="dxa"/>
            <w:tcBorders>
              <w:top w:val="nil"/>
              <w:left w:val="single" w:sz="4" w:space="0" w:color="000000" w:themeColor="text1"/>
              <w:bottom w:val="nil"/>
              <w:right w:val="single" w:sz="4" w:space="0" w:color="auto"/>
            </w:tcBorders>
            <w:shd w:val="clear" w:color="auto" w:fill="auto"/>
            <w:vAlign w:val="center"/>
            <w:hideMark/>
          </w:tcPr>
          <w:p w14:paraId="79D38CA6" w14:textId="77777777" w:rsidR="00573341" w:rsidRPr="00B664C6" w:rsidRDefault="00573341" w:rsidP="002239CC">
            <w:pPr>
              <w:keepNext/>
              <w:suppressAutoHyphens w:val="0"/>
              <w:spacing w:before="10" w:after="10" w:line="240" w:lineRule="auto"/>
              <w:rPr>
                <w:rFonts w:eastAsia="Times New Roman"/>
                <w:b/>
                <w:bCs/>
                <w:color w:val="000000"/>
                <w:spacing w:val="0"/>
                <w:w w:val="100"/>
                <w:kern w:val="0"/>
                <w:sz w:val="16"/>
                <w:szCs w:val="16"/>
              </w:rPr>
            </w:pPr>
            <w:r w:rsidRPr="00B664C6">
              <w:rPr>
                <w:rFonts w:eastAsia="Times New Roman"/>
                <w:b/>
                <w:bCs/>
                <w:color w:val="000000"/>
                <w:spacing w:val="0"/>
                <w:w w:val="100"/>
                <w:kern w:val="0"/>
                <w:sz w:val="16"/>
                <w:szCs w:val="16"/>
              </w:rPr>
              <w:t>REVENUE</w:t>
            </w:r>
          </w:p>
        </w:tc>
        <w:tc>
          <w:tcPr>
            <w:tcW w:w="997" w:type="dxa"/>
            <w:tcBorders>
              <w:top w:val="nil"/>
              <w:left w:val="single" w:sz="4" w:space="0" w:color="auto"/>
              <w:bottom w:val="nil"/>
              <w:right w:val="single" w:sz="4" w:space="0" w:color="auto"/>
            </w:tcBorders>
          </w:tcPr>
          <w:p w14:paraId="6D40F1D9" w14:textId="77777777" w:rsidR="00573341" w:rsidRPr="00B664C6" w:rsidRDefault="00573341" w:rsidP="002239CC">
            <w:pPr>
              <w:keepNext/>
              <w:suppressAutoHyphens w:val="0"/>
              <w:spacing w:before="10" w:after="10" w:line="240" w:lineRule="auto"/>
              <w:jc w:val="center"/>
              <w:rPr>
                <w:rFonts w:ascii="Calibri" w:eastAsia="Times New Roman" w:hAnsi="Calibri" w:cs="Calibri"/>
                <w:color w:val="000000"/>
                <w:spacing w:val="0"/>
                <w:w w:val="100"/>
                <w:kern w:val="0"/>
                <w:sz w:val="22"/>
                <w:szCs w:val="22"/>
              </w:rPr>
            </w:pPr>
          </w:p>
        </w:tc>
        <w:tc>
          <w:tcPr>
            <w:tcW w:w="997" w:type="dxa"/>
            <w:tcBorders>
              <w:top w:val="nil"/>
              <w:left w:val="single" w:sz="4" w:space="0" w:color="auto"/>
              <w:bottom w:val="nil"/>
              <w:right w:val="single" w:sz="4" w:space="0" w:color="000000" w:themeColor="text1"/>
            </w:tcBorders>
            <w:shd w:val="clear" w:color="auto" w:fill="auto"/>
            <w:noWrap/>
            <w:vAlign w:val="center"/>
            <w:hideMark/>
          </w:tcPr>
          <w:p w14:paraId="43C7AC79" w14:textId="1F599DC3" w:rsidR="00573341" w:rsidRPr="00B664C6" w:rsidRDefault="00573341" w:rsidP="002239CC">
            <w:pPr>
              <w:keepNext/>
              <w:suppressAutoHyphens w:val="0"/>
              <w:spacing w:before="10" w:after="10" w:line="240" w:lineRule="auto"/>
              <w:jc w:val="center"/>
              <w:rPr>
                <w:rFonts w:ascii="Calibri" w:eastAsia="Times New Roman" w:hAnsi="Calibri" w:cs="Calibri"/>
                <w:color w:val="000000"/>
                <w:spacing w:val="0"/>
                <w:w w:val="100"/>
                <w:kern w:val="0"/>
                <w:sz w:val="22"/>
                <w:szCs w:val="22"/>
              </w:rPr>
            </w:pPr>
          </w:p>
        </w:tc>
        <w:tc>
          <w:tcPr>
            <w:tcW w:w="1081" w:type="dxa"/>
            <w:tcBorders>
              <w:top w:val="nil"/>
              <w:left w:val="nil"/>
              <w:bottom w:val="nil"/>
              <w:right w:val="single" w:sz="4" w:space="0" w:color="000000" w:themeColor="text1"/>
            </w:tcBorders>
            <w:shd w:val="clear" w:color="auto" w:fill="auto"/>
            <w:noWrap/>
            <w:vAlign w:val="bottom"/>
            <w:hideMark/>
          </w:tcPr>
          <w:p w14:paraId="03F7E438" w14:textId="4C05FFF4" w:rsidR="00573341" w:rsidRPr="00B664C6" w:rsidRDefault="00573341" w:rsidP="002239CC">
            <w:pPr>
              <w:keepNext/>
              <w:suppressAutoHyphens w:val="0"/>
              <w:spacing w:before="10" w:after="10" w:line="240" w:lineRule="auto"/>
              <w:jc w:val="center"/>
              <w:rPr>
                <w:rFonts w:eastAsia="Times New Roman"/>
                <w:color w:val="000000"/>
                <w:spacing w:val="0"/>
                <w:w w:val="100"/>
                <w:kern w:val="0"/>
                <w:sz w:val="14"/>
                <w:szCs w:val="14"/>
              </w:rPr>
            </w:pPr>
          </w:p>
        </w:tc>
        <w:tc>
          <w:tcPr>
            <w:tcW w:w="1046" w:type="dxa"/>
            <w:tcBorders>
              <w:top w:val="nil"/>
              <w:left w:val="nil"/>
              <w:bottom w:val="nil"/>
              <w:right w:val="single" w:sz="4" w:space="0" w:color="auto"/>
            </w:tcBorders>
            <w:shd w:val="clear" w:color="auto" w:fill="auto"/>
            <w:noWrap/>
            <w:vAlign w:val="bottom"/>
            <w:hideMark/>
          </w:tcPr>
          <w:p w14:paraId="57FAD8A3" w14:textId="1D3923BC" w:rsidR="00573341" w:rsidRPr="00B664C6" w:rsidRDefault="00573341" w:rsidP="002239CC">
            <w:pPr>
              <w:keepNext/>
              <w:suppressAutoHyphens w:val="0"/>
              <w:spacing w:before="10" w:after="10" w:line="240" w:lineRule="auto"/>
              <w:jc w:val="center"/>
              <w:rPr>
                <w:rFonts w:eastAsia="Times New Roman"/>
                <w:color w:val="000000"/>
                <w:spacing w:val="0"/>
                <w:w w:val="100"/>
                <w:kern w:val="0"/>
                <w:sz w:val="14"/>
                <w:szCs w:val="14"/>
              </w:rPr>
            </w:pPr>
          </w:p>
        </w:tc>
      </w:tr>
      <w:tr w:rsidR="00573341" w:rsidRPr="00B664C6" w14:paraId="7DA98FC7"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center"/>
            <w:hideMark/>
          </w:tcPr>
          <w:p w14:paraId="6F35DABF" w14:textId="650E4260" w:rsidR="00573341" w:rsidRPr="00B664C6" w:rsidRDefault="005C1117" w:rsidP="002239CC">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Voluntary </w:t>
            </w:r>
            <w:r w:rsidR="00774F05" w:rsidRPr="00B664C6">
              <w:rPr>
                <w:rFonts w:eastAsia="Times New Roman"/>
                <w:color w:val="000000"/>
                <w:spacing w:val="0"/>
                <w:w w:val="100"/>
                <w:kern w:val="0"/>
                <w:sz w:val="16"/>
                <w:szCs w:val="16"/>
              </w:rPr>
              <w:t>c</w:t>
            </w:r>
            <w:r w:rsidR="00573341" w:rsidRPr="00B664C6">
              <w:rPr>
                <w:rFonts w:eastAsia="Times New Roman"/>
                <w:color w:val="000000"/>
                <w:spacing w:val="0"/>
                <w:w w:val="100"/>
                <w:kern w:val="0"/>
                <w:sz w:val="16"/>
                <w:szCs w:val="16"/>
              </w:rPr>
              <w:t>ontributions</w:t>
            </w:r>
          </w:p>
        </w:tc>
        <w:tc>
          <w:tcPr>
            <w:tcW w:w="997" w:type="dxa"/>
            <w:tcBorders>
              <w:top w:val="nil"/>
              <w:left w:val="single" w:sz="4" w:space="0" w:color="auto"/>
              <w:bottom w:val="nil"/>
              <w:right w:val="single" w:sz="4" w:space="0" w:color="auto"/>
            </w:tcBorders>
          </w:tcPr>
          <w:p w14:paraId="79BCC230" w14:textId="77777777" w:rsidR="00573341" w:rsidRPr="00B664C6" w:rsidRDefault="00573341" w:rsidP="002239CC">
            <w:pPr>
              <w:keepNext/>
              <w:suppressAutoHyphens w:val="0"/>
              <w:spacing w:before="10" w:after="10" w:line="240" w:lineRule="auto"/>
              <w:jc w:val="center"/>
              <w:rPr>
                <w:rFonts w:eastAsia="Times New Roman"/>
                <w:color w:val="000000"/>
                <w:spacing w:val="0"/>
                <w:w w:val="100"/>
                <w:kern w:val="0"/>
                <w:sz w:val="16"/>
                <w:szCs w:val="16"/>
              </w:rPr>
            </w:pPr>
          </w:p>
        </w:tc>
        <w:tc>
          <w:tcPr>
            <w:tcW w:w="997" w:type="dxa"/>
            <w:tcBorders>
              <w:top w:val="nil"/>
              <w:left w:val="single" w:sz="4" w:space="0" w:color="auto"/>
              <w:bottom w:val="nil"/>
              <w:right w:val="single" w:sz="4" w:space="0" w:color="000000" w:themeColor="text1"/>
            </w:tcBorders>
            <w:shd w:val="clear" w:color="auto" w:fill="auto"/>
            <w:noWrap/>
            <w:vAlign w:val="center"/>
          </w:tcPr>
          <w:p w14:paraId="0015B2CC" w14:textId="70020CCB" w:rsidR="00573341" w:rsidRPr="00B664C6" w:rsidRDefault="00573341" w:rsidP="002239CC">
            <w:pPr>
              <w:keepNext/>
              <w:suppressAutoHyphens w:val="0"/>
              <w:spacing w:before="10" w:after="10" w:line="240" w:lineRule="auto"/>
              <w:jc w:val="center"/>
              <w:rPr>
                <w:rFonts w:eastAsia="Times New Roman"/>
                <w:color w:val="000000"/>
                <w:spacing w:val="0"/>
                <w:w w:val="100"/>
                <w:kern w:val="0"/>
                <w:sz w:val="16"/>
                <w:szCs w:val="16"/>
              </w:rPr>
            </w:pPr>
          </w:p>
        </w:tc>
        <w:tc>
          <w:tcPr>
            <w:tcW w:w="1081" w:type="dxa"/>
            <w:tcBorders>
              <w:top w:val="nil"/>
              <w:left w:val="nil"/>
              <w:bottom w:val="nil"/>
              <w:right w:val="single" w:sz="4" w:space="0" w:color="000000" w:themeColor="text1"/>
            </w:tcBorders>
            <w:shd w:val="clear" w:color="auto" w:fill="auto"/>
            <w:noWrap/>
            <w:vAlign w:val="bottom"/>
          </w:tcPr>
          <w:p w14:paraId="4A4F965F" w14:textId="19B1C481" w:rsidR="00573341" w:rsidRPr="00B664C6" w:rsidRDefault="00573341" w:rsidP="002239CC">
            <w:pPr>
              <w:keepNext/>
              <w:suppressAutoHyphens w:val="0"/>
              <w:spacing w:before="10" w:after="10" w:line="240" w:lineRule="auto"/>
              <w:jc w:val="center"/>
              <w:rPr>
                <w:rFonts w:eastAsia="Times New Roman"/>
                <w:color w:val="000000"/>
                <w:spacing w:val="0"/>
                <w:w w:val="100"/>
                <w:kern w:val="0"/>
                <w:sz w:val="16"/>
                <w:szCs w:val="16"/>
              </w:rPr>
            </w:pPr>
          </w:p>
        </w:tc>
        <w:tc>
          <w:tcPr>
            <w:tcW w:w="1046" w:type="dxa"/>
            <w:tcBorders>
              <w:top w:val="nil"/>
              <w:left w:val="nil"/>
              <w:bottom w:val="nil"/>
              <w:right w:val="single" w:sz="4" w:space="0" w:color="auto"/>
            </w:tcBorders>
            <w:shd w:val="clear" w:color="auto" w:fill="auto"/>
            <w:noWrap/>
            <w:vAlign w:val="bottom"/>
          </w:tcPr>
          <w:p w14:paraId="6A4895D9" w14:textId="53CC4CF9" w:rsidR="00573341" w:rsidRPr="00B664C6" w:rsidRDefault="00573341" w:rsidP="002239CC">
            <w:pPr>
              <w:keepNext/>
              <w:suppressAutoHyphens w:val="0"/>
              <w:spacing w:before="10" w:after="10" w:line="240" w:lineRule="auto"/>
              <w:jc w:val="center"/>
              <w:rPr>
                <w:rFonts w:eastAsia="Times New Roman"/>
                <w:color w:val="000000"/>
                <w:spacing w:val="0"/>
                <w:w w:val="100"/>
                <w:kern w:val="0"/>
                <w:sz w:val="16"/>
                <w:szCs w:val="16"/>
              </w:rPr>
            </w:pPr>
          </w:p>
        </w:tc>
      </w:tr>
      <w:tr w:rsidR="00741D01" w:rsidRPr="00B664C6" w14:paraId="0D46271B"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bottom"/>
          </w:tcPr>
          <w:p w14:paraId="0C672128" w14:textId="6F1551FC"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   Annual contributions</w:t>
            </w:r>
          </w:p>
        </w:tc>
        <w:tc>
          <w:tcPr>
            <w:tcW w:w="997" w:type="dxa"/>
            <w:tcBorders>
              <w:top w:val="nil"/>
              <w:left w:val="single" w:sz="4" w:space="0" w:color="auto"/>
              <w:bottom w:val="nil"/>
              <w:right w:val="single" w:sz="4" w:space="0" w:color="auto"/>
            </w:tcBorders>
          </w:tcPr>
          <w:p w14:paraId="6B6FBB98" w14:textId="02585803"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4</w:t>
            </w:r>
            <w:r w:rsidRPr="00192E4D">
              <w:rPr>
                <w:rFonts w:eastAsia="Times New Roman"/>
                <w:sz w:val="18"/>
                <w:szCs w:val="18"/>
              </w:rPr>
              <w:t xml:space="preserve"> </w:t>
            </w:r>
            <w:r>
              <w:rPr>
                <w:rFonts w:eastAsia="Times New Roman"/>
                <w:sz w:val="18"/>
                <w:szCs w:val="18"/>
              </w:rPr>
              <w:t>934</w:t>
            </w:r>
          </w:p>
        </w:tc>
        <w:tc>
          <w:tcPr>
            <w:tcW w:w="997" w:type="dxa"/>
            <w:tcBorders>
              <w:top w:val="nil"/>
              <w:left w:val="single" w:sz="4" w:space="0" w:color="auto"/>
              <w:bottom w:val="nil"/>
              <w:right w:val="single" w:sz="4" w:space="0" w:color="000000" w:themeColor="text1"/>
            </w:tcBorders>
            <w:shd w:val="clear" w:color="auto" w:fill="auto"/>
            <w:noWrap/>
          </w:tcPr>
          <w:p w14:paraId="387C9BAC" w14:textId="1A89565D"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 xml:space="preserve">5 </w:t>
            </w:r>
            <w:r>
              <w:rPr>
                <w:rFonts w:eastAsia="Times New Roman"/>
                <w:sz w:val="18"/>
                <w:szCs w:val="18"/>
              </w:rPr>
              <w:t>316</w:t>
            </w:r>
          </w:p>
        </w:tc>
        <w:tc>
          <w:tcPr>
            <w:tcW w:w="1081" w:type="dxa"/>
            <w:tcBorders>
              <w:top w:val="nil"/>
              <w:left w:val="nil"/>
              <w:bottom w:val="nil"/>
              <w:right w:val="single" w:sz="4" w:space="0" w:color="000000" w:themeColor="text1"/>
            </w:tcBorders>
            <w:shd w:val="clear" w:color="auto" w:fill="auto"/>
            <w:noWrap/>
            <w:vAlign w:val="bottom"/>
          </w:tcPr>
          <w:p w14:paraId="1F6CED3A" w14:textId="21C2DE1E"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(382)</w:t>
            </w:r>
          </w:p>
        </w:tc>
        <w:tc>
          <w:tcPr>
            <w:tcW w:w="1046" w:type="dxa"/>
            <w:tcBorders>
              <w:top w:val="nil"/>
              <w:left w:val="nil"/>
              <w:bottom w:val="nil"/>
              <w:right w:val="single" w:sz="4" w:space="0" w:color="auto"/>
            </w:tcBorders>
            <w:shd w:val="clear" w:color="auto" w:fill="auto"/>
            <w:noWrap/>
            <w:vAlign w:val="bottom"/>
          </w:tcPr>
          <w:p w14:paraId="30D59872" w14:textId="02ABD166"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(7</w:t>
            </w:r>
            <w:r w:rsidRPr="00192E4D">
              <w:rPr>
                <w:rFonts w:eastAsia="Times New Roman"/>
                <w:sz w:val="18"/>
                <w:szCs w:val="18"/>
              </w:rPr>
              <w:t>%</w:t>
            </w:r>
            <w:r>
              <w:rPr>
                <w:rFonts w:eastAsia="Times New Roman"/>
                <w:sz w:val="18"/>
                <w:szCs w:val="18"/>
              </w:rPr>
              <w:t>)</w:t>
            </w:r>
          </w:p>
        </w:tc>
      </w:tr>
      <w:tr w:rsidR="00741D01" w:rsidRPr="00B664C6" w14:paraId="6FE5DA75"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bottom"/>
          </w:tcPr>
          <w:p w14:paraId="099C27FC" w14:textId="18BF9E25"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   Net movement of future due contributions</w:t>
            </w:r>
          </w:p>
        </w:tc>
        <w:tc>
          <w:tcPr>
            <w:tcW w:w="997" w:type="dxa"/>
            <w:tcBorders>
              <w:top w:val="nil"/>
              <w:left w:val="single" w:sz="4" w:space="0" w:color="auto"/>
              <w:bottom w:val="nil"/>
              <w:right w:val="single" w:sz="4" w:space="0" w:color="auto"/>
            </w:tcBorders>
          </w:tcPr>
          <w:p w14:paraId="46B6973C" w14:textId="148CD5E7"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86</w:t>
            </w:r>
          </w:p>
        </w:tc>
        <w:tc>
          <w:tcPr>
            <w:tcW w:w="997" w:type="dxa"/>
            <w:tcBorders>
              <w:top w:val="nil"/>
              <w:left w:val="single" w:sz="4" w:space="0" w:color="auto"/>
              <w:bottom w:val="nil"/>
              <w:right w:val="single" w:sz="4" w:space="0" w:color="000000" w:themeColor="text1"/>
            </w:tcBorders>
            <w:shd w:val="clear" w:color="auto" w:fill="auto"/>
            <w:noWrap/>
          </w:tcPr>
          <w:p w14:paraId="65D4A479" w14:textId="79F6C57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(12)</w:t>
            </w:r>
          </w:p>
        </w:tc>
        <w:tc>
          <w:tcPr>
            <w:tcW w:w="1081" w:type="dxa"/>
            <w:tcBorders>
              <w:top w:val="nil"/>
              <w:left w:val="nil"/>
              <w:bottom w:val="nil"/>
              <w:right w:val="single" w:sz="4" w:space="0" w:color="000000" w:themeColor="text1"/>
            </w:tcBorders>
            <w:shd w:val="clear" w:color="auto" w:fill="auto"/>
            <w:noWrap/>
            <w:vAlign w:val="bottom"/>
          </w:tcPr>
          <w:p w14:paraId="29B6A155" w14:textId="0B021673"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98</w:t>
            </w:r>
          </w:p>
        </w:tc>
        <w:tc>
          <w:tcPr>
            <w:tcW w:w="1046" w:type="dxa"/>
            <w:tcBorders>
              <w:top w:val="nil"/>
              <w:left w:val="nil"/>
              <w:bottom w:val="nil"/>
              <w:right w:val="single" w:sz="4" w:space="0" w:color="auto"/>
            </w:tcBorders>
            <w:shd w:val="clear" w:color="auto" w:fill="auto"/>
            <w:noWrap/>
            <w:vAlign w:val="bottom"/>
          </w:tcPr>
          <w:p w14:paraId="5E57F884" w14:textId="6A23FC16"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w:t>
            </w:r>
          </w:p>
        </w:tc>
      </w:tr>
      <w:tr w:rsidR="00741D01" w:rsidRPr="00B664C6" w14:paraId="75D2C8D2"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bottom"/>
            <w:hideMark/>
          </w:tcPr>
          <w:p w14:paraId="6CFDBF59" w14:textId="678FC2D8"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   Subtotal: voluntary contributions</w:t>
            </w:r>
          </w:p>
        </w:tc>
        <w:tc>
          <w:tcPr>
            <w:tcW w:w="997" w:type="dxa"/>
            <w:tcBorders>
              <w:top w:val="nil"/>
              <w:left w:val="single" w:sz="4" w:space="0" w:color="auto"/>
              <w:bottom w:val="nil"/>
              <w:right w:val="single" w:sz="4" w:space="0" w:color="auto"/>
            </w:tcBorders>
          </w:tcPr>
          <w:p w14:paraId="4B39D865" w14:textId="018ACEAF"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5 020</w:t>
            </w:r>
          </w:p>
        </w:tc>
        <w:tc>
          <w:tcPr>
            <w:tcW w:w="997" w:type="dxa"/>
            <w:tcBorders>
              <w:top w:val="nil"/>
              <w:left w:val="single" w:sz="4" w:space="0" w:color="auto"/>
              <w:bottom w:val="nil"/>
              <w:right w:val="single" w:sz="4" w:space="0" w:color="000000" w:themeColor="text1"/>
            </w:tcBorders>
            <w:shd w:val="clear" w:color="auto" w:fill="auto"/>
            <w:noWrap/>
          </w:tcPr>
          <w:p w14:paraId="5DA2B57D" w14:textId="1FD4AE0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5 304</w:t>
            </w:r>
          </w:p>
        </w:tc>
        <w:tc>
          <w:tcPr>
            <w:tcW w:w="1081" w:type="dxa"/>
            <w:tcBorders>
              <w:top w:val="nil"/>
              <w:left w:val="nil"/>
              <w:bottom w:val="nil"/>
              <w:right w:val="single" w:sz="4" w:space="0" w:color="000000" w:themeColor="text1"/>
            </w:tcBorders>
            <w:shd w:val="clear" w:color="auto" w:fill="auto"/>
            <w:noWrap/>
            <w:vAlign w:val="bottom"/>
          </w:tcPr>
          <w:p w14:paraId="54F1E837" w14:textId="3D24C64A"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(284)</w:t>
            </w:r>
          </w:p>
        </w:tc>
        <w:tc>
          <w:tcPr>
            <w:tcW w:w="1046" w:type="dxa"/>
            <w:tcBorders>
              <w:top w:val="nil"/>
              <w:left w:val="nil"/>
              <w:bottom w:val="nil"/>
              <w:right w:val="single" w:sz="4" w:space="0" w:color="auto"/>
            </w:tcBorders>
            <w:shd w:val="clear" w:color="auto" w:fill="auto"/>
            <w:noWrap/>
            <w:vAlign w:val="bottom"/>
          </w:tcPr>
          <w:p w14:paraId="5F666237" w14:textId="35556089"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w:t>
            </w:r>
            <w:r w:rsidRPr="00192E4D">
              <w:rPr>
                <w:rFonts w:eastAsia="Times New Roman"/>
                <w:sz w:val="18"/>
                <w:szCs w:val="18"/>
              </w:rPr>
              <w:t>%</w:t>
            </w:r>
            <w:r>
              <w:rPr>
                <w:rFonts w:eastAsia="Times New Roman"/>
                <w:sz w:val="18"/>
                <w:szCs w:val="18"/>
              </w:rPr>
              <w:t>)</w:t>
            </w:r>
          </w:p>
        </w:tc>
      </w:tr>
      <w:tr w:rsidR="00741D01" w:rsidRPr="00B664C6" w14:paraId="387E4C8B"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center"/>
            <w:hideMark/>
          </w:tcPr>
          <w:p w14:paraId="326F0F42" w14:textId="51F98231"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GLOC</w:t>
            </w:r>
          </w:p>
        </w:tc>
        <w:tc>
          <w:tcPr>
            <w:tcW w:w="997" w:type="dxa"/>
            <w:tcBorders>
              <w:top w:val="nil"/>
              <w:left w:val="single" w:sz="4" w:space="0" w:color="auto"/>
              <w:bottom w:val="nil"/>
              <w:right w:val="single" w:sz="4" w:space="0" w:color="auto"/>
            </w:tcBorders>
          </w:tcPr>
          <w:p w14:paraId="197C9CFD" w14:textId="276545B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21</w:t>
            </w:r>
          </w:p>
        </w:tc>
        <w:tc>
          <w:tcPr>
            <w:tcW w:w="997" w:type="dxa"/>
            <w:tcBorders>
              <w:top w:val="nil"/>
              <w:left w:val="single" w:sz="4" w:space="0" w:color="auto"/>
              <w:bottom w:val="nil"/>
              <w:right w:val="single" w:sz="4" w:space="0" w:color="000000" w:themeColor="text1"/>
            </w:tcBorders>
            <w:shd w:val="clear" w:color="auto" w:fill="auto"/>
            <w:noWrap/>
          </w:tcPr>
          <w:p w14:paraId="69A93143" w14:textId="7330E83A"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25</w:t>
            </w:r>
          </w:p>
        </w:tc>
        <w:tc>
          <w:tcPr>
            <w:tcW w:w="1081" w:type="dxa"/>
            <w:tcBorders>
              <w:top w:val="nil"/>
              <w:left w:val="nil"/>
              <w:bottom w:val="nil"/>
              <w:right w:val="single" w:sz="4" w:space="0" w:color="000000" w:themeColor="text1"/>
            </w:tcBorders>
            <w:shd w:val="clear" w:color="auto" w:fill="auto"/>
            <w:noWrap/>
            <w:vAlign w:val="bottom"/>
          </w:tcPr>
          <w:p w14:paraId="4B4BA951" w14:textId="3649FC58"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(4)</w:t>
            </w:r>
          </w:p>
        </w:tc>
        <w:tc>
          <w:tcPr>
            <w:tcW w:w="1046" w:type="dxa"/>
            <w:tcBorders>
              <w:top w:val="nil"/>
              <w:left w:val="nil"/>
              <w:bottom w:val="nil"/>
              <w:right w:val="single" w:sz="4" w:space="0" w:color="auto"/>
            </w:tcBorders>
            <w:shd w:val="clear" w:color="auto" w:fill="auto"/>
            <w:noWrap/>
            <w:vAlign w:val="bottom"/>
          </w:tcPr>
          <w:p w14:paraId="30AB58E6" w14:textId="1572E85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(14</w:t>
            </w:r>
            <w:r w:rsidRPr="00192E4D">
              <w:rPr>
                <w:rFonts w:eastAsia="Times New Roman"/>
                <w:sz w:val="18"/>
                <w:szCs w:val="18"/>
              </w:rPr>
              <w:t>%</w:t>
            </w:r>
            <w:r>
              <w:rPr>
                <w:rFonts w:eastAsia="Times New Roman"/>
                <w:sz w:val="18"/>
                <w:szCs w:val="18"/>
              </w:rPr>
              <w:t>)</w:t>
            </w:r>
          </w:p>
        </w:tc>
      </w:tr>
      <w:tr w:rsidR="00741D01" w:rsidRPr="00B664C6" w14:paraId="1AAAC999" w14:textId="77777777" w:rsidTr="39D02343">
        <w:trPr>
          <w:trHeight w:val="179"/>
        </w:trPr>
        <w:tc>
          <w:tcPr>
            <w:tcW w:w="3995" w:type="dxa"/>
            <w:tcBorders>
              <w:top w:val="nil"/>
              <w:left w:val="single" w:sz="4" w:space="0" w:color="auto"/>
              <w:bottom w:val="nil"/>
              <w:right w:val="single" w:sz="4" w:space="0" w:color="auto"/>
            </w:tcBorders>
            <w:shd w:val="clear" w:color="auto" w:fill="auto"/>
            <w:vAlign w:val="bottom"/>
            <w:hideMark/>
          </w:tcPr>
          <w:p w14:paraId="604B33EE" w14:textId="3B7161B7"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Net contributor countries contributions</w:t>
            </w:r>
          </w:p>
        </w:tc>
        <w:tc>
          <w:tcPr>
            <w:tcW w:w="997" w:type="dxa"/>
            <w:tcBorders>
              <w:top w:val="nil"/>
              <w:left w:val="single" w:sz="4" w:space="0" w:color="000000" w:themeColor="text1"/>
              <w:bottom w:val="nil"/>
              <w:right w:val="single" w:sz="4" w:space="0" w:color="auto"/>
            </w:tcBorders>
          </w:tcPr>
          <w:p w14:paraId="5833248F" w14:textId="7448A247"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33C5E">
              <w:rPr>
                <w:rFonts w:eastAsia="Times New Roman"/>
                <w:sz w:val="18"/>
                <w:szCs w:val="18"/>
              </w:rPr>
              <w:t>9</w:t>
            </w:r>
          </w:p>
        </w:tc>
        <w:tc>
          <w:tcPr>
            <w:tcW w:w="997" w:type="dxa"/>
            <w:tcBorders>
              <w:top w:val="nil"/>
              <w:left w:val="single" w:sz="4" w:space="0" w:color="auto"/>
              <w:bottom w:val="nil"/>
              <w:right w:val="single" w:sz="4" w:space="0" w:color="000000" w:themeColor="text1"/>
            </w:tcBorders>
            <w:shd w:val="clear" w:color="auto" w:fill="auto"/>
            <w:noWrap/>
          </w:tcPr>
          <w:p w14:paraId="40141D95" w14:textId="218678FA"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9</w:t>
            </w:r>
          </w:p>
        </w:tc>
        <w:tc>
          <w:tcPr>
            <w:tcW w:w="1081" w:type="dxa"/>
            <w:tcBorders>
              <w:top w:val="nil"/>
              <w:left w:val="nil"/>
              <w:bottom w:val="nil"/>
              <w:right w:val="single" w:sz="4" w:space="0" w:color="000000" w:themeColor="text1"/>
            </w:tcBorders>
            <w:shd w:val="clear" w:color="auto" w:fill="auto"/>
            <w:noWrap/>
            <w:vAlign w:val="bottom"/>
          </w:tcPr>
          <w:p w14:paraId="7C7932A6" w14:textId="3EDBD9F9"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w:t>
            </w:r>
          </w:p>
        </w:tc>
        <w:tc>
          <w:tcPr>
            <w:tcW w:w="1046" w:type="dxa"/>
            <w:tcBorders>
              <w:top w:val="nil"/>
              <w:left w:val="nil"/>
              <w:bottom w:val="nil"/>
              <w:right w:val="single" w:sz="4" w:space="0" w:color="auto"/>
            </w:tcBorders>
            <w:shd w:val="clear" w:color="auto" w:fill="auto"/>
            <w:noWrap/>
            <w:vAlign w:val="bottom"/>
          </w:tcPr>
          <w:p w14:paraId="50990D94" w14:textId="0070EC00"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w:t>
            </w:r>
          </w:p>
        </w:tc>
      </w:tr>
      <w:tr w:rsidR="00741D01" w:rsidRPr="00B664C6" w14:paraId="493ED9EB" w14:textId="77777777" w:rsidTr="39D02343">
        <w:trPr>
          <w:trHeight w:val="179"/>
        </w:trPr>
        <w:tc>
          <w:tcPr>
            <w:tcW w:w="3995" w:type="dxa"/>
            <w:tcBorders>
              <w:top w:val="nil"/>
              <w:left w:val="single" w:sz="4" w:space="0" w:color="auto"/>
              <w:bottom w:val="nil"/>
              <w:right w:val="single" w:sz="4" w:space="0" w:color="auto"/>
            </w:tcBorders>
            <w:shd w:val="clear" w:color="auto" w:fill="auto"/>
            <w:vAlign w:val="bottom"/>
            <w:hideMark/>
          </w:tcPr>
          <w:p w14:paraId="2504BC77" w14:textId="6867D048"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Upper-middle-income-country contributions</w:t>
            </w:r>
          </w:p>
        </w:tc>
        <w:tc>
          <w:tcPr>
            <w:tcW w:w="997" w:type="dxa"/>
            <w:tcBorders>
              <w:top w:val="nil"/>
              <w:left w:val="single" w:sz="4" w:space="0" w:color="000000" w:themeColor="text1"/>
              <w:bottom w:val="nil"/>
              <w:right w:val="single" w:sz="4" w:space="0" w:color="auto"/>
            </w:tcBorders>
          </w:tcPr>
          <w:p w14:paraId="15C380D6" w14:textId="071A672A"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33C5E">
              <w:rPr>
                <w:rFonts w:eastAsia="Times New Roman"/>
                <w:sz w:val="18"/>
                <w:szCs w:val="18"/>
              </w:rPr>
              <w:t>9</w:t>
            </w:r>
          </w:p>
        </w:tc>
        <w:tc>
          <w:tcPr>
            <w:tcW w:w="997" w:type="dxa"/>
            <w:tcBorders>
              <w:top w:val="nil"/>
              <w:left w:val="single" w:sz="4" w:space="0" w:color="auto"/>
              <w:bottom w:val="nil"/>
              <w:right w:val="single" w:sz="4" w:space="0" w:color="000000" w:themeColor="text1"/>
            </w:tcBorders>
            <w:shd w:val="clear" w:color="auto" w:fill="auto"/>
            <w:noWrap/>
          </w:tcPr>
          <w:p w14:paraId="41BED874" w14:textId="1AF45B5A"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9</w:t>
            </w:r>
          </w:p>
        </w:tc>
        <w:tc>
          <w:tcPr>
            <w:tcW w:w="1081" w:type="dxa"/>
            <w:tcBorders>
              <w:top w:val="nil"/>
              <w:left w:val="nil"/>
              <w:bottom w:val="nil"/>
              <w:right w:val="single" w:sz="4" w:space="0" w:color="000000" w:themeColor="text1"/>
            </w:tcBorders>
            <w:shd w:val="clear" w:color="auto" w:fill="auto"/>
            <w:noWrap/>
            <w:vAlign w:val="bottom"/>
          </w:tcPr>
          <w:p w14:paraId="1D7EDE86" w14:textId="2B61474D"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w:t>
            </w:r>
          </w:p>
        </w:tc>
        <w:tc>
          <w:tcPr>
            <w:tcW w:w="1046" w:type="dxa"/>
            <w:tcBorders>
              <w:top w:val="nil"/>
              <w:left w:val="nil"/>
              <w:bottom w:val="nil"/>
              <w:right w:val="single" w:sz="4" w:space="0" w:color="auto"/>
            </w:tcBorders>
            <w:shd w:val="clear" w:color="auto" w:fill="auto"/>
            <w:noWrap/>
            <w:vAlign w:val="bottom"/>
          </w:tcPr>
          <w:p w14:paraId="272B7547" w14:textId="4DF92EA0"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w:t>
            </w:r>
          </w:p>
        </w:tc>
      </w:tr>
      <w:tr w:rsidR="00741D01" w:rsidRPr="00B664C6" w14:paraId="2ADC8E2A"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center"/>
            <w:hideMark/>
          </w:tcPr>
          <w:p w14:paraId="0B3ADDE6" w14:textId="4512F808"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Contributions in kind </w:t>
            </w:r>
          </w:p>
        </w:tc>
        <w:tc>
          <w:tcPr>
            <w:tcW w:w="997" w:type="dxa"/>
            <w:tcBorders>
              <w:top w:val="nil"/>
              <w:left w:val="single" w:sz="4" w:space="0" w:color="auto"/>
              <w:bottom w:val="nil"/>
              <w:right w:val="single" w:sz="4" w:space="0" w:color="auto"/>
            </w:tcBorders>
          </w:tcPr>
          <w:p w14:paraId="63C76C67" w14:textId="6B7E838E"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17</w:t>
            </w:r>
          </w:p>
        </w:tc>
        <w:tc>
          <w:tcPr>
            <w:tcW w:w="997" w:type="dxa"/>
            <w:tcBorders>
              <w:top w:val="nil"/>
              <w:left w:val="single" w:sz="4" w:space="0" w:color="auto"/>
              <w:bottom w:val="nil"/>
              <w:right w:val="single" w:sz="4" w:space="0" w:color="000000" w:themeColor="text1"/>
            </w:tcBorders>
            <w:shd w:val="clear" w:color="auto" w:fill="auto"/>
            <w:noWrap/>
          </w:tcPr>
          <w:p w14:paraId="6C5F65A4" w14:textId="6F89D56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22</w:t>
            </w:r>
          </w:p>
        </w:tc>
        <w:tc>
          <w:tcPr>
            <w:tcW w:w="1081" w:type="dxa"/>
            <w:tcBorders>
              <w:top w:val="nil"/>
              <w:left w:val="nil"/>
              <w:bottom w:val="nil"/>
              <w:right w:val="single" w:sz="4" w:space="0" w:color="000000" w:themeColor="text1"/>
            </w:tcBorders>
            <w:shd w:val="clear" w:color="auto" w:fill="auto"/>
            <w:noWrap/>
            <w:vAlign w:val="bottom"/>
          </w:tcPr>
          <w:p w14:paraId="6A99244C" w14:textId="15CD6D60"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w:t>
            </w:r>
          </w:p>
        </w:tc>
        <w:tc>
          <w:tcPr>
            <w:tcW w:w="1046" w:type="dxa"/>
            <w:tcBorders>
              <w:top w:val="nil"/>
              <w:left w:val="nil"/>
              <w:bottom w:val="nil"/>
              <w:right w:val="single" w:sz="4" w:space="0" w:color="auto"/>
            </w:tcBorders>
            <w:shd w:val="clear" w:color="auto" w:fill="auto"/>
            <w:noWrap/>
            <w:vAlign w:val="bottom"/>
          </w:tcPr>
          <w:p w14:paraId="10125892" w14:textId="04E9A6F6"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(24%)</w:t>
            </w:r>
          </w:p>
        </w:tc>
      </w:tr>
      <w:tr w:rsidR="00741D01" w:rsidRPr="00B664C6" w14:paraId="51E48489" w14:textId="77777777" w:rsidTr="39D02343">
        <w:trPr>
          <w:trHeight w:val="179"/>
        </w:trPr>
        <w:tc>
          <w:tcPr>
            <w:tcW w:w="3995" w:type="dxa"/>
            <w:tcBorders>
              <w:top w:val="nil"/>
              <w:left w:val="single" w:sz="4" w:space="0" w:color="000000" w:themeColor="text1"/>
              <w:bottom w:val="single" w:sz="4" w:space="0" w:color="000000" w:themeColor="text1"/>
              <w:right w:val="single" w:sz="4" w:space="0" w:color="auto"/>
            </w:tcBorders>
            <w:shd w:val="clear" w:color="auto" w:fill="auto"/>
            <w:vAlign w:val="center"/>
            <w:hideMark/>
          </w:tcPr>
          <w:p w14:paraId="6A46B2C7" w14:textId="77777777"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Transfer of funds and refunds to donors</w:t>
            </w:r>
          </w:p>
        </w:tc>
        <w:tc>
          <w:tcPr>
            <w:tcW w:w="997" w:type="dxa"/>
            <w:tcBorders>
              <w:top w:val="nil"/>
              <w:left w:val="single" w:sz="4" w:space="0" w:color="auto"/>
              <w:bottom w:val="single" w:sz="4" w:space="0" w:color="000000" w:themeColor="text1"/>
              <w:right w:val="single" w:sz="4" w:space="0" w:color="auto"/>
            </w:tcBorders>
          </w:tcPr>
          <w:p w14:paraId="744D8A20" w14:textId="12B6EFD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w:t>
            </w:r>
            <w:r>
              <w:rPr>
                <w:rFonts w:eastAsia="Times New Roman"/>
                <w:sz w:val="18"/>
                <w:szCs w:val="18"/>
              </w:rPr>
              <w:t>79</w:t>
            </w:r>
            <w:r w:rsidRPr="00192E4D">
              <w:rPr>
                <w:rFonts w:eastAsia="Times New Roman"/>
                <w:sz w:val="18"/>
                <w:szCs w:val="18"/>
              </w:rPr>
              <w:t>)</w:t>
            </w:r>
          </w:p>
        </w:tc>
        <w:tc>
          <w:tcPr>
            <w:tcW w:w="997" w:type="dxa"/>
            <w:tcBorders>
              <w:top w:val="nil"/>
              <w:left w:val="single" w:sz="4" w:space="0" w:color="auto"/>
              <w:bottom w:val="single" w:sz="4" w:space="0" w:color="000000" w:themeColor="text1"/>
              <w:right w:val="single" w:sz="4" w:space="0" w:color="000000" w:themeColor="text1"/>
            </w:tcBorders>
            <w:shd w:val="clear" w:color="auto" w:fill="auto"/>
            <w:noWrap/>
          </w:tcPr>
          <w:p w14:paraId="35456E1C" w14:textId="0F1C58C9"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(65)</w:t>
            </w:r>
          </w:p>
        </w:tc>
        <w:tc>
          <w:tcPr>
            <w:tcW w:w="1081" w:type="dxa"/>
            <w:tcBorders>
              <w:top w:val="nil"/>
              <w:left w:val="nil"/>
              <w:bottom w:val="single" w:sz="4" w:space="0" w:color="auto"/>
              <w:right w:val="single" w:sz="4" w:space="0" w:color="000000" w:themeColor="text1"/>
            </w:tcBorders>
            <w:shd w:val="clear" w:color="auto" w:fill="auto"/>
            <w:noWrap/>
            <w:vAlign w:val="bottom"/>
          </w:tcPr>
          <w:p w14:paraId="1F3EA495" w14:textId="4D86E1A6"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(14)</w:t>
            </w:r>
          </w:p>
        </w:tc>
        <w:tc>
          <w:tcPr>
            <w:tcW w:w="1046" w:type="dxa"/>
            <w:tcBorders>
              <w:top w:val="nil"/>
              <w:left w:val="nil"/>
              <w:bottom w:val="single" w:sz="4" w:space="0" w:color="auto"/>
              <w:right w:val="single" w:sz="4" w:space="0" w:color="auto"/>
            </w:tcBorders>
            <w:shd w:val="clear" w:color="auto" w:fill="auto"/>
            <w:noWrap/>
            <w:vAlign w:val="bottom"/>
          </w:tcPr>
          <w:p w14:paraId="413CBB26" w14:textId="4A8B73D9"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(21%)</w:t>
            </w:r>
          </w:p>
        </w:tc>
      </w:tr>
      <w:tr w:rsidR="00741D01" w:rsidRPr="00B664C6" w14:paraId="793806B1"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center"/>
            <w:hideMark/>
          </w:tcPr>
          <w:p w14:paraId="46BD4C8B" w14:textId="2DE3F556"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Voluntary contributions, net</w:t>
            </w:r>
          </w:p>
        </w:tc>
        <w:tc>
          <w:tcPr>
            <w:tcW w:w="997" w:type="dxa"/>
            <w:tcBorders>
              <w:top w:val="nil"/>
              <w:left w:val="single" w:sz="4" w:space="0" w:color="auto"/>
              <w:bottom w:val="nil"/>
              <w:right w:val="single" w:sz="4" w:space="0" w:color="auto"/>
            </w:tcBorders>
          </w:tcPr>
          <w:p w14:paraId="5680FFAE" w14:textId="62E81DCD"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4 998</w:t>
            </w:r>
          </w:p>
        </w:tc>
        <w:tc>
          <w:tcPr>
            <w:tcW w:w="997" w:type="dxa"/>
            <w:tcBorders>
              <w:top w:val="nil"/>
              <w:left w:val="single" w:sz="4" w:space="0" w:color="auto"/>
              <w:bottom w:val="nil"/>
              <w:right w:val="single" w:sz="4" w:space="0" w:color="000000" w:themeColor="text1"/>
            </w:tcBorders>
            <w:shd w:val="clear" w:color="auto" w:fill="auto"/>
            <w:noWrap/>
          </w:tcPr>
          <w:p w14:paraId="672E42FD" w14:textId="1E5CAE67"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5 304</w:t>
            </w:r>
          </w:p>
        </w:tc>
        <w:tc>
          <w:tcPr>
            <w:tcW w:w="1081" w:type="dxa"/>
            <w:tcBorders>
              <w:top w:val="nil"/>
              <w:left w:val="nil"/>
              <w:bottom w:val="nil"/>
              <w:right w:val="single" w:sz="4" w:space="0" w:color="000000" w:themeColor="text1"/>
            </w:tcBorders>
            <w:shd w:val="clear" w:color="auto" w:fill="auto"/>
            <w:noWrap/>
            <w:vAlign w:val="bottom"/>
          </w:tcPr>
          <w:p w14:paraId="7343DF1C" w14:textId="649B72A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(306)</w:t>
            </w:r>
          </w:p>
        </w:tc>
        <w:tc>
          <w:tcPr>
            <w:tcW w:w="1046" w:type="dxa"/>
            <w:tcBorders>
              <w:top w:val="nil"/>
              <w:left w:val="nil"/>
              <w:bottom w:val="nil"/>
              <w:right w:val="single" w:sz="4" w:space="0" w:color="auto"/>
            </w:tcBorders>
            <w:shd w:val="clear" w:color="auto" w:fill="auto"/>
            <w:noWrap/>
            <w:vAlign w:val="bottom"/>
          </w:tcPr>
          <w:p w14:paraId="0DD32B7D" w14:textId="19F3A5D4"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(6</w:t>
            </w:r>
            <w:r w:rsidRPr="00192E4D">
              <w:rPr>
                <w:rFonts w:eastAsia="Times New Roman"/>
                <w:sz w:val="18"/>
                <w:szCs w:val="18"/>
              </w:rPr>
              <w:t>%</w:t>
            </w:r>
            <w:r>
              <w:rPr>
                <w:rFonts w:eastAsia="Times New Roman"/>
                <w:sz w:val="18"/>
                <w:szCs w:val="18"/>
              </w:rPr>
              <w:t>)</w:t>
            </w:r>
          </w:p>
        </w:tc>
      </w:tr>
      <w:tr w:rsidR="00741D01" w:rsidRPr="00B664C6" w14:paraId="311EA4FD"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center"/>
            <w:hideMark/>
          </w:tcPr>
          <w:p w14:paraId="55E1C276" w14:textId="77777777"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Investment revenue</w:t>
            </w:r>
          </w:p>
        </w:tc>
        <w:tc>
          <w:tcPr>
            <w:tcW w:w="997" w:type="dxa"/>
            <w:tcBorders>
              <w:top w:val="nil"/>
              <w:left w:val="single" w:sz="4" w:space="0" w:color="auto"/>
              <w:bottom w:val="nil"/>
              <w:right w:val="single" w:sz="4" w:space="0" w:color="auto"/>
            </w:tcBorders>
          </w:tcPr>
          <w:p w14:paraId="1BDD60DE" w14:textId="708554D2"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1</w:t>
            </w:r>
            <w:r>
              <w:rPr>
                <w:rFonts w:eastAsia="Times New Roman"/>
                <w:sz w:val="18"/>
                <w:szCs w:val="18"/>
              </w:rPr>
              <w:t>01</w:t>
            </w:r>
          </w:p>
        </w:tc>
        <w:tc>
          <w:tcPr>
            <w:tcW w:w="997" w:type="dxa"/>
            <w:tcBorders>
              <w:top w:val="nil"/>
              <w:left w:val="single" w:sz="4" w:space="0" w:color="auto"/>
              <w:bottom w:val="nil"/>
              <w:right w:val="single" w:sz="4" w:space="0" w:color="000000" w:themeColor="text1"/>
            </w:tcBorders>
            <w:shd w:val="clear" w:color="auto" w:fill="auto"/>
            <w:noWrap/>
          </w:tcPr>
          <w:p w14:paraId="50EE08B3" w14:textId="4613FBBE"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1</w:t>
            </w:r>
            <w:r>
              <w:rPr>
                <w:rFonts w:eastAsia="Times New Roman"/>
                <w:sz w:val="18"/>
                <w:szCs w:val="18"/>
              </w:rPr>
              <w:t>35</w:t>
            </w:r>
          </w:p>
        </w:tc>
        <w:tc>
          <w:tcPr>
            <w:tcW w:w="1081" w:type="dxa"/>
            <w:tcBorders>
              <w:top w:val="nil"/>
              <w:left w:val="nil"/>
              <w:bottom w:val="nil"/>
              <w:right w:val="single" w:sz="4" w:space="0" w:color="000000" w:themeColor="text1"/>
            </w:tcBorders>
            <w:shd w:val="clear" w:color="auto" w:fill="auto"/>
            <w:noWrap/>
            <w:vAlign w:val="bottom"/>
          </w:tcPr>
          <w:p w14:paraId="1CC0653E" w14:textId="07AD80D1"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(34)</w:t>
            </w:r>
          </w:p>
        </w:tc>
        <w:tc>
          <w:tcPr>
            <w:tcW w:w="1046" w:type="dxa"/>
            <w:tcBorders>
              <w:top w:val="nil"/>
              <w:left w:val="nil"/>
              <w:bottom w:val="nil"/>
              <w:right w:val="single" w:sz="4" w:space="0" w:color="auto"/>
            </w:tcBorders>
            <w:shd w:val="clear" w:color="auto" w:fill="auto"/>
            <w:noWrap/>
            <w:vAlign w:val="bottom"/>
          </w:tcPr>
          <w:p w14:paraId="1BF8C15C" w14:textId="22F8E1ED"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(25</w:t>
            </w:r>
            <w:r w:rsidRPr="00192E4D">
              <w:rPr>
                <w:rFonts w:eastAsia="Times New Roman"/>
                <w:sz w:val="18"/>
                <w:szCs w:val="18"/>
              </w:rPr>
              <w:t>%</w:t>
            </w:r>
            <w:r>
              <w:rPr>
                <w:rFonts w:eastAsia="Times New Roman"/>
                <w:sz w:val="18"/>
                <w:szCs w:val="18"/>
              </w:rPr>
              <w:t>)</w:t>
            </w:r>
          </w:p>
        </w:tc>
      </w:tr>
      <w:tr w:rsidR="00741D01" w:rsidRPr="00B664C6" w14:paraId="3CA456C5" w14:textId="77777777" w:rsidTr="39D02343">
        <w:trPr>
          <w:trHeight w:val="179"/>
        </w:trPr>
        <w:tc>
          <w:tcPr>
            <w:tcW w:w="3995" w:type="dxa"/>
            <w:tcBorders>
              <w:top w:val="nil"/>
              <w:left w:val="single" w:sz="4" w:space="0" w:color="000000" w:themeColor="text1"/>
              <w:bottom w:val="nil"/>
              <w:right w:val="single" w:sz="4" w:space="0" w:color="auto"/>
            </w:tcBorders>
            <w:shd w:val="clear" w:color="auto" w:fill="auto"/>
            <w:vAlign w:val="center"/>
            <w:hideMark/>
          </w:tcPr>
          <w:p w14:paraId="7FAC4B15" w14:textId="0A232872"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Other revenue</w:t>
            </w:r>
          </w:p>
        </w:tc>
        <w:tc>
          <w:tcPr>
            <w:tcW w:w="997" w:type="dxa"/>
            <w:tcBorders>
              <w:top w:val="nil"/>
              <w:left w:val="single" w:sz="4" w:space="0" w:color="auto"/>
              <w:bottom w:val="nil"/>
              <w:right w:val="single" w:sz="4" w:space="0" w:color="auto"/>
            </w:tcBorders>
          </w:tcPr>
          <w:p w14:paraId="713C60D5" w14:textId="398F77F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4</w:t>
            </w:r>
            <w:r>
              <w:rPr>
                <w:rFonts w:eastAsia="Times New Roman"/>
                <w:sz w:val="18"/>
                <w:szCs w:val="18"/>
              </w:rPr>
              <w:t>93</w:t>
            </w:r>
          </w:p>
        </w:tc>
        <w:tc>
          <w:tcPr>
            <w:tcW w:w="997" w:type="dxa"/>
            <w:tcBorders>
              <w:top w:val="nil"/>
              <w:left w:val="single" w:sz="4" w:space="0" w:color="auto"/>
              <w:bottom w:val="nil"/>
              <w:right w:val="single" w:sz="4" w:space="0" w:color="000000" w:themeColor="text1"/>
            </w:tcBorders>
            <w:shd w:val="clear" w:color="auto" w:fill="auto"/>
            <w:noWrap/>
          </w:tcPr>
          <w:p w14:paraId="0FC96848" w14:textId="4FF9D1E9"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4</w:t>
            </w:r>
            <w:r>
              <w:rPr>
                <w:rFonts w:eastAsia="Times New Roman"/>
                <w:sz w:val="18"/>
                <w:szCs w:val="18"/>
              </w:rPr>
              <w:t>59</w:t>
            </w:r>
          </w:p>
        </w:tc>
        <w:tc>
          <w:tcPr>
            <w:tcW w:w="1081" w:type="dxa"/>
            <w:tcBorders>
              <w:top w:val="nil"/>
              <w:left w:val="nil"/>
              <w:bottom w:val="single" w:sz="4" w:space="0" w:color="auto"/>
              <w:right w:val="single" w:sz="4" w:space="0" w:color="000000" w:themeColor="text1"/>
            </w:tcBorders>
            <w:shd w:val="clear" w:color="auto" w:fill="auto"/>
            <w:noWrap/>
            <w:vAlign w:val="bottom"/>
          </w:tcPr>
          <w:p w14:paraId="1EFADFF5" w14:textId="3DF6C4AA"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34</w:t>
            </w:r>
          </w:p>
        </w:tc>
        <w:tc>
          <w:tcPr>
            <w:tcW w:w="1046" w:type="dxa"/>
            <w:tcBorders>
              <w:top w:val="nil"/>
              <w:left w:val="nil"/>
              <w:bottom w:val="single" w:sz="4" w:space="0" w:color="auto"/>
              <w:right w:val="single" w:sz="4" w:space="0" w:color="auto"/>
            </w:tcBorders>
            <w:shd w:val="clear" w:color="auto" w:fill="auto"/>
            <w:noWrap/>
            <w:vAlign w:val="bottom"/>
          </w:tcPr>
          <w:p w14:paraId="196E6EFB" w14:textId="2C2BC6EF"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7</w:t>
            </w:r>
            <w:r w:rsidRPr="00192E4D">
              <w:rPr>
                <w:rFonts w:eastAsia="Times New Roman"/>
                <w:sz w:val="18"/>
                <w:szCs w:val="18"/>
              </w:rPr>
              <w:t>%</w:t>
            </w:r>
          </w:p>
        </w:tc>
      </w:tr>
      <w:tr w:rsidR="00741D01" w:rsidRPr="00B664C6" w14:paraId="51819FF5" w14:textId="77777777" w:rsidTr="00EB2687">
        <w:trPr>
          <w:trHeight w:val="242"/>
        </w:trPr>
        <w:tc>
          <w:tcPr>
            <w:tcW w:w="399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07A19744" w14:textId="4B36BA61" w:rsidR="00741D01" w:rsidRPr="00B664C6" w:rsidRDefault="00741D01" w:rsidP="00741D01">
            <w:pPr>
              <w:keepNext/>
              <w:suppressAutoHyphens w:val="0"/>
              <w:spacing w:before="10" w:after="10" w:line="240" w:lineRule="auto"/>
              <w:rPr>
                <w:rFonts w:eastAsia="Times New Roman"/>
                <w:b/>
                <w:bCs/>
                <w:color w:val="000000"/>
                <w:spacing w:val="0"/>
                <w:w w:val="100"/>
                <w:kern w:val="0"/>
                <w:sz w:val="16"/>
                <w:szCs w:val="16"/>
              </w:rPr>
            </w:pPr>
            <w:r w:rsidRPr="00B664C6">
              <w:rPr>
                <w:rFonts w:eastAsia="Times New Roman"/>
                <w:b/>
                <w:bCs/>
                <w:color w:val="000000"/>
                <w:spacing w:val="0"/>
                <w:w w:val="100"/>
                <w:kern w:val="0"/>
                <w:sz w:val="16"/>
                <w:szCs w:val="16"/>
              </w:rPr>
              <w:t>Total revenue before elimination</w:t>
            </w:r>
          </w:p>
        </w:tc>
        <w:tc>
          <w:tcPr>
            <w:tcW w:w="997" w:type="dxa"/>
            <w:tcBorders>
              <w:top w:val="single" w:sz="4" w:space="0" w:color="000000" w:themeColor="text1"/>
              <w:left w:val="single" w:sz="4" w:space="0" w:color="auto"/>
              <w:bottom w:val="single" w:sz="4" w:space="0" w:color="000000" w:themeColor="text1"/>
              <w:right w:val="single" w:sz="4" w:space="0" w:color="auto"/>
            </w:tcBorders>
          </w:tcPr>
          <w:p w14:paraId="133FCD02" w14:textId="267B7766"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5 592</w:t>
            </w:r>
          </w:p>
        </w:tc>
        <w:tc>
          <w:tcPr>
            <w:tcW w:w="99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tcPr>
          <w:p w14:paraId="5D34BB0E" w14:textId="434B44E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5 898</w:t>
            </w:r>
          </w:p>
        </w:tc>
        <w:tc>
          <w:tcPr>
            <w:tcW w:w="1081" w:type="dxa"/>
            <w:tcBorders>
              <w:top w:val="single" w:sz="4" w:space="0" w:color="auto"/>
              <w:left w:val="nil"/>
              <w:bottom w:val="single" w:sz="4" w:space="0" w:color="auto"/>
              <w:right w:val="single" w:sz="4" w:space="0" w:color="000000" w:themeColor="text1"/>
            </w:tcBorders>
            <w:shd w:val="clear" w:color="auto" w:fill="auto"/>
            <w:noWrap/>
            <w:vAlign w:val="bottom"/>
          </w:tcPr>
          <w:p w14:paraId="4D94DE01" w14:textId="399EECE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(306)</w:t>
            </w:r>
          </w:p>
        </w:tc>
        <w:tc>
          <w:tcPr>
            <w:tcW w:w="1046" w:type="dxa"/>
            <w:tcBorders>
              <w:top w:val="single" w:sz="4" w:space="0" w:color="auto"/>
              <w:left w:val="nil"/>
              <w:bottom w:val="single" w:sz="4" w:space="0" w:color="auto"/>
              <w:right w:val="single" w:sz="4" w:space="0" w:color="auto"/>
            </w:tcBorders>
            <w:shd w:val="clear" w:color="auto" w:fill="auto"/>
            <w:noWrap/>
            <w:vAlign w:val="bottom"/>
          </w:tcPr>
          <w:p w14:paraId="6315AC58" w14:textId="2A43CC4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w:t>
            </w:r>
            <w:r w:rsidRPr="00192E4D">
              <w:rPr>
                <w:rFonts w:eastAsia="Times New Roman"/>
                <w:sz w:val="18"/>
                <w:szCs w:val="18"/>
              </w:rPr>
              <w:t>%</w:t>
            </w:r>
            <w:r>
              <w:rPr>
                <w:rFonts w:eastAsia="Times New Roman"/>
                <w:sz w:val="18"/>
                <w:szCs w:val="18"/>
              </w:rPr>
              <w:t>)</w:t>
            </w:r>
          </w:p>
        </w:tc>
      </w:tr>
      <w:tr w:rsidR="00741D01" w:rsidRPr="00B664C6" w14:paraId="289EDFC6" w14:textId="77777777" w:rsidTr="00EB2687">
        <w:trPr>
          <w:trHeight w:val="242"/>
        </w:trPr>
        <w:tc>
          <w:tcPr>
            <w:tcW w:w="3995" w:type="dxa"/>
            <w:tcBorders>
              <w:top w:val="nil"/>
              <w:left w:val="single" w:sz="4" w:space="0" w:color="000000" w:themeColor="text1"/>
              <w:bottom w:val="single" w:sz="4" w:space="0" w:color="000000" w:themeColor="text1"/>
              <w:right w:val="single" w:sz="4" w:space="0" w:color="auto"/>
            </w:tcBorders>
            <w:shd w:val="clear" w:color="auto" w:fill="auto"/>
            <w:noWrap/>
            <w:vAlign w:val="center"/>
            <w:hideMark/>
          </w:tcPr>
          <w:p w14:paraId="74E25ABC" w14:textId="27E63A4A" w:rsidR="00741D01" w:rsidRPr="00B664C6" w:rsidRDefault="00741D01" w:rsidP="00741D01">
            <w:pPr>
              <w:keepNext/>
              <w:suppressAutoHyphens w:val="0"/>
              <w:spacing w:before="10" w:after="10" w:line="240" w:lineRule="auto"/>
              <w:rPr>
                <w:rFonts w:eastAsia="Times New Roman"/>
                <w:color w:val="000000"/>
                <w:spacing w:val="0"/>
                <w:w w:val="100"/>
                <w:kern w:val="0"/>
                <w:sz w:val="16"/>
                <w:szCs w:val="16"/>
              </w:rPr>
            </w:pPr>
            <w:r w:rsidRPr="00B664C6">
              <w:rPr>
                <w:rFonts w:eastAsia="Times New Roman"/>
                <w:b/>
                <w:color w:val="000000"/>
                <w:spacing w:val="0"/>
                <w:w w:val="100"/>
                <w:kern w:val="0"/>
                <w:sz w:val="16"/>
                <w:szCs w:val="16"/>
              </w:rPr>
              <w:t>Elimination – internal UNDP cost recovery</w:t>
            </w:r>
          </w:p>
        </w:tc>
        <w:tc>
          <w:tcPr>
            <w:tcW w:w="997" w:type="dxa"/>
            <w:tcBorders>
              <w:top w:val="nil"/>
              <w:left w:val="single" w:sz="4" w:space="0" w:color="auto"/>
              <w:bottom w:val="single" w:sz="4" w:space="0" w:color="000000" w:themeColor="text1"/>
              <w:right w:val="single" w:sz="4" w:space="0" w:color="auto"/>
            </w:tcBorders>
          </w:tcPr>
          <w:p w14:paraId="2D896222" w14:textId="12B42C9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(2</w:t>
            </w:r>
            <w:r>
              <w:rPr>
                <w:rFonts w:eastAsia="Times New Roman"/>
                <w:sz w:val="18"/>
                <w:szCs w:val="18"/>
              </w:rPr>
              <w:t>70</w:t>
            </w:r>
            <w:r w:rsidRPr="00192E4D">
              <w:rPr>
                <w:rFonts w:eastAsia="Times New Roman"/>
                <w:sz w:val="18"/>
                <w:szCs w:val="18"/>
              </w:rPr>
              <w:t>)</w:t>
            </w:r>
          </w:p>
        </w:tc>
        <w:tc>
          <w:tcPr>
            <w:tcW w:w="997" w:type="dxa"/>
            <w:tcBorders>
              <w:top w:val="nil"/>
              <w:left w:val="single" w:sz="4" w:space="0" w:color="auto"/>
              <w:bottom w:val="single" w:sz="4" w:space="0" w:color="000000" w:themeColor="text1"/>
              <w:right w:val="single" w:sz="4" w:space="0" w:color="000000" w:themeColor="text1"/>
            </w:tcBorders>
            <w:shd w:val="clear" w:color="auto" w:fill="auto"/>
            <w:noWrap/>
          </w:tcPr>
          <w:p w14:paraId="2ABFCB3F" w14:textId="251FE7D7"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sidRPr="00192E4D">
              <w:rPr>
                <w:rFonts w:eastAsia="Times New Roman"/>
                <w:sz w:val="18"/>
                <w:szCs w:val="18"/>
              </w:rPr>
              <w:t>(2</w:t>
            </w:r>
            <w:r>
              <w:rPr>
                <w:rFonts w:eastAsia="Times New Roman"/>
                <w:sz w:val="18"/>
                <w:szCs w:val="18"/>
              </w:rPr>
              <w:t>61</w:t>
            </w:r>
            <w:r w:rsidRPr="00192E4D">
              <w:rPr>
                <w:rFonts w:eastAsia="Times New Roman"/>
                <w:sz w:val="18"/>
                <w:szCs w:val="18"/>
              </w:rPr>
              <w:t>)</w:t>
            </w:r>
          </w:p>
        </w:tc>
        <w:tc>
          <w:tcPr>
            <w:tcW w:w="1081" w:type="dxa"/>
            <w:tcBorders>
              <w:top w:val="nil"/>
              <w:left w:val="nil"/>
              <w:bottom w:val="nil"/>
              <w:right w:val="single" w:sz="4" w:space="0" w:color="000000" w:themeColor="text1"/>
            </w:tcBorders>
            <w:shd w:val="clear" w:color="auto" w:fill="auto"/>
            <w:noWrap/>
            <w:vAlign w:val="bottom"/>
          </w:tcPr>
          <w:p w14:paraId="5A943137" w14:textId="540DD90E"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(9)</w:t>
            </w:r>
          </w:p>
        </w:tc>
        <w:tc>
          <w:tcPr>
            <w:tcW w:w="1046" w:type="dxa"/>
            <w:tcBorders>
              <w:top w:val="nil"/>
              <w:left w:val="nil"/>
              <w:bottom w:val="nil"/>
              <w:right w:val="single" w:sz="4" w:space="0" w:color="auto"/>
            </w:tcBorders>
            <w:shd w:val="clear" w:color="auto" w:fill="auto"/>
            <w:noWrap/>
            <w:vAlign w:val="bottom"/>
          </w:tcPr>
          <w:p w14:paraId="0230E3C6" w14:textId="324CBF89"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w:t>
            </w:r>
          </w:p>
        </w:tc>
      </w:tr>
      <w:tr w:rsidR="00741D01" w:rsidRPr="000E57AE" w14:paraId="04E2E246" w14:textId="77777777" w:rsidTr="00EB2687">
        <w:trPr>
          <w:trHeight w:val="197"/>
        </w:trPr>
        <w:tc>
          <w:tcPr>
            <w:tcW w:w="3995" w:type="dxa"/>
            <w:tcBorders>
              <w:top w:val="nil"/>
              <w:left w:val="single" w:sz="4" w:space="0" w:color="000000" w:themeColor="text1"/>
              <w:bottom w:val="single" w:sz="4" w:space="0" w:color="000000" w:themeColor="text1"/>
              <w:right w:val="single" w:sz="4" w:space="0" w:color="auto"/>
            </w:tcBorders>
            <w:shd w:val="clear" w:color="auto" w:fill="auto"/>
            <w:vAlign w:val="center"/>
            <w:hideMark/>
          </w:tcPr>
          <w:p w14:paraId="71FB7549" w14:textId="6A135E79" w:rsidR="00741D01" w:rsidRPr="00B664C6" w:rsidRDefault="00741D01" w:rsidP="00741D01">
            <w:pPr>
              <w:keepNext/>
              <w:suppressAutoHyphens w:val="0"/>
              <w:spacing w:before="10" w:after="10" w:line="240" w:lineRule="auto"/>
              <w:rPr>
                <w:rFonts w:eastAsia="Times New Roman"/>
                <w:b/>
                <w:bCs/>
                <w:color w:val="000000"/>
                <w:spacing w:val="0"/>
                <w:w w:val="100"/>
                <w:kern w:val="0"/>
                <w:sz w:val="16"/>
                <w:szCs w:val="16"/>
              </w:rPr>
            </w:pPr>
            <w:r w:rsidRPr="00B664C6">
              <w:rPr>
                <w:rFonts w:eastAsia="Times New Roman"/>
                <w:b/>
                <w:bCs/>
                <w:color w:val="000000"/>
                <w:spacing w:val="0"/>
                <w:w w:val="100"/>
                <w:kern w:val="0"/>
                <w:sz w:val="16"/>
                <w:szCs w:val="16"/>
              </w:rPr>
              <w:t>Total revenue after elimination</w:t>
            </w:r>
          </w:p>
        </w:tc>
        <w:tc>
          <w:tcPr>
            <w:tcW w:w="997" w:type="dxa"/>
            <w:tcBorders>
              <w:top w:val="nil"/>
              <w:left w:val="single" w:sz="4" w:space="0" w:color="auto"/>
              <w:bottom w:val="single" w:sz="4" w:space="0" w:color="auto"/>
              <w:right w:val="single" w:sz="4" w:space="0" w:color="auto"/>
            </w:tcBorders>
          </w:tcPr>
          <w:p w14:paraId="08BB8972" w14:textId="455CAF41"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5 322</w:t>
            </w:r>
          </w:p>
        </w:tc>
        <w:tc>
          <w:tcPr>
            <w:tcW w:w="997" w:type="dxa"/>
            <w:tcBorders>
              <w:top w:val="nil"/>
              <w:left w:val="single" w:sz="4" w:space="0" w:color="auto"/>
              <w:bottom w:val="single" w:sz="4" w:space="0" w:color="auto"/>
              <w:right w:val="single" w:sz="4" w:space="0" w:color="000000" w:themeColor="text1"/>
            </w:tcBorders>
            <w:shd w:val="clear" w:color="auto" w:fill="auto"/>
            <w:noWrap/>
          </w:tcPr>
          <w:p w14:paraId="56CF77DD" w14:textId="40D23485"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5 637</w:t>
            </w:r>
          </w:p>
        </w:tc>
        <w:tc>
          <w:tcPr>
            <w:tcW w:w="1081" w:type="dxa"/>
            <w:tcBorders>
              <w:top w:val="single" w:sz="4" w:space="0" w:color="auto"/>
              <w:left w:val="nil"/>
              <w:bottom w:val="single" w:sz="4" w:space="0" w:color="auto"/>
              <w:right w:val="single" w:sz="4" w:space="0" w:color="000000" w:themeColor="text1"/>
            </w:tcBorders>
            <w:shd w:val="clear" w:color="auto" w:fill="auto"/>
            <w:noWrap/>
            <w:vAlign w:val="bottom"/>
          </w:tcPr>
          <w:p w14:paraId="6E423708" w14:textId="5B35A8DB"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(315)</w:t>
            </w:r>
          </w:p>
        </w:tc>
        <w:tc>
          <w:tcPr>
            <w:tcW w:w="1046" w:type="dxa"/>
            <w:tcBorders>
              <w:top w:val="single" w:sz="4" w:space="0" w:color="auto"/>
              <w:left w:val="nil"/>
              <w:bottom w:val="single" w:sz="4" w:space="0" w:color="auto"/>
              <w:right w:val="single" w:sz="4" w:space="0" w:color="auto"/>
            </w:tcBorders>
            <w:shd w:val="clear" w:color="auto" w:fill="auto"/>
            <w:noWrap/>
            <w:vAlign w:val="bottom"/>
          </w:tcPr>
          <w:p w14:paraId="7D4616BA" w14:textId="40930F76" w:rsidR="00741D01" w:rsidRPr="00B664C6" w:rsidRDefault="00741D01" w:rsidP="00741D01">
            <w:pPr>
              <w:keepNext/>
              <w:suppressAutoHyphens w:val="0"/>
              <w:spacing w:before="10" w:after="10" w:line="240" w:lineRule="auto"/>
              <w:jc w:val="right"/>
              <w:rPr>
                <w:rFonts w:eastAsia="Times New Roman"/>
                <w:color w:val="000000"/>
                <w:spacing w:val="0"/>
                <w:w w:val="100"/>
                <w:kern w:val="0"/>
                <w:sz w:val="16"/>
                <w:szCs w:val="16"/>
              </w:rPr>
            </w:pPr>
            <w:r>
              <w:rPr>
                <w:rFonts w:eastAsia="Times New Roman"/>
                <w:sz w:val="18"/>
                <w:szCs w:val="18"/>
              </w:rPr>
              <w:t>(6%)</w:t>
            </w:r>
          </w:p>
        </w:tc>
      </w:tr>
    </w:tbl>
    <w:p w14:paraId="5EC9CFE8" w14:textId="28619813" w:rsidR="00C476AD" w:rsidRPr="00D44D0C" w:rsidRDefault="00B074D9" w:rsidP="00E03601">
      <w:pPr>
        <w:pStyle w:val="ListParagraph"/>
        <w:numPr>
          <w:ilvl w:val="0"/>
          <w:numId w:val="5"/>
        </w:numPr>
        <w:autoSpaceDE w:val="0"/>
        <w:autoSpaceDN w:val="0"/>
        <w:spacing w:before="240" w:after="240" w:line="240" w:lineRule="auto"/>
        <w:ind w:left="1339" w:right="1267"/>
        <w:contextualSpacing w:val="0"/>
        <w:jc w:val="both"/>
        <w:rPr>
          <w:rFonts w:ascii="Calibri" w:eastAsia="Times New Roman" w:hAnsi="Calibri"/>
          <w:spacing w:val="0"/>
          <w:w w:val="100"/>
          <w:kern w:val="0"/>
          <w:lang w:val="en-US"/>
        </w:rPr>
      </w:pPr>
      <w:r w:rsidRPr="00D44D0C">
        <w:t xml:space="preserve">During </w:t>
      </w:r>
      <w:r w:rsidR="008E1442" w:rsidRPr="00D44D0C">
        <w:t>202</w:t>
      </w:r>
      <w:r w:rsidR="00E20A09">
        <w:t>2</w:t>
      </w:r>
      <w:r w:rsidR="008E1442" w:rsidRPr="00D44D0C">
        <w:t>,</w:t>
      </w:r>
      <w:r w:rsidRPr="00D44D0C">
        <w:t xml:space="preserve"> UNDP’s </w:t>
      </w:r>
      <w:r w:rsidR="00D83515" w:rsidRPr="00D44D0C">
        <w:t>a</w:t>
      </w:r>
      <w:r w:rsidRPr="00D44D0C">
        <w:t xml:space="preserve">nnual </w:t>
      </w:r>
      <w:r w:rsidR="00D83515" w:rsidRPr="00D44D0C">
        <w:t>c</w:t>
      </w:r>
      <w:r w:rsidRPr="00D44D0C">
        <w:t>ontributions were $</w:t>
      </w:r>
      <w:r w:rsidR="00B1447C">
        <w:t>4</w:t>
      </w:r>
      <w:r w:rsidR="008E1442" w:rsidRPr="00D44D0C">
        <w:t>.</w:t>
      </w:r>
      <w:r w:rsidR="00B1447C">
        <w:t>9</w:t>
      </w:r>
      <w:r w:rsidRPr="00D44D0C">
        <w:t xml:space="preserve"> billion, a </w:t>
      </w:r>
      <w:r w:rsidR="00216E76">
        <w:t>de</w:t>
      </w:r>
      <w:r w:rsidRPr="00D44D0C">
        <w:t>crease of $</w:t>
      </w:r>
      <w:r w:rsidR="00E20A09">
        <w:t>382</w:t>
      </w:r>
      <w:r w:rsidRPr="00D44D0C">
        <w:t xml:space="preserve"> million or </w:t>
      </w:r>
      <w:r w:rsidR="00E20A09">
        <w:t>7</w:t>
      </w:r>
      <w:r w:rsidRPr="00D44D0C">
        <w:t xml:space="preserve"> per cent from the </w:t>
      </w:r>
      <w:r w:rsidR="007E20C8" w:rsidRPr="00D44D0C">
        <w:t>20</w:t>
      </w:r>
      <w:r w:rsidR="00C21BF7">
        <w:t>2</w:t>
      </w:r>
      <w:r w:rsidR="00E20A09">
        <w:t>1</w:t>
      </w:r>
      <w:r w:rsidRPr="00D44D0C">
        <w:t xml:space="preserve"> amount of $</w:t>
      </w:r>
      <w:r w:rsidR="00C21BF7">
        <w:t>5.</w:t>
      </w:r>
      <w:r w:rsidR="00E20A09">
        <w:t>3</w:t>
      </w:r>
      <w:r w:rsidRPr="00D44D0C">
        <w:t xml:space="preserve"> billion</w:t>
      </w:r>
      <w:r w:rsidR="003B4CCA" w:rsidRPr="00D44D0C">
        <w:t>.</w:t>
      </w:r>
      <w:r w:rsidR="00783861" w:rsidRPr="00D44D0C">
        <w:t xml:space="preserve"> Figure </w:t>
      </w:r>
      <w:r w:rsidR="004D4DCC" w:rsidRPr="00D44D0C">
        <w:t>II</w:t>
      </w:r>
      <w:r w:rsidR="00783861" w:rsidRPr="00D44D0C">
        <w:t xml:space="preserve"> sets out the level of annual contributions o</w:t>
      </w:r>
      <w:r w:rsidR="00C476AD" w:rsidRPr="00D44D0C">
        <w:t>f regular (core) resources</w:t>
      </w:r>
      <w:r w:rsidR="00783861" w:rsidRPr="00D44D0C">
        <w:t xml:space="preserve"> in comparison to </w:t>
      </w:r>
      <w:r w:rsidR="00C476AD" w:rsidRPr="00D44D0C">
        <w:t>other (</w:t>
      </w:r>
      <w:r w:rsidR="00783861" w:rsidRPr="00D44D0C">
        <w:t>non-core</w:t>
      </w:r>
      <w:r w:rsidR="00C476AD" w:rsidRPr="00D44D0C">
        <w:t>)</w:t>
      </w:r>
      <w:r w:rsidR="00783861" w:rsidRPr="00D44D0C">
        <w:t xml:space="preserve"> resources in 20</w:t>
      </w:r>
      <w:r w:rsidR="00072A32" w:rsidRPr="00D44D0C">
        <w:t>2</w:t>
      </w:r>
      <w:r w:rsidR="00E20A09">
        <w:t>2</w:t>
      </w:r>
      <w:r w:rsidR="00783861" w:rsidRPr="00D44D0C">
        <w:t xml:space="preserve">. </w:t>
      </w:r>
      <w:r w:rsidR="00C476AD" w:rsidRPr="00D44D0C">
        <w:t>In 20</w:t>
      </w:r>
      <w:r w:rsidR="00072A32" w:rsidRPr="00D44D0C">
        <w:t>2</w:t>
      </w:r>
      <w:r w:rsidR="00E20A09">
        <w:t>2</w:t>
      </w:r>
      <w:r w:rsidR="00C476AD" w:rsidRPr="00D44D0C">
        <w:t xml:space="preserve">, the ratio between regular and other resources </w:t>
      </w:r>
      <w:r w:rsidR="00A87AE8" w:rsidRPr="00D44D0C">
        <w:t>was</w:t>
      </w:r>
      <w:r w:rsidR="00C476AD" w:rsidRPr="00D44D0C">
        <w:t xml:space="preserve"> 1</w:t>
      </w:r>
      <w:r w:rsidR="00533AE3">
        <w:t>2</w:t>
      </w:r>
      <w:r w:rsidR="00C476AD" w:rsidRPr="00D44D0C">
        <w:t xml:space="preserve"> per cent and 8</w:t>
      </w:r>
      <w:r w:rsidR="00533AE3">
        <w:t>8</w:t>
      </w:r>
      <w:r w:rsidR="00C476AD" w:rsidRPr="00D44D0C">
        <w:t xml:space="preserve"> per cent</w:t>
      </w:r>
      <w:r w:rsidR="00A87AE8" w:rsidRPr="00D44D0C">
        <w:t xml:space="preserve"> respectively.</w:t>
      </w:r>
    </w:p>
    <w:p w14:paraId="444ED7A5" w14:textId="69D22A4B" w:rsidR="008122FA" w:rsidRPr="001A2316" w:rsidRDefault="008122FA" w:rsidP="001A2316">
      <w:pPr>
        <w:keepNext/>
        <w:tabs>
          <w:tab w:val="left" w:pos="1260"/>
        </w:tabs>
        <w:suppressAutoHyphens w:val="0"/>
        <w:spacing w:line="240" w:lineRule="auto"/>
        <w:jc w:val="center"/>
        <w:rPr>
          <w:b/>
        </w:rPr>
      </w:pPr>
      <w:r w:rsidRPr="001A2316">
        <w:rPr>
          <w:b/>
        </w:rPr>
        <w:t xml:space="preserve">Figure </w:t>
      </w:r>
      <w:r w:rsidR="004D4DCC" w:rsidRPr="001A2316">
        <w:rPr>
          <w:b/>
        </w:rPr>
        <w:t>II</w:t>
      </w:r>
      <w:r w:rsidRPr="001A2316">
        <w:rPr>
          <w:b/>
        </w:rPr>
        <w:t xml:space="preserve">. </w:t>
      </w:r>
      <w:r w:rsidR="00E63925" w:rsidRPr="001A2316">
        <w:rPr>
          <w:b/>
        </w:rPr>
        <w:t xml:space="preserve">Annual </w:t>
      </w:r>
      <w:r w:rsidR="009B3563" w:rsidRPr="001A2316">
        <w:rPr>
          <w:b/>
        </w:rPr>
        <w:t>r</w:t>
      </w:r>
      <w:r w:rsidRPr="001A2316">
        <w:rPr>
          <w:b/>
        </w:rPr>
        <w:t>egular and other resources ratio, 20</w:t>
      </w:r>
      <w:r w:rsidR="005C1A36" w:rsidRPr="001A2316">
        <w:rPr>
          <w:b/>
        </w:rPr>
        <w:t>2</w:t>
      </w:r>
      <w:r w:rsidR="0030310D">
        <w:rPr>
          <w:b/>
        </w:rPr>
        <w:t>2</w:t>
      </w:r>
    </w:p>
    <w:p w14:paraId="1A38CC67" w14:textId="77777777" w:rsidR="0004233E" w:rsidRDefault="00CB2BC6" w:rsidP="00CB2BC6">
      <w:pPr>
        <w:keepNext/>
        <w:tabs>
          <w:tab w:val="center" w:pos="5027"/>
          <w:tab w:val="left" w:pos="7116"/>
        </w:tabs>
        <w:spacing w:line="240" w:lineRule="auto"/>
        <w:rPr>
          <w:rFonts w:eastAsia="Times New Roman"/>
          <w:i/>
          <w:color w:val="000000" w:themeColor="text1"/>
          <w:sz w:val="18"/>
          <w:szCs w:val="18"/>
        </w:rPr>
      </w:pPr>
      <w:r>
        <w:rPr>
          <w:rFonts w:eastAsia="Times New Roman"/>
          <w:i/>
          <w:color w:val="000000" w:themeColor="text1"/>
          <w:sz w:val="18"/>
          <w:szCs w:val="18"/>
        </w:rPr>
        <w:tab/>
      </w:r>
      <w:r w:rsidR="008122FA" w:rsidRPr="00FF5F38">
        <w:rPr>
          <w:rFonts w:eastAsia="Times New Roman"/>
          <w:i/>
          <w:color w:val="000000" w:themeColor="text1"/>
          <w:sz w:val="18"/>
          <w:szCs w:val="18"/>
        </w:rPr>
        <w:t>(</w:t>
      </w:r>
      <w:r w:rsidR="0079220F" w:rsidRPr="00FF5F38">
        <w:rPr>
          <w:rFonts w:eastAsia="Times New Roman"/>
          <w:i/>
          <w:color w:val="000000" w:themeColor="text1"/>
          <w:sz w:val="18"/>
          <w:szCs w:val="18"/>
        </w:rPr>
        <w:t>In</w:t>
      </w:r>
      <w:r w:rsidR="008122FA" w:rsidRPr="00FF5F38">
        <w:rPr>
          <w:rFonts w:eastAsia="Times New Roman"/>
          <w:i/>
          <w:color w:val="000000" w:themeColor="text1"/>
          <w:sz w:val="18"/>
          <w:szCs w:val="18"/>
        </w:rPr>
        <w:t xml:space="preserve"> millions of United States dollars)</w:t>
      </w:r>
    </w:p>
    <w:p w14:paraId="2C786DC7" w14:textId="06FFD853" w:rsidR="001918C5" w:rsidRDefault="00CB2BC6" w:rsidP="00CB2BC6">
      <w:pPr>
        <w:keepNext/>
        <w:tabs>
          <w:tab w:val="center" w:pos="5027"/>
          <w:tab w:val="left" w:pos="7116"/>
        </w:tabs>
        <w:spacing w:line="240" w:lineRule="auto"/>
        <w:rPr>
          <w:rFonts w:eastAsia="Times New Roman"/>
          <w:i/>
          <w:color w:val="000000" w:themeColor="text1"/>
          <w:sz w:val="18"/>
          <w:szCs w:val="18"/>
        </w:rPr>
      </w:pPr>
      <w:r>
        <w:rPr>
          <w:rFonts w:eastAsia="Times New Roman"/>
          <w:i/>
          <w:color w:val="000000" w:themeColor="text1"/>
          <w:sz w:val="18"/>
          <w:szCs w:val="18"/>
        </w:rPr>
        <w:tab/>
      </w:r>
    </w:p>
    <w:p w14:paraId="151C7F2E" w14:textId="636A5631" w:rsidR="00CB2BC6" w:rsidRDefault="00CB2BC6" w:rsidP="00595175">
      <w:pPr>
        <w:keepNext/>
        <w:tabs>
          <w:tab w:val="center" w:pos="5027"/>
          <w:tab w:val="left" w:pos="7116"/>
        </w:tabs>
        <w:spacing w:line="240" w:lineRule="auto"/>
        <w:ind w:left="1428"/>
        <w:rPr>
          <w:rFonts w:eastAsia="Times New Roman"/>
          <w:i/>
          <w:color w:val="000000" w:themeColor="text1"/>
          <w:sz w:val="18"/>
          <w:szCs w:val="18"/>
        </w:rPr>
      </w:pPr>
      <w:r>
        <w:rPr>
          <w:noProof/>
        </w:rPr>
        <w:drawing>
          <wp:inline distT="0" distB="0" distL="0" distR="0" wp14:anchorId="2C3F0407" wp14:editId="5811D2E3">
            <wp:extent cx="4762500" cy="1615440"/>
            <wp:effectExtent l="0" t="0" r="0" b="3810"/>
            <wp:docPr id="361687489" name="Chart 1">
              <a:extLst xmlns:a="http://schemas.openxmlformats.org/drawingml/2006/main">
                <a:ext uri="{FF2B5EF4-FFF2-40B4-BE49-F238E27FC236}">
                  <a16:creationId xmlns:a16="http://schemas.microsoft.com/office/drawing/2014/main" id="{7A2746EA-5C89-2E52-6F14-9E401FBD3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AABEC2" w14:textId="02580188" w:rsidR="00C10281" w:rsidRPr="006119C2" w:rsidRDefault="00C10281" w:rsidP="006119C2">
      <w:pPr>
        <w:keepNext/>
        <w:spacing w:line="240" w:lineRule="auto"/>
        <w:ind w:left="476"/>
        <w:jc w:val="center"/>
        <w:rPr>
          <w:sz w:val="18"/>
          <w:szCs w:val="18"/>
        </w:rPr>
      </w:pPr>
    </w:p>
    <w:p w14:paraId="2A92E2E6" w14:textId="2B85DDC8" w:rsidR="00BE363B" w:rsidRPr="00DD5AAD" w:rsidRDefault="000F345E" w:rsidP="00AF3FD4">
      <w:pPr>
        <w:pStyle w:val="ListParagraph"/>
        <w:numPr>
          <w:ilvl w:val="0"/>
          <w:numId w:val="5"/>
        </w:numPr>
        <w:spacing w:before="240" w:after="240" w:line="240" w:lineRule="auto"/>
        <w:ind w:right="1267"/>
        <w:contextualSpacing w:val="0"/>
        <w:jc w:val="both"/>
      </w:pPr>
      <w:r w:rsidRPr="0090785F">
        <w:t xml:space="preserve">Regular resources </w:t>
      </w:r>
      <w:r w:rsidR="00783861" w:rsidRPr="0090785F">
        <w:t xml:space="preserve">annual </w:t>
      </w:r>
      <w:r w:rsidRPr="0090785F">
        <w:t>contributions</w:t>
      </w:r>
      <w:r w:rsidR="00C37C89" w:rsidRPr="0090785F">
        <w:t xml:space="preserve"> received </w:t>
      </w:r>
      <w:r w:rsidR="00F363EA">
        <w:t>de</w:t>
      </w:r>
      <w:r w:rsidRPr="0090785F">
        <w:t xml:space="preserve">creased to </w:t>
      </w:r>
      <w:r w:rsidR="004513F7" w:rsidRPr="0090785F">
        <w:t>$</w:t>
      </w:r>
      <w:r w:rsidR="00D77E66">
        <w:t>591</w:t>
      </w:r>
      <w:r w:rsidR="00F363EA">
        <w:t xml:space="preserve"> </w:t>
      </w:r>
      <w:r w:rsidR="004513F7" w:rsidRPr="0090785F">
        <w:t xml:space="preserve">million from </w:t>
      </w:r>
      <w:r w:rsidRPr="0090785F">
        <w:t>$6</w:t>
      </w:r>
      <w:r w:rsidR="00D77E66">
        <w:t>48</w:t>
      </w:r>
      <w:r w:rsidRPr="0090785F">
        <w:t xml:space="preserve"> million in 20</w:t>
      </w:r>
      <w:r w:rsidR="00F363EA">
        <w:t>2</w:t>
      </w:r>
      <w:r w:rsidR="00D77E66">
        <w:t>1</w:t>
      </w:r>
      <w:r w:rsidR="00030E76">
        <w:t xml:space="preserve">. </w:t>
      </w:r>
      <w:r w:rsidR="00216F25">
        <w:t xml:space="preserve"> </w:t>
      </w:r>
      <w:r w:rsidR="00030E76">
        <w:t xml:space="preserve">UNDP continues to rely on the support of Member States to meet the targets of the funding compact. </w:t>
      </w:r>
    </w:p>
    <w:p w14:paraId="601767CC" w14:textId="6377607D" w:rsidR="00BE363B" w:rsidRPr="00DD5AAD" w:rsidRDefault="00672D82" w:rsidP="00AF3FD4">
      <w:pPr>
        <w:pStyle w:val="ListParagraph"/>
        <w:numPr>
          <w:ilvl w:val="0"/>
          <w:numId w:val="5"/>
        </w:numPr>
        <w:spacing w:before="240" w:after="240" w:line="240" w:lineRule="auto"/>
        <w:ind w:right="1267"/>
        <w:contextualSpacing w:val="0"/>
        <w:jc w:val="both"/>
      </w:pPr>
      <w:r w:rsidRPr="00F938E9">
        <w:lastRenderedPageBreak/>
        <w:t xml:space="preserve">Annual contributions </w:t>
      </w:r>
      <w:r w:rsidR="00FA2F20">
        <w:t>pertaining</w:t>
      </w:r>
      <w:r w:rsidR="00BA5C73">
        <w:t xml:space="preserve"> </w:t>
      </w:r>
      <w:r w:rsidRPr="00F938E9">
        <w:t xml:space="preserve">to other resources </w:t>
      </w:r>
      <w:r w:rsidRPr="00E659F5">
        <w:t xml:space="preserve">decreased by </w:t>
      </w:r>
      <w:r w:rsidR="00D77E66">
        <w:t>7</w:t>
      </w:r>
      <w:r w:rsidRPr="00E659F5">
        <w:t xml:space="preserve"> per cent to $4.</w:t>
      </w:r>
      <w:r w:rsidR="00D77E66">
        <w:t>3</w:t>
      </w:r>
      <w:r w:rsidRPr="00E659F5">
        <w:t xml:space="preserve"> billion from $4</w:t>
      </w:r>
      <w:r w:rsidR="00D77E66">
        <w:t>.7</w:t>
      </w:r>
      <w:r w:rsidRPr="00E659F5">
        <w:t xml:space="preserve"> billion in 20</w:t>
      </w:r>
      <w:r>
        <w:t>2</w:t>
      </w:r>
      <w:r w:rsidR="00D77E66">
        <w:t>1</w:t>
      </w:r>
      <w:r w:rsidRPr="00F938E9">
        <w:t xml:space="preserve">. </w:t>
      </w:r>
      <w:r w:rsidR="00BE363B" w:rsidRPr="00DD5AAD">
        <w:t>Other resources are ‘earmarked’ for individual programmes or projects and are important complements to the ‘un-earmarked’ regular resources base. It consists of cost-sharing, trust funds</w:t>
      </w:r>
      <w:r w:rsidR="00152D26">
        <w:t>,</w:t>
      </w:r>
      <w:r w:rsidR="00BE363B" w:rsidRPr="00DD5AAD">
        <w:t xml:space="preserve"> and reimbursable support services and miscellaneous activities. UNDP is committed to working with Member States to improve the flexibility of this funding.</w:t>
      </w:r>
      <w:r w:rsidR="00893657" w:rsidRPr="00DD5AAD">
        <w:t xml:space="preserve">  </w:t>
      </w:r>
    </w:p>
    <w:p w14:paraId="6924F445" w14:textId="274BDF3E" w:rsidR="00B1152E" w:rsidRPr="00DD5AAD" w:rsidRDefault="00B1152E" w:rsidP="00AF3FD4">
      <w:pPr>
        <w:pStyle w:val="ListParagraph"/>
        <w:numPr>
          <w:ilvl w:val="0"/>
          <w:numId w:val="5"/>
        </w:numPr>
        <w:spacing w:before="240" w:after="240" w:line="240" w:lineRule="auto"/>
        <w:ind w:right="1267"/>
        <w:contextualSpacing w:val="0"/>
        <w:jc w:val="both"/>
      </w:pPr>
      <w:r w:rsidRPr="00DD5AAD">
        <w:t xml:space="preserve">Annual </w:t>
      </w:r>
      <w:r w:rsidR="009455F8">
        <w:t>c</w:t>
      </w:r>
      <w:r w:rsidRPr="00DD5AAD">
        <w:t xml:space="preserve">ontributions are provided </w:t>
      </w:r>
      <w:r w:rsidR="00954B03">
        <w:t xml:space="preserve">by the </w:t>
      </w:r>
      <w:r w:rsidRPr="00DD5AAD">
        <w:t xml:space="preserve">funding partners per table 2b and Figure </w:t>
      </w:r>
      <w:r w:rsidR="004D4DCC">
        <w:t>III</w:t>
      </w:r>
      <w:r w:rsidR="00442030">
        <w:t xml:space="preserve"> (</w:t>
      </w:r>
      <w:r w:rsidR="006A5D75">
        <w:t>a</w:t>
      </w:r>
      <w:r w:rsidR="00442030">
        <w:t>)</w:t>
      </w:r>
      <w:r w:rsidRPr="00DD5AAD">
        <w:t xml:space="preserve"> below</w:t>
      </w:r>
      <w:r w:rsidR="003A724F">
        <w:t>:</w:t>
      </w:r>
    </w:p>
    <w:p w14:paraId="2184D1B1" w14:textId="0070281E" w:rsidR="00242AB7" w:rsidRPr="00B664C6" w:rsidRDefault="00242AB7" w:rsidP="003F5F37">
      <w:pPr>
        <w:pStyle w:val="SingleTxt"/>
        <w:keepNext/>
        <w:tabs>
          <w:tab w:val="clear" w:pos="1742"/>
          <w:tab w:val="left" w:pos="1530"/>
        </w:tabs>
        <w:spacing w:after="0"/>
        <w:ind w:left="1526"/>
        <w:jc w:val="center"/>
        <w:rPr>
          <w:b/>
        </w:rPr>
      </w:pPr>
      <w:r w:rsidRPr="00B664C6">
        <w:rPr>
          <w:b/>
        </w:rPr>
        <w:t xml:space="preserve">Table </w:t>
      </w:r>
      <w:r w:rsidR="00FA1E51" w:rsidRPr="00B664C6">
        <w:rPr>
          <w:b/>
        </w:rPr>
        <w:t>2</w:t>
      </w:r>
      <w:r w:rsidRPr="00B664C6">
        <w:rPr>
          <w:b/>
        </w:rPr>
        <w:t xml:space="preserve">b. </w:t>
      </w:r>
      <w:r w:rsidR="00833ED5" w:rsidRPr="00215006">
        <w:rPr>
          <w:b/>
        </w:rPr>
        <w:t xml:space="preserve">UNDP </w:t>
      </w:r>
      <w:r w:rsidR="00E63925" w:rsidRPr="00215006">
        <w:rPr>
          <w:b/>
        </w:rPr>
        <w:t xml:space="preserve">annual </w:t>
      </w:r>
      <w:r w:rsidR="00833ED5" w:rsidRPr="00215006">
        <w:rPr>
          <w:b/>
        </w:rPr>
        <w:t>contributions by funding partners, 20</w:t>
      </w:r>
      <w:r w:rsidR="00A775F7" w:rsidRPr="00215006">
        <w:rPr>
          <w:b/>
        </w:rPr>
        <w:t>2</w:t>
      </w:r>
      <w:r w:rsidR="00A869F6">
        <w:rPr>
          <w:b/>
        </w:rPr>
        <w:t>1</w:t>
      </w:r>
      <w:r w:rsidR="00833ED5" w:rsidRPr="00215006">
        <w:rPr>
          <w:b/>
        </w:rPr>
        <w:t>-20</w:t>
      </w:r>
      <w:r w:rsidR="00FD5319" w:rsidRPr="00215006">
        <w:rPr>
          <w:b/>
        </w:rPr>
        <w:t>2</w:t>
      </w:r>
      <w:r w:rsidR="00A869F6">
        <w:rPr>
          <w:b/>
        </w:rPr>
        <w:t>2</w:t>
      </w:r>
    </w:p>
    <w:p w14:paraId="7F6D3310" w14:textId="002A2517" w:rsidR="00076FB8" w:rsidRPr="0017083C" w:rsidRDefault="00076FB8" w:rsidP="003F5F37">
      <w:pPr>
        <w:pStyle w:val="SingleTxt"/>
        <w:keepNext/>
        <w:tabs>
          <w:tab w:val="clear" w:pos="1742"/>
          <w:tab w:val="left" w:pos="1530"/>
        </w:tabs>
        <w:ind w:left="1526"/>
        <w:jc w:val="center"/>
        <w:rPr>
          <w:i/>
          <w:sz w:val="18"/>
          <w:szCs w:val="18"/>
        </w:rPr>
      </w:pPr>
      <w:r w:rsidRPr="0017083C">
        <w:rPr>
          <w:i/>
          <w:sz w:val="18"/>
          <w:szCs w:val="18"/>
        </w:rPr>
        <w:t>(</w:t>
      </w:r>
      <w:r w:rsidR="0017083C" w:rsidRPr="0017083C">
        <w:rPr>
          <w:i/>
          <w:sz w:val="18"/>
          <w:szCs w:val="18"/>
        </w:rPr>
        <w:t>In</w:t>
      </w:r>
      <w:r w:rsidRPr="0017083C">
        <w:rPr>
          <w:i/>
          <w:sz w:val="18"/>
          <w:szCs w:val="18"/>
        </w:rPr>
        <w:t xml:space="preserve"> millions of </w:t>
      </w:r>
      <w:r w:rsidR="006F3826" w:rsidRPr="0017083C">
        <w:rPr>
          <w:i/>
          <w:sz w:val="18"/>
          <w:szCs w:val="18"/>
        </w:rPr>
        <w:t xml:space="preserve">United States </w:t>
      </w:r>
      <w:r w:rsidRPr="0017083C">
        <w:rPr>
          <w:i/>
          <w:sz w:val="18"/>
          <w:szCs w:val="18"/>
        </w:rPr>
        <w:t>dollars)</w:t>
      </w:r>
    </w:p>
    <w:tbl>
      <w:tblPr>
        <w:tblW w:w="912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6"/>
        <w:gridCol w:w="884"/>
        <w:gridCol w:w="910"/>
        <w:gridCol w:w="898"/>
        <w:gridCol w:w="897"/>
        <w:gridCol w:w="897"/>
        <w:gridCol w:w="898"/>
        <w:gridCol w:w="868"/>
        <w:gridCol w:w="878"/>
      </w:tblGrid>
      <w:tr w:rsidR="004B5ABC" w:rsidRPr="000E57AE" w14:paraId="4D335BA9" w14:textId="77777777" w:rsidTr="00EC1DC5">
        <w:trPr>
          <w:trHeight w:val="228"/>
        </w:trPr>
        <w:tc>
          <w:tcPr>
            <w:tcW w:w="1996" w:type="dxa"/>
            <w:vMerge w:val="restart"/>
            <w:shd w:val="clear" w:color="auto" w:fill="auto"/>
            <w:noWrap/>
            <w:vAlign w:val="center"/>
          </w:tcPr>
          <w:p w14:paraId="15CE31AD" w14:textId="7760952D" w:rsidR="004B5ABC" w:rsidRPr="004B5ABC" w:rsidRDefault="004B5ABC" w:rsidP="00B430FE">
            <w:pPr>
              <w:keepNext/>
              <w:suppressAutoHyphens w:val="0"/>
              <w:spacing w:line="240" w:lineRule="auto"/>
              <w:jc w:val="center"/>
              <w:rPr>
                <w:rFonts w:eastAsia="Times New Roman"/>
                <w:color w:val="000000"/>
                <w:spacing w:val="0"/>
                <w:w w:val="100"/>
                <w:kern w:val="0"/>
                <w:sz w:val="16"/>
                <w:szCs w:val="16"/>
              </w:rPr>
            </w:pPr>
          </w:p>
        </w:tc>
        <w:tc>
          <w:tcPr>
            <w:tcW w:w="2692" w:type="dxa"/>
            <w:gridSpan w:val="3"/>
            <w:shd w:val="clear" w:color="auto" w:fill="auto"/>
            <w:vAlign w:val="center"/>
          </w:tcPr>
          <w:p w14:paraId="22DF96CF" w14:textId="69BFA697" w:rsidR="004B5ABC" w:rsidRPr="004B5ABC" w:rsidRDefault="001D0D83" w:rsidP="008E08D6">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202</w:t>
            </w:r>
            <w:r w:rsidR="001862D7">
              <w:rPr>
                <w:rFonts w:eastAsia="Times New Roman"/>
                <w:color w:val="000000"/>
                <w:spacing w:val="0"/>
                <w:w w:val="100"/>
                <w:kern w:val="0"/>
                <w:sz w:val="16"/>
                <w:szCs w:val="16"/>
              </w:rPr>
              <w:t>2</w:t>
            </w:r>
          </w:p>
        </w:tc>
        <w:tc>
          <w:tcPr>
            <w:tcW w:w="2692" w:type="dxa"/>
            <w:gridSpan w:val="3"/>
            <w:shd w:val="clear" w:color="auto" w:fill="auto"/>
            <w:vAlign w:val="center"/>
          </w:tcPr>
          <w:p w14:paraId="20EF4190" w14:textId="7866E8B0" w:rsidR="004B5ABC" w:rsidRPr="004B5ABC" w:rsidRDefault="001D0D83" w:rsidP="008E08D6">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20</w:t>
            </w:r>
            <w:r w:rsidR="00215006">
              <w:rPr>
                <w:rFonts w:eastAsia="Times New Roman"/>
                <w:color w:val="000000"/>
                <w:spacing w:val="0"/>
                <w:w w:val="100"/>
                <w:kern w:val="0"/>
                <w:sz w:val="16"/>
                <w:szCs w:val="16"/>
              </w:rPr>
              <w:t>2</w:t>
            </w:r>
            <w:r w:rsidR="001862D7">
              <w:rPr>
                <w:rFonts w:eastAsia="Times New Roman"/>
                <w:color w:val="000000"/>
                <w:spacing w:val="0"/>
                <w:w w:val="100"/>
                <w:kern w:val="0"/>
                <w:sz w:val="16"/>
                <w:szCs w:val="16"/>
              </w:rPr>
              <w:t>1</w:t>
            </w:r>
          </w:p>
        </w:tc>
        <w:tc>
          <w:tcPr>
            <w:tcW w:w="868" w:type="dxa"/>
            <w:vMerge w:val="restart"/>
            <w:shd w:val="clear" w:color="auto" w:fill="auto"/>
            <w:vAlign w:val="center"/>
          </w:tcPr>
          <w:p w14:paraId="0A540721" w14:textId="6E2873CC"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Total Increase</w:t>
            </w:r>
          </w:p>
        </w:tc>
        <w:tc>
          <w:tcPr>
            <w:tcW w:w="878" w:type="dxa"/>
            <w:vMerge w:val="restart"/>
            <w:shd w:val="clear" w:color="auto" w:fill="auto"/>
            <w:noWrap/>
            <w:vAlign w:val="center"/>
          </w:tcPr>
          <w:p w14:paraId="6F633D4B" w14:textId="08251873"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Percentage Change</w:t>
            </w:r>
          </w:p>
        </w:tc>
      </w:tr>
      <w:tr w:rsidR="004B5ABC" w:rsidRPr="000E57AE" w14:paraId="638EA637" w14:textId="77777777" w:rsidTr="2B318295">
        <w:trPr>
          <w:trHeight w:val="228"/>
        </w:trPr>
        <w:tc>
          <w:tcPr>
            <w:tcW w:w="1996" w:type="dxa"/>
            <w:vMerge/>
            <w:noWrap/>
            <w:vAlign w:val="center"/>
          </w:tcPr>
          <w:p w14:paraId="46502E26" w14:textId="1CDDF283" w:rsidR="004B5ABC" w:rsidRPr="004B5ABC" w:rsidRDefault="004B5ABC" w:rsidP="00866202">
            <w:pPr>
              <w:keepNext/>
              <w:suppressAutoHyphens w:val="0"/>
              <w:spacing w:line="240" w:lineRule="auto"/>
              <w:jc w:val="center"/>
              <w:rPr>
                <w:rFonts w:eastAsia="Times New Roman"/>
                <w:b/>
                <w:bCs/>
                <w:color w:val="000000"/>
                <w:spacing w:val="0"/>
                <w:w w:val="100"/>
                <w:kern w:val="0"/>
                <w:sz w:val="16"/>
                <w:szCs w:val="16"/>
              </w:rPr>
            </w:pPr>
          </w:p>
        </w:tc>
        <w:tc>
          <w:tcPr>
            <w:tcW w:w="884" w:type="dxa"/>
            <w:shd w:val="clear" w:color="auto" w:fill="auto"/>
            <w:noWrap/>
            <w:vAlign w:val="center"/>
          </w:tcPr>
          <w:p w14:paraId="4A2E6EAF" w14:textId="77777777"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Regular</w:t>
            </w:r>
          </w:p>
          <w:p w14:paraId="0D0733C9" w14:textId="2C52D651"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Resources</w:t>
            </w:r>
          </w:p>
        </w:tc>
        <w:tc>
          <w:tcPr>
            <w:tcW w:w="910" w:type="dxa"/>
            <w:shd w:val="clear" w:color="auto" w:fill="auto"/>
            <w:vAlign w:val="center"/>
          </w:tcPr>
          <w:p w14:paraId="4239CE89" w14:textId="6902482E"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Other</w:t>
            </w:r>
          </w:p>
          <w:p w14:paraId="2C4C27AD" w14:textId="3AA13EE3"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Resources</w:t>
            </w:r>
          </w:p>
        </w:tc>
        <w:tc>
          <w:tcPr>
            <w:tcW w:w="898" w:type="dxa"/>
            <w:shd w:val="clear" w:color="auto" w:fill="auto"/>
            <w:vAlign w:val="center"/>
          </w:tcPr>
          <w:p w14:paraId="454B100A" w14:textId="50FA65EF"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Total</w:t>
            </w:r>
          </w:p>
        </w:tc>
        <w:tc>
          <w:tcPr>
            <w:tcW w:w="897" w:type="dxa"/>
            <w:shd w:val="clear" w:color="auto" w:fill="auto"/>
            <w:noWrap/>
            <w:vAlign w:val="center"/>
          </w:tcPr>
          <w:p w14:paraId="55C04CDC" w14:textId="77777777"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Regular</w:t>
            </w:r>
          </w:p>
          <w:p w14:paraId="685A6089" w14:textId="4D516990"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Resources</w:t>
            </w:r>
          </w:p>
        </w:tc>
        <w:tc>
          <w:tcPr>
            <w:tcW w:w="897" w:type="dxa"/>
            <w:shd w:val="clear" w:color="auto" w:fill="auto"/>
            <w:vAlign w:val="center"/>
          </w:tcPr>
          <w:p w14:paraId="474BAAC1" w14:textId="1797E966"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Other</w:t>
            </w:r>
          </w:p>
          <w:p w14:paraId="1F488399" w14:textId="3CE2881A"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Resources</w:t>
            </w:r>
          </w:p>
        </w:tc>
        <w:tc>
          <w:tcPr>
            <w:tcW w:w="898" w:type="dxa"/>
            <w:shd w:val="clear" w:color="auto" w:fill="auto"/>
            <w:vAlign w:val="center"/>
          </w:tcPr>
          <w:p w14:paraId="74195971" w14:textId="598C2D0D"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r w:rsidRPr="004B5ABC">
              <w:rPr>
                <w:rFonts w:eastAsia="Times New Roman"/>
                <w:color w:val="000000"/>
                <w:spacing w:val="0"/>
                <w:w w:val="100"/>
                <w:kern w:val="0"/>
                <w:sz w:val="16"/>
                <w:szCs w:val="16"/>
              </w:rPr>
              <w:t>Total</w:t>
            </w:r>
          </w:p>
        </w:tc>
        <w:tc>
          <w:tcPr>
            <w:tcW w:w="868" w:type="dxa"/>
            <w:vMerge/>
            <w:noWrap/>
            <w:vAlign w:val="center"/>
          </w:tcPr>
          <w:p w14:paraId="6E3662A6" w14:textId="1C9DFDAB"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p>
        </w:tc>
        <w:tc>
          <w:tcPr>
            <w:tcW w:w="878" w:type="dxa"/>
            <w:vMerge/>
            <w:noWrap/>
            <w:vAlign w:val="center"/>
          </w:tcPr>
          <w:p w14:paraId="37737650" w14:textId="77777777" w:rsidR="004B5ABC" w:rsidRPr="004B5ABC" w:rsidRDefault="004B5ABC" w:rsidP="008E08D6">
            <w:pPr>
              <w:keepNext/>
              <w:suppressAutoHyphens w:val="0"/>
              <w:spacing w:line="240" w:lineRule="auto"/>
              <w:jc w:val="center"/>
              <w:rPr>
                <w:rFonts w:eastAsia="Times New Roman"/>
                <w:color w:val="000000"/>
                <w:spacing w:val="0"/>
                <w:w w:val="100"/>
                <w:kern w:val="0"/>
                <w:sz w:val="16"/>
                <w:szCs w:val="16"/>
              </w:rPr>
            </w:pPr>
          </w:p>
        </w:tc>
      </w:tr>
      <w:tr w:rsidR="00A7591F" w:rsidRPr="000E57AE" w14:paraId="2F2A94CF" w14:textId="77777777" w:rsidTr="000F1AB0">
        <w:trPr>
          <w:trHeight w:val="228"/>
        </w:trPr>
        <w:tc>
          <w:tcPr>
            <w:tcW w:w="1996" w:type="dxa"/>
            <w:shd w:val="clear" w:color="auto" w:fill="auto"/>
            <w:noWrap/>
            <w:vAlign w:val="center"/>
          </w:tcPr>
          <w:p w14:paraId="728B6CEF" w14:textId="635AE248" w:rsidR="00A7591F" w:rsidRPr="004B5ABC" w:rsidRDefault="00A7591F" w:rsidP="00A7591F">
            <w:pPr>
              <w:keepNext/>
              <w:suppressAutoHyphens w:val="0"/>
              <w:spacing w:line="240" w:lineRule="auto"/>
              <w:rPr>
                <w:rFonts w:eastAsia="Times New Roman"/>
                <w:b/>
                <w:bCs/>
                <w:color w:val="000000"/>
                <w:spacing w:val="0"/>
                <w:w w:val="100"/>
                <w:kern w:val="0"/>
                <w:sz w:val="16"/>
                <w:szCs w:val="16"/>
              </w:rPr>
            </w:pPr>
            <w:r w:rsidRPr="004B5ABC">
              <w:rPr>
                <w:rFonts w:eastAsia="Times New Roman"/>
                <w:b/>
                <w:bCs/>
                <w:color w:val="000000"/>
                <w:spacing w:val="0"/>
                <w:w w:val="100"/>
                <w:kern w:val="0"/>
                <w:sz w:val="16"/>
                <w:szCs w:val="16"/>
              </w:rPr>
              <w:t>Donor Country Governments</w:t>
            </w:r>
          </w:p>
        </w:tc>
        <w:tc>
          <w:tcPr>
            <w:tcW w:w="884" w:type="dxa"/>
            <w:shd w:val="clear" w:color="auto" w:fill="auto"/>
            <w:noWrap/>
            <w:vAlign w:val="center"/>
          </w:tcPr>
          <w:p w14:paraId="69DF0EAC" w14:textId="68ABF64E" w:rsidR="00A7591F" w:rsidRPr="008D51BE" w:rsidRDefault="003751B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566</w:t>
            </w:r>
          </w:p>
        </w:tc>
        <w:tc>
          <w:tcPr>
            <w:tcW w:w="910" w:type="dxa"/>
            <w:shd w:val="clear" w:color="auto" w:fill="auto"/>
            <w:vAlign w:val="center"/>
          </w:tcPr>
          <w:p w14:paraId="00BF4373" w14:textId="49ADC362" w:rsidR="00A7591F" w:rsidRPr="008D51BE" w:rsidRDefault="003751B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1 439</w:t>
            </w:r>
          </w:p>
        </w:tc>
        <w:tc>
          <w:tcPr>
            <w:tcW w:w="898" w:type="dxa"/>
            <w:shd w:val="clear" w:color="auto" w:fill="auto"/>
            <w:vAlign w:val="center"/>
          </w:tcPr>
          <w:p w14:paraId="15A23021" w14:textId="2A2D6AB5" w:rsidR="00A7591F" w:rsidRPr="008D51BE" w:rsidRDefault="00D3720E"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2 005</w:t>
            </w:r>
          </w:p>
        </w:tc>
        <w:tc>
          <w:tcPr>
            <w:tcW w:w="897" w:type="dxa"/>
            <w:shd w:val="clear" w:color="auto" w:fill="auto"/>
            <w:noWrap/>
            <w:vAlign w:val="center"/>
          </w:tcPr>
          <w:p w14:paraId="2D42D472" w14:textId="20A65D9F"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spacing w:val="0"/>
                <w:w w:val="100"/>
                <w:kern w:val="0"/>
                <w:sz w:val="16"/>
                <w:szCs w:val="16"/>
              </w:rPr>
              <w:t>6</w:t>
            </w:r>
            <w:r>
              <w:rPr>
                <w:rFonts w:eastAsia="Times New Roman"/>
                <w:color w:val="000000"/>
                <w:spacing w:val="0"/>
                <w:w w:val="100"/>
                <w:kern w:val="0"/>
                <w:sz w:val="16"/>
                <w:szCs w:val="16"/>
              </w:rPr>
              <w:t>31</w:t>
            </w:r>
          </w:p>
        </w:tc>
        <w:tc>
          <w:tcPr>
            <w:tcW w:w="897" w:type="dxa"/>
            <w:shd w:val="clear" w:color="auto" w:fill="auto"/>
            <w:vAlign w:val="center"/>
          </w:tcPr>
          <w:p w14:paraId="5C4715A0" w14:textId="3BE0C381"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spacing w:val="0"/>
                <w:w w:val="100"/>
                <w:kern w:val="0"/>
                <w:sz w:val="16"/>
                <w:szCs w:val="16"/>
              </w:rPr>
              <w:t>1,</w:t>
            </w:r>
            <w:r>
              <w:rPr>
                <w:rFonts w:eastAsia="Times New Roman"/>
                <w:color w:val="000000"/>
                <w:spacing w:val="0"/>
                <w:w w:val="100"/>
                <w:kern w:val="0"/>
                <w:sz w:val="16"/>
                <w:szCs w:val="16"/>
              </w:rPr>
              <w:t>263</w:t>
            </w:r>
          </w:p>
        </w:tc>
        <w:tc>
          <w:tcPr>
            <w:tcW w:w="898" w:type="dxa"/>
            <w:shd w:val="clear" w:color="auto" w:fill="auto"/>
            <w:vAlign w:val="center"/>
          </w:tcPr>
          <w:p w14:paraId="2E1AA590" w14:textId="2D6D1871"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1,894</w:t>
            </w:r>
          </w:p>
        </w:tc>
        <w:tc>
          <w:tcPr>
            <w:tcW w:w="868" w:type="dxa"/>
            <w:shd w:val="clear" w:color="auto" w:fill="auto"/>
            <w:noWrap/>
            <w:vAlign w:val="center"/>
          </w:tcPr>
          <w:p w14:paraId="77DCEBD5" w14:textId="4D4F8024"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11</w:t>
            </w:r>
            <w:r w:rsidR="00BC1C6F">
              <w:rPr>
                <w:rFonts w:eastAsia="Times New Roman"/>
                <w:color w:val="000000"/>
                <w:spacing w:val="0"/>
                <w:w w:val="100"/>
                <w:kern w:val="0"/>
                <w:sz w:val="16"/>
                <w:szCs w:val="16"/>
              </w:rPr>
              <w:t>1</w:t>
            </w:r>
          </w:p>
        </w:tc>
        <w:tc>
          <w:tcPr>
            <w:tcW w:w="878" w:type="dxa"/>
            <w:shd w:val="clear" w:color="auto" w:fill="auto"/>
            <w:noWrap/>
            <w:vAlign w:val="center"/>
          </w:tcPr>
          <w:p w14:paraId="71504316" w14:textId="7DF3BDCA"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6%</w:t>
            </w:r>
          </w:p>
        </w:tc>
      </w:tr>
      <w:tr w:rsidR="00A7591F" w:rsidRPr="000E57AE" w14:paraId="0565BD62" w14:textId="77777777" w:rsidTr="000F1AB0">
        <w:trPr>
          <w:trHeight w:val="228"/>
        </w:trPr>
        <w:tc>
          <w:tcPr>
            <w:tcW w:w="1996" w:type="dxa"/>
            <w:shd w:val="clear" w:color="auto" w:fill="auto"/>
            <w:noWrap/>
            <w:vAlign w:val="center"/>
          </w:tcPr>
          <w:p w14:paraId="0F9B9FBF" w14:textId="234BE797" w:rsidR="00A7591F" w:rsidRPr="004B5ABC" w:rsidRDefault="00A7591F" w:rsidP="00A7591F">
            <w:pPr>
              <w:keepNext/>
              <w:suppressAutoHyphens w:val="0"/>
              <w:spacing w:line="240" w:lineRule="auto"/>
              <w:rPr>
                <w:rFonts w:eastAsia="Times New Roman"/>
                <w:b/>
                <w:bCs/>
                <w:color w:val="000000"/>
                <w:spacing w:val="0"/>
                <w:w w:val="100"/>
                <w:kern w:val="0"/>
                <w:sz w:val="16"/>
                <w:szCs w:val="16"/>
              </w:rPr>
            </w:pPr>
            <w:r w:rsidRPr="004B5ABC">
              <w:rPr>
                <w:rFonts w:eastAsia="Times New Roman"/>
                <w:b/>
                <w:bCs/>
                <w:color w:val="000000"/>
                <w:spacing w:val="0"/>
                <w:w w:val="100"/>
                <w:kern w:val="0"/>
                <w:sz w:val="16"/>
                <w:szCs w:val="16"/>
              </w:rPr>
              <w:t>Programme Country Governments</w:t>
            </w:r>
          </w:p>
        </w:tc>
        <w:tc>
          <w:tcPr>
            <w:tcW w:w="884" w:type="dxa"/>
            <w:shd w:val="clear" w:color="auto" w:fill="auto"/>
            <w:noWrap/>
            <w:vAlign w:val="center"/>
          </w:tcPr>
          <w:p w14:paraId="604C0DFE" w14:textId="0AC4F0FD" w:rsidR="00A7591F" w:rsidRPr="008D51BE" w:rsidRDefault="003751B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25</w:t>
            </w:r>
          </w:p>
        </w:tc>
        <w:tc>
          <w:tcPr>
            <w:tcW w:w="910" w:type="dxa"/>
            <w:shd w:val="clear" w:color="auto" w:fill="auto"/>
            <w:vAlign w:val="center"/>
          </w:tcPr>
          <w:p w14:paraId="1947296D" w14:textId="6752BB04" w:rsidR="00A7591F" w:rsidRPr="008D51BE" w:rsidRDefault="003751B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1 175</w:t>
            </w:r>
          </w:p>
        </w:tc>
        <w:tc>
          <w:tcPr>
            <w:tcW w:w="898" w:type="dxa"/>
            <w:shd w:val="clear" w:color="auto" w:fill="auto"/>
            <w:vAlign w:val="center"/>
          </w:tcPr>
          <w:p w14:paraId="02AC16D1" w14:textId="6BDD84E8" w:rsidR="00A7591F" w:rsidRPr="008D51BE" w:rsidRDefault="00D3720E"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1 200</w:t>
            </w:r>
          </w:p>
        </w:tc>
        <w:tc>
          <w:tcPr>
            <w:tcW w:w="897" w:type="dxa"/>
            <w:shd w:val="clear" w:color="auto" w:fill="auto"/>
            <w:noWrap/>
            <w:vAlign w:val="center"/>
          </w:tcPr>
          <w:p w14:paraId="60C1BE89" w14:textId="4840323F"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17</w:t>
            </w:r>
          </w:p>
        </w:tc>
        <w:tc>
          <w:tcPr>
            <w:tcW w:w="897" w:type="dxa"/>
            <w:shd w:val="clear" w:color="auto" w:fill="auto"/>
            <w:vAlign w:val="center"/>
          </w:tcPr>
          <w:p w14:paraId="7A22D3F1" w14:textId="61D47CBE"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spacing w:val="0"/>
                <w:w w:val="100"/>
                <w:kern w:val="0"/>
                <w:sz w:val="16"/>
                <w:szCs w:val="16"/>
              </w:rPr>
              <w:t>1,</w:t>
            </w:r>
            <w:r>
              <w:rPr>
                <w:rFonts w:eastAsia="Times New Roman"/>
                <w:color w:val="000000"/>
                <w:spacing w:val="0"/>
                <w:w w:val="100"/>
                <w:kern w:val="0"/>
                <w:sz w:val="16"/>
                <w:szCs w:val="16"/>
              </w:rPr>
              <w:t>341</w:t>
            </w:r>
          </w:p>
        </w:tc>
        <w:tc>
          <w:tcPr>
            <w:tcW w:w="898" w:type="dxa"/>
            <w:shd w:val="clear" w:color="auto" w:fill="auto"/>
            <w:vAlign w:val="center"/>
          </w:tcPr>
          <w:p w14:paraId="740650F6" w14:textId="5005C737"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1,358</w:t>
            </w:r>
          </w:p>
        </w:tc>
        <w:tc>
          <w:tcPr>
            <w:tcW w:w="868" w:type="dxa"/>
            <w:shd w:val="clear" w:color="auto" w:fill="auto"/>
            <w:noWrap/>
            <w:vAlign w:val="center"/>
          </w:tcPr>
          <w:p w14:paraId="03B771E1" w14:textId="08B858EF"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(15</w:t>
            </w:r>
            <w:r w:rsidR="004923FE">
              <w:rPr>
                <w:rFonts w:eastAsia="Times New Roman"/>
                <w:color w:val="000000"/>
                <w:spacing w:val="0"/>
                <w:w w:val="100"/>
                <w:kern w:val="0"/>
                <w:sz w:val="16"/>
                <w:szCs w:val="16"/>
              </w:rPr>
              <w:t>8</w:t>
            </w:r>
            <w:r>
              <w:rPr>
                <w:rFonts w:eastAsia="Times New Roman"/>
                <w:color w:val="000000"/>
                <w:spacing w:val="0"/>
                <w:w w:val="100"/>
                <w:kern w:val="0"/>
                <w:sz w:val="16"/>
                <w:szCs w:val="16"/>
              </w:rPr>
              <w:t>)</w:t>
            </w:r>
          </w:p>
        </w:tc>
        <w:tc>
          <w:tcPr>
            <w:tcW w:w="878" w:type="dxa"/>
            <w:shd w:val="clear" w:color="auto" w:fill="auto"/>
            <w:noWrap/>
            <w:vAlign w:val="center"/>
          </w:tcPr>
          <w:p w14:paraId="2F986BA1" w14:textId="47EE9430"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(12%)</w:t>
            </w:r>
          </w:p>
        </w:tc>
      </w:tr>
      <w:tr w:rsidR="00A7591F" w:rsidRPr="000E57AE" w14:paraId="76C187D5" w14:textId="77777777" w:rsidTr="005A5A1C">
        <w:trPr>
          <w:trHeight w:val="350"/>
        </w:trPr>
        <w:tc>
          <w:tcPr>
            <w:tcW w:w="1996" w:type="dxa"/>
            <w:shd w:val="clear" w:color="auto" w:fill="auto"/>
            <w:noWrap/>
            <w:vAlign w:val="center"/>
          </w:tcPr>
          <w:p w14:paraId="2B1F0D6D" w14:textId="16A93EB4" w:rsidR="00A7591F" w:rsidRPr="004B5ABC" w:rsidRDefault="00A7591F" w:rsidP="00A7591F">
            <w:pPr>
              <w:keepNext/>
              <w:suppressAutoHyphens w:val="0"/>
              <w:spacing w:line="240" w:lineRule="auto"/>
              <w:rPr>
                <w:rFonts w:eastAsia="Times New Roman"/>
                <w:b/>
                <w:bCs/>
                <w:color w:val="000000"/>
                <w:spacing w:val="0"/>
                <w:w w:val="100"/>
                <w:kern w:val="0"/>
                <w:sz w:val="16"/>
                <w:szCs w:val="16"/>
              </w:rPr>
            </w:pPr>
            <w:r w:rsidRPr="004B5ABC">
              <w:rPr>
                <w:rFonts w:eastAsia="Times New Roman"/>
                <w:b/>
                <w:bCs/>
                <w:color w:val="000000"/>
                <w:spacing w:val="0"/>
                <w:w w:val="100"/>
                <w:kern w:val="0"/>
                <w:sz w:val="16"/>
                <w:szCs w:val="16"/>
              </w:rPr>
              <w:t>Multilateral Partners</w:t>
            </w:r>
          </w:p>
        </w:tc>
        <w:tc>
          <w:tcPr>
            <w:tcW w:w="884" w:type="dxa"/>
            <w:shd w:val="clear" w:color="auto" w:fill="auto"/>
            <w:noWrap/>
            <w:vAlign w:val="center"/>
          </w:tcPr>
          <w:p w14:paraId="6152EA9C" w14:textId="2F05CE6D"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p>
        </w:tc>
        <w:tc>
          <w:tcPr>
            <w:tcW w:w="910" w:type="dxa"/>
            <w:shd w:val="clear" w:color="auto" w:fill="auto"/>
            <w:vAlign w:val="center"/>
          </w:tcPr>
          <w:p w14:paraId="36C86F81" w14:textId="76F06D6F" w:rsidR="00A7591F" w:rsidRPr="008D51BE" w:rsidRDefault="00D3720E"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1 729</w:t>
            </w:r>
          </w:p>
        </w:tc>
        <w:tc>
          <w:tcPr>
            <w:tcW w:w="898" w:type="dxa"/>
            <w:shd w:val="clear" w:color="auto" w:fill="auto"/>
            <w:vAlign w:val="center"/>
          </w:tcPr>
          <w:p w14:paraId="3B721C8A" w14:textId="00A329C6" w:rsidR="00A7591F" w:rsidRPr="008D51BE" w:rsidRDefault="00D3720E"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1 729</w:t>
            </w:r>
          </w:p>
        </w:tc>
        <w:tc>
          <w:tcPr>
            <w:tcW w:w="897" w:type="dxa"/>
            <w:shd w:val="clear" w:color="auto" w:fill="auto"/>
            <w:noWrap/>
            <w:vAlign w:val="center"/>
          </w:tcPr>
          <w:p w14:paraId="44FF3E9C" w14:textId="0E863A85"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p>
        </w:tc>
        <w:tc>
          <w:tcPr>
            <w:tcW w:w="897" w:type="dxa"/>
            <w:shd w:val="clear" w:color="auto" w:fill="auto"/>
            <w:vAlign w:val="center"/>
          </w:tcPr>
          <w:p w14:paraId="3CABC3A4" w14:textId="130A7C78"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spacing w:val="0"/>
                <w:w w:val="100"/>
                <w:kern w:val="0"/>
                <w:sz w:val="16"/>
                <w:szCs w:val="16"/>
              </w:rPr>
              <w:t>2,</w:t>
            </w:r>
            <w:r>
              <w:rPr>
                <w:rFonts w:eastAsia="Times New Roman"/>
                <w:color w:val="000000"/>
                <w:spacing w:val="0"/>
                <w:w w:val="100"/>
                <w:kern w:val="0"/>
                <w:sz w:val="16"/>
                <w:szCs w:val="16"/>
              </w:rPr>
              <w:t>064</w:t>
            </w:r>
          </w:p>
        </w:tc>
        <w:tc>
          <w:tcPr>
            <w:tcW w:w="898" w:type="dxa"/>
            <w:shd w:val="clear" w:color="auto" w:fill="auto"/>
            <w:vAlign w:val="center"/>
          </w:tcPr>
          <w:p w14:paraId="0BE20F11" w14:textId="36C2E10D"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2,064</w:t>
            </w:r>
          </w:p>
        </w:tc>
        <w:tc>
          <w:tcPr>
            <w:tcW w:w="868" w:type="dxa"/>
            <w:shd w:val="clear" w:color="auto" w:fill="auto"/>
            <w:noWrap/>
            <w:vAlign w:val="center"/>
          </w:tcPr>
          <w:p w14:paraId="0F11BBA5" w14:textId="6D4075B4"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(335)</w:t>
            </w:r>
          </w:p>
        </w:tc>
        <w:tc>
          <w:tcPr>
            <w:tcW w:w="878" w:type="dxa"/>
            <w:shd w:val="clear" w:color="auto" w:fill="auto"/>
            <w:noWrap/>
            <w:vAlign w:val="center"/>
          </w:tcPr>
          <w:p w14:paraId="36585BAB" w14:textId="5CF06D41"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(16%)</w:t>
            </w:r>
          </w:p>
        </w:tc>
      </w:tr>
      <w:tr w:rsidR="00A7591F" w:rsidRPr="000E57AE" w14:paraId="75CB9769" w14:textId="77777777" w:rsidTr="00CD5A05">
        <w:trPr>
          <w:trHeight w:val="386"/>
        </w:trPr>
        <w:tc>
          <w:tcPr>
            <w:tcW w:w="1996" w:type="dxa"/>
            <w:shd w:val="clear" w:color="auto" w:fill="auto"/>
            <w:noWrap/>
            <w:vAlign w:val="center"/>
          </w:tcPr>
          <w:p w14:paraId="7984F8FA" w14:textId="254075E7" w:rsidR="00A7591F" w:rsidRPr="004B5ABC" w:rsidRDefault="00A7591F" w:rsidP="00A7591F">
            <w:pPr>
              <w:keepNext/>
              <w:suppressAutoHyphens w:val="0"/>
              <w:spacing w:line="240" w:lineRule="auto"/>
              <w:rPr>
                <w:rFonts w:eastAsia="Times New Roman"/>
                <w:b/>
                <w:bCs/>
                <w:color w:val="000000"/>
                <w:spacing w:val="0"/>
                <w:w w:val="100"/>
                <w:kern w:val="0"/>
                <w:sz w:val="16"/>
                <w:szCs w:val="16"/>
              </w:rPr>
            </w:pPr>
            <w:r w:rsidRPr="004B5ABC">
              <w:rPr>
                <w:rFonts w:eastAsia="Times New Roman"/>
                <w:b/>
                <w:bCs/>
                <w:color w:val="000000"/>
                <w:spacing w:val="0"/>
                <w:w w:val="100"/>
                <w:kern w:val="0"/>
                <w:sz w:val="16"/>
                <w:szCs w:val="16"/>
              </w:rPr>
              <w:t>Total</w:t>
            </w:r>
          </w:p>
        </w:tc>
        <w:tc>
          <w:tcPr>
            <w:tcW w:w="884" w:type="dxa"/>
            <w:shd w:val="clear" w:color="auto" w:fill="auto"/>
            <w:noWrap/>
            <w:vAlign w:val="center"/>
          </w:tcPr>
          <w:p w14:paraId="7D507FBC" w14:textId="1B9C458E" w:rsidR="00A7591F" w:rsidRPr="008D51BE" w:rsidRDefault="003751B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591</w:t>
            </w:r>
          </w:p>
        </w:tc>
        <w:tc>
          <w:tcPr>
            <w:tcW w:w="910" w:type="dxa"/>
            <w:shd w:val="clear" w:color="auto" w:fill="auto"/>
            <w:vAlign w:val="center"/>
          </w:tcPr>
          <w:p w14:paraId="3721E5AA" w14:textId="08721D51" w:rsidR="00A7591F" w:rsidRPr="008D51BE" w:rsidRDefault="00D3720E"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4 343</w:t>
            </w:r>
          </w:p>
        </w:tc>
        <w:tc>
          <w:tcPr>
            <w:tcW w:w="898" w:type="dxa"/>
            <w:shd w:val="clear" w:color="auto" w:fill="auto"/>
            <w:vAlign w:val="center"/>
          </w:tcPr>
          <w:p w14:paraId="73B0DA22" w14:textId="27DB2881" w:rsidR="00A7591F" w:rsidRPr="008D51BE" w:rsidRDefault="00D3720E"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4 934</w:t>
            </w:r>
          </w:p>
        </w:tc>
        <w:tc>
          <w:tcPr>
            <w:tcW w:w="897" w:type="dxa"/>
            <w:shd w:val="clear" w:color="auto" w:fill="auto"/>
            <w:noWrap/>
            <w:vAlign w:val="center"/>
          </w:tcPr>
          <w:p w14:paraId="14414550" w14:textId="1DADA7B8"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spacing w:val="0"/>
                <w:w w:val="100"/>
                <w:kern w:val="0"/>
                <w:sz w:val="16"/>
                <w:szCs w:val="16"/>
              </w:rPr>
              <w:t>6</w:t>
            </w:r>
            <w:r>
              <w:rPr>
                <w:rFonts w:eastAsia="Times New Roman"/>
                <w:color w:val="000000"/>
                <w:spacing w:val="0"/>
                <w:w w:val="100"/>
                <w:kern w:val="0"/>
                <w:sz w:val="16"/>
                <w:szCs w:val="16"/>
              </w:rPr>
              <w:t>48</w:t>
            </w:r>
          </w:p>
        </w:tc>
        <w:tc>
          <w:tcPr>
            <w:tcW w:w="897" w:type="dxa"/>
            <w:shd w:val="clear" w:color="auto" w:fill="auto"/>
            <w:vAlign w:val="center"/>
          </w:tcPr>
          <w:p w14:paraId="39788949" w14:textId="10652A13"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themeColor="text1"/>
                <w:sz w:val="16"/>
                <w:szCs w:val="16"/>
              </w:rPr>
              <w:t>4,</w:t>
            </w:r>
            <w:r>
              <w:rPr>
                <w:rFonts w:eastAsia="Times New Roman"/>
                <w:color w:val="000000" w:themeColor="text1"/>
                <w:sz w:val="16"/>
                <w:szCs w:val="16"/>
              </w:rPr>
              <w:t>668</w:t>
            </w:r>
          </w:p>
        </w:tc>
        <w:tc>
          <w:tcPr>
            <w:tcW w:w="898" w:type="dxa"/>
            <w:shd w:val="clear" w:color="auto" w:fill="auto"/>
            <w:vAlign w:val="center"/>
          </w:tcPr>
          <w:p w14:paraId="55E30BAA" w14:textId="2280A1DB"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sidRPr="008D51BE">
              <w:rPr>
                <w:rFonts w:eastAsia="Times New Roman"/>
                <w:color w:val="000000"/>
                <w:spacing w:val="0"/>
                <w:w w:val="100"/>
                <w:kern w:val="0"/>
                <w:sz w:val="16"/>
                <w:szCs w:val="16"/>
              </w:rPr>
              <w:t>5,</w:t>
            </w:r>
            <w:r>
              <w:rPr>
                <w:rFonts w:eastAsia="Times New Roman"/>
                <w:color w:val="000000"/>
                <w:spacing w:val="0"/>
                <w:w w:val="100"/>
                <w:kern w:val="0"/>
                <w:sz w:val="16"/>
                <w:szCs w:val="16"/>
              </w:rPr>
              <w:t>316</w:t>
            </w:r>
          </w:p>
        </w:tc>
        <w:tc>
          <w:tcPr>
            <w:tcW w:w="868" w:type="dxa"/>
            <w:shd w:val="clear" w:color="auto" w:fill="auto"/>
            <w:noWrap/>
            <w:vAlign w:val="center"/>
          </w:tcPr>
          <w:p w14:paraId="270CC4D6" w14:textId="3BCE045C" w:rsidR="00A7591F" w:rsidRPr="008D51BE" w:rsidRDefault="00A749BA"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(382)</w:t>
            </w:r>
          </w:p>
        </w:tc>
        <w:tc>
          <w:tcPr>
            <w:tcW w:w="878" w:type="dxa"/>
            <w:shd w:val="clear" w:color="auto" w:fill="auto"/>
            <w:noWrap/>
            <w:vAlign w:val="center"/>
          </w:tcPr>
          <w:p w14:paraId="2FE8171E" w14:textId="698A00EE" w:rsidR="00A7591F" w:rsidRPr="008D51BE" w:rsidRDefault="00A7591F" w:rsidP="00A7591F">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r w:rsidR="00A749BA">
              <w:rPr>
                <w:rFonts w:eastAsia="Times New Roman"/>
                <w:color w:val="000000"/>
                <w:spacing w:val="0"/>
                <w:w w:val="100"/>
                <w:kern w:val="0"/>
                <w:sz w:val="16"/>
                <w:szCs w:val="16"/>
              </w:rPr>
              <w:t>7</w:t>
            </w:r>
            <w:r>
              <w:rPr>
                <w:rFonts w:eastAsia="Times New Roman"/>
                <w:color w:val="000000"/>
                <w:spacing w:val="0"/>
                <w:w w:val="100"/>
                <w:kern w:val="0"/>
                <w:sz w:val="16"/>
                <w:szCs w:val="16"/>
              </w:rPr>
              <w:t>%)</w:t>
            </w:r>
          </w:p>
        </w:tc>
      </w:tr>
    </w:tbl>
    <w:p w14:paraId="1E5457E6" w14:textId="03D0344A" w:rsidR="00451179" w:rsidRPr="0057295A" w:rsidRDefault="00451179" w:rsidP="00451179">
      <w:pPr>
        <w:spacing w:line="240" w:lineRule="auto"/>
        <w:ind w:left="952" w:right="1267"/>
        <w:jc w:val="both"/>
        <w:rPr>
          <w:sz w:val="13"/>
          <w:szCs w:val="13"/>
        </w:rPr>
      </w:pPr>
      <w:r>
        <w:rPr>
          <w:sz w:val="13"/>
          <w:szCs w:val="13"/>
        </w:rPr>
        <w:t>*Annual contribution is presented</w:t>
      </w:r>
      <w:r w:rsidRPr="0057295A">
        <w:rPr>
          <w:sz w:val="13"/>
          <w:szCs w:val="13"/>
        </w:rPr>
        <w:t xml:space="preserve"> by </w:t>
      </w:r>
      <w:r>
        <w:rPr>
          <w:sz w:val="13"/>
          <w:szCs w:val="13"/>
        </w:rPr>
        <w:t xml:space="preserve">donor </w:t>
      </w:r>
      <w:r w:rsidR="00AC4CF1">
        <w:rPr>
          <w:sz w:val="13"/>
          <w:szCs w:val="13"/>
        </w:rPr>
        <w:t>category</w:t>
      </w:r>
      <w:r>
        <w:rPr>
          <w:sz w:val="13"/>
          <w:szCs w:val="13"/>
        </w:rPr>
        <w:t xml:space="preserve"> not funding stream</w:t>
      </w:r>
      <w:r w:rsidRPr="0057295A">
        <w:rPr>
          <w:sz w:val="13"/>
          <w:szCs w:val="13"/>
        </w:rPr>
        <w:t>.</w:t>
      </w:r>
    </w:p>
    <w:p w14:paraId="02F218CC" w14:textId="13AB2F2D" w:rsidR="00CA529F" w:rsidRPr="00451179" w:rsidRDefault="00CA529F">
      <w:pPr>
        <w:suppressAutoHyphens w:val="0"/>
        <w:spacing w:line="240" w:lineRule="auto"/>
        <w:rPr>
          <w:b/>
        </w:rPr>
      </w:pPr>
    </w:p>
    <w:p w14:paraId="3A0D85D2" w14:textId="796E37D6" w:rsidR="005C305F" w:rsidRDefault="005C305F" w:rsidP="0040364B">
      <w:pPr>
        <w:keepNext/>
        <w:tabs>
          <w:tab w:val="left" w:pos="1260"/>
          <w:tab w:val="left" w:pos="1530"/>
        </w:tabs>
        <w:suppressAutoHyphens w:val="0"/>
        <w:spacing w:line="240" w:lineRule="auto"/>
        <w:jc w:val="center"/>
        <w:rPr>
          <w:b/>
          <w:bCs/>
        </w:rPr>
      </w:pPr>
    </w:p>
    <w:p w14:paraId="3D573CA5" w14:textId="6E529D8C" w:rsidR="00966D33" w:rsidRPr="00AB2688" w:rsidRDefault="003E2000" w:rsidP="0040364B">
      <w:pPr>
        <w:keepNext/>
        <w:tabs>
          <w:tab w:val="left" w:pos="1260"/>
          <w:tab w:val="left" w:pos="1530"/>
        </w:tabs>
        <w:suppressAutoHyphens w:val="0"/>
        <w:spacing w:line="240" w:lineRule="auto"/>
        <w:jc w:val="center"/>
        <w:rPr>
          <w:b/>
        </w:rPr>
      </w:pPr>
      <w:r w:rsidRPr="00D44D0C">
        <w:rPr>
          <w:b/>
          <w:bCs/>
        </w:rPr>
        <w:t xml:space="preserve">Figure </w:t>
      </w:r>
      <w:r w:rsidR="004D4DCC" w:rsidRPr="00D44D0C">
        <w:rPr>
          <w:b/>
          <w:bCs/>
        </w:rPr>
        <w:t>III</w:t>
      </w:r>
      <w:r w:rsidR="00442030" w:rsidRPr="00D44D0C">
        <w:rPr>
          <w:b/>
          <w:bCs/>
        </w:rPr>
        <w:t xml:space="preserve"> (</w:t>
      </w:r>
      <w:r w:rsidR="001703E6" w:rsidRPr="00D44D0C">
        <w:rPr>
          <w:b/>
          <w:bCs/>
        </w:rPr>
        <w:t>a</w:t>
      </w:r>
      <w:r w:rsidR="00442030" w:rsidRPr="00D44D0C">
        <w:rPr>
          <w:b/>
          <w:bCs/>
        </w:rPr>
        <w:t>)</w:t>
      </w:r>
      <w:r w:rsidRPr="00D44D0C">
        <w:rPr>
          <w:b/>
          <w:bCs/>
        </w:rPr>
        <w:t xml:space="preserve">. </w:t>
      </w:r>
      <w:r w:rsidR="00E63925" w:rsidRPr="00705684">
        <w:rPr>
          <w:b/>
          <w:bCs/>
        </w:rPr>
        <w:t xml:space="preserve">Annual </w:t>
      </w:r>
      <w:r w:rsidR="009B3563" w:rsidRPr="00705684">
        <w:rPr>
          <w:b/>
          <w:bCs/>
        </w:rPr>
        <w:t>c</w:t>
      </w:r>
      <w:r w:rsidRPr="00705684">
        <w:rPr>
          <w:b/>
          <w:bCs/>
        </w:rPr>
        <w:t>ontributions by funding partners, 20</w:t>
      </w:r>
      <w:r w:rsidR="00547F9E" w:rsidRPr="00705684">
        <w:rPr>
          <w:b/>
          <w:bCs/>
        </w:rPr>
        <w:t>2</w:t>
      </w:r>
      <w:r w:rsidR="000237EF">
        <w:rPr>
          <w:b/>
          <w:bCs/>
        </w:rPr>
        <w:t>2</w:t>
      </w:r>
    </w:p>
    <w:p w14:paraId="5CDF648C" w14:textId="3523EADF" w:rsidR="00343902" w:rsidRDefault="006B0A3A" w:rsidP="006B0A3A">
      <w:pPr>
        <w:keepNext/>
        <w:tabs>
          <w:tab w:val="left" w:pos="1260"/>
          <w:tab w:val="left" w:pos="1530"/>
        </w:tabs>
        <w:suppressAutoHyphens w:val="0"/>
        <w:spacing w:line="240" w:lineRule="auto"/>
        <w:jc w:val="center"/>
        <w:rPr>
          <w:i/>
          <w:sz w:val="18"/>
          <w:szCs w:val="18"/>
        </w:rPr>
      </w:pPr>
      <w:r w:rsidRPr="00394444">
        <w:rPr>
          <w:i/>
          <w:sz w:val="18"/>
          <w:szCs w:val="18"/>
        </w:rPr>
        <w:t>(</w:t>
      </w:r>
      <w:r w:rsidR="009639F5" w:rsidRPr="00394444">
        <w:rPr>
          <w:i/>
          <w:sz w:val="18"/>
          <w:szCs w:val="18"/>
        </w:rPr>
        <w:t>In</w:t>
      </w:r>
      <w:r w:rsidRPr="00394444">
        <w:rPr>
          <w:i/>
          <w:sz w:val="18"/>
          <w:szCs w:val="18"/>
        </w:rPr>
        <w:t xml:space="preserve"> millions of United States dollars)</w:t>
      </w:r>
    </w:p>
    <w:p w14:paraId="55A81C46" w14:textId="7D1CD26A" w:rsidR="00A16136" w:rsidRDefault="00A16136" w:rsidP="008C1643">
      <w:pPr>
        <w:keepNext/>
        <w:tabs>
          <w:tab w:val="left" w:pos="1260"/>
          <w:tab w:val="left" w:pos="1530"/>
        </w:tabs>
        <w:suppressAutoHyphens w:val="0"/>
        <w:spacing w:line="240" w:lineRule="auto"/>
        <w:jc w:val="center"/>
        <w:rPr>
          <w:i/>
          <w:sz w:val="18"/>
          <w:szCs w:val="18"/>
        </w:rPr>
      </w:pPr>
      <w:r>
        <w:rPr>
          <w:noProof/>
        </w:rPr>
        <w:drawing>
          <wp:inline distT="0" distB="0" distL="0" distR="0" wp14:anchorId="55C12092" wp14:editId="61ADC347">
            <wp:extent cx="6103620" cy="2308860"/>
            <wp:effectExtent l="0" t="0" r="0" b="0"/>
            <wp:docPr id="96209743" name="Chart 1">
              <a:extLst xmlns:a="http://schemas.openxmlformats.org/drawingml/2006/main">
                <a:ext uri="{FF2B5EF4-FFF2-40B4-BE49-F238E27FC236}">
                  <a16:creationId xmlns:a16="http://schemas.microsoft.com/office/drawing/2014/main" id="{1EB6C147-85D5-43EF-A6C9-7D33D23CAF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4A3AA1" w14:textId="16B1C105" w:rsidR="006A1825" w:rsidRPr="00B664C6" w:rsidRDefault="006A1825" w:rsidP="00C16895">
      <w:pPr>
        <w:pStyle w:val="H4"/>
        <w:keepLines w:val="0"/>
        <w:tabs>
          <w:tab w:val="clear" w:pos="1742"/>
          <w:tab w:val="left" w:pos="1440"/>
          <w:tab w:val="left" w:pos="1620"/>
        </w:tabs>
        <w:spacing w:before="240" w:after="240" w:line="240" w:lineRule="auto"/>
        <w:ind w:left="979" w:firstLine="0"/>
        <w:outlineLvl w:val="2"/>
      </w:pPr>
      <w:bookmarkStart w:id="241" w:name="_Toc46221132"/>
      <w:bookmarkStart w:id="242" w:name="_Toc46399197"/>
      <w:bookmarkStart w:id="243" w:name="_Toc75466834"/>
      <w:bookmarkStart w:id="244" w:name="_Toc139289026"/>
      <w:bookmarkStart w:id="245" w:name="_Toc139289134"/>
      <w:bookmarkStart w:id="246" w:name="_Toc39596242"/>
      <w:bookmarkStart w:id="247" w:name="_Toc40281191"/>
      <w:bookmarkStart w:id="248" w:name="_Toc40281350"/>
      <w:bookmarkStart w:id="249" w:name="_Toc44499877"/>
      <w:bookmarkStart w:id="250" w:name="_Toc44603225"/>
      <w:bookmarkStart w:id="251" w:name="_Toc44606538"/>
      <w:bookmarkStart w:id="252" w:name="_Toc45297424"/>
      <w:bookmarkStart w:id="253" w:name="_Hlk11936923"/>
      <w:r w:rsidRPr="00B576A3">
        <w:t>Government contributions to local office costs</w:t>
      </w:r>
      <w:bookmarkEnd w:id="241"/>
      <w:bookmarkEnd w:id="242"/>
      <w:bookmarkEnd w:id="243"/>
      <w:bookmarkEnd w:id="244"/>
      <w:bookmarkEnd w:id="245"/>
      <w:r w:rsidRPr="00B664C6">
        <w:t xml:space="preserve"> </w:t>
      </w:r>
    </w:p>
    <w:p w14:paraId="4A940235" w14:textId="440A4238" w:rsidR="006A1825" w:rsidRPr="00B664C6" w:rsidRDefault="00E63890" w:rsidP="00AF3FD4">
      <w:pPr>
        <w:pStyle w:val="ListParagraph"/>
        <w:numPr>
          <w:ilvl w:val="0"/>
          <w:numId w:val="5"/>
        </w:numPr>
        <w:spacing w:before="240" w:after="240" w:line="240" w:lineRule="auto"/>
        <w:ind w:right="1267"/>
        <w:contextualSpacing w:val="0"/>
        <w:jc w:val="both"/>
      </w:pPr>
      <w:r w:rsidRPr="00DA4404">
        <w:t>Annual g</w:t>
      </w:r>
      <w:r w:rsidR="006A1825" w:rsidRPr="00DA4404">
        <w:t>overnment contributions</w:t>
      </w:r>
      <w:r w:rsidR="006A1825" w:rsidRPr="00B664C6">
        <w:t xml:space="preserve"> to local office costs (GLOC) </w:t>
      </w:r>
      <w:r w:rsidR="001E29FB">
        <w:t>are</w:t>
      </w:r>
      <w:r w:rsidR="006A1825" w:rsidRPr="00B664C6">
        <w:t xml:space="preserve"> important source of revenue and can take the form of in-kind or cash contributions by host governments.</w:t>
      </w:r>
      <w:r w:rsidR="006A1825" w:rsidRPr="00B664C6" w:rsidDel="00736A50">
        <w:t xml:space="preserve"> </w:t>
      </w:r>
      <w:r w:rsidR="00603234" w:rsidRPr="00B664C6">
        <w:t xml:space="preserve">In the low and middle-income </w:t>
      </w:r>
      <w:r w:rsidR="00DB1518" w:rsidRPr="00B664C6">
        <w:t xml:space="preserve">countries </w:t>
      </w:r>
      <w:r w:rsidR="00603234" w:rsidRPr="00B664C6">
        <w:t xml:space="preserve">categories, </w:t>
      </w:r>
      <w:r w:rsidR="006A1825" w:rsidRPr="00B664C6">
        <w:t>$</w:t>
      </w:r>
      <w:r w:rsidR="001B417D">
        <w:t>29</w:t>
      </w:r>
      <w:r w:rsidR="006A1825" w:rsidRPr="00B664C6">
        <w:t xml:space="preserve"> million was received in </w:t>
      </w:r>
      <w:r w:rsidR="000225EA" w:rsidRPr="00B664C6">
        <w:t>202</w:t>
      </w:r>
      <w:r w:rsidR="00D80781">
        <w:t>2</w:t>
      </w:r>
      <w:r w:rsidR="00D52465" w:rsidRPr="00B664C6">
        <w:t xml:space="preserve"> (20</w:t>
      </w:r>
      <w:r w:rsidR="00360846">
        <w:t>2</w:t>
      </w:r>
      <w:r w:rsidR="0029774F">
        <w:t>1</w:t>
      </w:r>
      <w:r w:rsidR="00B80CA7" w:rsidRPr="00B664C6">
        <w:t xml:space="preserve">: </w:t>
      </w:r>
      <w:r w:rsidR="0029774F">
        <w:t>33</w:t>
      </w:r>
      <w:r w:rsidR="00D52465" w:rsidRPr="00B664C6">
        <w:t xml:space="preserve"> million)</w:t>
      </w:r>
      <w:r w:rsidR="007B61F2" w:rsidRPr="00B664C6">
        <w:t xml:space="preserve">, </w:t>
      </w:r>
      <w:r w:rsidR="006A1825" w:rsidRPr="00B664C6">
        <w:t>consisting of cash contributions of $</w:t>
      </w:r>
      <w:r w:rsidR="00E36E38">
        <w:t>2</w:t>
      </w:r>
      <w:r w:rsidR="001B417D">
        <w:t>2</w:t>
      </w:r>
      <w:r w:rsidR="00E36E38" w:rsidRPr="00B664C6">
        <w:t xml:space="preserve"> </w:t>
      </w:r>
      <w:r w:rsidR="006A1825" w:rsidRPr="00B664C6">
        <w:t>million</w:t>
      </w:r>
      <w:r w:rsidR="009D2F19" w:rsidRPr="00B664C6">
        <w:t xml:space="preserve"> ($</w:t>
      </w:r>
      <w:r w:rsidR="001E7FD3" w:rsidRPr="00B664C6">
        <w:t>1</w:t>
      </w:r>
      <w:r w:rsidR="00DA4404">
        <w:t>6</w:t>
      </w:r>
      <w:r w:rsidR="001E7FD3" w:rsidRPr="00B664C6">
        <w:t xml:space="preserve"> </w:t>
      </w:r>
      <w:r w:rsidR="008D087C" w:rsidRPr="00B664C6">
        <w:t>million for 20</w:t>
      </w:r>
      <w:r w:rsidR="001E7FD3" w:rsidRPr="00B664C6">
        <w:t>2</w:t>
      </w:r>
      <w:r w:rsidR="00D80056">
        <w:t>2</w:t>
      </w:r>
      <w:r w:rsidR="008D087C" w:rsidRPr="00B664C6">
        <w:t xml:space="preserve"> targets</w:t>
      </w:r>
      <w:r w:rsidR="00845942">
        <w:t xml:space="preserve"> and </w:t>
      </w:r>
      <w:r w:rsidR="008D087C" w:rsidRPr="00B664C6">
        <w:t>$</w:t>
      </w:r>
      <w:r w:rsidR="001B417D">
        <w:t>6</w:t>
      </w:r>
      <w:r w:rsidR="008D087C" w:rsidRPr="00B664C6">
        <w:t xml:space="preserve"> million against arrears</w:t>
      </w:r>
      <w:r w:rsidR="008B73EE">
        <w:t xml:space="preserve"> including </w:t>
      </w:r>
      <w:r w:rsidR="001D7D17">
        <w:t>amount</w:t>
      </w:r>
      <w:r w:rsidR="008B73EE">
        <w:t xml:space="preserve"> </w:t>
      </w:r>
      <w:r w:rsidR="007B2CE4">
        <w:t>subsequently</w:t>
      </w:r>
      <w:r w:rsidR="008B73EE">
        <w:t xml:space="preserve"> transferred to</w:t>
      </w:r>
      <w:r w:rsidR="007B2CE4">
        <w:t xml:space="preserve"> other funds</w:t>
      </w:r>
      <w:r w:rsidR="008D087C" w:rsidRPr="00B664C6">
        <w:t xml:space="preserve">) and </w:t>
      </w:r>
      <w:r w:rsidR="006A1825" w:rsidRPr="00B664C6">
        <w:t>in-kind contributions of $</w:t>
      </w:r>
      <w:r w:rsidR="00155E75">
        <w:t>7</w:t>
      </w:r>
      <w:r w:rsidR="006A1825" w:rsidRPr="00B664C6">
        <w:t xml:space="preserve"> million for premises and utilities</w:t>
      </w:r>
      <w:r w:rsidR="009D2F19" w:rsidRPr="00B664C6">
        <w:t>.</w:t>
      </w:r>
      <w:r w:rsidR="006A1825" w:rsidRPr="00B664C6">
        <w:t xml:space="preserve"> The top 10 contributors are shown in figure </w:t>
      </w:r>
      <w:r w:rsidR="004D4DCC" w:rsidRPr="00B664C6">
        <w:t>III</w:t>
      </w:r>
      <w:r w:rsidR="00442030" w:rsidRPr="00B664C6">
        <w:t xml:space="preserve"> (</w:t>
      </w:r>
      <w:r w:rsidR="001703E6" w:rsidRPr="00B664C6">
        <w:t>b</w:t>
      </w:r>
      <w:r w:rsidR="00442030" w:rsidRPr="00B664C6">
        <w:t>)</w:t>
      </w:r>
      <w:r w:rsidR="006A1825" w:rsidRPr="00B664C6">
        <w:t xml:space="preserve">. </w:t>
      </w:r>
    </w:p>
    <w:p w14:paraId="228EF7E9" w14:textId="566881C6" w:rsidR="006A1825" w:rsidRPr="006A1825" w:rsidRDefault="006A1825" w:rsidP="003C31AA">
      <w:pPr>
        <w:keepNext/>
        <w:tabs>
          <w:tab w:val="left" w:pos="1260"/>
          <w:tab w:val="left" w:pos="1530"/>
        </w:tabs>
        <w:suppressAutoHyphens w:val="0"/>
        <w:spacing w:line="240" w:lineRule="auto"/>
        <w:jc w:val="center"/>
        <w:rPr>
          <w:rFonts w:eastAsiaTheme="minorHAnsi"/>
          <w:b/>
        </w:rPr>
      </w:pPr>
      <w:r w:rsidRPr="001D4BDF">
        <w:rPr>
          <w:rFonts w:eastAsiaTheme="minorHAnsi"/>
          <w:b/>
        </w:rPr>
        <w:lastRenderedPageBreak/>
        <w:t xml:space="preserve">Figure </w:t>
      </w:r>
      <w:r w:rsidR="004D4DCC" w:rsidRPr="001D4BDF">
        <w:rPr>
          <w:rFonts w:eastAsiaTheme="minorHAnsi"/>
          <w:b/>
        </w:rPr>
        <w:t>II</w:t>
      </w:r>
      <w:r w:rsidR="00442030" w:rsidRPr="001D4BDF">
        <w:rPr>
          <w:rFonts w:eastAsiaTheme="minorHAnsi"/>
          <w:b/>
        </w:rPr>
        <w:t>I (</w:t>
      </w:r>
      <w:r w:rsidR="001703E6" w:rsidRPr="001D4BDF">
        <w:rPr>
          <w:rFonts w:eastAsiaTheme="minorHAnsi"/>
          <w:b/>
        </w:rPr>
        <w:t>b</w:t>
      </w:r>
      <w:r w:rsidR="00442030" w:rsidRPr="001D4BDF">
        <w:rPr>
          <w:rFonts w:eastAsiaTheme="minorHAnsi"/>
          <w:b/>
        </w:rPr>
        <w:t>)</w:t>
      </w:r>
      <w:r w:rsidRPr="001D4BDF">
        <w:rPr>
          <w:rFonts w:eastAsiaTheme="minorHAnsi"/>
          <w:b/>
        </w:rPr>
        <w:t xml:space="preserve">. </w:t>
      </w:r>
      <w:r w:rsidR="00783861" w:rsidRPr="00A80F5A">
        <w:rPr>
          <w:rFonts w:eastAsiaTheme="minorHAnsi"/>
          <w:b/>
        </w:rPr>
        <w:t xml:space="preserve">Annual </w:t>
      </w:r>
      <w:r w:rsidRPr="00805EF4">
        <w:rPr>
          <w:rFonts w:eastAsiaTheme="minorHAnsi"/>
          <w:b/>
        </w:rPr>
        <w:t>GLOC contributions</w:t>
      </w:r>
      <w:r w:rsidRPr="00A80F5A">
        <w:rPr>
          <w:rFonts w:eastAsiaTheme="minorHAnsi"/>
          <w:b/>
        </w:rPr>
        <w:t xml:space="preserve"> by top 10 host governments, 20</w:t>
      </w:r>
      <w:r w:rsidR="001D4BDF" w:rsidRPr="00A80F5A">
        <w:rPr>
          <w:rFonts w:eastAsiaTheme="minorHAnsi"/>
          <w:b/>
        </w:rPr>
        <w:t>2</w:t>
      </w:r>
      <w:r w:rsidR="005B3BAF">
        <w:rPr>
          <w:rFonts w:eastAsiaTheme="minorHAnsi"/>
          <w:b/>
        </w:rPr>
        <w:t>2</w:t>
      </w:r>
    </w:p>
    <w:p w14:paraId="67DA58BE" w14:textId="633844C7" w:rsidR="00976BF8" w:rsidRDefault="7E93AAC6" w:rsidP="00EB0DC2">
      <w:pPr>
        <w:keepNext/>
        <w:tabs>
          <w:tab w:val="left" w:pos="1267"/>
          <w:tab w:val="left" w:pos="1620"/>
          <w:tab w:val="left" w:pos="2218"/>
          <w:tab w:val="left" w:pos="2693"/>
          <w:tab w:val="left" w:pos="3182"/>
          <w:tab w:val="left" w:pos="3658"/>
          <w:tab w:val="left" w:pos="4133"/>
          <w:tab w:val="left" w:pos="4622"/>
          <w:tab w:val="left" w:pos="5098"/>
          <w:tab w:val="left" w:pos="5573"/>
          <w:tab w:val="left" w:pos="6048"/>
        </w:tabs>
        <w:spacing w:after="120"/>
        <w:ind w:left="1260" w:right="1267"/>
        <w:jc w:val="center"/>
        <w:rPr>
          <w:rFonts w:eastAsiaTheme="minorEastAsia"/>
          <w:i/>
          <w:sz w:val="18"/>
          <w:szCs w:val="18"/>
        </w:rPr>
      </w:pPr>
      <w:r w:rsidRPr="0035351F">
        <w:rPr>
          <w:rFonts w:eastAsiaTheme="minorEastAsia"/>
          <w:sz w:val="18"/>
          <w:szCs w:val="18"/>
        </w:rPr>
        <w:t>(</w:t>
      </w:r>
      <w:r w:rsidR="009639F5" w:rsidRPr="0035351F">
        <w:rPr>
          <w:i/>
          <w:sz w:val="18"/>
          <w:szCs w:val="18"/>
        </w:rPr>
        <w:t>In millions of United States dollars</w:t>
      </w:r>
      <w:r w:rsidRPr="0035351F">
        <w:rPr>
          <w:rFonts w:eastAsiaTheme="minorEastAsia"/>
          <w:i/>
          <w:sz w:val="18"/>
          <w:szCs w:val="18"/>
        </w:rPr>
        <w:t>)</w:t>
      </w:r>
    </w:p>
    <w:p w14:paraId="2332D423" w14:textId="43C03E7D" w:rsidR="007F3374" w:rsidRPr="00EA736D" w:rsidRDefault="003366A9" w:rsidP="00AC3C81">
      <w:pPr>
        <w:keepNext/>
        <w:tabs>
          <w:tab w:val="left" w:pos="1267"/>
          <w:tab w:val="left" w:pos="1620"/>
          <w:tab w:val="left" w:pos="2218"/>
          <w:tab w:val="left" w:pos="2693"/>
          <w:tab w:val="left" w:pos="3182"/>
          <w:tab w:val="left" w:pos="3658"/>
          <w:tab w:val="left" w:pos="4133"/>
          <w:tab w:val="left" w:pos="4622"/>
          <w:tab w:val="left" w:pos="5098"/>
          <w:tab w:val="left" w:pos="5573"/>
          <w:tab w:val="left" w:pos="6048"/>
        </w:tabs>
        <w:spacing w:after="120" w:line="240" w:lineRule="auto"/>
        <w:ind w:left="1343" w:right="1267"/>
        <w:rPr>
          <w:sz w:val="13"/>
          <w:szCs w:val="13"/>
        </w:rPr>
      </w:pPr>
      <w:r>
        <w:rPr>
          <w:noProof/>
        </w:rPr>
        <w:drawing>
          <wp:inline distT="0" distB="0" distL="0" distR="0" wp14:anchorId="4EE13BEA" wp14:editId="30BBEEC2">
            <wp:extent cx="4678680" cy="2133600"/>
            <wp:effectExtent l="0" t="0" r="7620" b="0"/>
            <wp:docPr id="890180031" name="Chart 1">
              <a:extLst xmlns:a="http://schemas.openxmlformats.org/drawingml/2006/main">
                <a:ext uri="{FF2B5EF4-FFF2-40B4-BE49-F238E27FC236}">
                  <a16:creationId xmlns:a16="http://schemas.microsoft.com/office/drawing/2014/main" id="{684CF25D-8258-4393-891B-0202EF6ABD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3F010C">
        <w:rPr>
          <w:sz w:val="13"/>
          <w:szCs w:val="13"/>
        </w:rPr>
        <w:tab/>
      </w:r>
      <w:r w:rsidR="00EA736D">
        <w:rPr>
          <w:sz w:val="13"/>
          <w:szCs w:val="13"/>
        </w:rPr>
        <w:t>*</w:t>
      </w:r>
      <w:r w:rsidR="003F010C">
        <w:rPr>
          <w:sz w:val="13"/>
          <w:szCs w:val="13"/>
        </w:rPr>
        <w:t xml:space="preserve"> </w:t>
      </w:r>
      <w:r w:rsidR="00CE3DF1">
        <w:rPr>
          <w:sz w:val="13"/>
          <w:szCs w:val="13"/>
        </w:rPr>
        <w:t xml:space="preserve">Including </w:t>
      </w:r>
      <w:r w:rsidR="001D7D17">
        <w:rPr>
          <w:sz w:val="13"/>
          <w:szCs w:val="13"/>
        </w:rPr>
        <w:t>amount</w:t>
      </w:r>
      <w:r w:rsidR="00F4331D">
        <w:rPr>
          <w:sz w:val="13"/>
          <w:szCs w:val="13"/>
        </w:rPr>
        <w:t xml:space="preserve"> </w:t>
      </w:r>
      <w:r w:rsidR="00566BF9">
        <w:rPr>
          <w:sz w:val="13"/>
          <w:szCs w:val="13"/>
        </w:rPr>
        <w:t xml:space="preserve">subsequently </w:t>
      </w:r>
      <w:r w:rsidR="00CE3DF1">
        <w:rPr>
          <w:sz w:val="13"/>
          <w:szCs w:val="13"/>
        </w:rPr>
        <w:t>transfer</w:t>
      </w:r>
      <w:r w:rsidR="00566BF9">
        <w:rPr>
          <w:sz w:val="13"/>
          <w:szCs w:val="13"/>
        </w:rPr>
        <w:t>red</w:t>
      </w:r>
      <w:r w:rsidR="00CE3DF1">
        <w:rPr>
          <w:sz w:val="13"/>
          <w:szCs w:val="13"/>
        </w:rPr>
        <w:t xml:space="preserve"> to other funds</w:t>
      </w:r>
      <w:r w:rsidR="00F4331D">
        <w:rPr>
          <w:sz w:val="13"/>
          <w:szCs w:val="13"/>
        </w:rPr>
        <w:t xml:space="preserve"> and excluding </w:t>
      </w:r>
      <w:r w:rsidR="00EA736D">
        <w:rPr>
          <w:sz w:val="13"/>
          <w:szCs w:val="13"/>
        </w:rPr>
        <w:t>future year payment</w:t>
      </w:r>
      <w:r w:rsidR="002F27CC">
        <w:rPr>
          <w:sz w:val="13"/>
          <w:szCs w:val="13"/>
        </w:rPr>
        <w:t>s</w:t>
      </w:r>
      <w:r w:rsidR="00EA736D">
        <w:rPr>
          <w:sz w:val="13"/>
          <w:szCs w:val="13"/>
        </w:rPr>
        <w:t>.</w:t>
      </w:r>
    </w:p>
    <w:p w14:paraId="636FF774" w14:textId="196F9D99" w:rsidR="006A1825" w:rsidRPr="0062517A" w:rsidRDefault="006A1825" w:rsidP="00AF3FD4">
      <w:pPr>
        <w:pStyle w:val="ListParagraph"/>
        <w:numPr>
          <w:ilvl w:val="0"/>
          <w:numId w:val="5"/>
        </w:numPr>
        <w:spacing w:before="240" w:after="240" w:line="240" w:lineRule="auto"/>
        <w:ind w:right="1267"/>
        <w:contextualSpacing w:val="0"/>
        <w:jc w:val="both"/>
      </w:pPr>
      <w:r w:rsidRPr="0062517A">
        <w:t xml:space="preserve">Tables 8(a), 8(b) and 8(c) in </w:t>
      </w:r>
      <w:r w:rsidR="00E63890" w:rsidRPr="0062517A">
        <w:t>appendix VI</w:t>
      </w:r>
      <w:r w:rsidR="00335C02">
        <w:t>I</w:t>
      </w:r>
      <w:r w:rsidRPr="0062517A">
        <w:t xml:space="preserve"> provide information on 20</w:t>
      </w:r>
      <w:r w:rsidR="001E7FD3" w:rsidRPr="0062517A">
        <w:t>2</w:t>
      </w:r>
      <w:r w:rsidR="0061737D">
        <w:t>2</w:t>
      </w:r>
      <w:r w:rsidRPr="0062517A">
        <w:t xml:space="preserve"> government cash contributions to local office costs in regular resources by countries in low and middle-income categories, cumulative arrears, and contributions towards arrears. </w:t>
      </w:r>
    </w:p>
    <w:p w14:paraId="5974FB8D" w14:textId="77777777" w:rsidR="006A1825" w:rsidRPr="00B664C6" w:rsidRDefault="006A1825" w:rsidP="00FA1EE2">
      <w:pPr>
        <w:pStyle w:val="H4"/>
        <w:tabs>
          <w:tab w:val="clear" w:pos="1742"/>
          <w:tab w:val="left" w:pos="1440"/>
          <w:tab w:val="left" w:pos="1620"/>
        </w:tabs>
        <w:spacing w:before="240" w:after="240" w:line="240" w:lineRule="auto"/>
        <w:ind w:left="983" w:firstLine="0"/>
        <w:outlineLvl w:val="2"/>
      </w:pPr>
      <w:bookmarkStart w:id="254" w:name="_Toc46221133"/>
      <w:bookmarkStart w:id="255" w:name="_Toc46399198"/>
      <w:bookmarkStart w:id="256" w:name="_Toc75466835"/>
      <w:bookmarkStart w:id="257" w:name="_Toc139289027"/>
      <w:bookmarkStart w:id="258" w:name="_Toc139289135"/>
      <w:bookmarkStart w:id="259" w:name="_Hlk12016568"/>
      <w:r w:rsidRPr="00B664C6">
        <w:t>Net contributor country contributions</w:t>
      </w:r>
      <w:bookmarkEnd w:id="254"/>
      <w:bookmarkEnd w:id="255"/>
      <w:bookmarkEnd w:id="256"/>
      <w:bookmarkEnd w:id="257"/>
      <w:bookmarkEnd w:id="258"/>
    </w:p>
    <w:p w14:paraId="77E324F7" w14:textId="623D3E1B" w:rsidR="006A1825" w:rsidRPr="00B664C6" w:rsidRDefault="006A1825" w:rsidP="00AF3FD4">
      <w:pPr>
        <w:pStyle w:val="ListParagraph"/>
        <w:numPr>
          <w:ilvl w:val="0"/>
          <w:numId w:val="5"/>
        </w:numPr>
        <w:spacing w:before="240" w:after="240" w:line="240" w:lineRule="auto"/>
        <w:ind w:right="1267"/>
        <w:contextualSpacing w:val="0"/>
        <w:jc w:val="both"/>
      </w:pPr>
      <w:r w:rsidRPr="00B664C6">
        <w:t>Net contributor programme country governments contributed $</w:t>
      </w:r>
      <w:r w:rsidR="00D054FB">
        <w:t>9</w:t>
      </w:r>
      <w:r w:rsidRPr="00B664C6">
        <w:t xml:space="preserve"> million</w:t>
      </w:r>
      <w:r w:rsidR="00795EF4" w:rsidRPr="00B664C6">
        <w:t xml:space="preserve">, </w:t>
      </w:r>
      <w:r w:rsidR="000D5EC3">
        <w:t>at the same level as 2021</w:t>
      </w:r>
      <w:r w:rsidR="00955794" w:rsidRPr="00B664C6">
        <w:t xml:space="preserve"> </w:t>
      </w:r>
      <w:r w:rsidRPr="00B664C6">
        <w:t xml:space="preserve">(See details in </w:t>
      </w:r>
      <w:r w:rsidR="00E63890" w:rsidRPr="00B664C6">
        <w:t>appendix VI</w:t>
      </w:r>
      <w:r w:rsidR="00335C02" w:rsidRPr="00B664C6">
        <w:t>I</w:t>
      </w:r>
      <w:r w:rsidRPr="00B664C6">
        <w:t>).</w:t>
      </w:r>
    </w:p>
    <w:p w14:paraId="600E0247" w14:textId="77777777" w:rsidR="006A1825" w:rsidRPr="00B664C6" w:rsidRDefault="006A1825" w:rsidP="00FA1EE2">
      <w:pPr>
        <w:pStyle w:val="H4"/>
        <w:tabs>
          <w:tab w:val="clear" w:pos="1742"/>
          <w:tab w:val="left" w:pos="1440"/>
          <w:tab w:val="left" w:pos="1620"/>
        </w:tabs>
        <w:spacing w:before="240" w:after="240" w:line="240" w:lineRule="auto"/>
        <w:ind w:left="983" w:firstLine="0"/>
        <w:outlineLvl w:val="2"/>
      </w:pPr>
      <w:bookmarkStart w:id="260" w:name="_Toc46221134"/>
      <w:bookmarkStart w:id="261" w:name="_Toc46399199"/>
      <w:bookmarkStart w:id="262" w:name="_Toc75466836"/>
      <w:bookmarkStart w:id="263" w:name="_Toc139289028"/>
      <w:bookmarkStart w:id="264" w:name="_Toc139289136"/>
      <w:r w:rsidRPr="00B664C6">
        <w:t>Upper-middle income country contributions</w:t>
      </w:r>
      <w:bookmarkEnd w:id="260"/>
      <w:bookmarkEnd w:id="261"/>
      <w:bookmarkEnd w:id="262"/>
      <w:bookmarkEnd w:id="263"/>
      <w:bookmarkEnd w:id="264"/>
    </w:p>
    <w:p w14:paraId="147A4306" w14:textId="0F5317C3" w:rsidR="006A1825" w:rsidRPr="00B664C6" w:rsidRDefault="006A1825" w:rsidP="00AF3FD4">
      <w:pPr>
        <w:pStyle w:val="ListParagraph"/>
        <w:numPr>
          <w:ilvl w:val="0"/>
          <w:numId w:val="5"/>
        </w:numPr>
        <w:spacing w:before="240" w:after="240" w:line="240" w:lineRule="auto"/>
        <w:ind w:right="1267"/>
        <w:contextualSpacing w:val="0"/>
        <w:jc w:val="both"/>
      </w:pPr>
      <w:r w:rsidRPr="00B664C6">
        <w:t xml:space="preserve">Contributions from Upper-middle income programme countries with GNI per capita above </w:t>
      </w:r>
      <w:r w:rsidRPr="003F6C7C">
        <w:t>$6,6</w:t>
      </w:r>
      <w:r w:rsidR="00C2714A" w:rsidRPr="003F6C7C">
        <w:t>92</w:t>
      </w:r>
      <w:r w:rsidRPr="00B664C6">
        <w:t xml:space="preserve"> contributed $</w:t>
      </w:r>
      <w:r w:rsidR="007A7911" w:rsidRPr="00B664C6">
        <w:t>9</w:t>
      </w:r>
      <w:r w:rsidRPr="00B664C6">
        <w:t xml:space="preserve"> million, </w:t>
      </w:r>
      <w:r w:rsidR="00723FB6" w:rsidRPr="00B664C6">
        <w:t xml:space="preserve">at </w:t>
      </w:r>
      <w:r w:rsidR="007A7911" w:rsidRPr="00B664C6">
        <w:t xml:space="preserve">the same level </w:t>
      </w:r>
      <w:r w:rsidR="00AF5C82" w:rsidRPr="00B664C6">
        <w:t xml:space="preserve">as </w:t>
      </w:r>
      <w:r w:rsidR="00723FB6" w:rsidRPr="00B664C6">
        <w:t>20</w:t>
      </w:r>
      <w:r w:rsidR="00DF77B7">
        <w:t>2</w:t>
      </w:r>
      <w:r w:rsidR="000D5EC3">
        <w:t>1</w:t>
      </w:r>
      <w:r w:rsidRPr="00B664C6">
        <w:t xml:space="preserve">. (See details provided in </w:t>
      </w:r>
      <w:r w:rsidR="00E63890" w:rsidRPr="00B664C6">
        <w:t>appendix VI</w:t>
      </w:r>
      <w:r w:rsidR="00335C02" w:rsidRPr="00B664C6">
        <w:t>I</w:t>
      </w:r>
      <w:r w:rsidRPr="00B664C6">
        <w:t xml:space="preserve">). </w:t>
      </w:r>
    </w:p>
    <w:p w14:paraId="25BDE8DC" w14:textId="51AB0973" w:rsidR="007C4920" w:rsidRPr="009E5F63" w:rsidRDefault="007C4920" w:rsidP="00FE544A">
      <w:pPr>
        <w:pStyle w:val="H4"/>
        <w:tabs>
          <w:tab w:val="clear" w:pos="1742"/>
          <w:tab w:val="left" w:pos="1440"/>
          <w:tab w:val="left" w:pos="1620"/>
        </w:tabs>
        <w:spacing w:before="240" w:after="240" w:line="240" w:lineRule="auto"/>
        <w:ind w:left="1008" w:firstLine="0"/>
        <w:outlineLvl w:val="2"/>
      </w:pPr>
      <w:bookmarkStart w:id="265" w:name="_Toc46221135"/>
      <w:bookmarkStart w:id="266" w:name="_Toc46399200"/>
      <w:bookmarkStart w:id="267" w:name="_Toc75466837"/>
      <w:bookmarkStart w:id="268" w:name="_Toc139289029"/>
      <w:bookmarkStart w:id="269" w:name="_Toc139289137"/>
      <w:bookmarkEnd w:id="259"/>
      <w:r w:rsidRPr="000E57AE">
        <w:t>Investment revenue</w:t>
      </w:r>
      <w:bookmarkEnd w:id="246"/>
      <w:bookmarkEnd w:id="247"/>
      <w:bookmarkEnd w:id="248"/>
      <w:bookmarkEnd w:id="249"/>
      <w:bookmarkEnd w:id="250"/>
      <w:bookmarkEnd w:id="251"/>
      <w:bookmarkEnd w:id="252"/>
      <w:bookmarkEnd w:id="265"/>
      <w:bookmarkEnd w:id="266"/>
      <w:bookmarkEnd w:id="267"/>
      <w:bookmarkEnd w:id="268"/>
      <w:bookmarkEnd w:id="269"/>
    </w:p>
    <w:bookmarkEnd w:id="253"/>
    <w:p w14:paraId="0047660E" w14:textId="7EA27BB7" w:rsidR="00064C0F" w:rsidRPr="00064C0F" w:rsidRDefault="00252408" w:rsidP="00064C0F">
      <w:pPr>
        <w:pStyle w:val="ListParagraph"/>
        <w:numPr>
          <w:ilvl w:val="0"/>
          <w:numId w:val="5"/>
        </w:numPr>
        <w:spacing w:before="240" w:after="240" w:line="240" w:lineRule="auto"/>
        <w:ind w:right="1267"/>
        <w:contextualSpacing w:val="0"/>
        <w:jc w:val="both"/>
      </w:pPr>
      <w:r>
        <w:t>I</w:t>
      </w:r>
      <w:r w:rsidR="003F0C38" w:rsidRPr="0080609E">
        <w:t xml:space="preserve">nvestment revenue </w:t>
      </w:r>
      <w:r w:rsidR="00842E1A" w:rsidRPr="0080609E">
        <w:t>totalled</w:t>
      </w:r>
      <w:r w:rsidR="003F0C38" w:rsidRPr="0080609E">
        <w:t xml:space="preserve"> $</w:t>
      </w:r>
      <w:r w:rsidR="00842E1A" w:rsidRPr="0080609E">
        <w:t>1</w:t>
      </w:r>
      <w:r w:rsidR="00181E70">
        <w:t>01</w:t>
      </w:r>
      <w:r w:rsidR="003F0C38" w:rsidRPr="0080609E">
        <w:t xml:space="preserve"> million (20</w:t>
      </w:r>
      <w:r w:rsidR="008B4198" w:rsidRPr="0080609E">
        <w:t>2</w:t>
      </w:r>
      <w:r w:rsidR="00181E70">
        <w:t>1</w:t>
      </w:r>
      <w:r w:rsidR="003F0C38" w:rsidRPr="0080609E">
        <w:t xml:space="preserve">: </w:t>
      </w:r>
      <w:r w:rsidR="00375980" w:rsidRPr="0080609E">
        <w:t>$</w:t>
      </w:r>
      <w:r w:rsidR="00842E1A" w:rsidRPr="0080609E">
        <w:t>1</w:t>
      </w:r>
      <w:r w:rsidR="00181E70">
        <w:t>35</w:t>
      </w:r>
      <w:r w:rsidR="003F0C38" w:rsidRPr="0080609E">
        <w:t xml:space="preserve"> million). </w:t>
      </w:r>
      <w:r w:rsidR="009F242F" w:rsidRPr="0080609E">
        <w:t xml:space="preserve">The </w:t>
      </w:r>
      <w:r w:rsidR="00181E70">
        <w:t>decrease</w:t>
      </w:r>
      <w:r w:rsidR="009F242F" w:rsidRPr="0080609E">
        <w:t xml:space="preserve"> in UNDP’s overall investment income of $</w:t>
      </w:r>
      <w:r w:rsidR="00181E70">
        <w:t>34</w:t>
      </w:r>
      <w:r w:rsidR="009F242F" w:rsidRPr="0080609E">
        <w:t xml:space="preserve"> million (</w:t>
      </w:r>
      <w:r w:rsidR="00181E70">
        <w:t>2</w:t>
      </w:r>
      <w:r w:rsidR="0027192E">
        <w:t>5</w:t>
      </w:r>
      <w:r w:rsidR="009F242F" w:rsidRPr="0080609E">
        <w:t xml:space="preserve"> per cent) </w:t>
      </w:r>
      <w:r w:rsidR="00064C0F" w:rsidRPr="00064C0F">
        <w:t xml:space="preserve">is due to a lower realized gain on sale of investments for 2022, partially offset by higher interest rates for the year from the post-COVID-19 economic recovery situation. </w:t>
      </w:r>
    </w:p>
    <w:p w14:paraId="7DC9F55F" w14:textId="24C0250B" w:rsidR="009226F0" w:rsidRPr="00837D3D" w:rsidRDefault="00ED4FEC" w:rsidP="009226F0">
      <w:pPr>
        <w:pStyle w:val="ListParagraph"/>
        <w:numPr>
          <w:ilvl w:val="0"/>
          <w:numId w:val="5"/>
        </w:numPr>
        <w:spacing w:before="240" w:after="240" w:line="240" w:lineRule="auto"/>
        <w:ind w:right="1267"/>
        <w:contextualSpacing w:val="0"/>
        <w:jc w:val="both"/>
      </w:pPr>
      <w:r w:rsidRPr="00566BE6">
        <w:t>Hedging programme</w:t>
      </w:r>
      <w:r w:rsidRPr="00094996">
        <w:t xml:space="preserve"> - </w:t>
      </w:r>
      <w:r w:rsidR="00566BE6" w:rsidRPr="00566BE6">
        <w:t>UNDP incurred net Foreign Exchange (FX) losses of $1</w:t>
      </w:r>
      <w:r w:rsidR="00284E16">
        <w:t>3</w:t>
      </w:r>
      <w:r w:rsidR="00566BE6" w:rsidRPr="00566BE6">
        <w:t xml:space="preserve"> million (</w:t>
      </w:r>
      <w:r w:rsidR="00566BE6" w:rsidRPr="00197431">
        <w:t>202</w:t>
      </w:r>
      <w:r w:rsidR="00284E16" w:rsidRPr="00197431">
        <w:t>1</w:t>
      </w:r>
      <w:r w:rsidR="00566BE6" w:rsidRPr="00197431">
        <w:t>: $</w:t>
      </w:r>
      <w:r w:rsidR="00284E16" w:rsidRPr="00197431">
        <w:t>1</w:t>
      </w:r>
      <w:r w:rsidR="00197431" w:rsidRPr="00197431">
        <w:t>8</w:t>
      </w:r>
      <w:r w:rsidR="00566BE6" w:rsidRPr="00197431">
        <w:t xml:space="preserve"> million</w:t>
      </w:r>
      <w:r w:rsidR="00566BE6" w:rsidRPr="00566BE6">
        <w:t xml:space="preserve"> net FX gains) to core resources. </w:t>
      </w:r>
      <w:r w:rsidR="009226F0" w:rsidRPr="007A4504">
        <w:t xml:space="preserve">Overall, in 2022 UNDP had a net foreign exchange loss of $4.4 million (2021: $22.4 million) which is low in consideration to the value of the investment portfolio of UNDP and speaks to the success of UNDP’s FX risk management. </w:t>
      </w:r>
    </w:p>
    <w:p w14:paraId="34F62DFF" w14:textId="77777777" w:rsidR="00E95B4E" w:rsidRPr="009E5F63" w:rsidRDefault="00A92795" w:rsidP="00225809">
      <w:pPr>
        <w:pStyle w:val="H4"/>
        <w:tabs>
          <w:tab w:val="clear" w:pos="1742"/>
          <w:tab w:val="left" w:pos="1440"/>
          <w:tab w:val="left" w:pos="1620"/>
        </w:tabs>
        <w:spacing w:before="240" w:after="240" w:line="240" w:lineRule="auto"/>
        <w:ind w:left="1008" w:firstLine="0"/>
        <w:outlineLvl w:val="2"/>
      </w:pPr>
      <w:bookmarkStart w:id="270" w:name="_Toc39596243"/>
      <w:bookmarkStart w:id="271" w:name="_Toc40281192"/>
      <w:bookmarkStart w:id="272" w:name="_Toc40281351"/>
      <w:bookmarkStart w:id="273" w:name="_Toc44499878"/>
      <w:bookmarkStart w:id="274" w:name="_Toc44603226"/>
      <w:bookmarkStart w:id="275" w:name="_Toc44606539"/>
      <w:bookmarkStart w:id="276" w:name="_Toc45297425"/>
      <w:bookmarkStart w:id="277" w:name="_Toc46221136"/>
      <w:bookmarkStart w:id="278" w:name="_Toc46399201"/>
      <w:bookmarkStart w:id="279" w:name="_Toc75466838"/>
      <w:bookmarkStart w:id="280" w:name="_Toc139289030"/>
      <w:bookmarkStart w:id="281" w:name="_Toc139289138"/>
      <w:r w:rsidRPr="000E57AE">
        <w:t xml:space="preserve">Other </w:t>
      </w:r>
      <w:r w:rsidR="00E95B4E" w:rsidRPr="000E57AE">
        <w:t>revenue</w:t>
      </w:r>
      <w:bookmarkEnd w:id="270"/>
      <w:bookmarkEnd w:id="271"/>
      <w:bookmarkEnd w:id="272"/>
      <w:bookmarkEnd w:id="273"/>
      <w:bookmarkEnd w:id="274"/>
      <w:bookmarkEnd w:id="275"/>
      <w:bookmarkEnd w:id="276"/>
      <w:bookmarkEnd w:id="277"/>
      <w:bookmarkEnd w:id="278"/>
      <w:bookmarkEnd w:id="279"/>
      <w:bookmarkEnd w:id="280"/>
      <w:bookmarkEnd w:id="281"/>
    </w:p>
    <w:p w14:paraId="634F6A39" w14:textId="1ECE55B5" w:rsidR="000A16B4" w:rsidRPr="00CD75B0" w:rsidRDefault="00763E87" w:rsidP="5E7BD891">
      <w:pPr>
        <w:pStyle w:val="ListParagraph"/>
        <w:numPr>
          <w:ilvl w:val="0"/>
          <w:numId w:val="5"/>
        </w:numPr>
        <w:spacing w:before="240" w:after="240" w:line="240" w:lineRule="auto"/>
        <w:ind w:right="1267"/>
        <w:jc w:val="both"/>
      </w:pPr>
      <w:r w:rsidRPr="000C6A6F">
        <w:t>Other revenue</w:t>
      </w:r>
      <w:r w:rsidR="00800611">
        <w:t xml:space="preserve"> (including revenue from exchange transaction</w:t>
      </w:r>
      <w:r w:rsidR="004B40C2">
        <w:t>s)</w:t>
      </w:r>
      <w:r w:rsidRPr="000C6A6F">
        <w:t xml:space="preserve"> </w:t>
      </w:r>
      <w:r w:rsidR="00AE0615" w:rsidRPr="000C6A6F">
        <w:t>totalled</w:t>
      </w:r>
      <w:r w:rsidRPr="000C6A6F">
        <w:t xml:space="preserve"> $</w:t>
      </w:r>
      <w:r w:rsidR="006A18E0" w:rsidRPr="000C6A6F">
        <w:t>4</w:t>
      </w:r>
      <w:r w:rsidR="006B3ECF">
        <w:t>93</w:t>
      </w:r>
      <w:r w:rsidRPr="000C6A6F">
        <w:t xml:space="preserve"> million (20</w:t>
      </w:r>
      <w:r w:rsidR="00807218" w:rsidRPr="000C6A6F">
        <w:t>2</w:t>
      </w:r>
      <w:r w:rsidR="00A36794">
        <w:t>1</w:t>
      </w:r>
      <w:r w:rsidRPr="000C6A6F">
        <w:t>: $</w:t>
      </w:r>
      <w:r w:rsidR="009642BA" w:rsidRPr="000C6A6F">
        <w:t>4</w:t>
      </w:r>
      <w:r w:rsidR="00A36794">
        <w:t>59</w:t>
      </w:r>
      <w:r w:rsidRPr="000C6A6F">
        <w:t xml:space="preserve"> million), mainly consisting of: </w:t>
      </w:r>
      <w:r w:rsidRPr="00CD75B0">
        <w:t>cost recovery revenue of $</w:t>
      </w:r>
      <w:r w:rsidR="002A4A80" w:rsidRPr="00CD75B0">
        <w:t>40</w:t>
      </w:r>
      <w:r w:rsidR="006E04FC">
        <w:t>1</w:t>
      </w:r>
      <w:r w:rsidRPr="00CD75B0">
        <w:t xml:space="preserve"> million; for instance, $</w:t>
      </w:r>
      <w:r w:rsidR="003F7991" w:rsidRPr="00CD75B0">
        <w:t>56</w:t>
      </w:r>
      <w:r w:rsidRPr="00CD75B0">
        <w:t xml:space="preserve"> million revenue for </w:t>
      </w:r>
      <w:r w:rsidR="00CD75B0" w:rsidRPr="00CD75B0">
        <w:t xml:space="preserve">UNDP </w:t>
      </w:r>
      <w:r w:rsidRPr="00CD75B0">
        <w:t>providing service</w:t>
      </w:r>
      <w:r w:rsidR="00FF7362" w:rsidRPr="00CD75B0">
        <w:t xml:space="preserve">s to </w:t>
      </w:r>
      <w:r w:rsidR="00DC68B6" w:rsidRPr="00CD75B0">
        <w:t xml:space="preserve">the </w:t>
      </w:r>
      <w:r w:rsidR="004D1B05" w:rsidRPr="00CD75B0">
        <w:t>United Nations system</w:t>
      </w:r>
      <w:r w:rsidR="00DC68B6" w:rsidRPr="00CD75B0">
        <w:t>;</w:t>
      </w:r>
      <w:r w:rsidR="004D1B05" w:rsidRPr="00CD75B0">
        <w:t xml:space="preserve"> and miscellaneous revenue</w:t>
      </w:r>
      <w:r w:rsidR="00DC68B6" w:rsidRPr="00CD75B0">
        <w:t>,</w:t>
      </w:r>
      <w:r w:rsidR="004D1B05" w:rsidRPr="00CD75B0">
        <w:t xml:space="preserve"> such as </w:t>
      </w:r>
      <w:r w:rsidR="00D25006" w:rsidRPr="00CD75B0">
        <w:t>foreign exchange gains</w:t>
      </w:r>
      <w:r w:rsidR="00C81BD4" w:rsidRPr="00CD75B0">
        <w:t>.</w:t>
      </w:r>
    </w:p>
    <w:p w14:paraId="78AB0932" w14:textId="77777777" w:rsidR="00A1057B" w:rsidRPr="003367B9" w:rsidRDefault="00A1057B" w:rsidP="00FE544A">
      <w:pPr>
        <w:pStyle w:val="H4"/>
        <w:tabs>
          <w:tab w:val="clear" w:pos="1267"/>
          <w:tab w:val="clear" w:pos="1742"/>
          <w:tab w:val="left" w:pos="1260"/>
          <w:tab w:val="left" w:pos="1440"/>
          <w:tab w:val="left" w:pos="1620"/>
        </w:tabs>
        <w:spacing w:before="240" w:after="240" w:line="240" w:lineRule="auto"/>
        <w:ind w:left="1008" w:firstLine="0"/>
        <w:outlineLvl w:val="2"/>
      </w:pPr>
      <w:bookmarkStart w:id="282" w:name="_Toc39596244"/>
      <w:bookmarkStart w:id="283" w:name="_Toc40281193"/>
      <w:bookmarkStart w:id="284" w:name="_Toc40281352"/>
      <w:bookmarkStart w:id="285" w:name="_Toc44499879"/>
      <w:bookmarkStart w:id="286" w:name="_Toc44603227"/>
      <w:bookmarkStart w:id="287" w:name="_Toc44606540"/>
      <w:bookmarkStart w:id="288" w:name="_Toc45297426"/>
      <w:bookmarkStart w:id="289" w:name="_Toc46221137"/>
      <w:bookmarkStart w:id="290" w:name="_Toc46399202"/>
      <w:bookmarkStart w:id="291" w:name="_Toc75466839"/>
      <w:bookmarkStart w:id="292" w:name="_Toc139289031"/>
      <w:bookmarkStart w:id="293" w:name="_Toc139289139"/>
      <w:r w:rsidRPr="000C6A6F">
        <w:lastRenderedPageBreak/>
        <w:t>Cost-recovery</w:t>
      </w:r>
      <w:bookmarkEnd w:id="282"/>
      <w:bookmarkEnd w:id="283"/>
      <w:bookmarkEnd w:id="284"/>
      <w:bookmarkEnd w:id="285"/>
      <w:bookmarkEnd w:id="286"/>
      <w:bookmarkEnd w:id="287"/>
      <w:bookmarkEnd w:id="288"/>
      <w:bookmarkEnd w:id="289"/>
      <w:bookmarkEnd w:id="290"/>
      <w:bookmarkEnd w:id="291"/>
      <w:bookmarkEnd w:id="292"/>
      <w:bookmarkEnd w:id="293"/>
      <w:r w:rsidRPr="003367B9">
        <w:t xml:space="preserve"> </w:t>
      </w:r>
    </w:p>
    <w:p w14:paraId="38E1CB71" w14:textId="77777777" w:rsidR="00A1057B" w:rsidRDefault="00A1057B" w:rsidP="00AF3FD4">
      <w:pPr>
        <w:pStyle w:val="ListParagraph"/>
        <w:numPr>
          <w:ilvl w:val="0"/>
          <w:numId w:val="5"/>
        </w:numPr>
        <w:spacing w:before="240" w:after="240" w:line="240" w:lineRule="auto"/>
        <w:ind w:right="1267"/>
        <w:contextualSpacing w:val="0"/>
        <w:jc w:val="both"/>
      </w:pPr>
      <w:r w:rsidRPr="003367B9">
        <w:t xml:space="preserve">UNDP made every effort to recover the general management </w:t>
      </w:r>
      <w:r w:rsidR="00EC5363" w:rsidRPr="003367B9">
        <w:t xml:space="preserve">support </w:t>
      </w:r>
      <w:r w:rsidRPr="003367B9">
        <w:t>and implementation costs associated with the delivery of other resources-funded programmes and projects and with United Nations entities.</w:t>
      </w:r>
    </w:p>
    <w:p w14:paraId="180E6792" w14:textId="7194CEF6" w:rsidR="00D752A5" w:rsidRPr="00B664C6" w:rsidRDefault="00916C5F" w:rsidP="00AC2C40">
      <w:pPr>
        <w:pStyle w:val="ListParagraph"/>
        <w:numPr>
          <w:ilvl w:val="0"/>
          <w:numId w:val="5"/>
        </w:numPr>
        <w:spacing w:before="240" w:after="240" w:line="240" w:lineRule="auto"/>
        <w:ind w:right="1267"/>
        <w:contextualSpacing w:val="0"/>
        <w:jc w:val="both"/>
      </w:pPr>
      <w:r w:rsidRPr="00B664C6">
        <w:t>UNDP recovered $</w:t>
      </w:r>
      <w:r w:rsidR="00DA4E9F" w:rsidRPr="00B664C6">
        <w:t>2</w:t>
      </w:r>
      <w:r w:rsidR="00BC3A2B">
        <w:t>53</w:t>
      </w:r>
      <w:r w:rsidR="004D497D">
        <w:t xml:space="preserve"> </w:t>
      </w:r>
      <w:r w:rsidRPr="00B664C6">
        <w:t>million through general management support service fees, $</w:t>
      </w:r>
      <w:r w:rsidR="00BC3A2B">
        <w:t>8</w:t>
      </w:r>
      <w:r w:rsidRPr="00B664C6">
        <w:t xml:space="preserve"> million </w:t>
      </w:r>
      <w:r w:rsidR="00BA745B">
        <w:t>higher</w:t>
      </w:r>
      <w:r w:rsidR="00BA745B" w:rsidRPr="00B664C6">
        <w:t xml:space="preserve"> </w:t>
      </w:r>
      <w:r w:rsidRPr="00B664C6">
        <w:t>than in 20</w:t>
      </w:r>
      <w:r w:rsidR="00BA745B">
        <w:t>2</w:t>
      </w:r>
      <w:r w:rsidR="001E5BF4">
        <w:t>1</w:t>
      </w:r>
      <w:r w:rsidRPr="00B664C6">
        <w:t xml:space="preserve">. </w:t>
      </w:r>
      <w:r w:rsidR="00627118">
        <w:t xml:space="preserve">Excluding UNV cost recovery of $38 million, the </w:t>
      </w:r>
      <w:r w:rsidRPr="00B664C6">
        <w:t xml:space="preserve">cost recovery revenue </w:t>
      </w:r>
      <w:r w:rsidR="000C6A6F">
        <w:t>in</w:t>
      </w:r>
      <w:r w:rsidRPr="00B664C6">
        <w:t xml:space="preserve">creased by </w:t>
      </w:r>
      <w:r w:rsidR="001E5BF4">
        <w:t>4</w:t>
      </w:r>
      <w:r w:rsidRPr="00B664C6">
        <w:t> per cent to $</w:t>
      </w:r>
      <w:r w:rsidR="00AE0D9D" w:rsidRPr="00B664C6">
        <w:t>3</w:t>
      </w:r>
      <w:r w:rsidR="00627118">
        <w:t>6</w:t>
      </w:r>
      <w:r w:rsidR="00DF27EE">
        <w:t>3</w:t>
      </w:r>
      <w:r w:rsidRPr="00B664C6">
        <w:t> million, (20</w:t>
      </w:r>
      <w:r w:rsidR="000C6A6F">
        <w:t>2</w:t>
      </w:r>
      <w:r w:rsidR="00627118">
        <w:t>1</w:t>
      </w:r>
      <w:r w:rsidRPr="00B664C6">
        <w:t>: $</w:t>
      </w:r>
      <w:r w:rsidR="00AC3F5B" w:rsidRPr="00B664C6">
        <w:t>3</w:t>
      </w:r>
      <w:r w:rsidR="000C6A6F">
        <w:t>4</w:t>
      </w:r>
      <w:r w:rsidR="00627118">
        <w:t>9</w:t>
      </w:r>
      <w:r w:rsidRPr="00B664C6">
        <w:t xml:space="preserve"> million), reflecting a change in mix of resources. Table 3 shows the breakdown of these revenues</w:t>
      </w:r>
      <w:r w:rsidR="0067690E" w:rsidRPr="00B664C6">
        <w:t>.</w:t>
      </w:r>
    </w:p>
    <w:p w14:paraId="2429C8D1" w14:textId="11FBF76C" w:rsidR="0042638E" w:rsidRPr="0042638E" w:rsidRDefault="0042638E" w:rsidP="0042638E">
      <w:pPr>
        <w:pStyle w:val="SingleTxt"/>
        <w:keepNext/>
        <w:tabs>
          <w:tab w:val="clear" w:pos="1267"/>
          <w:tab w:val="clear" w:pos="1742"/>
          <w:tab w:val="clear" w:pos="2218"/>
          <w:tab w:val="clear" w:pos="2693"/>
          <w:tab w:val="left" w:pos="1530"/>
          <w:tab w:val="left" w:pos="1620"/>
          <w:tab w:val="left" w:pos="1800"/>
        </w:tabs>
        <w:ind w:left="1526"/>
        <w:contextualSpacing/>
        <w:jc w:val="center"/>
        <w:rPr>
          <w:b/>
        </w:rPr>
      </w:pPr>
      <w:r w:rsidRPr="0042638E">
        <w:rPr>
          <w:b/>
        </w:rPr>
        <w:t>Table 3. Cost recovery, 2022</w:t>
      </w:r>
    </w:p>
    <w:p w14:paraId="24124991" w14:textId="05EE5B1B" w:rsidR="00A1057B" w:rsidRPr="0042638E" w:rsidRDefault="00A1057B" w:rsidP="0042638E">
      <w:pPr>
        <w:pStyle w:val="SingleTxt"/>
        <w:keepNext/>
        <w:tabs>
          <w:tab w:val="clear" w:pos="1267"/>
          <w:tab w:val="clear" w:pos="1742"/>
          <w:tab w:val="clear" w:pos="2218"/>
          <w:tab w:val="clear" w:pos="2693"/>
          <w:tab w:val="left" w:pos="1530"/>
          <w:tab w:val="left" w:pos="1620"/>
          <w:tab w:val="left" w:pos="1800"/>
        </w:tabs>
        <w:ind w:left="1526"/>
        <w:contextualSpacing/>
        <w:jc w:val="center"/>
        <w:rPr>
          <w:b/>
        </w:rPr>
      </w:pPr>
      <w:r w:rsidRPr="0042638E">
        <w:rPr>
          <w:b/>
        </w:rPr>
        <w:t>(</w:t>
      </w:r>
      <w:r w:rsidR="00CD4EA9" w:rsidRPr="0042638E">
        <w:rPr>
          <w:b/>
        </w:rPr>
        <w:t>In</w:t>
      </w:r>
      <w:r w:rsidRPr="0042638E">
        <w:rPr>
          <w:b/>
        </w:rPr>
        <w:t xml:space="preserve"> millions of </w:t>
      </w:r>
      <w:r w:rsidR="00DC68B6" w:rsidRPr="0042638E">
        <w:rPr>
          <w:b/>
        </w:rPr>
        <w:t xml:space="preserve">United States </w:t>
      </w:r>
      <w:r w:rsidRPr="0042638E">
        <w:rPr>
          <w:b/>
        </w:rPr>
        <w:t>dollars)</w:t>
      </w:r>
    </w:p>
    <w:p w14:paraId="6C9D00A3" w14:textId="77777777" w:rsidR="007C75F6" w:rsidRPr="00B664C6" w:rsidRDefault="007C75F6" w:rsidP="003F5F37">
      <w:pPr>
        <w:pStyle w:val="SingleTxt"/>
        <w:keepNext/>
        <w:keepLines/>
        <w:spacing w:after="0" w:line="200" w:lineRule="exact"/>
        <w:jc w:val="center"/>
        <w:rPr>
          <w:b/>
          <w:spacing w:val="2"/>
        </w:rPr>
      </w:pPr>
    </w:p>
    <w:tbl>
      <w:tblPr>
        <w:tblW w:w="7231" w:type="dxa"/>
        <w:tblInd w:w="1452" w:type="dxa"/>
        <w:tblLook w:val="04A0" w:firstRow="1" w:lastRow="0" w:firstColumn="1" w:lastColumn="0" w:noHBand="0" w:noVBand="1"/>
      </w:tblPr>
      <w:tblGrid>
        <w:gridCol w:w="3753"/>
        <w:gridCol w:w="1236"/>
        <w:gridCol w:w="1236"/>
        <w:gridCol w:w="1006"/>
      </w:tblGrid>
      <w:tr w:rsidR="007C75F6" w:rsidRPr="00B664C6" w14:paraId="473B5FAD" w14:textId="77777777" w:rsidTr="00FA1E51">
        <w:trPr>
          <w:trHeight w:val="315"/>
        </w:trPr>
        <w:tc>
          <w:tcPr>
            <w:tcW w:w="3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E598F" w14:textId="77777777" w:rsidR="007C75F6" w:rsidRPr="00B664C6" w:rsidRDefault="007C75F6" w:rsidP="003F5F37">
            <w:pPr>
              <w:keepNext/>
              <w:suppressAutoHyphens w:val="0"/>
              <w:spacing w:line="240" w:lineRule="auto"/>
              <w:rPr>
                <w:rFonts w:eastAsia="Times New Roman"/>
                <w:b/>
                <w:bCs/>
                <w:spacing w:val="0"/>
                <w:w w:val="100"/>
                <w:kern w:val="0"/>
                <w:sz w:val="16"/>
                <w:szCs w:val="16"/>
              </w:rPr>
            </w:pP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A9B08A6" w14:textId="77777777" w:rsidR="007C75F6" w:rsidRPr="00B664C6" w:rsidRDefault="007C75F6" w:rsidP="003F5F37">
            <w:pPr>
              <w:keepNext/>
              <w:suppressAutoHyphens w:val="0"/>
              <w:spacing w:line="240" w:lineRule="auto"/>
              <w:jc w:val="center"/>
              <w:rPr>
                <w:rFonts w:eastAsia="Times New Roman"/>
                <w:b/>
                <w:bCs/>
                <w:spacing w:val="0"/>
                <w:w w:val="100"/>
                <w:kern w:val="0"/>
                <w:sz w:val="16"/>
                <w:szCs w:val="16"/>
              </w:rPr>
            </w:pPr>
            <w:r w:rsidRPr="00B664C6">
              <w:rPr>
                <w:rFonts w:eastAsia="Times New Roman"/>
                <w:b/>
                <w:bCs/>
                <w:spacing w:val="0"/>
                <w:w w:val="100"/>
                <w:kern w:val="0"/>
                <w:sz w:val="16"/>
                <w:szCs w:val="16"/>
              </w:rPr>
              <w:t>Programme and project delivery</w:t>
            </w:r>
          </w:p>
          <w:p w14:paraId="332EB5F7" w14:textId="77777777" w:rsidR="00DC68B6" w:rsidRPr="00B664C6" w:rsidRDefault="00DC68B6" w:rsidP="003F5F37">
            <w:pPr>
              <w:keepNext/>
              <w:suppressAutoHyphens w:val="0"/>
              <w:spacing w:line="240" w:lineRule="auto"/>
              <w:jc w:val="center"/>
              <w:rPr>
                <w:rFonts w:eastAsia="Times New Roman"/>
                <w:b/>
                <w:bCs/>
                <w:spacing w:val="0"/>
                <w:w w:val="100"/>
                <w:kern w:val="0"/>
                <w:sz w:val="16"/>
                <w:szCs w:val="16"/>
              </w:rPr>
            </w:pP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2207979A" w14:textId="77777777" w:rsidR="007C75F6" w:rsidRPr="00B664C6" w:rsidRDefault="007C75F6" w:rsidP="003F5F37">
            <w:pPr>
              <w:keepNext/>
              <w:suppressAutoHyphens w:val="0"/>
              <w:spacing w:line="240" w:lineRule="auto"/>
              <w:jc w:val="center"/>
              <w:rPr>
                <w:rFonts w:eastAsia="Times New Roman"/>
                <w:b/>
                <w:bCs/>
                <w:spacing w:val="0"/>
                <w:w w:val="100"/>
                <w:kern w:val="0"/>
                <w:sz w:val="16"/>
                <w:szCs w:val="16"/>
              </w:rPr>
            </w:pPr>
            <w:r w:rsidRPr="00B664C6">
              <w:rPr>
                <w:rFonts w:eastAsia="Times New Roman"/>
                <w:b/>
                <w:bCs/>
                <w:spacing w:val="0"/>
                <w:w w:val="100"/>
                <w:kern w:val="0"/>
                <w:sz w:val="16"/>
                <w:szCs w:val="16"/>
              </w:rPr>
              <w:t>Reimbursable support services</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184FC4BE" w14:textId="77777777" w:rsidR="007C75F6" w:rsidRPr="00B664C6" w:rsidRDefault="007C75F6" w:rsidP="003F5F37">
            <w:pPr>
              <w:keepNext/>
              <w:suppressAutoHyphens w:val="0"/>
              <w:spacing w:line="240" w:lineRule="auto"/>
              <w:jc w:val="center"/>
              <w:rPr>
                <w:rFonts w:eastAsia="Times New Roman"/>
                <w:b/>
                <w:bCs/>
                <w:spacing w:val="0"/>
                <w:w w:val="100"/>
                <w:kern w:val="0"/>
                <w:sz w:val="16"/>
                <w:szCs w:val="16"/>
              </w:rPr>
            </w:pPr>
            <w:r w:rsidRPr="00B664C6">
              <w:rPr>
                <w:rFonts w:eastAsia="Times New Roman"/>
                <w:b/>
                <w:bCs/>
                <w:spacing w:val="0"/>
                <w:w w:val="100"/>
                <w:kern w:val="0"/>
                <w:sz w:val="16"/>
                <w:szCs w:val="16"/>
              </w:rPr>
              <w:t>Total</w:t>
            </w:r>
          </w:p>
        </w:tc>
      </w:tr>
      <w:tr w:rsidR="007C75F6" w:rsidRPr="00B664C6" w14:paraId="64CD6B89" w14:textId="77777777" w:rsidTr="00FA1E51">
        <w:trPr>
          <w:trHeight w:val="225"/>
        </w:trPr>
        <w:tc>
          <w:tcPr>
            <w:tcW w:w="3753" w:type="dxa"/>
            <w:tcBorders>
              <w:top w:val="nil"/>
              <w:left w:val="nil"/>
              <w:bottom w:val="nil"/>
              <w:right w:val="nil"/>
            </w:tcBorders>
            <w:shd w:val="clear" w:color="auto" w:fill="auto"/>
            <w:noWrap/>
            <w:vAlign w:val="center"/>
            <w:hideMark/>
          </w:tcPr>
          <w:p w14:paraId="4BD24198" w14:textId="77777777" w:rsidR="007C75F6" w:rsidRPr="00B664C6" w:rsidRDefault="007C75F6" w:rsidP="003F5F37">
            <w:pPr>
              <w:keepNext/>
              <w:suppressAutoHyphens w:val="0"/>
              <w:spacing w:line="240" w:lineRule="auto"/>
              <w:rPr>
                <w:rFonts w:eastAsia="Times New Roman"/>
                <w:b/>
                <w:bCs/>
                <w:i/>
                <w:iCs/>
                <w:spacing w:val="0"/>
                <w:w w:val="100"/>
                <w:kern w:val="0"/>
                <w:sz w:val="16"/>
                <w:szCs w:val="16"/>
              </w:rPr>
            </w:pPr>
            <w:r w:rsidRPr="00B664C6">
              <w:rPr>
                <w:rFonts w:eastAsia="Times New Roman"/>
                <w:b/>
                <w:bCs/>
                <w:i/>
                <w:iCs/>
                <w:spacing w:val="0"/>
                <w:w w:val="100"/>
                <w:kern w:val="0"/>
                <w:sz w:val="16"/>
                <w:szCs w:val="16"/>
              </w:rPr>
              <w:t>Revenue</w:t>
            </w:r>
          </w:p>
        </w:tc>
        <w:tc>
          <w:tcPr>
            <w:tcW w:w="1236" w:type="dxa"/>
            <w:tcBorders>
              <w:top w:val="nil"/>
              <w:left w:val="nil"/>
              <w:bottom w:val="nil"/>
              <w:right w:val="nil"/>
            </w:tcBorders>
            <w:shd w:val="clear" w:color="auto" w:fill="auto"/>
            <w:noWrap/>
            <w:vAlign w:val="center"/>
            <w:hideMark/>
          </w:tcPr>
          <w:p w14:paraId="5C2B4493" w14:textId="77777777" w:rsidR="007C75F6" w:rsidRPr="00B664C6" w:rsidRDefault="007C75F6" w:rsidP="003F5F37">
            <w:pPr>
              <w:keepNext/>
              <w:suppressAutoHyphens w:val="0"/>
              <w:spacing w:line="240" w:lineRule="auto"/>
              <w:rPr>
                <w:rFonts w:eastAsia="Times New Roman"/>
                <w:b/>
                <w:bCs/>
                <w:i/>
                <w:iCs/>
                <w:spacing w:val="0"/>
                <w:w w:val="100"/>
                <w:kern w:val="0"/>
                <w:sz w:val="16"/>
                <w:szCs w:val="16"/>
              </w:rPr>
            </w:pPr>
          </w:p>
        </w:tc>
        <w:tc>
          <w:tcPr>
            <w:tcW w:w="1236" w:type="dxa"/>
            <w:tcBorders>
              <w:top w:val="nil"/>
              <w:left w:val="nil"/>
              <w:bottom w:val="nil"/>
              <w:right w:val="nil"/>
            </w:tcBorders>
            <w:shd w:val="clear" w:color="auto" w:fill="auto"/>
            <w:noWrap/>
            <w:vAlign w:val="center"/>
            <w:hideMark/>
          </w:tcPr>
          <w:p w14:paraId="02F2ABE0" w14:textId="77777777" w:rsidR="007C75F6" w:rsidRPr="00B664C6" w:rsidRDefault="007C75F6" w:rsidP="003F5F37">
            <w:pPr>
              <w:keepNext/>
              <w:suppressAutoHyphens w:val="0"/>
              <w:spacing w:line="240" w:lineRule="auto"/>
              <w:jc w:val="center"/>
              <w:rPr>
                <w:rFonts w:eastAsia="Times New Roman"/>
                <w:spacing w:val="0"/>
                <w:w w:val="100"/>
                <w:kern w:val="0"/>
              </w:rPr>
            </w:pPr>
          </w:p>
        </w:tc>
        <w:tc>
          <w:tcPr>
            <w:tcW w:w="1006" w:type="dxa"/>
            <w:tcBorders>
              <w:top w:val="nil"/>
              <w:left w:val="nil"/>
              <w:bottom w:val="nil"/>
              <w:right w:val="nil"/>
            </w:tcBorders>
            <w:shd w:val="clear" w:color="auto" w:fill="auto"/>
            <w:noWrap/>
            <w:vAlign w:val="center"/>
            <w:hideMark/>
          </w:tcPr>
          <w:p w14:paraId="32B85624" w14:textId="77777777" w:rsidR="007C75F6" w:rsidRPr="00B664C6" w:rsidRDefault="007C75F6" w:rsidP="003F5F37">
            <w:pPr>
              <w:keepNext/>
              <w:suppressAutoHyphens w:val="0"/>
              <w:spacing w:line="240" w:lineRule="auto"/>
              <w:jc w:val="center"/>
              <w:rPr>
                <w:rFonts w:eastAsia="Times New Roman"/>
                <w:spacing w:val="0"/>
                <w:w w:val="100"/>
                <w:kern w:val="0"/>
              </w:rPr>
            </w:pPr>
          </w:p>
        </w:tc>
      </w:tr>
      <w:tr w:rsidR="007C75F6" w:rsidRPr="00B664C6" w14:paraId="0044D28E" w14:textId="77777777" w:rsidTr="00FA1E51">
        <w:trPr>
          <w:trHeight w:val="225"/>
        </w:trPr>
        <w:tc>
          <w:tcPr>
            <w:tcW w:w="3753" w:type="dxa"/>
            <w:tcBorders>
              <w:top w:val="single" w:sz="4" w:space="0" w:color="auto"/>
              <w:left w:val="single" w:sz="4" w:space="0" w:color="auto"/>
              <w:bottom w:val="nil"/>
              <w:right w:val="nil"/>
            </w:tcBorders>
            <w:shd w:val="clear" w:color="auto" w:fill="auto"/>
            <w:noWrap/>
            <w:vAlign w:val="center"/>
            <w:hideMark/>
          </w:tcPr>
          <w:p w14:paraId="37A34A0D" w14:textId="0A710D9A"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General management support services</w:t>
            </w:r>
          </w:p>
        </w:tc>
        <w:tc>
          <w:tcPr>
            <w:tcW w:w="1236" w:type="dxa"/>
            <w:tcBorders>
              <w:top w:val="single" w:sz="4" w:space="0" w:color="auto"/>
              <w:left w:val="single" w:sz="4" w:space="0" w:color="auto"/>
              <w:bottom w:val="nil"/>
              <w:right w:val="single" w:sz="4" w:space="0" w:color="auto"/>
            </w:tcBorders>
            <w:shd w:val="clear" w:color="auto" w:fill="auto"/>
            <w:noWrap/>
            <w:vAlign w:val="center"/>
            <w:hideMark/>
          </w:tcPr>
          <w:p w14:paraId="0E5CA20D" w14:textId="27114D6C"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2</w:t>
            </w:r>
            <w:r w:rsidR="000E615C">
              <w:rPr>
                <w:rFonts w:eastAsia="Times New Roman"/>
                <w:spacing w:val="0"/>
                <w:w w:val="100"/>
                <w:kern w:val="0"/>
                <w:sz w:val="16"/>
                <w:szCs w:val="16"/>
              </w:rPr>
              <w:t>53</w:t>
            </w:r>
            <w:r w:rsidR="007C75F6" w:rsidRPr="00B664C6">
              <w:rPr>
                <w:rFonts w:eastAsia="Times New Roman"/>
                <w:spacing w:val="0"/>
                <w:w w:val="100"/>
                <w:kern w:val="0"/>
                <w:sz w:val="16"/>
                <w:szCs w:val="16"/>
              </w:rPr>
              <w:t xml:space="preserve"> </w:t>
            </w:r>
          </w:p>
        </w:tc>
        <w:tc>
          <w:tcPr>
            <w:tcW w:w="1236" w:type="dxa"/>
            <w:tcBorders>
              <w:top w:val="single" w:sz="4" w:space="0" w:color="auto"/>
              <w:left w:val="nil"/>
              <w:bottom w:val="nil"/>
              <w:right w:val="single" w:sz="4" w:space="0" w:color="auto"/>
            </w:tcBorders>
            <w:shd w:val="clear" w:color="auto" w:fill="auto"/>
            <w:noWrap/>
            <w:vAlign w:val="center"/>
            <w:hideMark/>
          </w:tcPr>
          <w:p w14:paraId="12C19196" w14:textId="77777777"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   </w:t>
            </w:r>
          </w:p>
        </w:tc>
        <w:tc>
          <w:tcPr>
            <w:tcW w:w="1006" w:type="dxa"/>
            <w:tcBorders>
              <w:top w:val="single" w:sz="4" w:space="0" w:color="auto"/>
              <w:left w:val="nil"/>
              <w:bottom w:val="nil"/>
              <w:right w:val="single" w:sz="4" w:space="0" w:color="auto"/>
            </w:tcBorders>
            <w:shd w:val="clear" w:color="auto" w:fill="auto"/>
            <w:noWrap/>
            <w:vAlign w:val="center"/>
            <w:hideMark/>
          </w:tcPr>
          <w:p w14:paraId="26FAD833" w14:textId="26ABA3BE"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w:t>
            </w:r>
            <w:r w:rsidR="00BA745B">
              <w:rPr>
                <w:rFonts w:eastAsia="Times New Roman"/>
                <w:sz w:val="16"/>
                <w:szCs w:val="16"/>
              </w:rPr>
              <w:t>2</w:t>
            </w:r>
            <w:r w:rsidR="0093037E">
              <w:rPr>
                <w:rFonts w:eastAsia="Times New Roman"/>
                <w:sz w:val="16"/>
                <w:szCs w:val="16"/>
              </w:rPr>
              <w:t>53</w:t>
            </w:r>
          </w:p>
        </w:tc>
      </w:tr>
      <w:tr w:rsidR="007C75F6" w:rsidRPr="00B664C6" w14:paraId="0829F9A7" w14:textId="77777777" w:rsidTr="00FA1E51">
        <w:trPr>
          <w:trHeight w:val="225"/>
        </w:trPr>
        <w:tc>
          <w:tcPr>
            <w:tcW w:w="3753" w:type="dxa"/>
            <w:tcBorders>
              <w:top w:val="nil"/>
              <w:left w:val="single" w:sz="4" w:space="0" w:color="auto"/>
              <w:bottom w:val="nil"/>
              <w:right w:val="nil"/>
            </w:tcBorders>
            <w:shd w:val="clear" w:color="auto" w:fill="auto"/>
            <w:noWrap/>
            <w:vAlign w:val="center"/>
            <w:hideMark/>
          </w:tcPr>
          <w:p w14:paraId="6B4E43A3" w14:textId="23197FE0"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 xml:space="preserve">United Nations organizations </w:t>
            </w:r>
            <w:r w:rsidR="00DC68B6" w:rsidRPr="00B664C6">
              <w:rPr>
                <w:rFonts w:eastAsia="Times New Roman"/>
                <w:spacing w:val="0"/>
                <w:w w:val="100"/>
                <w:kern w:val="0"/>
                <w:sz w:val="16"/>
                <w:szCs w:val="16"/>
              </w:rPr>
              <w:t xml:space="preserve">– </w:t>
            </w:r>
            <w:r w:rsidRPr="00B664C6">
              <w:rPr>
                <w:rFonts w:eastAsia="Times New Roman"/>
                <w:spacing w:val="0"/>
                <w:w w:val="100"/>
                <w:kern w:val="0"/>
                <w:sz w:val="16"/>
                <w:szCs w:val="16"/>
              </w:rPr>
              <w:t>reimbursable services</w:t>
            </w:r>
          </w:p>
        </w:tc>
        <w:tc>
          <w:tcPr>
            <w:tcW w:w="1236" w:type="dxa"/>
            <w:tcBorders>
              <w:top w:val="nil"/>
              <w:left w:val="single" w:sz="4" w:space="0" w:color="auto"/>
              <w:bottom w:val="nil"/>
              <w:right w:val="single" w:sz="4" w:space="0" w:color="auto"/>
            </w:tcBorders>
            <w:shd w:val="clear" w:color="auto" w:fill="auto"/>
            <w:noWrap/>
            <w:vAlign w:val="center"/>
            <w:hideMark/>
          </w:tcPr>
          <w:p w14:paraId="3485AAF2" w14:textId="1F60E742"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w:t>
            </w:r>
            <w:r w:rsidR="004D2DF0" w:rsidRPr="00B664C6">
              <w:rPr>
                <w:rFonts w:eastAsia="Times New Roman"/>
                <w:spacing w:val="0"/>
                <w:w w:val="100"/>
                <w:kern w:val="0"/>
                <w:sz w:val="16"/>
                <w:szCs w:val="16"/>
              </w:rPr>
              <w:t>-</w:t>
            </w:r>
            <w:r w:rsidRPr="00B664C6">
              <w:rPr>
                <w:rFonts w:eastAsia="Times New Roman"/>
                <w:spacing w:val="0"/>
                <w:w w:val="100"/>
                <w:kern w:val="0"/>
                <w:sz w:val="16"/>
                <w:szCs w:val="16"/>
              </w:rPr>
              <w:t xml:space="preserve"> </w:t>
            </w:r>
          </w:p>
        </w:tc>
        <w:tc>
          <w:tcPr>
            <w:tcW w:w="1236" w:type="dxa"/>
            <w:tcBorders>
              <w:top w:val="nil"/>
              <w:left w:val="nil"/>
              <w:bottom w:val="nil"/>
              <w:right w:val="single" w:sz="4" w:space="0" w:color="auto"/>
            </w:tcBorders>
            <w:shd w:val="clear" w:color="auto" w:fill="auto"/>
            <w:noWrap/>
            <w:vAlign w:val="center"/>
            <w:hideMark/>
          </w:tcPr>
          <w:p w14:paraId="06FBC8FB" w14:textId="21B58525"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w:t>
            </w:r>
            <w:r w:rsidR="00BA745B">
              <w:rPr>
                <w:rFonts w:eastAsia="Times New Roman"/>
                <w:spacing w:val="0"/>
                <w:w w:val="100"/>
                <w:kern w:val="0"/>
                <w:sz w:val="16"/>
                <w:szCs w:val="16"/>
              </w:rPr>
              <w:t>5</w:t>
            </w:r>
            <w:r w:rsidR="0093037E">
              <w:rPr>
                <w:rFonts w:eastAsia="Times New Roman"/>
                <w:spacing w:val="0"/>
                <w:w w:val="100"/>
                <w:kern w:val="0"/>
                <w:sz w:val="16"/>
                <w:szCs w:val="16"/>
              </w:rPr>
              <w:t>6</w:t>
            </w:r>
          </w:p>
        </w:tc>
        <w:tc>
          <w:tcPr>
            <w:tcW w:w="1006" w:type="dxa"/>
            <w:tcBorders>
              <w:top w:val="nil"/>
              <w:left w:val="nil"/>
              <w:bottom w:val="nil"/>
              <w:right w:val="single" w:sz="4" w:space="0" w:color="auto"/>
            </w:tcBorders>
            <w:shd w:val="clear" w:color="auto" w:fill="auto"/>
            <w:noWrap/>
            <w:vAlign w:val="center"/>
            <w:hideMark/>
          </w:tcPr>
          <w:p w14:paraId="0459E81B" w14:textId="4BC19D1B"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5</w:t>
            </w:r>
            <w:r w:rsidR="0093037E">
              <w:rPr>
                <w:rFonts w:eastAsia="Times New Roman"/>
                <w:spacing w:val="0"/>
                <w:w w:val="100"/>
                <w:kern w:val="0"/>
                <w:sz w:val="16"/>
                <w:szCs w:val="16"/>
              </w:rPr>
              <w:t>6</w:t>
            </w:r>
            <w:r w:rsidR="007C75F6" w:rsidRPr="00B664C6">
              <w:rPr>
                <w:rFonts w:eastAsia="Times New Roman"/>
                <w:spacing w:val="0"/>
                <w:w w:val="100"/>
                <w:kern w:val="0"/>
                <w:sz w:val="16"/>
                <w:szCs w:val="16"/>
              </w:rPr>
              <w:t xml:space="preserve"> </w:t>
            </w:r>
          </w:p>
        </w:tc>
      </w:tr>
      <w:tr w:rsidR="007C75F6" w:rsidRPr="00B664C6" w14:paraId="4D88BE9D" w14:textId="77777777" w:rsidTr="00FA1E51">
        <w:trPr>
          <w:trHeight w:val="225"/>
        </w:trPr>
        <w:tc>
          <w:tcPr>
            <w:tcW w:w="3753" w:type="dxa"/>
            <w:tcBorders>
              <w:top w:val="nil"/>
              <w:left w:val="single" w:sz="4" w:space="0" w:color="auto"/>
              <w:bottom w:val="nil"/>
              <w:right w:val="nil"/>
            </w:tcBorders>
            <w:shd w:val="clear" w:color="auto" w:fill="auto"/>
            <w:noWrap/>
            <w:vAlign w:val="center"/>
            <w:hideMark/>
          </w:tcPr>
          <w:p w14:paraId="4D5B24BA" w14:textId="77777777"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Administrative agent fees</w:t>
            </w:r>
          </w:p>
        </w:tc>
        <w:tc>
          <w:tcPr>
            <w:tcW w:w="1236" w:type="dxa"/>
            <w:tcBorders>
              <w:top w:val="nil"/>
              <w:left w:val="single" w:sz="4" w:space="0" w:color="auto"/>
              <w:bottom w:val="nil"/>
              <w:right w:val="single" w:sz="4" w:space="0" w:color="auto"/>
            </w:tcBorders>
            <w:shd w:val="clear" w:color="auto" w:fill="auto"/>
            <w:noWrap/>
            <w:vAlign w:val="center"/>
            <w:hideMark/>
          </w:tcPr>
          <w:p w14:paraId="3C9CE217" w14:textId="5DB4E548"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1</w:t>
            </w:r>
            <w:r w:rsidR="000E615C">
              <w:rPr>
                <w:rFonts w:eastAsia="Times New Roman"/>
                <w:spacing w:val="0"/>
                <w:w w:val="100"/>
                <w:kern w:val="0"/>
                <w:sz w:val="16"/>
                <w:szCs w:val="16"/>
              </w:rPr>
              <w:t>2</w:t>
            </w:r>
            <w:r w:rsidR="007C75F6" w:rsidRPr="00B664C6">
              <w:rPr>
                <w:rFonts w:eastAsia="Times New Roman"/>
                <w:spacing w:val="0"/>
                <w:w w:val="100"/>
                <w:kern w:val="0"/>
                <w:sz w:val="16"/>
                <w:szCs w:val="16"/>
              </w:rPr>
              <w:t xml:space="preserve"> </w:t>
            </w:r>
          </w:p>
        </w:tc>
        <w:tc>
          <w:tcPr>
            <w:tcW w:w="1236" w:type="dxa"/>
            <w:tcBorders>
              <w:top w:val="nil"/>
              <w:left w:val="nil"/>
              <w:bottom w:val="nil"/>
              <w:right w:val="single" w:sz="4" w:space="0" w:color="auto"/>
            </w:tcBorders>
            <w:shd w:val="clear" w:color="auto" w:fill="auto"/>
            <w:noWrap/>
            <w:vAlign w:val="center"/>
            <w:hideMark/>
          </w:tcPr>
          <w:p w14:paraId="699A631F" w14:textId="77777777"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   </w:t>
            </w:r>
          </w:p>
        </w:tc>
        <w:tc>
          <w:tcPr>
            <w:tcW w:w="1006" w:type="dxa"/>
            <w:tcBorders>
              <w:top w:val="nil"/>
              <w:left w:val="nil"/>
              <w:bottom w:val="nil"/>
              <w:right w:val="single" w:sz="4" w:space="0" w:color="auto"/>
            </w:tcBorders>
            <w:shd w:val="clear" w:color="auto" w:fill="auto"/>
            <w:noWrap/>
            <w:vAlign w:val="center"/>
            <w:hideMark/>
          </w:tcPr>
          <w:p w14:paraId="62D98323" w14:textId="7FCCD824"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1</w:t>
            </w:r>
            <w:r w:rsidR="0093037E">
              <w:rPr>
                <w:rFonts w:eastAsia="Times New Roman"/>
                <w:spacing w:val="0"/>
                <w:w w:val="100"/>
                <w:kern w:val="0"/>
                <w:sz w:val="16"/>
                <w:szCs w:val="16"/>
              </w:rPr>
              <w:t>2</w:t>
            </w:r>
            <w:r w:rsidR="007C75F6" w:rsidRPr="00B664C6">
              <w:rPr>
                <w:rFonts w:eastAsia="Times New Roman"/>
                <w:spacing w:val="0"/>
                <w:w w:val="100"/>
                <w:kern w:val="0"/>
                <w:sz w:val="16"/>
                <w:szCs w:val="16"/>
              </w:rPr>
              <w:t xml:space="preserve"> </w:t>
            </w:r>
          </w:p>
        </w:tc>
      </w:tr>
      <w:tr w:rsidR="007C75F6" w:rsidRPr="00B664C6" w14:paraId="3EA42B88" w14:textId="77777777" w:rsidTr="00FA1E51">
        <w:trPr>
          <w:trHeight w:val="225"/>
        </w:trPr>
        <w:tc>
          <w:tcPr>
            <w:tcW w:w="3753" w:type="dxa"/>
            <w:tcBorders>
              <w:top w:val="nil"/>
              <w:left w:val="single" w:sz="4" w:space="0" w:color="auto"/>
              <w:bottom w:val="nil"/>
              <w:right w:val="nil"/>
            </w:tcBorders>
            <w:shd w:val="clear" w:color="auto" w:fill="auto"/>
            <w:noWrap/>
            <w:vAlign w:val="center"/>
            <w:hideMark/>
          </w:tcPr>
          <w:p w14:paraId="12057244" w14:textId="77777777"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 xml:space="preserve">NCC contributions </w:t>
            </w:r>
          </w:p>
        </w:tc>
        <w:tc>
          <w:tcPr>
            <w:tcW w:w="1236" w:type="dxa"/>
            <w:tcBorders>
              <w:top w:val="nil"/>
              <w:left w:val="single" w:sz="4" w:space="0" w:color="auto"/>
              <w:bottom w:val="nil"/>
              <w:right w:val="single" w:sz="4" w:space="0" w:color="auto"/>
            </w:tcBorders>
            <w:shd w:val="clear" w:color="auto" w:fill="auto"/>
            <w:noWrap/>
            <w:vAlign w:val="center"/>
            <w:hideMark/>
          </w:tcPr>
          <w:p w14:paraId="75FD5D63" w14:textId="0EB77CF6"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9</w:t>
            </w:r>
            <w:r w:rsidR="007C75F6" w:rsidRPr="00B664C6">
              <w:rPr>
                <w:rFonts w:eastAsia="Times New Roman"/>
                <w:spacing w:val="0"/>
                <w:w w:val="100"/>
                <w:kern w:val="0"/>
                <w:sz w:val="16"/>
                <w:szCs w:val="16"/>
              </w:rPr>
              <w:t xml:space="preserve"> </w:t>
            </w:r>
          </w:p>
        </w:tc>
        <w:tc>
          <w:tcPr>
            <w:tcW w:w="1236" w:type="dxa"/>
            <w:tcBorders>
              <w:top w:val="nil"/>
              <w:left w:val="nil"/>
              <w:bottom w:val="nil"/>
              <w:right w:val="single" w:sz="4" w:space="0" w:color="auto"/>
            </w:tcBorders>
            <w:shd w:val="clear" w:color="auto" w:fill="auto"/>
            <w:noWrap/>
            <w:vAlign w:val="center"/>
            <w:hideMark/>
          </w:tcPr>
          <w:p w14:paraId="13F49222" w14:textId="77777777"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   </w:t>
            </w:r>
          </w:p>
        </w:tc>
        <w:tc>
          <w:tcPr>
            <w:tcW w:w="1006" w:type="dxa"/>
            <w:tcBorders>
              <w:top w:val="nil"/>
              <w:left w:val="nil"/>
              <w:bottom w:val="nil"/>
              <w:right w:val="single" w:sz="4" w:space="0" w:color="auto"/>
            </w:tcBorders>
            <w:shd w:val="clear" w:color="auto" w:fill="auto"/>
            <w:noWrap/>
            <w:vAlign w:val="center"/>
            <w:hideMark/>
          </w:tcPr>
          <w:p w14:paraId="2896DCDF" w14:textId="5E4511FF"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9</w:t>
            </w:r>
            <w:r w:rsidR="007C75F6" w:rsidRPr="00B664C6">
              <w:rPr>
                <w:rFonts w:eastAsia="Times New Roman"/>
                <w:spacing w:val="0"/>
                <w:w w:val="100"/>
                <w:kern w:val="0"/>
                <w:sz w:val="16"/>
                <w:szCs w:val="16"/>
              </w:rPr>
              <w:t xml:space="preserve"> </w:t>
            </w:r>
          </w:p>
        </w:tc>
      </w:tr>
      <w:tr w:rsidR="007C75F6" w:rsidRPr="00B664C6" w14:paraId="690CB877" w14:textId="77777777" w:rsidTr="00FA1E51">
        <w:trPr>
          <w:trHeight w:val="225"/>
        </w:trPr>
        <w:tc>
          <w:tcPr>
            <w:tcW w:w="3753" w:type="dxa"/>
            <w:tcBorders>
              <w:top w:val="nil"/>
              <w:left w:val="single" w:sz="4" w:space="0" w:color="auto"/>
              <w:bottom w:val="nil"/>
              <w:right w:val="nil"/>
            </w:tcBorders>
            <w:shd w:val="clear" w:color="auto" w:fill="auto"/>
            <w:noWrap/>
            <w:vAlign w:val="center"/>
          </w:tcPr>
          <w:p w14:paraId="3B26D60D" w14:textId="244B6CCC"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U</w:t>
            </w:r>
            <w:r w:rsidR="00DC68B6" w:rsidRPr="00B664C6">
              <w:rPr>
                <w:rFonts w:eastAsia="Times New Roman"/>
                <w:spacing w:val="0"/>
                <w:w w:val="100"/>
                <w:kern w:val="0"/>
                <w:sz w:val="16"/>
                <w:szCs w:val="16"/>
              </w:rPr>
              <w:t xml:space="preserve">pper </w:t>
            </w:r>
            <w:r w:rsidRPr="00B664C6">
              <w:rPr>
                <w:rFonts w:eastAsia="Times New Roman"/>
                <w:spacing w:val="0"/>
                <w:w w:val="100"/>
                <w:kern w:val="0"/>
                <w:sz w:val="16"/>
                <w:szCs w:val="16"/>
              </w:rPr>
              <w:t>MIC contributions</w:t>
            </w:r>
          </w:p>
        </w:tc>
        <w:tc>
          <w:tcPr>
            <w:tcW w:w="1236" w:type="dxa"/>
            <w:tcBorders>
              <w:top w:val="nil"/>
              <w:left w:val="single" w:sz="4" w:space="0" w:color="auto"/>
              <w:bottom w:val="nil"/>
              <w:right w:val="single" w:sz="4" w:space="0" w:color="auto"/>
            </w:tcBorders>
            <w:shd w:val="clear" w:color="auto" w:fill="auto"/>
            <w:noWrap/>
            <w:vAlign w:val="center"/>
          </w:tcPr>
          <w:p w14:paraId="5BEE7BCD" w14:textId="2369A0B0" w:rsidR="007C75F6" w:rsidRPr="00B664C6" w:rsidRDefault="00FD2FCD"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9</w:t>
            </w:r>
          </w:p>
        </w:tc>
        <w:tc>
          <w:tcPr>
            <w:tcW w:w="1236" w:type="dxa"/>
            <w:tcBorders>
              <w:top w:val="nil"/>
              <w:left w:val="nil"/>
              <w:bottom w:val="nil"/>
              <w:right w:val="single" w:sz="4" w:space="0" w:color="auto"/>
            </w:tcBorders>
            <w:shd w:val="clear" w:color="auto" w:fill="auto"/>
            <w:noWrap/>
            <w:vAlign w:val="center"/>
          </w:tcPr>
          <w:p w14:paraId="67104176" w14:textId="77777777"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w:t>
            </w:r>
          </w:p>
        </w:tc>
        <w:tc>
          <w:tcPr>
            <w:tcW w:w="1006" w:type="dxa"/>
            <w:tcBorders>
              <w:top w:val="nil"/>
              <w:left w:val="nil"/>
              <w:bottom w:val="nil"/>
              <w:right w:val="single" w:sz="4" w:space="0" w:color="auto"/>
            </w:tcBorders>
            <w:shd w:val="clear" w:color="auto" w:fill="auto"/>
            <w:noWrap/>
            <w:vAlign w:val="center"/>
          </w:tcPr>
          <w:p w14:paraId="75AC2B79" w14:textId="6BC96F51" w:rsidR="007C75F6" w:rsidRPr="00B664C6" w:rsidRDefault="008F3B8D"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9</w:t>
            </w:r>
          </w:p>
        </w:tc>
      </w:tr>
      <w:tr w:rsidR="007C75F6" w:rsidRPr="00B664C6" w14:paraId="672D6A2E" w14:textId="77777777" w:rsidTr="00FA1E51">
        <w:trPr>
          <w:trHeight w:val="225"/>
        </w:trPr>
        <w:tc>
          <w:tcPr>
            <w:tcW w:w="3753" w:type="dxa"/>
            <w:tcBorders>
              <w:top w:val="nil"/>
              <w:left w:val="single" w:sz="4" w:space="0" w:color="auto"/>
              <w:bottom w:val="nil"/>
              <w:right w:val="nil"/>
            </w:tcBorders>
            <w:shd w:val="clear" w:color="auto" w:fill="auto"/>
            <w:noWrap/>
            <w:vAlign w:val="center"/>
            <w:hideMark/>
          </w:tcPr>
          <w:p w14:paraId="280DA2A5" w14:textId="77777777"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Interest</w:t>
            </w:r>
          </w:p>
        </w:tc>
        <w:tc>
          <w:tcPr>
            <w:tcW w:w="1236" w:type="dxa"/>
            <w:tcBorders>
              <w:top w:val="nil"/>
              <w:left w:val="single" w:sz="4" w:space="0" w:color="auto"/>
              <w:bottom w:val="nil"/>
              <w:right w:val="single" w:sz="4" w:space="0" w:color="auto"/>
            </w:tcBorders>
            <w:shd w:val="clear" w:color="auto" w:fill="auto"/>
            <w:noWrap/>
            <w:vAlign w:val="center"/>
            <w:hideMark/>
          </w:tcPr>
          <w:p w14:paraId="2E255F9F" w14:textId="42A5198D"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4</w:t>
            </w:r>
            <w:r w:rsidR="007C75F6" w:rsidRPr="00B664C6">
              <w:rPr>
                <w:rFonts w:eastAsia="Times New Roman"/>
                <w:spacing w:val="0"/>
                <w:w w:val="100"/>
                <w:kern w:val="0"/>
                <w:sz w:val="16"/>
                <w:szCs w:val="16"/>
              </w:rPr>
              <w:t xml:space="preserve"> </w:t>
            </w:r>
          </w:p>
        </w:tc>
        <w:tc>
          <w:tcPr>
            <w:tcW w:w="1236" w:type="dxa"/>
            <w:tcBorders>
              <w:top w:val="nil"/>
              <w:left w:val="nil"/>
              <w:bottom w:val="nil"/>
              <w:right w:val="single" w:sz="4" w:space="0" w:color="auto"/>
            </w:tcBorders>
            <w:shd w:val="clear" w:color="auto" w:fill="auto"/>
            <w:noWrap/>
            <w:vAlign w:val="center"/>
            <w:hideMark/>
          </w:tcPr>
          <w:p w14:paraId="6AD21BC5" w14:textId="77777777"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   </w:t>
            </w:r>
          </w:p>
        </w:tc>
        <w:tc>
          <w:tcPr>
            <w:tcW w:w="1006" w:type="dxa"/>
            <w:tcBorders>
              <w:top w:val="nil"/>
              <w:left w:val="nil"/>
              <w:bottom w:val="nil"/>
              <w:right w:val="single" w:sz="4" w:space="0" w:color="auto"/>
            </w:tcBorders>
            <w:shd w:val="clear" w:color="auto" w:fill="auto"/>
            <w:noWrap/>
            <w:vAlign w:val="center"/>
            <w:hideMark/>
          </w:tcPr>
          <w:p w14:paraId="19803993" w14:textId="60969DC9" w:rsidR="007C75F6" w:rsidRPr="00B664C6" w:rsidRDefault="00BA745B"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4</w:t>
            </w:r>
            <w:r w:rsidR="007C75F6" w:rsidRPr="00B664C6">
              <w:rPr>
                <w:rFonts w:eastAsia="Times New Roman"/>
                <w:spacing w:val="0"/>
                <w:w w:val="100"/>
                <w:kern w:val="0"/>
                <w:sz w:val="16"/>
                <w:szCs w:val="16"/>
              </w:rPr>
              <w:t xml:space="preserve"> </w:t>
            </w:r>
          </w:p>
        </w:tc>
      </w:tr>
      <w:tr w:rsidR="007C75F6" w:rsidRPr="00B664C6" w14:paraId="6E27E76A" w14:textId="77777777" w:rsidTr="00FA1E51">
        <w:trPr>
          <w:trHeight w:val="225"/>
        </w:trPr>
        <w:tc>
          <w:tcPr>
            <w:tcW w:w="3753" w:type="dxa"/>
            <w:tcBorders>
              <w:top w:val="nil"/>
              <w:left w:val="single" w:sz="4" w:space="0" w:color="auto"/>
              <w:bottom w:val="single" w:sz="4" w:space="0" w:color="auto"/>
              <w:right w:val="nil"/>
            </w:tcBorders>
            <w:shd w:val="clear" w:color="auto" w:fill="auto"/>
            <w:noWrap/>
            <w:vAlign w:val="center"/>
            <w:hideMark/>
          </w:tcPr>
          <w:p w14:paraId="544F663D" w14:textId="77777777" w:rsidR="007C75F6" w:rsidRPr="00B664C6" w:rsidRDefault="007C75F6" w:rsidP="003F5F37">
            <w:pPr>
              <w:keepNext/>
              <w:suppressAutoHyphens w:val="0"/>
              <w:spacing w:line="240" w:lineRule="auto"/>
              <w:rPr>
                <w:rFonts w:eastAsia="Times New Roman"/>
                <w:spacing w:val="0"/>
                <w:w w:val="100"/>
                <w:kern w:val="0"/>
                <w:sz w:val="16"/>
                <w:szCs w:val="16"/>
              </w:rPr>
            </w:pPr>
            <w:r w:rsidRPr="00B664C6">
              <w:rPr>
                <w:rFonts w:eastAsia="Times New Roman"/>
                <w:spacing w:val="0"/>
                <w:w w:val="100"/>
                <w:kern w:val="0"/>
                <w:sz w:val="16"/>
                <w:szCs w:val="16"/>
              </w:rPr>
              <w:t>Other</w:t>
            </w:r>
          </w:p>
        </w:tc>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051211D9" w14:textId="3D68F46F"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w:t>
            </w:r>
            <w:r w:rsidR="00BA745B">
              <w:rPr>
                <w:rFonts w:eastAsia="Times New Roman"/>
                <w:spacing w:val="0"/>
                <w:w w:val="100"/>
                <w:kern w:val="0"/>
                <w:sz w:val="16"/>
                <w:szCs w:val="16"/>
              </w:rPr>
              <w:t>2</w:t>
            </w:r>
            <w:r w:rsidR="004D497D">
              <w:rPr>
                <w:rFonts w:eastAsia="Times New Roman"/>
                <w:spacing w:val="0"/>
                <w:w w:val="100"/>
                <w:kern w:val="0"/>
                <w:sz w:val="16"/>
                <w:szCs w:val="16"/>
              </w:rPr>
              <w:t>0</w:t>
            </w:r>
            <w:r w:rsidR="00BA745B" w:rsidRPr="00B664C6">
              <w:rPr>
                <w:rFonts w:eastAsia="Times New Roman"/>
                <w:spacing w:val="0"/>
                <w:w w:val="100"/>
                <w:kern w:val="0"/>
                <w:sz w:val="16"/>
                <w:szCs w:val="16"/>
              </w:rPr>
              <w:t xml:space="preserve"> </w:t>
            </w:r>
          </w:p>
        </w:tc>
        <w:tc>
          <w:tcPr>
            <w:tcW w:w="1236" w:type="dxa"/>
            <w:tcBorders>
              <w:top w:val="nil"/>
              <w:left w:val="nil"/>
              <w:bottom w:val="single" w:sz="4" w:space="0" w:color="auto"/>
              <w:right w:val="single" w:sz="4" w:space="0" w:color="auto"/>
            </w:tcBorders>
            <w:shd w:val="clear" w:color="auto" w:fill="auto"/>
            <w:noWrap/>
            <w:vAlign w:val="center"/>
            <w:hideMark/>
          </w:tcPr>
          <w:p w14:paraId="21436396" w14:textId="708CC6E0" w:rsidR="007C75F6" w:rsidRPr="00B664C6" w:rsidRDefault="007C75F6" w:rsidP="00B05ED0">
            <w:pPr>
              <w:keepNext/>
              <w:suppressAutoHyphens w:val="0"/>
              <w:spacing w:line="240" w:lineRule="auto"/>
              <w:jc w:val="right"/>
              <w:rPr>
                <w:rFonts w:eastAsia="Times New Roman"/>
                <w:spacing w:val="0"/>
                <w:w w:val="100"/>
                <w:kern w:val="0"/>
                <w:sz w:val="16"/>
                <w:szCs w:val="16"/>
              </w:rPr>
            </w:pPr>
            <w:r w:rsidRPr="00B664C6">
              <w:rPr>
                <w:rFonts w:eastAsia="Times New Roman"/>
                <w:spacing w:val="0"/>
                <w:w w:val="100"/>
                <w:kern w:val="0"/>
                <w:sz w:val="16"/>
                <w:szCs w:val="16"/>
              </w:rPr>
              <w:t xml:space="preserve">                    </w:t>
            </w:r>
            <w:r w:rsidR="0093037E">
              <w:rPr>
                <w:rFonts w:eastAsia="Times New Roman"/>
                <w:spacing w:val="0"/>
                <w:w w:val="100"/>
                <w:kern w:val="0"/>
                <w:sz w:val="16"/>
                <w:szCs w:val="16"/>
              </w:rPr>
              <w:t>38</w:t>
            </w:r>
            <w:r w:rsidR="0093037E" w:rsidRPr="00B664C6">
              <w:rPr>
                <w:rFonts w:eastAsia="Times New Roman"/>
                <w:spacing w:val="0"/>
                <w:w w:val="100"/>
                <w:kern w:val="0"/>
                <w:sz w:val="16"/>
                <w:szCs w:val="16"/>
              </w:rPr>
              <w:t xml:space="preserve">  </w:t>
            </w:r>
          </w:p>
        </w:tc>
        <w:tc>
          <w:tcPr>
            <w:tcW w:w="1006" w:type="dxa"/>
            <w:tcBorders>
              <w:top w:val="nil"/>
              <w:left w:val="nil"/>
              <w:bottom w:val="single" w:sz="4" w:space="0" w:color="auto"/>
              <w:right w:val="single" w:sz="4" w:space="0" w:color="auto"/>
            </w:tcBorders>
            <w:shd w:val="clear" w:color="auto" w:fill="auto"/>
            <w:noWrap/>
            <w:vAlign w:val="center"/>
            <w:hideMark/>
          </w:tcPr>
          <w:p w14:paraId="31503C59" w14:textId="6846C52B" w:rsidR="007C75F6" w:rsidRPr="00B664C6" w:rsidRDefault="009F478E" w:rsidP="00B05ED0">
            <w:pPr>
              <w:keepNext/>
              <w:suppressAutoHyphens w:val="0"/>
              <w:spacing w:line="240" w:lineRule="auto"/>
              <w:jc w:val="right"/>
              <w:rPr>
                <w:rFonts w:eastAsia="Times New Roman"/>
                <w:spacing w:val="0"/>
                <w:w w:val="100"/>
                <w:kern w:val="0"/>
                <w:sz w:val="16"/>
                <w:szCs w:val="16"/>
              </w:rPr>
            </w:pPr>
            <w:r>
              <w:rPr>
                <w:rFonts w:eastAsia="Times New Roman"/>
                <w:spacing w:val="0"/>
                <w:w w:val="100"/>
                <w:kern w:val="0"/>
                <w:sz w:val="16"/>
                <w:szCs w:val="16"/>
              </w:rPr>
              <w:t>58</w:t>
            </w:r>
            <w:r w:rsidR="007C75F6" w:rsidRPr="00B664C6">
              <w:rPr>
                <w:rFonts w:eastAsia="Times New Roman"/>
                <w:spacing w:val="0"/>
                <w:w w:val="100"/>
                <w:kern w:val="0"/>
                <w:sz w:val="16"/>
                <w:szCs w:val="16"/>
              </w:rPr>
              <w:t xml:space="preserve"> </w:t>
            </w:r>
          </w:p>
        </w:tc>
      </w:tr>
      <w:tr w:rsidR="007C75F6" w:rsidRPr="00B664C6" w14:paraId="741EA4DB" w14:textId="77777777" w:rsidTr="00FA1E51">
        <w:trPr>
          <w:trHeight w:val="284"/>
        </w:trPr>
        <w:tc>
          <w:tcPr>
            <w:tcW w:w="3753" w:type="dxa"/>
            <w:tcBorders>
              <w:top w:val="nil"/>
              <w:left w:val="single" w:sz="4" w:space="0" w:color="auto"/>
              <w:bottom w:val="single" w:sz="4" w:space="0" w:color="auto"/>
              <w:right w:val="nil"/>
            </w:tcBorders>
            <w:shd w:val="clear" w:color="auto" w:fill="auto"/>
            <w:noWrap/>
            <w:vAlign w:val="center"/>
            <w:hideMark/>
          </w:tcPr>
          <w:p w14:paraId="0BE5B97C" w14:textId="77777777" w:rsidR="007C75F6" w:rsidRPr="00B664C6" w:rsidRDefault="007C75F6" w:rsidP="003F5F37">
            <w:pPr>
              <w:keepNext/>
              <w:suppressAutoHyphens w:val="0"/>
              <w:spacing w:line="240" w:lineRule="auto"/>
              <w:rPr>
                <w:rFonts w:eastAsia="Times New Roman"/>
                <w:b/>
                <w:bCs/>
                <w:spacing w:val="0"/>
                <w:w w:val="100"/>
                <w:kern w:val="0"/>
                <w:sz w:val="16"/>
                <w:szCs w:val="16"/>
              </w:rPr>
            </w:pPr>
            <w:r w:rsidRPr="00B664C6">
              <w:rPr>
                <w:rFonts w:eastAsia="Times New Roman"/>
                <w:b/>
                <w:bCs/>
                <w:spacing w:val="0"/>
                <w:w w:val="100"/>
                <w:kern w:val="0"/>
                <w:sz w:val="16"/>
                <w:szCs w:val="16"/>
              </w:rPr>
              <w:t>Total revenue</w:t>
            </w:r>
          </w:p>
        </w:tc>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070973C9" w14:textId="7E07013F" w:rsidR="007C75F6" w:rsidRPr="00B664C6" w:rsidRDefault="000E615C" w:rsidP="00B05ED0">
            <w:pPr>
              <w:keepNext/>
              <w:suppressAutoHyphens w:val="0"/>
              <w:spacing w:line="240" w:lineRule="auto"/>
              <w:jc w:val="right"/>
              <w:rPr>
                <w:rFonts w:eastAsia="Times New Roman"/>
                <w:b/>
                <w:bCs/>
                <w:spacing w:val="0"/>
                <w:w w:val="100"/>
                <w:kern w:val="0"/>
                <w:sz w:val="16"/>
                <w:szCs w:val="16"/>
              </w:rPr>
            </w:pPr>
            <w:r>
              <w:rPr>
                <w:rFonts w:eastAsia="Times New Roman"/>
                <w:b/>
                <w:bCs/>
                <w:spacing w:val="0"/>
                <w:w w:val="100"/>
                <w:kern w:val="0"/>
                <w:sz w:val="16"/>
                <w:szCs w:val="16"/>
              </w:rPr>
              <w:t>30</w:t>
            </w:r>
            <w:r w:rsidR="00BA745B">
              <w:rPr>
                <w:rFonts w:eastAsia="Times New Roman"/>
                <w:b/>
                <w:bCs/>
                <w:spacing w:val="0"/>
                <w:w w:val="100"/>
                <w:kern w:val="0"/>
                <w:sz w:val="16"/>
                <w:szCs w:val="16"/>
              </w:rPr>
              <w:t>7</w:t>
            </w:r>
            <w:r w:rsidR="007C75F6" w:rsidRPr="00B664C6">
              <w:rPr>
                <w:rFonts w:eastAsia="Times New Roman"/>
                <w:b/>
                <w:bCs/>
                <w:spacing w:val="0"/>
                <w:w w:val="100"/>
                <w:kern w:val="0"/>
                <w:sz w:val="16"/>
                <w:szCs w:val="16"/>
              </w:rPr>
              <w:t xml:space="preserve"> </w:t>
            </w:r>
          </w:p>
        </w:tc>
        <w:tc>
          <w:tcPr>
            <w:tcW w:w="1236" w:type="dxa"/>
            <w:tcBorders>
              <w:top w:val="nil"/>
              <w:left w:val="nil"/>
              <w:bottom w:val="single" w:sz="4" w:space="0" w:color="auto"/>
              <w:right w:val="single" w:sz="4" w:space="0" w:color="auto"/>
            </w:tcBorders>
            <w:shd w:val="clear" w:color="auto" w:fill="auto"/>
            <w:noWrap/>
            <w:vAlign w:val="center"/>
            <w:hideMark/>
          </w:tcPr>
          <w:p w14:paraId="10ABA02B" w14:textId="2511DBEA" w:rsidR="007C75F6" w:rsidRPr="00B664C6" w:rsidRDefault="007C75F6" w:rsidP="00B05ED0">
            <w:pPr>
              <w:keepNext/>
              <w:suppressAutoHyphens w:val="0"/>
              <w:spacing w:line="240" w:lineRule="auto"/>
              <w:jc w:val="right"/>
              <w:rPr>
                <w:rFonts w:eastAsia="Times New Roman"/>
                <w:b/>
                <w:bCs/>
                <w:spacing w:val="0"/>
                <w:w w:val="100"/>
                <w:kern w:val="0"/>
                <w:sz w:val="16"/>
                <w:szCs w:val="16"/>
              </w:rPr>
            </w:pPr>
            <w:r w:rsidRPr="00B664C6">
              <w:rPr>
                <w:rFonts w:eastAsia="Times New Roman"/>
                <w:b/>
                <w:bCs/>
                <w:spacing w:val="0"/>
                <w:w w:val="100"/>
                <w:kern w:val="0"/>
                <w:sz w:val="16"/>
                <w:szCs w:val="16"/>
              </w:rPr>
              <w:t xml:space="preserve">                   </w:t>
            </w:r>
            <w:r w:rsidR="0093037E">
              <w:rPr>
                <w:rFonts w:eastAsia="Times New Roman"/>
                <w:b/>
                <w:bCs/>
                <w:spacing w:val="0"/>
                <w:w w:val="100"/>
                <w:kern w:val="0"/>
                <w:sz w:val="16"/>
                <w:szCs w:val="16"/>
              </w:rPr>
              <w:t>94</w:t>
            </w:r>
            <w:r w:rsidR="0093037E" w:rsidRPr="00B664C6">
              <w:rPr>
                <w:rFonts w:eastAsia="Times New Roman"/>
                <w:b/>
                <w:bCs/>
                <w:spacing w:val="0"/>
                <w:w w:val="100"/>
                <w:kern w:val="0"/>
                <w:sz w:val="16"/>
                <w:szCs w:val="16"/>
              </w:rPr>
              <w:t xml:space="preserve"> </w:t>
            </w:r>
          </w:p>
        </w:tc>
        <w:tc>
          <w:tcPr>
            <w:tcW w:w="1006" w:type="dxa"/>
            <w:tcBorders>
              <w:top w:val="nil"/>
              <w:left w:val="nil"/>
              <w:bottom w:val="single" w:sz="4" w:space="0" w:color="auto"/>
              <w:right w:val="single" w:sz="4" w:space="0" w:color="auto"/>
            </w:tcBorders>
            <w:shd w:val="clear" w:color="auto" w:fill="auto"/>
            <w:noWrap/>
            <w:vAlign w:val="center"/>
            <w:hideMark/>
          </w:tcPr>
          <w:p w14:paraId="232C434D" w14:textId="452820F9" w:rsidR="007C75F6" w:rsidRPr="00B664C6" w:rsidRDefault="009F478E" w:rsidP="00B05ED0">
            <w:pPr>
              <w:keepNext/>
              <w:suppressAutoHyphens w:val="0"/>
              <w:spacing w:line="240" w:lineRule="auto"/>
              <w:jc w:val="right"/>
              <w:rPr>
                <w:rFonts w:eastAsia="Times New Roman"/>
                <w:b/>
                <w:bCs/>
                <w:spacing w:val="0"/>
                <w:w w:val="100"/>
                <w:kern w:val="0"/>
                <w:sz w:val="16"/>
                <w:szCs w:val="16"/>
              </w:rPr>
            </w:pPr>
            <w:r>
              <w:rPr>
                <w:rFonts w:eastAsia="Times New Roman"/>
                <w:b/>
                <w:bCs/>
                <w:spacing w:val="0"/>
                <w:w w:val="100"/>
                <w:kern w:val="0"/>
                <w:sz w:val="16"/>
                <w:szCs w:val="16"/>
              </w:rPr>
              <w:t>40</w:t>
            </w:r>
            <w:r w:rsidR="006E04FC">
              <w:rPr>
                <w:rFonts w:eastAsia="Times New Roman"/>
                <w:b/>
                <w:bCs/>
                <w:spacing w:val="0"/>
                <w:w w:val="100"/>
                <w:kern w:val="0"/>
                <w:sz w:val="16"/>
                <w:szCs w:val="16"/>
              </w:rPr>
              <w:t>1</w:t>
            </w:r>
            <w:r w:rsidRPr="00B664C6">
              <w:rPr>
                <w:rFonts w:eastAsia="Times New Roman"/>
                <w:b/>
                <w:bCs/>
                <w:spacing w:val="0"/>
                <w:w w:val="100"/>
                <w:kern w:val="0"/>
                <w:sz w:val="16"/>
                <w:szCs w:val="16"/>
              </w:rPr>
              <w:t xml:space="preserve"> </w:t>
            </w:r>
          </w:p>
        </w:tc>
      </w:tr>
      <w:tr w:rsidR="007C75F6" w:rsidRPr="00B664C6" w14:paraId="5EA1642E" w14:textId="77777777" w:rsidTr="00FA1E51">
        <w:trPr>
          <w:trHeight w:val="225"/>
        </w:trPr>
        <w:tc>
          <w:tcPr>
            <w:tcW w:w="3753" w:type="dxa"/>
            <w:tcBorders>
              <w:top w:val="nil"/>
              <w:left w:val="nil"/>
              <w:bottom w:val="nil"/>
              <w:right w:val="nil"/>
            </w:tcBorders>
            <w:shd w:val="clear" w:color="auto" w:fill="auto"/>
            <w:noWrap/>
            <w:vAlign w:val="center"/>
            <w:hideMark/>
          </w:tcPr>
          <w:p w14:paraId="56A75520" w14:textId="77777777" w:rsidR="007C75F6" w:rsidRPr="00B664C6" w:rsidRDefault="007C75F6" w:rsidP="003F5F37">
            <w:pPr>
              <w:keepNext/>
              <w:suppressAutoHyphens w:val="0"/>
              <w:spacing w:line="240" w:lineRule="auto"/>
              <w:rPr>
                <w:rFonts w:eastAsia="Times New Roman"/>
                <w:b/>
                <w:bCs/>
                <w:i/>
                <w:iCs/>
                <w:spacing w:val="0"/>
                <w:w w:val="100"/>
                <w:kern w:val="0"/>
                <w:sz w:val="16"/>
                <w:szCs w:val="16"/>
              </w:rPr>
            </w:pPr>
            <w:r w:rsidRPr="00B664C6">
              <w:rPr>
                <w:rFonts w:eastAsia="Times New Roman"/>
                <w:b/>
                <w:bCs/>
                <w:i/>
                <w:iCs/>
                <w:spacing w:val="0"/>
                <w:w w:val="100"/>
                <w:kern w:val="0"/>
                <w:sz w:val="16"/>
                <w:szCs w:val="16"/>
              </w:rPr>
              <w:t>Expenditure</w:t>
            </w:r>
          </w:p>
        </w:tc>
        <w:tc>
          <w:tcPr>
            <w:tcW w:w="1236" w:type="dxa"/>
            <w:tcBorders>
              <w:top w:val="nil"/>
              <w:left w:val="nil"/>
              <w:bottom w:val="nil"/>
              <w:right w:val="nil"/>
            </w:tcBorders>
            <w:shd w:val="clear" w:color="auto" w:fill="auto"/>
            <w:noWrap/>
            <w:vAlign w:val="center"/>
            <w:hideMark/>
          </w:tcPr>
          <w:p w14:paraId="6C79984B" w14:textId="77777777" w:rsidR="007C75F6" w:rsidRPr="00B664C6" w:rsidRDefault="007C75F6" w:rsidP="00B05ED0">
            <w:pPr>
              <w:keepNext/>
              <w:suppressAutoHyphens w:val="0"/>
              <w:spacing w:line="240" w:lineRule="auto"/>
              <w:jc w:val="right"/>
              <w:rPr>
                <w:rFonts w:eastAsia="Times New Roman"/>
                <w:b/>
                <w:bCs/>
                <w:i/>
                <w:iCs/>
                <w:spacing w:val="0"/>
                <w:w w:val="100"/>
                <w:kern w:val="0"/>
                <w:sz w:val="16"/>
                <w:szCs w:val="16"/>
              </w:rPr>
            </w:pPr>
          </w:p>
        </w:tc>
        <w:tc>
          <w:tcPr>
            <w:tcW w:w="1236" w:type="dxa"/>
            <w:tcBorders>
              <w:top w:val="nil"/>
              <w:left w:val="nil"/>
              <w:bottom w:val="nil"/>
              <w:right w:val="nil"/>
            </w:tcBorders>
            <w:shd w:val="clear" w:color="auto" w:fill="auto"/>
            <w:noWrap/>
            <w:vAlign w:val="center"/>
            <w:hideMark/>
          </w:tcPr>
          <w:p w14:paraId="0FD47620" w14:textId="77777777" w:rsidR="007C75F6" w:rsidRPr="00B664C6" w:rsidRDefault="007C75F6" w:rsidP="00B05ED0">
            <w:pPr>
              <w:keepNext/>
              <w:suppressAutoHyphens w:val="0"/>
              <w:spacing w:line="240" w:lineRule="auto"/>
              <w:jc w:val="right"/>
              <w:rPr>
                <w:rFonts w:eastAsia="Times New Roman"/>
                <w:spacing w:val="0"/>
                <w:w w:val="100"/>
                <w:kern w:val="0"/>
              </w:rPr>
            </w:pPr>
          </w:p>
        </w:tc>
        <w:tc>
          <w:tcPr>
            <w:tcW w:w="1006" w:type="dxa"/>
            <w:tcBorders>
              <w:top w:val="nil"/>
              <w:left w:val="nil"/>
              <w:bottom w:val="nil"/>
              <w:right w:val="nil"/>
            </w:tcBorders>
            <w:shd w:val="clear" w:color="auto" w:fill="auto"/>
            <w:noWrap/>
            <w:vAlign w:val="center"/>
            <w:hideMark/>
          </w:tcPr>
          <w:p w14:paraId="64C46D49" w14:textId="77777777" w:rsidR="007C75F6" w:rsidRPr="00B664C6" w:rsidRDefault="007C75F6" w:rsidP="00B05ED0">
            <w:pPr>
              <w:keepNext/>
              <w:suppressAutoHyphens w:val="0"/>
              <w:spacing w:line="240" w:lineRule="auto"/>
              <w:jc w:val="right"/>
              <w:rPr>
                <w:rFonts w:eastAsia="Times New Roman"/>
                <w:spacing w:val="0"/>
                <w:w w:val="100"/>
                <w:kern w:val="0"/>
              </w:rPr>
            </w:pPr>
          </w:p>
        </w:tc>
      </w:tr>
      <w:tr w:rsidR="007C75F6" w:rsidRPr="00B664C6" w14:paraId="7EAC4104" w14:textId="77777777" w:rsidTr="00FA1E51">
        <w:trPr>
          <w:trHeight w:val="284"/>
        </w:trPr>
        <w:tc>
          <w:tcPr>
            <w:tcW w:w="3753" w:type="dxa"/>
            <w:tcBorders>
              <w:top w:val="single" w:sz="4" w:space="0" w:color="auto"/>
              <w:left w:val="single" w:sz="4" w:space="0" w:color="auto"/>
              <w:bottom w:val="single" w:sz="4" w:space="0" w:color="auto"/>
              <w:right w:val="nil"/>
            </w:tcBorders>
            <w:shd w:val="clear" w:color="auto" w:fill="auto"/>
            <w:noWrap/>
            <w:vAlign w:val="center"/>
            <w:hideMark/>
          </w:tcPr>
          <w:p w14:paraId="708D30AB" w14:textId="77777777" w:rsidR="007C75F6" w:rsidRPr="00B664C6" w:rsidRDefault="007C75F6" w:rsidP="003F5F37">
            <w:pPr>
              <w:keepNext/>
              <w:suppressAutoHyphens w:val="0"/>
              <w:spacing w:line="240" w:lineRule="auto"/>
              <w:rPr>
                <w:rFonts w:eastAsia="Times New Roman"/>
                <w:b/>
                <w:bCs/>
                <w:spacing w:val="0"/>
                <w:w w:val="100"/>
                <w:kern w:val="0"/>
                <w:sz w:val="16"/>
                <w:szCs w:val="16"/>
              </w:rPr>
            </w:pPr>
            <w:r w:rsidRPr="00B664C6">
              <w:rPr>
                <w:rFonts w:eastAsia="Times New Roman"/>
                <w:b/>
                <w:bCs/>
                <w:spacing w:val="0"/>
                <w:w w:val="100"/>
                <w:kern w:val="0"/>
                <w:sz w:val="16"/>
                <w:szCs w:val="16"/>
              </w:rPr>
              <w:t>Total expenditure</w:t>
            </w:r>
          </w:p>
        </w:tc>
        <w:tc>
          <w:tcPr>
            <w:tcW w:w="1236" w:type="dxa"/>
            <w:tcBorders>
              <w:top w:val="single" w:sz="4" w:space="0" w:color="auto"/>
              <w:left w:val="single" w:sz="4" w:space="0" w:color="auto"/>
              <w:bottom w:val="single" w:sz="4" w:space="0" w:color="auto"/>
              <w:right w:val="nil"/>
            </w:tcBorders>
            <w:shd w:val="clear" w:color="auto" w:fill="auto"/>
            <w:noWrap/>
            <w:vAlign w:val="center"/>
            <w:hideMark/>
          </w:tcPr>
          <w:p w14:paraId="739108E7" w14:textId="2F85C367" w:rsidR="007C75F6" w:rsidRPr="00B664C6" w:rsidRDefault="007C75F6" w:rsidP="00B05ED0">
            <w:pPr>
              <w:keepNext/>
              <w:suppressAutoHyphens w:val="0"/>
              <w:spacing w:line="240" w:lineRule="auto"/>
              <w:jc w:val="right"/>
              <w:rPr>
                <w:rFonts w:eastAsia="Times New Roman"/>
                <w:b/>
                <w:bCs/>
                <w:spacing w:val="0"/>
                <w:w w:val="100"/>
                <w:kern w:val="0"/>
                <w:sz w:val="16"/>
                <w:szCs w:val="16"/>
              </w:rPr>
            </w:pPr>
            <w:r w:rsidRPr="00B664C6">
              <w:rPr>
                <w:rFonts w:eastAsia="Times New Roman"/>
                <w:b/>
                <w:bCs/>
                <w:spacing w:val="0"/>
                <w:w w:val="100"/>
                <w:kern w:val="0"/>
                <w:sz w:val="16"/>
                <w:szCs w:val="16"/>
              </w:rPr>
              <w:t xml:space="preserve">                 </w:t>
            </w:r>
            <w:r w:rsidR="00BA745B">
              <w:rPr>
                <w:rFonts w:eastAsia="Times New Roman"/>
                <w:b/>
                <w:bCs/>
                <w:spacing w:val="0"/>
                <w:w w:val="100"/>
                <w:kern w:val="0"/>
                <w:sz w:val="16"/>
                <w:szCs w:val="16"/>
              </w:rPr>
              <w:t>32</w:t>
            </w:r>
            <w:r w:rsidR="009F478E">
              <w:rPr>
                <w:rFonts w:eastAsia="Times New Roman"/>
                <w:b/>
                <w:bCs/>
                <w:spacing w:val="0"/>
                <w:w w:val="100"/>
                <w:kern w:val="0"/>
                <w:sz w:val="16"/>
                <w:szCs w:val="16"/>
              </w:rPr>
              <w:t>8</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F7EA1" w14:textId="39A6232E" w:rsidR="007C75F6" w:rsidRPr="00B664C6" w:rsidRDefault="009F478E" w:rsidP="00B05ED0">
            <w:pPr>
              <w:keepNext/>
              <w:suppressAutoHyphens w:val="0"/>
              <w:spacing w:line="240" w:lineRule="auto"/>
              <w:jc w:val="right"/>
              <w:rPr>
                <w:rFonts w:eastAsia="Times New Roman"/>
                <w:b/>
                <w:bCs/>
                <w:spacing w:val="0"/>
                <w:w w:val="100"/>
                <w:kern w:val="0"/>
                <w:sz w:val="16"/>
                <w:szCs w:val="16"/>
              </w:rPr>
            </w:pPr>
            <w:r>
              <w:rPr>
                <w:rFonts w:eastAsia="Times New Roman"/>
                <w:b/>
                <w:bCs/>
                <w:spacing w:val="0"/>
                <w:w w:val="100"/>
                <w:kern w:val="0"/>
                <w:sz w:val="16"/>
                <w:szCs w:val="16"/>
              </w:rPr>
              <w:t>95</w:t>
            </w:r>
            <w:r w:rsidR="007C75F6" w:rsidRPr="00B664C6">
              <w:rPr>
                <w:rFonts w:eastAsia="Times New Roman"/>
                <w:b/>
                <w:bCs/>
                <w:spacing w:val="0"/>
                <w:w w:val="100"/>
                <w:kern w:val="0"/>
                <w:sz w:val="16"/>
                <w:szCs w:val="16"/>
              </w:rPr>
              <w:t xml:space="preserve"> </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5379B1F1" w14:textId="35A0709B" w:rsidR="007C75F6" w:rsidRPr="00B664C6" w:rsidRDefault="009F478E" w:rsidP="00B05ED0">
            <w:pPr>
              <w:keepNext/>
              <w:suppressAutoHyphens w:val="0"/>
              <w:spacing w:line="240" w:lineRule="auto"/>
              <w:jc w:val="right"/>
              <w:rPr>
                <w:rFonts w:eastAsia="Times New Roman"/>
                <w:b/>
                <w:bCs/>
                <w:spacing w:val="0"/>
                <w:w w:val="100"/>
                <w:kern w:val="0"/>
                <w:sz w:val="16"/>
                <w:szCs w:val="16"/>
              </w:rPr>
            </w:pPr>
            <w:r>
              <w:rPr>
                <w:rFonts w:eastAsia="Times New Roman"/>
                <w:b/>
                <w:bCs/>
                <w:spacing w:val="0"/>
                <w:w w:val="100"/>
                <w:kern w:val="0"/>
                <w:sz w:val="16"/>
                <w:szCs w:val="16"/>
              </w:rPr>
              <w:t>423</w:t>
            </w:r>
            <w:r w:rsidR="007417E2" w:rsidRPr="00B664C6">
              <w:rPr>
                <w:rFonts w:eastAsia="Times New Roman"/>
                <w:b/>
                <w:bCs/>
                <w:spacing w:val="0"/>
                <w:w w:val="100"/>
                <w:kern w:val="0"/>
                <w:sz w:val="16"/>
                <w:szCs w:val="16"/>
              </w:rPr>
              <w:t xml:space="preserve"> </w:t>
            </w:r>
          </w:p>
        </w:tc>
      </w:tr>
    </w:tbl>
    <w:p w14:paraId="11CF7663" w14:textId="722092E0" w:rsidR="00A1057B" w:rsidRPr="00B664C6" w:rsidRDefault="00A1057B" w:rsidP="00E82350">
      <w:pPr>
        <w:tabs>
          <w:tab w:val="left" w:pos="1470"/>
        </w:tabs>
        <w:suppressAutoHyphens w:val="0"/>
        <w:spacing w:line="240" w:lineRule="auto"/>
      </w:pPr>
    </w:p>
    <w:p w14:paraId="1E26066F" w14:textId="10F8CC06" w:rsidR="006A1235" w:rsidRPr="00B664C6" w:rsidRDefault="00370B8D" w:rsidP="00AF3FD4">
      <w:pPr>
        <w:pStyle w:val="ListParagraph"/>
        <w:numPr>
          <w:ilvl w:val="0"/>
          <w:numId w:val="5"/>
        </w:numPr>
        <w:spacing w:before="240" w:after="240" w:line="240" w:lineRule="auto"/>
        <w:ind w:right="1267"/>
        <w:contextualSpacing w:val="0"/>
        <w:jc w:val="both"/>
      </w:pPr>
      <w:r w:rsidRPr="00F95B66">
        <w:t>UNDP made every effort to attain</w:t>
      </w:r>
      <w:r w:rsidRPr="00B664C6">
        <w:t xml:space="preserve"> full compliance with the cost recovery rate and seeks to further reduce the number of waivers. While infrequent, </w:t>
      </w:r>
      <w:r w:rsidR="00CF7197">
        <w:t>G</w:t>
      </w:r>
      <w:r w:rsidRPr="00B664C6">
        <w:t xml:space="preserve">eneral </w:t>
      </w:r>
      <w:r w:rsidR="00CF7197">
        <w:t>M</w:t>
      </w:r>
      <w:r w:rsidRPr="00B664C6">
        <w:t xml:space="preserve">anagement </w:t>
      </w:r>
      <w:r w:rsidR="00CF7197">
        <w:t>S</w:t>
      </w:r>
      <w:r w:rsidRPr="00B664C6">
        <w:t xml:space="preserve">upport </w:t>
      </w:r>
      <w:r w:rsidR="00CF7197">
        <w:t>(GMS)</w:t>
      </w:r>
      <w:r w:rsidRPr="00B664C6">
        <w:t xml:space="preserve"> waivers continue to be requested by funding partners. During 20</w:t>
      </w:r>
      <w:r w:rsidR="006D4C2F" w:rsidRPr="00B664C6">
        <w:t>2</w:t>
      </w:r>
      <w:r w:rsidR="001E5BF4">
        <w:t>2</w:t>
      </w:r>
      <w:r w:rsidRPr="00B664C6">
        <w:t xml:space="preserve">, </w:t>
      </w:r>
      <w:r w:rsidR="00F95B66" w:rsidRPr="007425C0">
        <w:t xml:space="preserve">there </w:t>
      </w:r>
      <w:r w:rsidR="007425C0" w:rsidRPr="007425C0">
        <w:t>were three</w:t>
      </w:r>
      <w:r w:rsidR="00F95B66" w:rsidRPr="007425C0">
        <w:t xml:space="preserve"> new </w:t>
      </w:r>
      <w:r w:rsidR="0042638E" w:rsidRPr="007425C0">
        <w:t>waivers</w:t>
      </w:r>
      <w:r w:rsidR="00F95B66" w:rsidRPr="007425C0">
        <w:t xml:space="preserve"> on the general management support</w:t>
      </w:r>
      <w:r w:rsidR="00F95B66">
        <w:t xml:space="preserve"> fee granted for new projects. </w:t>
      </w:r>
      <w:r w:rsidR="003E363B" w:rsidRPr="00B664C6">
        <w:t xml:space="preserve">The </w:t>
      </w:r>
      <w:r w:rsidR="005A44CD" w:rsidRPr="00B664C6">
        <w:t>details</w:t>
      </w:r>
      <w:r w:rsidR="003E363B" w:rsidRPr="00B664C6">
        <w:t xml:space="preserve"> of GMS waivers</w:t>
      </w:r>
      <w:r w:rsidR="005A44CD" w:rsidRPr="00B664C6">
        <w:t xml:space="preserve"> issued </w:t>
      </w:r>
      <w:r w:rsidR="00220698">
        <w:t>in 202</w:t>
      </w:r>
      <w:r w:rsidR="001E5BF4">
        <w:t>2</w:t>
      </w:r>
      <w:r w:rsidR="00220698">
        <w:t xml:space="preserve"> and </w:t>
      </w:r>
      <w:r w:rsidR="005A44CD" w:rsidRPr="00B664C6">
        <w:t>prior to 202</w:t>
      </w:r>
      <w:r w:rsidR="001E5BF4">
        <w:t>2</w:t>
      </w:r>
      <w:r w:rsidR="005A44CD" w:rsidRPr="00B664C6">
        <w:t xml:space="preserve"> for activities on-going in 202</w:t>
      </w:r>
      <w:r w:rsidR="001E5BF4">
        <w:t>2</w:t>
      </w:r>
      <w:r w:rsidR="005A44CD" w:rsidRPr="00B664C6">
        <w:t xml:space="preserve"> are described in </w:t>
      </w:r>
      <w:r w:rsidR="0067690E" w:rsidRPr="00B664C6">
        <w:t>Appendix V.</w:t>
      </w:r>
    </w:p>
    <w:p w14:paraId="079A8292" w14:textId="00B15E87" w:rsidR="00CA2ECE" w:rsidRPr="00022F7B" w:rsidRDefault="00CA2ECE" w:rsidP="009E5F63">
      <w:pPr>
        <w:pStyle w:val="H1"/>
        <w:numPr>
          <w:ilvl w:val="1"/>
          <w:numId w:val="6"/>
        </w:numPr>
        <w:tabs>
          <w:tab w:val="clear" w:pos="1022"/>
          <w:tab w:val="clear" w:pos="1742"/>
          <w:tab w:val="right" w:pos="1440"/>
          <w:tab w:val="left" w:pos="1800"/>
        </w:tabs>
        <w:spacing w:before="240" w:after="240" w:line="240" w:lineRule="auto"/>
        <w:ind w:left="1152" w:right="0"/>
        <w:outlineLvl w:val="1"/>
      </w:pPr>
      <w:bookmarkStart w:id="294" w:name="_Toc139289140"/>
      <w:bookmarkStart w:id="295" w:name="_Hlk884380"/>
      <w:r w:rsidRPr="00022F7B">
        <w:t>Expenses</w:t>
      </w:r>
      <w:bookmarkEnd w:id="294"/>
    </w:p>
    <w:bookmarkEnd w:id="295"/>
    <w:p w14:paraId="21EC8460" w14:textId="33B7B91A" w:rsidR="00B57790" w:rsidRPr="00B664C6" w:rsidRDefault="00AC0CBF" w:rsidP="00AF3FD4">
      <w:pPr>
        <w:pStyle w:val="ListParagraph"/>
        <w:numPr>
          <w:ilvl w:val="0"/>
          <w:numId w:val="5"/>
        </w:numPr>
        <w:spacing w:before="240" w:after="240" w:line="240" w:lineRule="auto"/>
        <w:ind w:right="1267"/>
        <w:contextualSpacing w:val="0"/>
        <w:jc w:val="both"/>
      </w:pPr>
      <w:r w:rsidRPr="00B664C6">
        <w:t>In 20</w:t>
      </w:r>
      <w:r w:rsidR="00EE6BB8" w:rsidRPr="00B664C6">
        <w:t>2</w:t>
      </w:r>
      <w:r w:rsidR="00137F08">
        <w:t>2</w:t>
      </w:r>
      <w:r w:rsidRPr="00B664C6">
        <w:t>, t</w:t>
      </w:r>
      <w:r w:rsidR="00CA2ECE" w:rsidRPr="00B664C6">
        <w:t xml:space="preserve">otal expenses, </w:t>
      </w:r>
      <w:r w:rsidR="001D5BD9" w:rsidRPr="00B664C6">
        <w:t>after</w:t>
      </w:r>
      <w:r w:rsidR="00CA2ECE" w:rsidRPr="00B664C6">
        <w:t xml:space="preserve"> elimination</w:t>
      </w:r>
      <w:r w:rsidR="0092294F">
        <w:t xml:space="preserve"> </w:t>
      </w:r>
      <w:r w:rsidR="0092294F" w:rsidRPr="0092294F">
        <w:t>of internal cost recovery</w:t>
      </w:r>
      <w:r w:rsidR="00CA2ECE" w:rsidRPr="00B664C6">
        <w:t xml:space="preserve"> </w:t>
      </w:r>
      <w:r w:rsidR="007A6EE3">
        <w:t>de</w:t>
      </w:r>
      <w:r w:rsidR="00EC5470" w:rsidRPr="00B664C6">
        <w:t>creased</w:t>
      </w:r>
      <w:r w:rsidR="00A065A2" w:rsidRPr="00B664C6">
        <w:t xml:space="preserve"> </w:t>
      </w:r>
      <w:r w:rsidR="00DC33F0" w:rsidRPr="00B664C6">
        <w:t xml:space="preserve">by </w:t>
      </w:r>
      <w:r w:rsidR="002C54D3">
        <w:t>1</w:t>
      </w:r>
      <w:r w:rsidR="00DC33F0" w:rsidRPr="00B664C6">
        <w:t xml:space="preserve"> per cent</w:t>
      </w:r>
      <w:r w:rsidR="00A065A2" w:rsidRPr="00B664C6">
        <w:t xml:space="preserve"> or </w:t>
      </w:r>
      <w:r w:rsidR="00AB5DD3">
        <w:t>3</w:t>
      </w:r>
      <w:r w:rsidR="002C54D3">
        <w:t>8</w:t>
      </w:r>
      <w:r w:rsidR="00C70C0B" w:rsidRPr="00B664C6">
        <w:t xml:space="preserve"> million</w:t>
      </w:r>
      <w:r w:rsidR="00EA7E3F" w:rsidRPr="00B664C6">
        <w:t>, to $</w:t>
      </w:r>
      <w:r w:rsidR="00785F3A" w:rsidRPr="00B664C6">
        <w:t>5.</w:t>
      </w:r>
      <w:r w:rsidR="002C54D3">
        <w:t>3</w:t>
      </w:r>
      <w:r w:rsidR="001C67D0" w:rsidRPr="00B664C6">
        <w:t xml:space="preserve"> billion</w:t>
      </w:r>
      <w:r w:rsidR="00EA7E3F" w:rsidRPr="00B664C6">
        <w:t xml:space="preserve"> (</w:t>
      </w:r>
      <w:r w:rsidR="00785F3A" w:rsidRPr="00B664C6">
        <w:t>20</w:t>
      </w:r>
      <w:r w:rsidR="00AB5DD3">
        <w:t>2</w:t>
      </w:r>
      <w:r w:rsidR="00137F08">
        <w:t>1</w:t>
      </w:r>
      <w:r w:rsidR="00EA7E3F" w:rsidRPr="00B664C6">
        <w:t>: $</w:t>
      </w:r>
      <w:r w:rsidR="00AB5DD3">
        <w:t>5.</w:t>
      </w:r>
      <w:r w:rsidR="002C54D3">
        <w:t>4</w:t>
      </w:r>
      <w:r w:rsidR="001C67D0" w:rsidRPr="00B664C6">
        <w:t xml:space="preserve"> </w:t>
      </w:r>
      <w:r w:rsidR="00E7076F" w:rsidRPr="00B664C6">
        <w:t>billion)</w:t>
      </w:r>
      <w:r w:rsidR="00A00A87" w:rsidRPr="00B664C6">
        <w:t xml:space="preserve">. </w:t>
      </w:r>
    </w:p>
    <w:p w14:paraId="390EA5D2" w14:textId="2A44F9C1" w:rsidR="001B3551" w:rsidRPr="00B664C6" w:rsidRDefault="00700238" w:rsidP="00AF3FD4">
      <w:pPr>
        <w:pStyle w:val="ListParagraph"/>
        <w:numPr>
          <w:ilvl w:val="0"/>
          <w:numId w:val="5"/>
        </w:numPr>
        <w:spacing w:before="240" w:after="240" w:line="240" w:lineRule="auto"/>
        <w:ind w:right="1267"/>
        <w:contextualSpacing w:val="0"/>
        <w:jc w:val="both"/>
      </w:pPr>
      <w:r w:rsidRPr="00B664C6">
        <w:t>The amount of $5.</w:t>
      </w:r>
      <w:r>
        <w:t>6</w:t>
      </w:r>
      <w:r w:rsidRPr="00B664C6">
        <w:t xml:space="preserve"> billion, before elimination</w:t>
      </w:r>
      <w:r w:rsidR="0074712E">
        <w:t xml:space="preserve"> </w:t>
      </w:r>
      <w:r w:rsidR="0074712E" w:rsidRPr="0092294F">
        <w:t>of internal cost recovery</w:t>
      </w:r>
      <w:r w:rsidRPr="00B664C6">
        <w:t xml:space="preserve"> is composed of $</w:t>
      </w:r>
      <w:r>
        <w:t>803</w:t>
      </w:r>
      <w:r w:rsidRPr="00B664C6">
        <w:t xml:space="preserve"> million for regular resources and $4.</w:t>
      </w:r>
      <w:r>
        <w:t>8</w:t>
      </w:r>
      <w:r w:rsidRPr="00B664C6">
        <w:t xml:space="preserve"> billion for other resources.</w:t>
      </w:r>
      <w:r>
        <w:t xml:space="preserve"> </w:t>
      </w:r>
      <w:r w:rsidR="00061BF3" w:rsidRPr="00B664C6">
        <w:t xml:space="preserve">Out of this total </w:t>
      </w:r>
      <w:r w:rsidR="00116D56" w:rsidRPr="00B664C6">
        <w:t xml:space="preserve">of </w:t>
      </w:r>
      <w:r w:rsidR="00061BF3" w:rsidRPr="00B664C6">
        <w:t>$</w:t>
      </w:r>
      <w:r w:rsidR="00785F3A" w:rsidRPr="00B664C6">
        <w:t>5.</w:t>
      </w:r>
      <w:r>
        <w:t>6</w:t>
      </w:r>
      <w:r w:rsidR="00267F19" w:rsidRPr="00B664C6">
        <w:t xml:space="preserve"> </w:t>
      </w:r>
      <w:r w:rsidR="00E7076F" w:rsidRPr="00B664C6">
        <w:t>billion,</w:t>
      </w:r>
      <w:r w:rsidR="00061BF3" w:rsidRPr="00B664C6">
        <w:t xml:space="preserve"> $</w:t>
      </w:r>
      <w:r w:rsidR="009F5D88" w:rsidRPr="00B664C6">
        <w:t>4.</w:t>
      </w:r>
      <w:r w:rsidR="003636A0">
        <w:t>6</w:t>
      </w:r>
      <w:r w:rsidR="00992958" w:rsidRPr="00B664C6">
        <w:t xml:space="preserve"> </w:t>
      </w:r>
      <w:r w:rsidR="0022680B" w:rsidRPr="00B664C6">
        <w:t>billion</w:t>
      </w:r>
      <w:r w:rsidR="00061BF3" w:rsidRPr="00B664C6">
        <w:t xml:space="preserve"> was for programme expenses, which represents 8</w:t>
      </w:r>
      <w:r w:rsidR="008639C1">
        <w:t>2</w:t>
      </w:r>
      <w:r w:rsidR="00061BF3" w:rsidRPr="00B664C6">
        <w:t xml:space="preserve"> per cent</w:t>
      </w:r>
      <w:r w:rsidR="00A91025" w:rsidRPr="00B664C6">
        <w:t xml:space="preserve"> of total expenses</w:t>
      </w:r>
      <w:r w:rsidR="00061BF3" w:rsidRPr="00B664C6">
        <w:t>.</w:t>
      </w:r>
      <w:r w:rsidR="003F3A35" w:rsidRPr="00B664C6">
        <w:t xml:space="preserve">  </w:t>
      </w:r>
    </w:p>
    <w:p w14:paraId="01FC3592" w14:textId="0DFE883B" w:rsidR="00C27634" w:rsidRPr="00B664C6" w:rsidRDefault="00A95E43" w:rsidP="003F5F37">
      <w:pPr>
        <w:pStyle w:val="SingleTxt"/>
        <w:keepNext/>
        <w:tabs>
          <w:tab w:val="clear" w:pos="1267"/>
          <w:tab w:val="clear" w:pos="1742"/>
          <w:tab w:val="clear" w:pos="2218"/>
          <w:tab w:val="clear" w:pos="2693"/>
          <w:tab w:val="left" w:pos="1530"/>
          <w:tab w:val="left" w:pos="1620"/>
          <w:tab w:val="left" w:pos="1800"/>
        </w:tabs>
        <w:ind w:left="1526"/>
        <w:contextualSpacing/>
        <w:jc w:val="center"/>
        <w:rPr>
          <w:b/>
        </w:rPr>
      </w:pPr>
      <w:r w:rsidRPr="00B664C6">
        <w:rPr>
          <w:b/>
        </w:rPr>
        <w:lastRenderedPageBreak/>
        <w:t xml:space="preserve">Table </w:t>
      </w:r>
      <w:r w:rsidR="00C9140A" w:rsidRPr="00B664C6">
        <w:rPr>
          <w:b/>
        </w:rPr>
        <w:t>4</w:t>
      </w:r>
      <w:r w:rsidR="00536AF8" w:rsidRPr="00B664C6">
        <w:rPr>
          <w:b/>
        </w:rPr>
        <w:t xml:space="preserve">. </w:t>
      </w:r>
      <w:r w:rsidR="00536AF8" w:rsidRPr="009057A3">
        <w:rPr>
          <w:b/>
        </w:rPr>
        <w:t>UNDP overall expenses</w:t>
      </w:r>
      <w:r w:rsidR="00536AF8" w:rsidRPr="00B664C6">
        <w:rPr>
          <w:b/>
        </w:rPr>
        <w:t xml:space="preserve">, </w:t>
      </w:r>
      <w:r w:rsidR="00F3254D" w:rsidRPr="00B664C6">
        <w:rPr>
          <w:b/>
        </w:rPr>
        <w:t>202</w:t>
      </w:r>
      <w:r w:rsidR="00184053">
        <w:rPr>
          <w:b/>
        </w:rPr>
        <w:t>2</w:t>
      </w:r>
    </w:p>
    <w:p w14:paraId="439FD211" w14:textId="297D2F2A" w:rsidR="00984D3A" w:rsidRPr="00B664C6" w:rsidRDefault="00984D3A" w:rsidP="003F5F37">
      <w:pPr>
        <w:pStyle w:val="SingleTxt"/>
        <w:keepNext/>
        <w:tabs>
          <w:tab w:val="clear" w:pos="1267"/>
          <w:tab w:val="clear" w:pos="1742"/>
          <w:tab w:val="clear" w:pos="2218"/>
          <w:tab w:val="clear" w:pos="2693"/>
          <w:tab w:val="left" w:pos="1530"/>
          <w:tab w:val="left" w:pos="1620"/>
          <w:tab w:val="left" w:pos="1800"/>
        </w:tabs>
        <w:ind w:left="1530"/>
        <w:jc w:val="center"/>
        <w:rPr>
          <w:i/>
          <w:sz w:val="18"/>
        </w:rPr>
      </w:pPr>
      <w:r w:rsidRPr="00B664C6">
        <w:rPr>
          <w:i/>
          <w:sz w:val="18"/>
        </w:rPr>
        <w:t>(</w:t>
      </w:r>
      <w:r w:rsidR="00152D29" w:rsidRPr="00B664C6">
        <w:rPr>
          <w:i/>
          <w:sz w:val="18"/>
        </w:rPr>
        <w:t>In</w:t>
      </w:r>
      <w:r w:rsidRPr="00B664C6">
        <w:rPr>
          <w:i/>
          <w:sz w:val="18"/>
        </w:rPr>
        <w:t xml:space="preserve"> millions of </w:t>
      </w:r>
      <w:r w:rsidR="000F1D96" w:rsidRPr="00B664C6">
        <w:rPr>
          <w:i/>
          <w:sz w:val="18"/>
        </w:rPr>
        <w:t xml:space="preserve">United States </w:t>
      </w:r>
      <w:r w:rsidRPr="00B664C6">
        <w:rPr>
          <w:i/>
          <w:sz w:val="18"/>
        </w:rPr>
        <w:t>dollars)</w:t>
      </w:r>
    </w:p>
    <w:tbl>
      <w:tblPr>
        <w:tblW w:w="7341" w:type="dxa"/>
        <w:tblInd w:w="1345" w:type="dxa"/>
        <w:tblLayout w:type="fixed"/>
        <w:tblLook w:val="04A0" w:firstRow="1" w:lastRow="0" w:firstColumn="1" w:lastColumn="0" w:noHBand="0" w:noVBand="1"/>
      </w:tblPr>
      <w:tblGrid>
        <w:gridCol w:w="3575"/>
        <w:gridCol w:w="936"/>
        <w:gridCol w:w="936"/>
        <w:gridCol w:w="936"/>
        <w:gridCol w:w="958"/>
      </w:tblGrid>
      <w:tr w:rsidR="006D1085" w:rsidRPr="00B664C6" w14:paraId="04EC4B35" w14:textId="77777777" w:rsidTr="39D02343">
        <w:trPr>
          <w:trHeight w:val="514"/>
        </w:trPr>
        <w:tc>
          <w:tcPr>
            <w:tcW w:w="3575"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654AC093" w14:textId="77777777" w:rsidR="006D1085" w:rsidRPr="00B664C6" w:rsidRDefault="006D1085" w:rsidP="003F5F37">
            <w:pPr>
              <w:keepNext/>
              <w:suppressAutoHyphens w:val="0"/>
              <w:spacing w:line="240" w:lineRule="auto"/>
              <w:rPr>
                <w:rFonts w:eastAsia="Times New Roman"/>
                <w:i/>
                <w:iCs/>
                <w:color w:val="000000"/>
                <w:spacing w:val="0"/>
                <w:w w:val="100"/>
                <w:kern w:val="0"/>
                <w:sz w:val="16"/>
                <w:szCs w:val="16"/>
              </w:rPr>
            </w:pPr>
            <w:r w:rsidRPr="00B664C6">
              <w:rPr>
                <w:rFonts w:eastAsia="Times New Roman"/>
                <w:i/>
                <w:iCs/>
                <w:color w:val="000000"/>
                <w:spacing w:val="0"/>
                <w:w w:val="100"/>
                <w:kern w:val="0"/>
                <w:sz w:val="16"/>
                <w:szCs w:val="16"/>
              </w:rPr>
              <w:t>Resources</w:t>
            </w:r>
          </w:p>
        </w:tc>
        <w:tc>
          <w:tcPr>
            <w:tcW w:w="936" w:type="dxa"/>
            <w:tcBorders>
              <w:top w:val="single" w:sz="4" w:space="0" w:color="auto"/>
              <w:left w:val="single" w:sz="4" w:space="0" w:color="auto"/>
              <w:bottom w:val="single" w:sz="4" w:space="0" w:color="auto"/>
              <w:right w:val="single" w:sz="4" w:space="0" w:color="auto"/>
            </w:tcBorders>
            <w:vAlign w:val="center"/>
          </w:tcPr>
          <w:p w14:paraId="5697B6B5" w14:textId="78BCF707" w:rsidR="006D1085" w:rsidRPr="00B664C6" w:rsidRDefault="006D1085" w:rsidP="006D1085">
            <w:pPr>
              <w:keepNext/>
              <w:suppressAutoHyphens w:val="0"/>
              <w:spacing w:line="240" w:lineRule="auto"/>
              <w:jc w:val="center"/>
              <w:rPr>
                <w:rFonts w:eastAsia="Times New Roman"/>
                <w:color w:val="000000"/>
                <w:spacing w:val="0"/>
                <w:w w:val="100"/>
                <w:kern w:val="0"/>
                <w:sz w:val="16"/>
                <w:szCs w:val="16"/>
              </w:rPr>
            </w:pPr>
            <w:r w:rsidRPr="00B664C6">
              <w:rPr>
                <w:rFonts w:eastAsia="Times New Roman"/>
                <w:color w:val="000000"/>
                <w:spacing w:val="0"/>
                <w:w w:val="100"/>
                <w:kern w:val="0"/>
                <w:sz w:val="16"/>
                <w:szCs w:val="16"/>
              </w:rPr>
              <w:t>20</w:t>
            </w:r>
            <w:r w:rsidR="004D6E03" w:rsidRPr="00B664C6">
              <w:rPr>
                <w:rFonts w:eastAsia="Times New Roman"/>
                <w:color w:val="000000"/>
                <w:spacing w:val="0"/>
                <w:w w:val="100"/>
                <w:kern w:val="0"/>
                <w:sz w:val="16"/>
                <w:szCs w:val="16"/>
              </w:rPr>
              <w:t>2</w:t>
            </w:r>
            <w:r w:rsidR="00184053">
              <w:rPr>
                <w:rFonts w:eastAsia="Times New Roman"/>
                <w:color w:val="000000"/>
                <w:spacing w:val="0"/>
                <w:w w:val="100"/>
                <w:kern w:val="0"/>
                <w:sz w:val="16"/>
                <w:szCs w:val="16"/>
              </w:rPr>
              <w:t>2</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AB58B" w14:textId="045DBF35" w:rsidR="006D1085" w:rsidRPr="00B664C6" w:rsidRDefault="006D1085" w:rsidP="004D6E03">
            <w:pPr>
              <w:keepNext/>
              <w:suppressAutoHyphens w:val="0"/>
              <w:spacing w:line="240" w:lineRule="auto"/>
              <w:jc w:val="center"/>
              <w:rPr>
                <w:rFonts w:eastAsia="Times New Roman"/>
                <w:color w:val="000000"/>
                <w:spacing w:val="0"/>
                <w:w w:val="100"/>
                <w:kern w:val="0"/>
                <w:sz w:val="16"/>
                <w:szCs w:val="16"/>
              </w:rPr>
            </w:pPr>
            <w:r w:rsidRPr="00B664C6">
              <w:rPr>
                <w:rFonts w:eastAsia="Times New Roman"/>
                <w:color w:val="000000"/>
                <w:spacing w:val="0"/>
                <w:w w:val="100"/>
                <w:kern w:val="0"/>
                <w:sz w:val="16"/>
                <w:szCs w:val="16"/>
              </w:rPr>
              <w:t>20</w:t>
            </w:r>
            <w:r w:rsidR="006B7358">
              <w:rPr>
                <w:rFonts w:eastAsia="Times New Roman"/>
                <w:color w:val="000000"/>
                <w:spacing w:val="0"/>
                <w:w w:val="100"/>
                <w:kern w:val="0"/>
                <w:sz w:val="16"/>
                <w:szCs w:val="16"/>
              </w:rPr>
              <w:t>2</w:t>
            </w:r>
            <w:r w:rsidR="00184053">
              <w:rPr>
                <w:rFonts w:eastAsia="Times New Roman"/>
                <w:color w:val="000000"/>
                <w:spacing w:val="0"/>
                <w:w w:val="100"/>
                <w:kern w:val="0"/>
                <w:sz w:val="16"/>
                <w:szCs w:val="16"/>
              </w:rPr>
              <w:t>1</w:t>
            </w:r>
          </w:p>
        </w:tc>
        <w:tc>
          <w:tcPr>
            <w:tcW w:w="936" w:type="dxa"/>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4C40501" w14:textId="5BB525F7" w:rsidR="006D1085" w:rsidRPr="00B664C6" w:rsidRDefault="00CD3F51" w:rsidP="006D1085">
            <w:pPr>
              <w:keepNext/>
              <w:suppressAutoHyphens w:val="0"/>
              <w:spacing w:line="240" w:lineRule="auto"/>
              <w:jc w:val="center"/>
              <w:rPr>
                <w:rFonts w:eastAsia="Times New Roman"/>
                <w:i/>
                <w:iCs/>
                <w:color w:val="000000"/>
                <w:spacing w:val="0"/>
                <w:w w:val="100"/>
                <w:kern w:val="0"/>
                <w:sz w:val="16"/>
                <w:szCs w:val="16"/>
              </w:rPr>
            </w:pPr>
            <w:r>
              <w:rPr>
                <w:rFonts w:eastAsia="Times New Roman"/>
                <w:i/>
                <w:iCs/>
                <w:color w:val="000000"/>
                <w:spacing w:val="0"/>
                <w:w w:val="100"/>
                <w:kern w:val="0"/>
                <w:sz w:val="16"/>
                <w:szCs w:val="16"/>
              </w:rPr>
              <w:t>I</w:t>
            </w:r>
            <w:r w:rsidR="006D1085" w:rsidRPr="00B664C6">
              <w:rPr>
                <w:rFonts w:eastAsia="Times New Roman"/>
                <w:i/>
                <w:iCs/>
                <w:color w:val="000000"/>
                <w:spacing w:val="0"/>
                <w:w w:val="100"/>
                <w:kern w:val="0"/>
                <w:sz w:val="16"/>
                <w:szCs w:val="16"/>
              </w:rPr>
              <w:t>ncrease/ (</w:t>
            </w:r>
            <w:r>
              <w:rPr>
                <w:rFonts w:eastAsia="Times New Roman"/>
                <w:i/>
                <w:iCs/>
                <w:color w:val="000000"/>
                <w:spacing w:val="0"/>
                <w:w w:val="100"/>
                <w:kern w:val="0"/>
                <w:sz w:val="16"/>
                <w:szCs w:val="16"/>
              </w:rPr>
              <w:t>D</w:t>
            </w:r>
            <w:r w:rsidR="006D1085" w:rsidRPr="00B664C6">
              <w:rPr>
                <w:rFonts w:eastAsia="Times New Roman"/>
                <w:i/>
                <w:iCs/>
                <w:color w:val="000000"/>
                <w:spacing w:val="0"/>
                <w:w w:val="100"/>
                <w:kern w:val="0"/>
                <w:sz w:val="16"/>
                <w:szCs w:val="16"/>
              </w:rPr>
              <w:t>ecrease)</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6F0098A1" w14:textId="10C4C060" w:rsidR="006D1085" w:rsidRPr="00B664C6" w:rsidRDefault="006D1085" w:rsidP="006D1085">
            <w:pPr>
              <w:keepNext/>
              <w:suppressAutoHyphens w:val="0"/>
              <w:spacing w:line="240" w:lineRule="auto"/>
              <w:ind w:right="-9"/>
              <w:jc w:val="center"/>
              <w:rPr>
                <w:rFonts w:eastAsia="Times New Roman"/>
                <w:i/>
                <w:iCs/>
                <w:color w:val="000000"/>
                <w:spacing w:val="0"/>
                <w:w w:val="100"/>
                <w:kern w:val="0"/>
                <w:sz w:val="16"/>
                <w:szCs w:val="16"/>
              </w:rPr>
            </w:pPr>
            <w:r w:rsidRPr="00B664C6">
              <w:rPr>
                <w:rFonts w:eastAsia="Times New Roman"/>
                <w:i/>
                <w:iCs/>
                <w:color w:val="000000"/>
                <w:spacing w:val="0"/>
                <w:w w:val="100"/>
                <w:kern w:val="0"/>
                <w:sz w:val="16"/>
                <w:szCs w:val="16"/>
              </w:rPr>
              <w:t>Percentage change</w:t>
            </w:r>
          </w:p>
        </w:tc>
      </w:tr>
      <w:tr w:rsidR="006D1085" w:rsidRPr="00B664C6" w14:paraId="1354490B" w14:textId="77777777" w:rsidTr="39D02343">
        <w:trPr>
          <w:trHeight w:val="281"/>
        </w:trPr>
        <w:tc>
          <w:tcPr>
            <w:tcW w:w="3575" w:type="dxa"/>
            <w:tcBorders>
              <w:top w:val="nil"/>
              <w:left w:val="single" w:sz="4" w:space="0" w:color="auto"/>
              <w:bottom w:val="nil"/>
              <w:right w:val="nil"/>
            </w:tcBorders>
            <w:shd w:val="clear" w:color="auto" w:fill="auto"/>
            <w:noWrap/>
            <w:vAlign w:val="center"/>
            <w:hideMark/>
          </w:tcPr>
          <w:p w14:paraId="780DE753" w14:textId="77777777" w:rsidR="006D1085" w:rsidRPr="00B664C6" w:rsidRDefault="006D1085" w:rsidP="003F5F37">
            <w:pPr>
              <w:keepNext/>
              <w:suppressAutoHyphens w:val="0"/>
              <w:spacing w:line="240" w:lineRule="auto"/>
              <w:rPr>
                <w:rFonts w:eastAsia="Times New Roman"/>
                <w:b/>
                <w:bCs/>
                <w:color w:val="000000"/>
                <w:spacing w:val="0"/>
                <w:w w:val="100"/>
                <w:kern w:val="0"/>
                <w:sz w:val="16"/>
                <w:szCs w:val="16"/>
              </w:rPr>
            </w:pPr>
            <w:r w:rsidRPr="00B664C6">
              <w:rPr>
                <w:rFonts w:eastAsia="Times New Roman"/>
                <w:b/>
                <w:bCs/>
                <w:color w:val="000000"/>
                <w:spacing w:val="0"/>
                <w:w w:val="100"/>
                <w:kern w:val="0"/>
                <w:sz w:val="16"/>
                <w:szCs w:val="16"/>
              </w:rPr>
              <w:t xml:space="preserve">Expenses </w:t>
            </w:r>
          </w:p>
        </w:tc>
        <w:tc>
          <w:tcPr>
            <w:tcW w:w="936" w:type="dxa"/>
            <w:tcBorders>
              <w:top w:val="single" w:sz="4" w:space="0" w:color="auto"/>
              <w:left w:val="single" w:sz="4" w:space="0" w:color="auto"/>
              <w:bottom w:val="nil"/>
              <w:right w:val="single" w:sz="4" w:space="0" w:color="auto"/>
            </w:tcBorders>
          </w:tcPr>
          <w:p w14:paraId="3C4DBDC6" w14:textId="77777777" w:rsidR="006D1085" w:rsidRPr="00B664C6" w:rsidRDefault="006D1085" w:rsidP="003F5F37">
            <w:pPr>
              <w:keepNext/>
              <w:suppressAutoHyphens w:val="0"/>
              <w:spacing w:line="240" w:lineRule="auto"/>
              <w:rPr>
                <w:rFonts w:eastAsia="Times New Roman"/>
                <w:color w:val="000000"/>
                <w:spacing w:val="0"/>
                <w:w w:val="100"/>
                <w:kern w:val="0"/>
                <w:sz w:val="16"/>
                <w:szCs w:val="16"/>
              </w:rPr>
            </w:pPr>
          </w:p>
        </w:tc>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8704866" w14:textId="7D017761" w:rsidR="006D1085" w:rsidRPr="00B664C6" w:rsidRDefault="006D1085" w:rsidP="003F5F37">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w:t>
            </w:r>
          </w:p>
        </w:tc>
        <w:tc>
          <w:tcPr>
            <w:tcW w:w="936" w:type="dxa"/>
            <w:tcBorders>
              <w:top w:val="nil"/>
              <w:left w:val="single" w:sz="4" w:space="0" w:color="000000" w:themeColor="text1"/>
              <w:bottom w:val="nil"/>
              <w:right w:val="single" w:sz="4" w:space="0" w:color="000000" w:themeColor="text1"/>
            </w:tcBorders>
            <w:shd w:val="clear" w:color="auto" w:fill="auto"/>
            <w:noWrap/>
            <w:vAlign w:val="bottom"/>
            <w:hideMark/>
          </w:tcPr>
          <w:p w14:paraId="1DD28FBB" w14:textId="77777777" w:rsidR="006D1085" w:rsidRPr="00B664C6" w:rsidRDefault="006D1085" w:rsidP="003F5F37">
            <w:pPr>
              <w:keepNext/>
              <w:suppressAutoHyphens w:val="0"/>
              <w:spacing w:line="240" w:lineRule="auto"/>
              <w:rPr>
                <w:rFonts w:eastAsia="Times New Roman"/>
                <w:color w:val="000000"/>
                <w:spacing w:val="0"/>
                <w:w w:val="100"/>
                <w:kern w:val="0"/>
                <w:sz w:val="14"/>
                <w:szCs w:val="14"/>
              </w:rPr>
            </w:pPr>
            <w:r w:rsidRPr="00B664C6">
              <w:rPr>
                <w:rFonts w:eastAsia="Times New Roman"/>
                <w:color w:val="000000"/>
                <w:spacing w:val="0"/>
                <w:w w:val="100"/>
                <w:kern w:val="0"/>
                <w:sz w:val="14"/>
                <w:szCs w:val="14"/>
              </w:rPr>
              <w:t> </w:t>
            </w:r>
          </w:p>
        </w:tc>
        <w:tc>
          <w:tcPr>
            <w:tcW w:w="958" w:type="dxa"/>
            <w:tcBorders>
              <w:top w:val="nil"/>
              <w:left w:val="nil"/>
              <w:bottom w:val="nil"/>
              <w:right w:val="single" w:sz="4" w:space="0" w:color="auto"/>
            </w:tcBorders>
            <w:shd w:val="clear" w:color="auto" w:fill="auto"/>
            <w:noWrap/>
            <w:vAlign w:val="bottom"/>
            <w:hideMark/>
          </w:tcPr>
          <w:p w14:paraId="31E0ACDC" w14:textId="77777777" w:rsidR="006D1085" w:rsidRPr="00B664C6" w:rsidRDefault="006D1085" w:rsidP="003F5F37">
            <w:pPr>
              <w:keepNext/>
              <w:suppressAutoHyphens w:val="0"/>
              <w:spacing w:line="240" w:lineRule="auto"/>
              <w:rPr>
                <w:rFonts w:eastAsia="Times New Roman"/>
                <w:color w:val="000000"/>
                <w:spacing w:val="0"/>
                <w:w w:val="100"/>
                <w:kern w:val="0"/>
                <w:sz w:val="14"/>
                <w:szCs w:val="14"/>
              </w:rPr>
            </w:pPr>
            <w:r w:rsidRPr="00B664C6">
              <w:rPr>
                <w:rFonts w:eastAsia="Times New Roman"/>
                <w:color w:val="000000"/>
                <w:spacing w:val="0"/>
                <w:w w:val="100"/>
                <w:kern w:val="0"/>
                <w:sz w:val="14"/>
                <w:szCs w:val="14"/>
              </w:rPr>
              <w:t> </w:t>
            </w:r>
          </w:p>
        </w:tc>
      </w:tr>
      <w:tr w:rsidR="006D1085" w:rsidRPr="00B664C6" w14:paraId="7CBA1051" w14:textId="77777777" w:rsidTr="39D02343">
        <w:trPr>
          <w:trHeight w:val="24"/>
        </w:trPr>
        <w:tc>
          <w:tcPr>
            <w:tcW w:w="3575" w:type="dxa"/>
            <w:tcBorders>
              <w:top w:val="nil"/>
              <w:left w:val="single" w:sz="4" w:space="0" w:color="auto"/>
              <w:bottom w:val="nil"/>
              <w:right w:val="nil"/>
            </w:tcBorders>
            <w:shd w:val="clear" w:color="auto" w:fill="auto"/>
            <w:noWrap/>
            <w:vAlign w:val="center"/>
            <w:hideMark/>
          </w:tcPr>
          <w:p w14:paraId="2382EBA9" w14:textId="77777777" w:rsidR="006D1085" w:rsidRPr="00B664C6" w:rsidRDefault="006D1085" w:rsidP="003F5F37">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Development activities</w:t>
            </w:r>
          </w:p>
        </w:tc>
        <w:tc>
          <w:tcPr>
            <w:tcW w:w="936" w:type="dxa"/>
            <w:tcBorders>
              <w:top w:val="nil"/>
              <w:left w:val="single" w:sz="4" w:space="0" w:color="auto"/>
              <w:bottom w:val="nil"/>
              <w:right w:val="single" w:sz="4" w:space="0" w:color="auto"/>
            </w:tcBorders>
          </w:tcPr>
          <w:p w14:paraId="3D28E684" w14:textId="77777777" w:rsidR="006D1085" w:rsidRPr="00B664C6" w:rsidRDefault="006D1085" w:rsidP="003F5F37">
            <w:pPr>
              <w:keepNext/>
              <w:suppressAutoHyphens w:val="0"/>
              <w:spacing w:line="240" w:lineRule="auto"/>
              <w:rPr>
                <w:rFonts w:eastAsia="Times New Roman"/>
                <w:color w:val="000000"/>
                <w:spacing w:val="0"/>
                <w:w w:val="100"/>
                <w:kern w:val="0"/>
                <w:sz w:val="16"/>
                <w:szCs w:val="16"/>
              </w:rPr>
            </w:pPr>
          </w:p>
        </w:tc>
        <w:tc>
          <w:tcPr>
            <w:tcW w:w="936" w:type="dxa"/>
            <w:tcBorders>
              <w:top w:val="nil"/>
              <w:left w:val="single" w:sz="4" w:space="0" w:color="auto"/>
              <w:bottom w:val="nil"/>
              <w:right w:val="single" w:sz="4" w:space="0" w:color="auto"/>
            </w:tcBorders>
            <w:shd w:val="clear" w:color="auto" w:fill="auto"/>
            <w:noWrap/>
            <w:vAlign w:val="bottom"/>
            <w:hideMark/>
          </w:tcPr>
          <w:p w14:paraId="709782DD" w14:textId="31524B8B" w:rsidR="006D1085" w:rsidRPr="00B664C6" w:rsidRDefault="006D1085" w:rsidP="003F5F37">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w:t>
            </w:r>
          </w:p>
        </w:tc>
        <w:tc>
          <w:tcPr>
            <w:tcW w:w="936" w:type="dxa"/>
            <w:tcBorders>
              <w:top w:val="nil"/>
              <w:left w:val="single" w:sz="4" w:space="0" w:color="000000" w:themeColor="text1"/>
              <w:bottom w:val="nil"/>
              <w:right w:val="single" w:sz="4" w:space="0" w:color="000000" w:themeColor="text1"/>
            </w:tcBorders>
            <w:shd w:val="clear" w:color="auto" w:fill="auto"/>
            <w:noWrap/>
            <w:vAlign w:val="bottom"/>
            <w:hideMark/>
          </w:tcPr>
          <w:p w14:paraId="13BC3FBA" w14:textId="77777777" w:rsidR="006D1085" w:rsidRPr="00B664C6" w:rsidRDefault="006D1085" w:rsidP="003F5F37">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w:t>
            </w:r>
          </w:p>
        </w:tc>
        <w:tc>
          <w:tcPr>
            <w:tcW w:w="958" w:type="dxa"/>
            <w:tcBorders>
              <w:top w:val="nil"/>
              <w:left w:val="nil"/>
              <w:bottom w:val="nil"/>
              <w:right w:val="single" w:sz="4" w:space="0" w:color="auto"/>
            </w:tcBorders>
            <w:shd w:val="clear" w:color="auto" w:fill="auto"/>
            <w:noWrap/>
            <w:vAlign w:val="bottom"/>
            <w:hideMark/>
          </w:tcPr>
          <w:p w14:paraId="37E58F5F" w14:textId="77777777" w:rsidR="006D1085" w:rsidRPr="00B664C6" w:rsidRDefault="006D1085" w:rsidP="003F5F37">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w:t>
            </w:r>
          </w:p>
        </w:tc>
      </w:tr>
      <w:tr w:rsidR="00BB319A" w:rsidRPr="00B664C6" w14:paraId="5283B7C4" w14:textId="77777777" w:rsidTr="000D23F2">
        <w:trPr>
          <w:trHeight w:val="24"/>
        </w:trPr>
        <w:tc>
          <w:tcPr>
            <w:tcW w:w="3575" w:type="dxa"/>
            <w:tcBorders>
              <w:top w:val="nil"/>
              <w:left w:val="single" w:sz="4" w:space="0" w:color="auto"/>
              <w:bottom w:val="nil"/>
              <w:right w:val="nil"/>
            </w:tcBorders>
            <w:shd w:val="clear" w:color="auto" w:fill="auto"/>
            <w:noWrap/>
            <w:vAlign w:val="center"/>
            <w:hideMark/>
          </w:tcPr>
          <w:p w14:paraId="0910E758"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     Programme</w:t>
            </w:r>
          </w:p>
        </w:tc>
        <w:tc>
          <w:tcPr>
            <w:tcW w:w="936" w:type="dxa"/>
            <w:tcBorders>
              <w:top w:val="nil"/>
              <w:left w:val="single" w:sz="4" w:space="0" w:color="auto"/>
              <w:right w:val="single" w:sz="4" w:space="0" w:color="auto"/>
            </w:tcBorders>
          </w:tcPr>
          <w:p w14:paraId="10CF1D55" w14:textId="3CC70D1B"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rFonts w:eastAsia="Times New Roman"/>
                <w:color w:val="000000"/>
                <w:spacing w:val="0"/>
                <w:w w:val="100"/>
                <w:kern w:val="0"/>
                <w:sz w:val="16"/>
                <w:szCs w:val="16"/>
              </w:rPr>
              <w:t>4</w:t>
            </w:r>
            <w:r w:rsidR="007861D0">
              <w:rPr>
                <w:rFonts w:eastAsia="Times New Roman"/>
                <w:color w:val="000000"/>
                <w:spacing w:val="0"/>
                <w:w w:val="100"/>
                <w:kern w:val="0"/>
                <w:sz w:val="16"/>
                <w:szCs w:val="16"/>
              </w:rPr>
              <w:t xml:space="preserve"> </w:t>
            </w:r>
            <w:r>
              <w:rPr>
                <w:rFonts w:eastAsia="Times New Roman"/>
                <w:color w:val="000000"/>
                <w:spacing w:val="0"/>
                <w:w w:val="100"/>
                <w:kern w:val="0"/>
                <w:sz w:val="16"/>
                <w:szCs w:val="16"/>
              </w:rPr>
              <w:t>6</w:t>
            </w:r>
            <w:r w:rsidR="001F3353">
              <w:rPr>
                <w:rFonts w:eastAsia="Times New Roman"/>
                <w:color w:val="000000"/>
                <w:spacing w:val="0"/>
                <w:w w:val="100"/>
                <w:kern w:val="0"/>
                <w:sz w:val="16"/>
                <w:szCs w:val="16"/>
              </w:rPr>
              <w:t>3</w:t>
            </w:r>
            <w:r w:rsidR="00664B16">
              <w:rPr>
                <w:rFonts w:eastAsia="Times New Roman"/>
                <w:color w:val="000000"/>
                <w:spacing w:val="0"/>
                <w:w w:val="100"/>
                <w:kern w:val="0"/>
                <w:sz w:val="16"/>
                <w:szCs w:val="16"/>
              </w:rPr>
              <w:t>2</w:t>
            </w:r>
          </w:p>
        </w:tc>
        <w:tc>
          <w:tcPr>
            <w:tcW w:w="936" w:type="dxa"/>
            <w:tcBorders>
              <w:top w:val="nil"/>
              <w:left w:val="single" w:sz="4" w:space="0" w:color="auto"/>
              <w:right w:val="single" w:sz="4" w:space="0" w:color="auto"/>
            </w:tcBorders>
            <w:shd w:val="clear" w:color="auto" w:fill="auto"/>
            <w:noWrap/>
            <w:hideMark/>
          </w:tcPr>
          <w:p w14:paraId="6887CE71" w14:textId="3B4EA2C5"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rFonts w:eastAsia="Times New Roman"/>
                <w:color w:val="000000"/>
                <w:spacing w:val="0"/>
                <w:w w:val="100"/>
                <w:kern w:val="0"/>
                <w:sz w:val="16"/>
                <w:szCs w:val="16"/>
              </w:rPr>
              <w:t>4</w:t>
            </w:r>
            <w:r w:rsidR="007861D0">
              <w:rPr>
                <w:rFonts w:eastAsia="Times New Roman"/>
                <w:color w:val="000000"/>
                <w:spacing w:val="0"/>
                <w:w w:val="100"/>
                <w:kern w:val="0"/>
                <w:sz w:val="16"/>
                <w:szCs w:val="16"/>
              </w:rPr>
              <w:t xml:space="preserve"> </w:t>
            </w:r>
            <w:r>
              <w:rPr>
                <w:rFonts w:eastAsia="Times New Roman"/>
                <w:color w:val="000000"/>
                <w:spacing w:val="0"/>
                <w:w w:val="100"/>
                <w:kern w:val="0"/>
                <w:sz w:val="16"/>
                <w:szCs w:val="16"/>
              </w:rPr>
              <w:t>652</w:t>
            </w:r>
          </w:p>
        </w:tc>
        <w:tc>
          <w:tcPr>
            <w:tcW w:w="936" w:type="dxa"/>
            <w:tcBorders>
              <w:top w:val="nil"/>
              <w:left w:val="single" w:sz="4" w:space="0" w:color="000000" w:themeColor="text1"/>
              <w:right w:val="single" w:sz="4" w:space="0" w:color="000000" w:themeColor="text1"/>
            </w:tcBorders>
            <w:shd w:val="clear" w:color="auto" w:fill="auto"/>
            <w:noWrap/>
          </w:tcPr>
          <w:p w14:paraId="6CEDCE61" w14:textId="52C730DD" w:rsidR="00BB319A" w:rsidRPr="00B664C6" w:rsidRDefault="00111AA7" w:rsidP="00BB319A">
            <w:pPr>
              <w:keepNext/>
              <w:suppressAutoHyphens w:val="0"/>
              <w:spacing w:line="240" w:lineRule="auto"/>
              <w:jc w:val="right"/>
              <w:rPr>
                <w:rFonts w:eastAsia="Times New Roman"/>
                <w:color w:val="000000"/>
                <w:spacing w:val="0"/>
                <w:w w:val="100"/>
                <w:kern w:val="0"/>
                <w:sz w:val="16"/>
                <w:szCs w:val="16"/>
              </w:rPr>
            </w:pPr>
            <w:r w:rsidRPr="00B74B3F">
              <w:rPr>
                <w:rFonts w:eastAsia="Times New Roman"/>
                <w:color w:val="000000"/>
                <w:spacing w:val="0"/>
                <w:w w:val="100"/>
                <w:kern w:val="0"/>
                <w:sz w:val="16"/>
                <w:szCs w:val="16"/>
              </w:rPr>
              <w:t>(</w:t>
            </w:r>
            <w:r w:rsidR="002A6FCA" w:rsidRPr="00B74B3F">
              <w:rPr>
                <w:rFonts w:eastAsia="Times New Roman"/>
                <w:color w:val="000000"/>
                <w:spacing w:val="0"/>
                <w:w w:val="100"/>
                <w:kern w:val="0"/>
                <w:sz w:val="16"/>
                <w:szCs w:val="16"/>
              </w:rPr>
              <w:t>19</w:t>
            </w:r>
            <w:r w:rsidRPr="00B74B3F">
              <w:rPr>
                <w:rFonts w:eastAsia="Times New Roman"/>
                <w:color w:val="000000"/>
                <w:spacing w:val="0"/>
                <w:w w:val="100"/>
                <w:kern w:val="0"/>
                <w:sz w:val="16"/>
                <w:szCs w:val="16"/>
              </w:rPr>
              <w:t>)</w:t>
            </w:r>
            <w:r w:rsidR="008240C2">
              <w:rPr>
                <w:rFonts w:eastAsia="Times New Roman"/>
                <w:color w:val="000000"/>
                <w:spacing w:val="0"/>
                <w:w w:val="100"/>
                <w:kern w:val="0"/>
                <w:sz w:val="16"/>
                <w:szCs w:val="16"/>
              </w:rPr>
              <w:t xml:space="preserve"> </w:t>
            </w:r>
          </w:p>
        </w:tc>
        <w:tc>
          <w:tcPr>
            <w:tcW w:w="958" w:type="dxa"/>
            <w:tcBorders>
              <w:top w:val="nil"/>
              <w:left w:val="nil"/>
              <w:right w:val="single" w:sz="4" w:space="0" w:color="auto"/>
            </w:tcBorders>
            <w:shd w:val="clear" w:color="auto" w:fill="auto"/>
            <w:noWrap/>
          </w:tcPr>
          <w:p w14:paraId="7A1353D3" w14:textId="3EAA6B32" w:rsidR="00BB319A" w:rsidRPr="00B664C6" w:rsidRDefault="00593C54"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w:t>
            </w:r>
            <w:r w:rsidR="00BB319A" w:rsidRPr="00B664C6">
              <w:rPr>
                <w:rFonts w:eastAsia="Times New Roman"/>
                <w:color w:val="000000"/>
                <w:spacing w:val="0"/>
                <w:w w:val="100"/>
                <w:kern w:val="0"/>
                <w:sz w:val="16"/>
                <w:szCs w:val="16"/>
              </w:rPr>
              <w:t>%</w:t>
            </w:r>
            <w:r w:rsidR="001171B6">
              <w:rPr>
                <w:rFonts w:eastAsia="Times New Roman"/>
                <w:color w:val="000000"/>
                <w:spacing w:val="0"/>
                <w:w w:val="100"/>
                <w:kern w:val="0"/>
                <w:sz w:val="16"/>
                <w:szCs w:val="16"/>
              </w:rPr>
              <w:t>)</w:t>
            </w:r>
          </w:p>
        </w:tc>
      </w:tr>
      <w:tr w:rsidR="00B67DCE" w:rsidRPr="00B664C6" w14:paraId="3A2A6186" w14:textId="77777777" w:rsidTr="000D23F2">
        <w:trPr>
          <w:trHeight w:val="24"/>
        </w:trPr>
        <w:tc>
          <w:tcPr>
            <w:tcW w:w="3575" w:type="dxa"/>
            <w:tcBorders>
              <w:top w:val="nil"/>
              <w:left w:val="single" w:sz="4" w:space="0" w:color="auto"/>
              <w:bottom w:val="nil"/>
              <w:right w:val="nil"/>
            </w:tcBorders>
            <w:shd w:val="clear" w:color="auto" w:fill="auto"/>
            <w:noWrap/>
            <w:vAlign w:val="center"/>
          </w:tcPr>
          <w:p w14:paraId="515C01D9" w14:textId="6865C0E9" w:rsidR="00B67DCE" w:rsidRPr="00B664C6" w:rsidRDefault="00E20A92" w:rsidP="00BB319A">
            <w:pPr>
              <w:keepNext/>
              <w:suppressAutoHyphens w:val="0"/>
              <w:spacing w:line="240" w:lineRule="auto"/>
              <w:rPr>
                <w:rFonts w:eastAsia="Times New Roman"/>
                <w:color w:val="000000"/>
                <w:spacing w:val="0"/>
                <w:w w:val="100"/>
                <w:kern w:val="0"/>
                <w:sz w:val="16"/>
                <w:szCs w:val="16"/>
              </w:rPr>
            </w:pPr>
            <w:r>
              <w:rPr>
                <w:rFonts w:eastAsia="Times New Roman"/>
                <w:color w:val="000000"/>
                <w:spacing w:val="0"/>
                <w:w w:val="100"/>
                <w:kern w:val="0"/>
                <w:sz w:val="16"/>
                <w:szCs w:val="16"/>
              </w:rPr>
              <w:t xml:space="preserve">     </w:t>
            </w:r>
            <w:r w:rsidRPr="00E20A92">
              <w:rPr>
                <w:rFonts w:eastAsia="Times New Roman"/>
                <w:color w:val="000000"/>
                <w:spacing w:val="0"/>
                <w:w w:val="100"/>
                <w:kern w:val="0"/>
                <w:sz w:val="16"/>
                <w:szCs w:val="16"/>
              </w:rPr>
              <w:t>Operational support to programme</w:t>
            </w:r>
          </w:p>
        </w:tc>
        <w:tc>
          <w:tcPr>
            <w:tcW w:w="936" w:type="dxa"/>
            <w:tcBorders>
              <w:top w:val="nil"/>
              <w:left w:val="single" w:sz="4" w:space="0" w:color="auto"/>
              <w:right w:val="single" w:sz="4" w:space="0" w:color="auto"/>
            </w:tcBorders>
          </w:tcPr>
          <w:p w14:paraId="51BFC81C" w14:textId="2153201A" w:rsidR="00B67DCE" w:rsidRDefault="00E20A92"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32</w:t>
            </w:r>
          </w:p>
        </w:tc>
        <w:tc>
          <w:tcPr>
            <w:tcW w:w="936" w:type="dxa"/>
            <w:tcBorders>
              <w:top w:val="nil"/>
              <w:left w:val="single" w:sz="4" w:space="0" w:color="auto"/>
              <w:right w:val="single" w:sz="4" w:space="0" w:color="auto"/>
            </w:tcBorders>
            <w:shd w:val="clear" w:color="auto" w:fill="auto"/>
            <w:noWrap/>
          </w:tcPr>
          <w:p w14:paraId="456CB1B0" w14:textId="05CB3264" w:rsidR="00B67DCE" w:rsidRDefault="00E20A92"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p>
        </w:tc>
        <w:tc>
          <w:tcPr>
            <w:tcW w:w="936" w:type="dxa"/>
            <w:tcBorders>
              <w:top w:val="nil"/>
              <w:left w:val="nil"/>
              <w:right w:val="single" w:sz="4" w:space="0" w:color="000000" w:themeColor="text1"/>
            </w:tcBorders>
            <w:shd w:val="clear" w:color="auto" w:fill="auto"/>
            <w:noWrap/>
          </w:tcPr>
          <w:p w14:paraId="75E98CC5" w14:textId="2AEB79F4" w:rsidR="00B67DCE" w:rsidRDefault="00111AA7"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32</w:t>
            </w:r>
          </w:p>
        </w:tc>
        <w:tc>
          <w:tcPr>
            <w:tcW w:w="958" w:type="dxa"/>
            <w:tcBorders>
              <w:top w:val="nil"/>
              <w:left w:val="nil"/>
              <w:right w:val="single" w:sz="4" w:space="0" w:color="auto"/>
            </w:tcBorders>
            <w:shd w:val="clear" w:color="auto" w:fill="auto"/>
            <w:noWrap/>
          </w:tcPr>
          <w:p w14:paraId="1BCA479F" w14:textId="49B8AE8B" w:rsidR="00B67DCE" w:rsidRDefault="00E20A92"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p>
        </w:tc>
      </w:tr>
      <w:tr w:rsidR="00BB319A" w:rsidRPr="00B664C6" w14:paraId="7F63707F" w14:textId="77777777" w:rsidTr="000D23F2">
        <w:trPr>
          <w:trHeight w:val="24"/>
        </w:trPr>
        <w:tc>
          <w:tcPr>
            <w:tcW w:w="3575" w:type="dxa"/>
            <w:tcBorders>
              <w:top w:val="nil"/>
              <w:left w:val="single" w:sz="4" w:space="0" w:color="auto"/>
              <w:bottom w:val="nil"/>
              <w:right w:val="nil"/>
            </w:tcBorders>
            <w:shd w:val="clear" w:color="auto" w:fill="auto"/>
            <w:noWrap/>
            <w:vAlign w:val="center"/>
            <w:hideMark/>
          </w:tcPr>
          <w:p w14:paraId="222DCC9F"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 xml:space="preserve">     Development effectiveness</w:t>
            </w:r>
          </w:p>
        </w:tc>
        <w:tc>
          <w:tcPr>
            <w:tcW w:w="936" w:type="dxa"/>
            <w:tcBorders>
              <w:left w:val="single" w:sz="4" w:space="0" w:color="auto"/>
              <w:bottom w:val="single" w:sz="4" w:space="0" w:color="auto"/>
              <w:right w:val="single" w:sz="4" w:space="0" w:color="auto"/>
            </w:tcBorders>
          </w:tcPr>
          <w:p w14:paraId="30EEA7BA" w14:textId="2ADF3FFF" w:rsidR="00BB319A" w:rsidRPr="00B664C6" w:rsidRDefault="00665E11"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188</w:t>
            </w:r>
          </w:p>
        </w:tc>
        <w:tc>
          <w:tcPr>
            <w:tcW w:w="936" w:type="dxa"/>
            <w:tcBorders>
              <w:left w:val="single" w:sz="4" w:space="0" w:color="auto"/>
              <w:bottom w:val="single" w:sz="4" w:space="0" w:color="auto"/>
              <w:right w:val="single" w:sz="4" w:space="0" w:color="auto"/>
            </w:tcBorders>
            <w:shd w:val="clear" w:color="auto" w:fill="auto"/>
            <w:noWrap/>
            <w:hideMark/>
          </w:tcPr>
          <w:p w14:paraId="520FB140" w14:textId="51A6E384"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209</w:t>
            </w:r>
          </w:p>
        </w:tc>
        <w:tc>
          <w:tcPr>
            <w:tcW w:w="936" w:type="dxa"/>
            <w:tcBorders>
              <w:left w:val="nil"/>
              <w:bottom w:val="single" w:sz="4" w:space="0" w:color="auto"/>
              <w:right w:val="single" w:sz="4" w:space="0" w:color="000000" w:themeColor="text1"/>
            </w:tcBorders>
            <w:shd w:val="clear" w:color="auto" w:fill="auto"/>
            <w:noWrap/>
          </w:tcPr>
          <w:p w14:paraId="58921A52" w14:textId="0A731C8B" w:rsidR="00BB319A" w:rsidRPr="00B664C6" w:rsidRDefault="00111AA7"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(21)</w:t>
            </w:r>
          </w:p>
        </w:tc>
        <w:tc>
          <w:tcPr>
            <w:tcW w:w="958" w:type="dxa"/>
            <w:tcBorders>
              <w:left w:val="nil"/>
              <w:bottom w:val="single" w:sz="4" w:space="0" w:color="auto"/>
              <w:right w:val="single" w:sz="4" w:space="0" w:color="auto"/>
            </w:tcBorders>
            <w:shd w:val="clear" w:color="auto" w:fill="auto"/>
            <w:noWrap/>
          </w:tcPr>
          <w:p w14:paraId="7808A9B5" w14:textId="7D1AAEF3" w:rsidR="00BB319A" w:rsidRPr="00B664C6" w:rsidRDefault="00E47639"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(10</w:t>
            </w:r>
            <w:r w:rsidR="00BB319A" w:rsidRPr="00B664C6">
              <w:rPr>
                <w:rFonts w:eastAsia="Times New Roman"/>
                <w:color w:val="000000"/>
                <w:spacing w:val="0"/>
                <w:w w:val="100"/>
                <w:kern w:val="0"/>
                <w:sz w:val="16"/>
                <w:szCs w:val="16"/>
              </w:rPr>
              <w:t>%</w:t>
            </w:r>
            <w:r>
              <w:rPr>
                <w:rFonts w:eastAsia="Times New Roman"/>
                <w:color w:val="000000"/>
                <w:spacing w:val="0"/>
                <w:w w:val="100"/>
                <w:kern w:val="0"/>
                <w:sz w:val="16"/>
                <w:szCs w:val="16"/>
              </w:rPr>
              <w:t>)</w:t>
            </w:r>
          </w:p>
        </w:tc>
      </w:tr>
      <w:tr w:rsidR="00BB319A" w:rsidRPr="00B664C6" w14:paraId="1E2A670F" w14:textId="77777777" w:rsidTr="39D02343">
        <w:trPr>
          <w:trHeight w:val="24"/>
        </w:trPr>
        <w:tc>
          <w:tcPr>
            <w:tcW w:w="3575" w:type="dxa"/>
            <w:tcBorders>
              <w:top w:val="nil"/>
              <w:left w:val="single" w:sz="4" w:space="0" w:color="auto"/>
              <w:bottom w:val="nil"/>
              <w:right w:val="nil"/>
            </w:tcBorders>
            <w:shd w:val="clear" w:color="auto" w:fill="auto"/>
            <w:noWrap/>
            <w:vAlign w:val="center"/>
            <w:hideMark/>
          </w:tcPr>
          <w:p w14:paraId="24DFC022" w14:textId="2938C0C9"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Subtotal – development activities</w:t>
            </w:r>
          </w:p>
        </w:tc>
        <w:tc>
          <w:tcPr>
            <w:tcW w:w="936" w:type="dxa"/>
            <w:tcBorders>
              <w:top w:val="nil"/>
              <w:left w:val="single" w:sz="4" w:space="0" w:color="auto"/>
              <w:bottom w:val="nil"/>
              <w:right w:val="single" w:sz="4" w:space="0" w:color="auto"/>
            </w:tcBorders>
          </w:tcPr>
          <w:p w14:paraId="148367C1" w14:textId="0E03F9C8"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rFonts w:eastAsia="Times New Roman"/>
                <w:color w:val="000000"/>
                <w:spacing w:val="0"/>
                <w:w w:val="100"/>
                <w:kern w:val="0"/>
                <w:sz w:val="16"/>
                <w:szCs w:val="16"/>
              </w:rPr>
              <w:t>4</w:t>
            </w:r>
            <w:r w:rsidR="007861D0">
              <w:rPr>
                <w:rFonts w:eastAsia="Times New Roman"/>
                <w:color w:val="000000"/>
                <w:spacing w:val="0"/>
                <w:w w:val="100"/>
                <w:kern w:val="0"/>
                <w:sz w:val="16"/>
                <w:szCs w:val="16"/>
              </w:rPr>
              <w:t xml:space="preserve"> </w:t>
            </w:r>
            <w:r>
              <w:rPr>
                <w:rFonts w:eastAsia="Times New Roman"/>
                <w:color w:val="000000"/>
                <w:spacing w:val="0"/>
                <w:w w:val="100"/>
                <w:kern w:val="0"/>
                <w:sz w:val="16"/>
                <w:szCs w:val="16"/>
              </w:rPr>
              <w:t>8</w:t>
            </w:r>
            <w:r w:rsidR="00665E11">
              <w:rPr>
                <w:rFonts w:eastAsia="Times New Roman"/>
                <w:color w:val="000000"/>
                <w:spacing w:val="0"/>
                <w:w w:val="100"/>
                <w:kern w:val="0"/>
                <w:sz w:val="16"/>
                <w:szCs w:val="16"/>
              </w:rPr>
              <w:t>52</w:t>
            </w:r>
          </w:p>
        </w:tc>
        <w:tc>
          <w:tcPr>
            <w:tcW w:w="936" w:type="dxa"/>
            <w:tcBorders>
              <w:top w:val="nil"/>
              <w:left w:val="single" w:sz="4" w:space="0" w:color="auto"/>
              <w:bottom w:val="nil"/>
              <w:right w:val="single" w:sz="4" w:space="0" w:color="auto"/>
            </w:tcBorders>
            <w:shd w:val="clear" w:color="auto" w:fill="auto"/>
            <w:noWrap/>
            <w:hideMark/>
          </w:tcPr>
          <w:p w14:paraId="36DAA5E7" w14:textId="499229C0"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rFonts w:eastAsia="Times New Roman"/>
                <w:color w:val="000000"/>
                <w:spacing w:val="0"/>
                <w:w w:val="100"/>
                <w:kern w:val="0"/>
                <w:sz w:val="16"/>
                <w:szCs w:val="16"/>
              </w:rPr>
              <w:t>4</w:t>
            </w:r>
            <w:r w:rsidR="007861D0">
              <w:rPr>
                <w:rFonts w:eastAsia="Times New Roman"/>
                <w:color w:val="000000"/>
                <w:spacing w:val="0"/>
                <w:w w:val="100"/>
                <w:kern w:val="0"/>
                <w:sz w:val="16"/>
                <w:szCs w:val="16"/>
              </w:rPr>
              <w:t xml:space="preserve"> </w:t>
            </w:r>
            <w:r>
              <w:rPr>
                <w:rFonts w:eastAsia="Times New Roman"/>
                <w:color w:val="000000"/>
                <w:spacing w:val="0"/>
                <w:w w:val="100"/>
                <w:kern w:val="0"/>
                <w:sz w:val="16"/>
                <w:szCs w:val="16"/>
              </w:rPr>
              <w:t>861</w:t>
            </w:r>
          </w:p>
        </w:tc>
        <w:tc>
          <w:tcPr>
            <w:tcW w:w="936" w:type="dxa"/>
            <w:tcBorders>
              <w:top w:val="nil"/>
              <w:left w:val="single" w:sz="4" w:space="0" w:color="000000" w:themeColor="text1"/>
              <w:bottom w:val="nil"/>
              <w:right w:val="single" w:sz="4" w:space="0" w:color="000000" w:themeColor="text1"/>
            </w:tcBorders>
            <w:shd w:val="clear" w:color="auto" w:fill="auto"/>
            <w:noWrap/>
          </w:tcPr>
          <w:p w14:paraId="1F8BCC48" w14:textId="07587828" w:rsidR="00BB319A" w:rsidRPr="00B664C6" w:rsidRDefault="00111AA7"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(9)</w:t>
            </w:r>
          </w:p>
        </w:tc>
        <w:tc>
          <w:tcPr>
            <w:tcW w:w="958" w:type="dxa"/>
            <w:tcBorders>
              <w:top w:val="nil"/>
              <w:left w:val="nil"/>
              <w:bottom w:val="nil"/>
              <w:right w:val="single" w:sz="4" w:space="0" w:color="auto"/>
            </w:tcBorders>
            <w:shd w:val="clear" w:color="auto" w:fill="auto"/>
            <w:noWrap/>
          </w:tcPr>
          <w:p w14:paraId="51289D61" w14:textId="52387895"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p>
        </w:tc>
      </w:tr>
      <w:tr w:rsidR="00BB319A" w:rsidRPr="00B664C6" w14:paraId="77755810" w14:textId="77777777" w:rsidTr="39D02343">
        <w:trPr>
          <w:trHeight w:val="24"/>
        </w:trPr>
        <w:tc>
          <w:tcPr>
            <w:tcW w:w="3575" w:type="dxa"/>
            <w:tcBorders>
              <w:top w:val="nil"/>
              <w:left w:val="single" w:sz="4" w:space="0" w:color="auto"/>
              <w:bottom w:val="nil"/>
              <w:right w:val="nil"/>
            </w:tcBorders>
            <w:shd w:val="clear" w:color="auto" w:fill="auto"/>
            <w:noWrap/>
            <w:vAlign w:val="center"/>
            <w:hideMark/>
          </w:tcPr>
          <w:p w14:paraId="5BC0759A"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United Nations development coordination activities</w:t>
            </w:r>
          </w:p>
        </w:tc>
        <w:tc>
          <w:tcPr>
            <w:tcW w:w="936" w:type="dxa"/>
            <w:tcBorders>
              <w:top w:val="nil"/>
              <w:left w:val="single" w:sz="4" w:space="0" w:color="auto"/>
              <w:bottom w:val="nil"/>
              <w:right w:val="single" w:sz="4" w:space="0" w:color="auto"/>
            </w:tcBorders>
          </w:tcPr>
          <w:p w14:paraId="12174903" w14:textId="5B76C8E4" w:rsidR="00BB319A" w:rsidRPr="00B664C6" w:rsidRDefault="00665E11"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w:t>
            </w:r>
          </w:p>
        </w:tc>
        <w:tc>
          <w:tcPr>
            <w:tcW w:w="936" w:type="dxa"/>
            <w:tcBorders>
              <w:top w:val="nil"/>
              <w:left w:val="single" w:sz="4" w:space="0" w:color="auto"/>
              <w:bottom w:val="nil"/>
              <w:right w:val="single" w:sz="4" w:space="0" w:color="auto"/>
            </w:tcBorders>
            <w:shd w:val="clear" w:color="auto" w:fill="auto"/>
            <w:noWrap/>
            <w:hideMark/>
          </w:tcPr>
          <w:p w14:paraId="016C75E8" w14:textId="7705A7B8"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21</w:t>
            </w:r>
          </w:p>
        </w:tc>
        <w:tc>
          <w:tcPr>
            <w:tcW w:w="936" w:type="dxa"/>
            <w:tcBorders>
              <w:top w:val="nil"/>
              <w:left w:val="single" w:sz="4" w:space="0" w:color="000000" w:themeColor="text1"/>
              <w:bottom w:val="nil"/>
              <w:right w:val="single" w:sz="4" w:space="0" w:color="000000" w:themeColor="text1"/>
            </w:tcBorders>
            <w:shd w:val="clear" w:color="auto" w:fill="auto"/>
            <w:noWrap/>
          </w:tcPr>
          <w:p w14:paraId="02DA394F" w14:textId="2F003654" w:rsidR="00BB319A" w:rsidRPr="00B664C6" w:rsidRDefault="00111AA7"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(21)</w:t>
            </w:r>
          </w:p>
        </w:tc>
        <w:tc>
          <w:tcPr>
            <w:tcW w:w="958" w:type="dxa"/>
            <w:tcBorders>
              <w:top w:val="nil"/>
              <w:left w:val="nil"/>
              <w:bottom w:val="nil"/>
              <w:right w:val="single" w:sz="4" w:space="0" w:color="auto"/>
            </w:tcBorders>
            <w:shd w:val="clear" w:color="auto" w:fill="auto"/>
            <w:noWrap/>
          </w:tcPr>
          <w:p w14:paraId="08D53C42" w14:textId="3631115A"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(100</w:t>
            </w:r>
            <w:r w:rsidR="00BB319A">
              <w:rPr>
                <w:rFonts w:eastAsia="Times New Roman"/>
                <w:color w:val="000000" w:themeColor="text1"/>
                <w:sz w:val="16"/>
                <w:szCs w:val="16"/>
              </w:rPr>
              <w:t>%</w:t>
            </w:r>
            <w:r>
              <w:rPr>
                <w:rFonts w:eastAsia="Times New Roman"/>
                <w:color w:val="000000" w:themeColor="text1"/>
                <w:sz w:val="16"/>
                <w:szCs w:val="16"/>
              </w:rPr>
              <w:t>)</w:t>
            </w:r>
          </w:p>
        </w:tc>
      </w:tr>
      <w:tr w:rsidR="00BB319A" w:rsidRPr="00B664C6" w14:paraId="4F1031D1" w14:textId="77777777" w:rsidTr="39D02343">
        <w:trPr>
          <w:trHeight w:val="24"/>
        </w:trPr>
        <w:tc>
          <w:tcPr>
            <w:tcW w:w="3575" w:type="dxa"/>
            <w:tcBorders>
              <w:top w:val="nil"/>
              <w:left w:val="single" w:sz="4" w:space="0" w:color="auto"/>
              <w:bottom w:val="nil"/>
              <w:right w:val="nil"/>
            </w:tcBorders>
            <w:shd w:val="clear" w:color="auto" w:fill="auto"/>
            <w:noWrap/>
            <w:vAlign w:val="center"/>
            <w:hideMark/>
          </w:tcPr>
          <w:p w14:paraId="6BC05576"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Management activities</w:t>
            </w:r>
          </w:p>
        </w:tc>
        <w:tc>
          <w:tcPr>
            <w:tcW w:w="936" w:type="dxa"/>
            <w:tcBorders>
              <w:top w:val="nil"/>
              <w:left w:val="single" w:sz="4" w:space="0" w:color="auto"/>
              <w:bottom w:val="nil"/>
              <w:right w:val="single" w:sz="4" w:space="0" w:color="auto"/>
            </w:tcBorders>
          </w:tcPr>
          <w:p w14:paraId="0F48156B" w14:textId="1373858F" w:rsidR="00BB319A" w:rsidRPr="00B664C6" w:rsidRDefault="00665E11"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46</w:t>
            </w:r>
            <w:r w:rsidR="006D32E7">
              <w:rPr>
                <w:rFonts w:eastAsia="Times New Roman"/>
                <w:color w:val="000000"/>
                <w:spacing w:val="0"/>
                <w:w w:val="100"/>
                <w:kern w:val="0"/>
                <w:sz w:val="16"/>
                <w:szCs w:val="16"/>
              </w:rPr>
              <w:t>3</w:t>
            </w:r>
          </w:p>
        </w:tc>
        <w:tc>
          <w:tcPr>
            <w:tcW w:w="936" w:type="dxa"/>
            <w:tcBorders>
              <w:top w:val="nil"/>
              <w:left w:val="single" w:sz="4" w:space="0" w:color="auto"/>
              <w:bottom w:val="nil"/>
              <w:right w:val="single" w:sz="4" w:space="0" w:color="auto"/>
            </w:tcBorders>
            <w:shd w:val="clear" w:color="auto" w:fill="auto"/>
            <w:noWrap/>
            <w:hideMark/>
          </w:tcPr>
          <w:p w14:paraId="4C9B83EE" w14:textId="51D78CF3"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4</w:t>
            </w:r>
            <w:r w:rsidR="00A60D92">
              <w:rPr>
                <w:rFonts w:eastAsia="Times New Roman"/>
                <w:color w:val="000000"/>
                <w:spacing w:val="0"/>
                <w:w w:val="100"/>
                <w:kern w:val="0"/>
                <w:sz w:val="16"/>
                <w:szCs w:val="16"/>
              </w:rPr>
              <w:t>13</w:t>
            </w:r>
          </w:p>
        </w:tc>
        <w:tc>
          <w:tcPr>
            <w:tcW w:w="936" w:type="dxa"/>
            <w:tcBorders>
              <w:top w:val="nil"/>
              <w:left w:val="single" w:sz="4" w:space="0" w:color="000000" w:themeColor="text1"/>
              <w:bottom w:val="nil"/>
              <w:right w:val="single" w:sz="4" w:space="0" w:color="000000" w:themeColor="text1"/>
            </w:tcBorders>
            <w:shd w:val="clear" w:color="auto" w:fill="auto"/>
            <w:noWrap/>
          </w:tcPr>
          <w:p w14:paraId="6437D297" w14:textId="3C258782" w:rsidR="00BB319A" w:rsidRPr="00B664C6" w:rsidRDefault="00443472"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50</w:t>
            </w:r>
          </w:p>
        </w:tc>
        <w:tc>
          <w:tcPr>
            <w:tcW w:w="958" w:type="dxa"/>
            <w:tcBorders>
              <w:top w:val="nil"/>
              <w:left w:val="nil"/>
              <w:bottom w:val="nil"/>
              <w:right w:val="single" w:sz="4" w:space="0" w:color="auto"/>
            </w:tcBorders>
            <w:shd w:val="clear" w:color="auto" w:fill="auto"/>
            <w:noWrap/>
          </w:tcPr>
          <w:p w14:paraId="4C96C4FE" w14:textId="06CC6550"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12%</w:t>
            </w:r>
          </w:p>
        </w:tc>
      </w:tr>
      <w:tr w:rsidR="00665E11" w:rsidRPr="00B664C6" w14:paraId="317C0A87" w14:textId="77777777" w:rsidTr="39D02343">
        <w:trPr>
          <w:trHeight w:val="24"/>
        </w:trPr>
        <w:tc>
          <w:tcPr>
            <w:tcW w:w="3575" w:type="dxa"/>
            <w:tcBorders>
              <w:top w:val="nil"/>
              <w:left w:val="single" w:sz="4" w:space="0" w:color="auto"/>
              <w:bottom w:val="nil"/>
              <w:right w:val="nil"/>
            </w:tcBorders>
            <w:shd w:val="clear" w:color="auto" w:fill="auto"/>
            <w:noWrap/>
            <w:vAlign w:val="center"/>
          </w:tcPr>
          <w:p w14:paraId="50176282" w14:textId="29A61BCC" w:rsidR="00665E11" w:rsidRPr="00B664C6" w:rsidRDefault="00665E11" w:rsidP="00BB319A">
            <w:pPr>
              <w:keepNext/>
              <w:suppressAutoHyphens w:val="0"/>
              <w:spacing w:line="240" w:lineRule="auto"/>
              <w:rPr>
                <w:rFonts w:eastAsia="Times New Roman"/>
                <w:color w:val="000000"/>
                <w:spacing w:val="0"/>
                <w:w w:val="100"/>
                <w:kern w:val="0"/>
                <w:sz w:val="16"/>
                <w:szCs w:val="16"/>
              </w:rPr>
            </w:pPr>
            <w:r>
              <w:rPr>
                <w:rFonts w:eastAsia="Times New Roman"/>
                <w:color w:val="000000"/>
                <w:spacing w:val="0"/>
                <w:w w:val="100"/>
                <w:kern w:val="0"/>
                <w:sz w:val="16"/>
                <w:szCs w:val="16"/>
              </w:rPr>
              <w:t>Independent oversight and assurance</w:t>
            </w:r>
          </w:p>
        </w:tc>
        <w:tc>
          <w:tcPr>
            <w:tcW w:w="936" w:type="dxa"/>
            <w:tcBorders>
              <w:top w:val="nil"/>
              <w:left w:val="single" w:sz="4" w:space="0" w:color="auto"/>
              <w:bottom w:val="nil"/>
              <w:right w:val="single" w:sz="4" w:space="0" w:color="auto"/>
            </w:tcBorders>
          </w:tcPr>
          <w:p w14:paraId="2C2B03F9" w14:textId="78C7BC09" w:rsidR="00665E11" w:rsidRDefault="00665E11" w:rsidP="00BB319A">
            <w:pPr>
              <w:keepNext/>
              <w:suppressAutoHyphens w:val="0"/>
              <w:spacing w:line="240" w:lineRule="auto"/>
              <w:jc w:val="right"/>
              <w:rPr>
                <w:rFonts w:eastAsia="Times New Roman"/>
                <w:color w:val="000000" w:themeColor="text1"/>
                <w:sz w:val="16"/>
                <w:szCs w:val="16"/>
              </w:rPr>
            </w:pPr>
            <w:r>
              <w:rPr>
                <w:rFonts w:eastAsia="Times New Roman"/>
                <w:color w:val="000000" w:themeColor="text1"/>
                <w:sz w:val="16"/>
                <w:szCs w:val="16"/>
              </w:rPr>
              <w:t>33</w:t>
            </w:r>
          </w:p>
        </w:tc>
        <w:tc>
          <w:tcPr>
            <w:tcW w:w="936" w:type="dxa"/>
            <w:tcBorders>
              <w:top w:val="nil"/>
              <w:left w:val="single" w:sz="4" w:space="0" w:color="auto"/>
              <w:bottom w:val="nil"/>
              <w:right w:val="single" w:sz="4" w:space="0" w:color="auto"/>
            </w:tcBorders>
            <w:shd w:val="clear" w:color="auto" w:fill="auto"/>
            <w:noWrap/>
          </w:tcPr>
          <w:p w14:paraId="09442CC5" w14:textId="70663C0E" w:rsidR="00665E11" w:rsidRDefault="00A60D92" w:rsidP="00BB319A">
            <w:pPr>
              <w:keepNext/>
              <w:suppressAutoHyphens w:val="0"/>
              <w:spacing w:line="240" w:lineRule="auto"/>
              <w:jc w:val="right"/>
              <w:rPr>
                <w:rFonts w:eastAsia="Times New Roman"/>
                <w:color w:val="000000" w:themeColor="text1"/>
                <w:sz w:val="16"/>
                <w:szCs w:val="16"/>
              </w:rPr>
            </w:pPr>
            <w:r>
              <w:rPr>
                <w:rFonts w:eastAsia="Times New Roman"/>
                <w:color w:val="000000" w:themeColor="text1"/>
                <w:sz w:val="16"/>
                <w:szCs w:val="16"/>
              </w:rPr>
              <w:t>31</w:t>
            </w:r>
          </w:p>
        </w:tc>
        <w:tc>
          <w:tcPr>
            <w:tcW w:w="936" w:type="dxa"/>
            <w:tcBorders>
              <w:top w:val="nil"/>
              <w:left w:val="single" w:sz="4" w:space="0" w:color="000000" w:themeColor="text1"/>
              <w:bottom w:val="nil"/>
              <w:right w:val="single" w:sz="4" w:space="0" w:color="000000" w:themeColor="text1"/>
            </w:tcBorders>
            <w:shd w:val="clear" w:color="auto" w:fill="auto"/>
            <w:noWrap/>
          </w:tcPr>
          <w:p w14:paraId="177635B8" w14:textId="0F4011EF" w:rsidR="00665E11" w:rsidRDefault="00443472" w:rsidP="00BB319A">
            <w:pPr>
              <w:keepNext/>
              <w:suppressAutoHyphens w:val="0"/>
              <w:spacing w:line="240" w:lineRule="auto"/>
              <w:jc w:val="right"/>
              <w:rPr>
                <w:rFonts w:eastAsia="Times New Roman"/>
                <w:color w:val="000000" w:themeColor="text1"/>
                <w:sz w:val="16"/>
                <w:szCs w:val="16"/>
              </w:rPr>
            </w:pPr>
            <w:r>
              <w:rPr>
                <w:rFonts w:eastAsia="Times New Roman"/>
                <w:color w:val="000000" w:themeColor="text1"/>
                <w:sz w:val="16"/>
                <w:szCs w:val="16"/>
              </w:rPr>
              <w:t>2</w:t>
            </w:r>
          </w:p>
        </w:tc>
        <w:tc>
          <w:tcPr>
            <w:tcW w:w="958" w:type="dxa"/>
            <w:tcBorders>
              <w:top w:val="nil"/>
              <w:left w:val="nil"/>
              <w:bottom w:val="nil"/>
              <w:right w:val="single" w:sz="4" w:space="0" w:color="auto"/>
            </w:tcBorders>
            <w:shd w:val="clear" w:color="auto" w:fill="auto"/>
            <w:noWrap/>
          </w:tcPr>
          <w:p w14:paraId="2CF79781" w14:textId="72A3D018" w:rsidR="00665E11" w:rsidRDefault="003459B6" w:rsidP="00BB319A">
            <w:pPr>
              <w:keepNext/>
              <w:suppressAutoHyphens w:val="0"/>
              <w:spacing w:line="240" w:lineRule="auto"/>
              <w:jc w:val="right"/>
              <w:rPr>
                <w:rFonts w:eastAsia="Times New Roman"/>
                <w:color w:val="000000" w:themeColor="text1"/>
                <w:sz w:val="16"/>
                <w:szCs w:val="16"/>
              </w:rPr>
            </w:pPr>
            <w:r>
              <w:rPr>
                <w:rFonts w:eastAsia="Times New Roman"/>
                <w:color w:val="000000" w:themeColor="text1"/>
                <w:sz w:val="16"/>
                <w:szCs w:val="16"/>
              </w:rPr>
              <w:t>6%</w:t>
            </w:r>
          </w:p>
        </w:tc>
      </w:tr>
      <w:tr w:rsidR="00BB319A" w:rsidRPr="00B664C6" w14:paraId="303FF1B4" w14:textId="77777777" w:rsidTr="39D02343">
        <w:trPr>
          <w:trHeight w:val="24"/>
        </w:trPr>
        <w:tc>
          <w:tcPr>
            <w:tcW w:w="3575" w:type="dxa"/>
            <w:tcBorders>
              <w:top w:val="nil"/>
              <w:left w:val="single" w:sz="4" w:space="0" w:color="auto"/>
              <w:bottom w:val="nil"/>
              <w:right w:val="nil"/>
            </w:tcBorders>
            <w:shd w:val="clear" w:color="auto" w:fill="auto"/>
            <w:noWrap/>
            <w:vAlign w:val="center"/>
            <w:hideMark/>
          </w:tcPr>
          <w:p w14:paraId="3B540E32" w14:textId="0148B0B2"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Special purpose activities</w:t>
            </w:r>
          </w:p>
        </w:tc>
        <w:tc>
          <w:tcPr>
            <w:tcW w:w="936" w:type="dxa"/>
            <w:tcBorders>
              <w:top w:val="nil"/>
              <w:left w:val="single" w:sz="4" w:space="0" w:color="auto"/>
              <w:bottom w:val="nil"/>
              <w:right w:val="single" w:sz="4" w:space="0" w:color="auto"/>
            </w:tcBorders>
          </w:tcPr>
          <w:p w14:paraId="2064CB01" w14:textId="6A5774CB" w:rsidR="00BB319A" w:rsidRPr="00B664C6" w:rsidRDefault="00184053"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52</w:t>
            </w:r>
          </w:p>
        </w:tc>
        <w:tc>
          <w:tcPr>
            <w:tcW w:w="936" w:type="dxa"/>
            <w:tcBorders>
              <w:top w:val="nil"/>
              <w:left w:val="single" w:sz="4" w:space="0" w:color="auto"/>
              <w:bottom w:val="nil"/>
              <w:right w:val="single" w:sz="4" w:space="0" w:color="auto"/>
            </w:tcBorders>
            <w:shd w:val="clear" w:color="auto" w:fill="auto"/>
            <w:noWrap/>
            <w:hideMark/>
          </w:tcPr>
          <w:p w14:paraId="22B163E4" w14:textId="38287B92"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78</w:t>
            </w:r>
          </w:p>
        </w:tc>
        <w:tc>
          <w:tcPr>
            <w:tcW w:w="936" w:type="dxa"/>
            <w:tcBorders>
              <w:top w:val="nil"/>
              <w:left w:val="single" w:sz="4" w:space="0" w:color="000000" w:themeColor="text1"/>
              <w:bottom w:val="nil"/>
              <w:right w:val="single" w:sz="4" w:space="0" w:color="000000" w:themeColor="text1"/>
            </w:tcBorders>
            <w:shd w:val="clear" w:color="auto" w:fill="auto"/>
            <w:noWrap/>
          </w:tcPr>
          <w:p w14:paraId="01F7D16C" w14:textId="04195221" w:rsidR="00BB319A" w:rsidRPr="00B664C6" w:rsidRDefault="00443472"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(26)</w:t>
            </w:r>
          </w:p>
        </w:tc>
        <w:tc>
          <w:tcPr>
            <w:tcW w:w="958" w:type="dxa"/>
            <w:tcBorders>
              <w:top w:val="nil"/>
              <w:left w:val="nil"/>
              <w:bottom w:val="nil"/>
              <w:right w:val="single" w:sz="4" w:space="0" w:color="auto"/>
            </w:tcBorders>
            <w:shd w:val="clear" w:color="auto" w:fill="auto"/>
            <w:noWrap/>
          </w:tcPr>
          <w:p w14:paraId="1B29DE40" w14:textId="27A1AC32"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themeColor="text1"/>
                <w:sz w:val="16"/>
                <w:szCs w:val="16"/>
              </w:rPr>
              <w:t>(33%)</w:t>
            </w:r>
          </w:p>
        </w:tc>
      </w:tr>
      <w:tr w:rsidR="00BB319A" w:rsidRPr="00B664C6" w14:paraId="30FAA8D9" w14:textId="77777777" w:rsidTr="39D02343">
        <w:trPr>
          <w:trHeight w:val="24"/>
        </w:trPr>
        <w:tc>
          <w:tcPr>
            <w:tcW w:w="3575" w:type="dxa"/>
            <w:tcBorders>
              <w:top w:val="nil"/>
              <w:left w:val="single" w:sz="4" w:space="0" w:color="auto"/>
              <w:bottom w:val="single" w:sz="4" w:space="0" w:color="auto"/>
              <w:right w:val="single" w:sz="4" w:space="0" w:color="auto"/>
            </w:tcBorders>
            <w:shd w:val="clear" w:color="auto" w:fill="auto"/>
            <w:noWrap/>
            <w:vAlign w:val="center"/>
            <w:hideMark/>
          </w:tcPr>
          <w:p w14:paraId="20285691"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Other activities</w:t>
            </w:r>
          </w:p>
        </w:tc>
        <w:tc>
          <w:tcPr>
            <w:tcW w:w="936" w:type="dxa"/>
            <w:tcBorders>
              <w:top w:val="nil"/>
              <w:left w:val="nil"/>
              <w:bottom w:val="single" w:sz="4" w:space="0" w:color="auto"/>
              <w:right w:val="single" w:sz="4" w:space="0" w:color="auto"/>
            </w:tcBorders>
          </w:tcPr>
          <w:p w14:paraId="5BAD2624" w14:textId="0057C4B9"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w:t>
            </w:r>
            <w:r w:rsidR="00184053">
              <w:rPr>
                <w:rFonts w:eastAsia="Times New Roman"/>
                <w:color w:val="000000"/>
                <w:spacing w:val="0"/>
                <w:w w:val="100"/>
                <w:kern w:val="0"/>
                <w:sz w:val="16"/>
                <w:szCs w:val="16"/>
              </w:rPr>
              <w:t>18</w:t>
            </w:r>
          </w:p>
        </w:tc>
        <w:tc>
          <w:tcPr>
            <w:tcW w:w="936" w:type="dxa"/>
            <w:tcBorders>
              <w:top w:val="nil"/>
              <w:left w:val="single" w:sz="4" w:space="0" w:color="auto"/>
              <w:bottom w:val="single" w:sz="4" w:space="0" w:color="auto"/>
              <w:right w:val="single" w:sz="4" w:space="0" w:color="auto"/>
            </w:tcBorders>
            <w:shd w:val="clear" w:color="auto" w:fill="auto"/>
            <w:noWrap/>
            <w:hideMark/>
          </w:tcPr>
          <w:p w14:paraId="468DB9CA" w14:textId="4222966B"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242</w:t>
            </w:r>
          </w:p>
        </w:tc>
        <w:tc>
          <w:tcPr>
            <w:tcW w:w="936" w:type="dxa"/>
            <w:tcBorders>
              <w:top w:val="nil"/>
              <w:left w:val="nil"/>
              <w:bottom w:val="single" w:sz="4" w:space="0" w:color="auto"/>
              <w:right w:val="single" w:sz="4" w:space="0" w:color="000000" w:themeColor="text1"/>
            </w:tcBorders>
            <w:shd w:val="clear" w:color="auto" w:fill="auto"/>
            <w:noWrap/>
          </w:tcPr>
          <w:p w14:paraId="6D51CA98" w14:textId="43F15CF7" w:rsidR="00BB319A" w:rsidRPr="00B664C6" w:rsidRDefault="00443472"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r w:rsidR="000E3AE5">
              <w:rPr>
                <w:rFonts w:eastAsia="Times New Roman"/>
                <w:color w:val="000000"/>
                <w:spacing w:val="0"/>
                <w:w w:val="100"/>
                <w:kern w:val="0"/>
                <w:sz w:val="16"/>
                <w:szCs w:val="16"/>
              </w:rPr>
              <w:t>24)</w:t>
            </w:r>
          </w:p>
        </w:tc>
        <w:tc>
          <w:tcPr>
            <w:tcW w:w="958" w:type="dxa"/>
            <w:tcBorders>
              <w:top w:val="nil"/>
              <w:left w:val="nil"/>
              <w:bottom w:val="single" w:sz="4" w:space="0" w:color="auto"/>
              <w:right w:val="single" w:sz="4" w:space="0" w:color="auto"/>
            </w:tcBorders>
            <w:shd w:val="clear" w:color="auto" w:fill="auto"/>
            <w:noWrap/>
          </w:tcPr>
          <w:p w14:paraId="75D61543" w14:textId="0B5C1007"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(10</w:t>
            </w:r>
            <w:r w:rsidRPr="00B664C6">
              <w:rPr>
                <w:rFonts w:eastAsia="Times New Roman"/>
                <w:color w:val="000000"/>
                <w:spacing w:val="0"/>
                <w:w w:val="100"/>
                <w:kern w:val="0"/>
                <w:sz w:val="16"/>
                <w:szCs w:val="16"/>
              </w:rPr>
              <w:t>%</w:t>
            </w:r>
            <w:r>
              <w:rPr>
                <w:rFonts w:eastAsia="Times New Roman"/>
                <w:color w:val="000000"/>
                <w:spacing w:val="0"/>
                <w:w w:val="100"/>
                <w:kern w:val="0"/>
                <w:sz w:val="16"/>
                <w:szCs w:val="16"/>
              </w:rPr>
              <w:t>)</w:t>
            </w:r>
          </w:p>
        </w:tc>
      </w:tr>
      <w:tr w:rsidR="00BB319A" w:rsidRPr="00B664C6" w14:paraId="7C61048C" w14:textId="77777777" w:rsidTr="39D02343">
        <w:trPr>
          <w:trHeight w:val="24"/>
        </w:trPr>
        <w:tc>
          <w:tcPr>
            <w:tcW w:w="3575" w:type="dxa"/>
            <w:tcBorders>
              <w:top w:val="nil"/>
              <w:left w:val="single" w:sz="4" w:space="0" w:color="auto"/>
              <w:bottom w:val="nil"/>
              <w:right w:val="single" w:sz="4" w:space="0" w:color="auto"/>
            </w:tcBorders>
            <w:shd w:val="clear" w:color="auto" w:fill="auto"/>
            <w:noWrap/>
            <w:vAlign w:val="center"/>
            <w:hideMark/>
          </w:tcPr>
          <w:p w14:paraId="1B2C49E7"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Total expenses before elimination</w:t>
            </w:r>
          </w:p>
        </w:tc>
        <w:tc>
          <w:tcPr>
            <w:tcW w:w="936" w:type="dxa"/>
            <w:tcBorders>
              <w:top w:val="single" w:sz="4" w:space="0" w:color="auto"/>
              <w:left w:val="nil"/>
              <w:right w:val="single" w:sz="4" w:space="0" w:color="auto"/>
            </w:tcBorders>
          </w:tcPr>
          <w:p w14:paraId="75CC176E" w14:textId="4D349B05"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74B3F">
              <w:rPr>
                <w:rFonts w:eastAsia="Times New Roman"/>
                <w:color w:val="000000"/>
                <w:spacing w:val="0"/>
                <w:w w:val="100"/>
                <w:kern w:val="0"/>
                <w:sz w:val="16"/>
                <w:szCs w:val="16"/>
              </w:rPr>
              <w:t>5</w:t>
            </w:r>
            <w:r w:rsidR="007861D0" w:rsidRPr="00B74B3F">
              <w:rPr>
                <w:rFonts w:eastAsia="Times New Roman"/>
                <w:color w:val="000000"/>
                <w:spacing w:val="0"/>
                <w:w w:val="100"/>
                <w:kern w:val="0"/>
                <w:sz w:val="16"/>
                <w:szCs w:val="16"/>
              </w:rPr>
              <w:t xml:space="preserve"> </w:t>
            </w:r>
            <w:r w:rsidRPr="00B74B3F">
              <w:rPr>
                <w:rFonts w:eastAsia="Times New Roman"/>
                <w:color w:val="000000"/>
                <w:spacing w:val="0"/>
                <w:w w:val="100"/>
                <w:kern w:val="0"/>
                <w:sz w:val="16"/>
                <w:szCs w:val="16"/>
              </w:rPr>
              <w:t>6</w:t>
            </w:r>
            <w:r w:rsidR="00184053" w:rsidRPr="00B74B3F">
              <w:rPr>
                <w:rFonts w:eastAsia="Times New Roman"/>
                <w:color w:val="000000"/>
                <w:spacing w:val="0"/>
                <w:w w:val="100"/>
                <w:kern w:val="0"/>
                <w:sz w:val="16"/>
                <w:szCs w:val="16"/>
              </w:rPr>
              <w:t>1</w:t>
            </w:r>
            <w:r w:rsidR="001B591F" w:rsidRPr="00B74B3F">
              <w:rPr>
                <w:rFonts w:eastAsia="Times New Roman"/>
                <w:color w:val="000000"/>
                <w:spacing w:val="0"/>
                <w:w w:val="100"/>
                <w:kern w:val="0"/>
                <w:sz w:val="16"/>
                <w:szCs w:val="16"/>
              </w:rPr>
              <w:t>8</w:t>
            </w:r>
          </w:p>
        </w:tc>
        <w:tc>
          <w:tcPr>
            <w:tcW w:w="936" w:type="dxa"/>
            <w:tcBorders>
              <w:top w:val="single" w:sz="4" w:space="0" w:color="auto"/>
              <w:left w:val="single" w:sz="4" w:space="0" w:color="auto"/>
              <w:right w:val="single" w:sz="4" w:space="0" w:color="auto"/>
            </w:tcBorders>
            <w:shd w:val="clear" w:color="auto" w:fill="auto"/>
            <w:noWrap/>
            <w:hideMark/>
          </w:tcPr>
          <w:p w14:paraId="0D1BD7D2" w14:textId="762C0054"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rFonts w:eastAsia="Times New Roman"/>
                <w:color w:val="000000"/>
                <w:spacing w:val="0"/>
                <w:w w:val="100"/>
                <w:kern w:val="0"/>
                <w:sz w:val="16"/>
                <w:szCs w:val="16"/>
              </w:rPr>
              <w:t>5</w:t>
            </w:r>
            <w:r w:rsidR="007861D0">
              <w:rPr>
                <w:rFonts w:eastAsia="Times New Roman"/>
                <w:color w:val="000000"/>
                <w:spacing w:val="0"/>
                <w:w w:val="100"/>
                <w:kern w:val="0"/>
                <w:sz w:val="16"/>
                <w:szCs w:val="16"/>
              </w:rPr>
              <w:t xml:space="preserve"> </w:t>
            </w:r>
            <w:r>
              <w:rPr>
                <w:rFonts w:eastAsia="Times New Roman"/>
                <w:color w:val="000000"/>
                <w:spacing w:val="0"/>
                <w:w w:val="100"/>
                <w:kern w:val="0"/>
                <w:sz w:val="16"/>
                <w:szCs w:val="16"/>
              </w:rPr>
              <w:t>646</w:t>
            </w:r>
          </w:p>
        </w:tc>
        <w:tc>
          <w:tcPr>
            <w:tcW w:w="936" w:type="dxa"/>
            <w:tcBorders>
              <w:top w:val="single" w:sz="4" w:space="0" w:color="auto"/>
              <w:left w:val="nil"/>
              <w:right w:val="single" w:sz="4" w:space="0" w:color="000000" w:themeColor="text1"/>
            </w:tcBorders>
            <w:shd w:val="clear" w:color="auto" w:fill="auto"/>
            <w:noWrap/>
          </w:tcPr>
          <w:p w14:paraId="4B8D4F19" w14:textId="11159DD7" w:rsidR="00BB319A" w:rsidRPr="00B664C6" w:rsidRDefault="000E3AE5"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(2</w:t>
            </w:r>
            <w:r w:rsidR="00D04E59">
              <w:rPr>
                <w:rFonts w:eastAsia="Times New Roman"/>
                <w:color w:val="000000"/>
                <w:spacing w:val="0"/>
                <w:w w:val="100"/>
                <w:kern w:val="0"/>
                <w:sz w:val="16"/>
                <w:szCs w:val="16"/>
              </w:rPr>
              <w:t>9</w:t>
            </w:r>
            <w:r>
              <w:rPr>
                <w:rFonts w:eastAsia="Times New Roman"/>
                <w:color w:val="000000"/>
                <w:spacing w:val="0"/>
                <w:w w:val="100"/>
                <w:kern w:val="0"/>
                <w:sz w:val="16"/>
                <w:szCs w:val="16"/>
              </w:rPr>
              <w:t>)</w:t>
            </w:r>
          </w:p>
        </w:tc>
        <w:tc>
          <w:tcPr>
            <w:tcW w:w="958" w:type="dxa"/>
            <w:tcBorders>
              <w:top w:val="single" w:sz="4" w:space="0" w:color="auto"/>
              <w:left w:val="nil"/>
              <w:right w:val="single" w:sz="4" w:space="0" w:color="auto"/>
            </w:tcBorders>
            <w:shd w:val="clear" w:color="auto" w:fill="auto"/>
            <w:noWrap/>
          </w:tcPr>
          <w:p w14:paraId="0720476E" w14:textId="277CC6B3"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w:t>
            </w:r>
            <w:r w:rsidRPr="00B664C6">
              <w:rPr>
                <w:rFonts w:eastAsia="Times New Roman"/>
                <w:color w:val="000000"/>
                <w:spacing w:val="0"/>
                <w:w w:val="100"/>
                <w:kern w:val="0"/>
                <w:sz w:val="16"/>
                <w:szCs w:val="16"/>
              </w:rPr>
              <w:t>%</w:t>
            </w:r>
            <w:r>
              <w:rPr>
                <w:rFonts w:eastAsia="Times New Roman"/>
                <w:color w:val="000000"/>
                <w:spacing w:val="0"/>
                <w:w w:val="100"/>
                <w:kern w:val="0"/>
                <w:sz w:val="16"/>
                <w:szCs w:val="16"/>
              </w:rPr>
              <w:t>)</w:t>
            </w:r>
          </w:p>
        </w:tc>
      </w:tr>
      <w:tr w:rsidR="00BB319A" w:rsidRPr="00B664C6" w14:paraId="678B8946" w14:textId="77777777" w:rsidTr="39D02343">
        <w:trPr>
          <w:trHeight w:val="24"/>
        </w:trPr>
        <w:tc>
          <w:tcPr>
            <w:tcW w:w="3575" w:type="dxa"/>
            <w:tcBorders>
              <w:top w:val="nil"/>
              <w:left w:val="single" w:sz="4" w:space="0" w:color="auto"/>
              <w:bottom w:val="nil"/>
              <w:right w:val="single" w:sz="4" w:space="0" w:color="auto"/>
            </w:tcBorders>
            <w:shd w:val="clear" w:color="auto" w:fill="auto"/>
            <w:noWrap/>
            <w:vAlign w:val="center"/>
          </w:tcPr>
          <w:p w14:paraId="30F87AE7" w14:textId="77777777"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Elimination</w:t>
            </w:r>
          </w:p>
        </w:tc>
        <w:tc>
          <w:tcPr>
            <w:tcW w:w="936" w:type="dxa"/>
            <w:tcBorders>
              <w:top w:val="nil"/>
              <w:left w:val="single" w:sz="4" w:space="0" w:color="auto"/>
              <w:bottom w:val="nil"/>
              <w:right w:val="single" w:sz="4" w:space="0" w:color="auto"/>
            </w:tcBorders>
          </w:tcPr>
          <w:p w14:paraId="618FFA57" w14:textId="78DF843C" w:rsidR="00BB319A" w:rsidRPr="00B664C6" w:rsidRDefault="00BB319A" w:rsidP="00BB319A">
            <w:pPr>
              <w:keepNext/>
              <w:suppressAutoHyphens w:val="0"/>
              <w:spacing w:line="240" w:lineRule="auto"/>
              <w:jc w:val="right"/>
              <w:rPr>
                <w:color w:val="000000"/>
                <w:sz w:val="16"/>
                <w:szCs w:val="16"/>
              </w:rPr>
            </w:pPr>
            <w:r w:rsidRPr="00B664C6">
              <w:rPr>
                <w:color w:val="000000"/>
                <w:sz w:val="16"/>
                <w:szCs w:val="16"/>
              </w:rPr>
              <w:t>(2</w:t>
            </w:r>
            <w:r w:rsidR="00184053">
              <w:rPr>
                <w:color w:val="000000"/>
                <w:sz w:val="16"/>
                <w:szCs w:val="16"/>
              </w:rPr>
              <w:t>70</w:t>
            </w:r>
            <w:r w:rsidRPr="00B664C6">
              <w:rPr>
                <w:color w:val="000000"/>
                <w:sz w:val="16"/>
                <w:szCs w:val="16"/>
              </w:rPr>
              <w:t>)</w:t>
            </w:r>
          </w:p>
        </w:tc>
        <w:tc>
          <w:tcPr>
            <w:tcW w:w="936" w:type="dxa"/>
            <w:tcBorders>
              <w:top w:val="nil"/>
              <w:left w:val="single" w:sz="4" w:space="0" w:color="auto"/>
              <w:bottom w:val="nil"/>
              <w:right w:val="single" w:sz="4" w:space="0" w:color="auto"/>
            </w:tcBorders>
            <w:shd w:val="clear" w:color="auto" w:fill="auto"/>
            <w:noWrap/>
          </w:tcPr>
          <w:p w14:paraId="478FB620" w14:textId="31E0EF61"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color w:val="000000"/>
                <w:sz w:val="16"/>
                <w:szCs w:val="16"/>
              </w:rPr>
              <w:t>(2</w:t>
            </w:r>
            <w:r>
              <w:rPr>
                <w:color w:val="000000"/>
                <w:sz w:val="16"/>
                <w:szCs w:val="16"/>
              </w:rPr>
              <w:t>61</w:t>
            </w:r>
            <w:r w:rsidRPr="00B664C6">
              <w:rPr>
                <w:color w:val="000000"/>
                <w:sz w:val="16"/>
                <w:szCs w:val="16"/>
              </w:rPr>
              <w:t>)</w:t>
            </w:r>
          </w:p>
        </w:tc>
        <w:tc>
          <w:tcPr>
            <w:tcW w:w="936" w:type="dxa"/>
            <w:tcBorders>
              <w:left w:val="nil"/>
              <w:bottom w:val="single" w:sz="4" w:space="0" w:color="000000" w:themeColor="text1"/>
              <w:right w:val="single" w:sz="4" w:space="0" w:color="000000" w:themeColor="text1"/>
            </w:tcBorders>
            <w:shd w:val="clear" w:color="auto" w:fill="auto"/>
            <w:noWrap/>
          </w:tcPr>
          <w:p w14:paraId="235BD0D8" w14:textId="1D4C2033" w:rsidR="00BB319A" w:rsidRPr="00B664C6" w:rsidRDefault="000E3AE5"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(9)</w:t>
            </w:r>
          </w:p>
        </w:tc>
        <w:tc>
          <w:tcPr>
            <w:tcW w:w="958" w:type="dxa"/>
            <w:tcBorders>
              <w:left w:val="nil"/>
              <w:bottom w:val="single" w:sz="4" w:space="0" w:color="000000" w:themeColor="text1"/>
              <w:right w:val="single" w:sz="4" w:space="0" w:color="auto"/>
            </w:tcBorders>
            <w:shd w:val="clear" w:color="auto" w:fill="auto"/>
            <w:noWrap/>
          </w:tcPr>
          <w:p w14:paraId="1467A758" w14:textId="0F32FE82" w:rsidR="00BB319A" w:rsidRPr="00B664C6" w:rsidRDefault="00DC179B"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w:t>
            </w:r>
            <w:r w:rsidR="003459B6">
              <w:rPr>
                <w:rFonts w:eastAsia="Times New Roman"/>
                <w:color w:val="000000"/>
                <w:spacing w:val="0"/>
                <w:w w:val="100"/>
                <w:kern w:val="0"/>
                <w:sz w:val="16"/>
                <w:szCs w:val="16"/>
              </w:rPr>
              <w:t>3</w:t>
            </w:r>
            <w:r w:rsidR="00BB319A">
              <w:rPr>
                <w:rFonts w:eastAsia="Times New Roman"/>
                <w:color w:val="000000"/>
                <w:spacing w:val="0"/>
                <w:w w:val="100"/>
                <w:kern w:val="0"/>
                <w:sz w:val="16"/>
                <w:szCs w:val="16"/>
              </w:rPr>
              <w:t>%</w:t>
            </w:r>
            <w:r>
              <w:rPr>
                <w:rFonts w:eastAsia="Times New Roman"/>
                <w:color w:val="000000"/>
                <w:spacing w:val="0"/>
                <w:w w:val="100"/>
                <w:kern w:val="0"/>
                <w:sz w:val="16"/>
                <w:szCs w:val="16"/>
              </w:rPr>
              <w:t>)</w:t>
            </w:r>
          </w:p>
        </w:tc>
      </w:tr>
      <w:tr w:rsidR="00BB319A" w:rsidRPr="00B664C6" w14:paraId="4719309D" w14:textId="77777777" w:rsidTr="39D02343">
        <w:trPr>
          <w:trHeight w:val="24"/>
        </w:trPr>
        <w:tc>
          <w:tcPr>
            <w:tcW w:w="3575" w:type="dxa"/>
            <w:tcBorders>
              <w:top w:val="nil"/>
              <w:left w:val="single" w:sz="4" w:space="0" w:color="auto"/>
              <w:bottom w:val="single" w:sz="4" w:space="0" w:color="auto"/>
              <w:right w:val="single" w:sz="4" w:space="0" w:color="auto"/>
            </w:tcBorders>
            <w:shd w:val="clear" w:color="auto" w:fill="auto"/>
            <w:noWrap/>
            <w:vAlign w:val="center"/>
          </w:tcPr>
          <w:p w14:paraId="6F1E2602" w14:textId="5B1A69D8" w:rsidR="00BB319A" w:rsidRPr="00B664C6" w:rsidRDefault="00BB319A" w:rsidP="00BB319A">
            <w:pPr>
              <w:keepNext/>
              <w:suppressAutoHyphens w:val="0"/>
              <w:spacing w:line="240" w:lineRule="auto"/>
              <w:rPr>
                <w:rFonts w:eastAsia="Times New Roman"/>
                <w:color w:val="000000"/>
                <w:spacing w:val="0"/>
                <w:w w:val="100"/>
                <w:kern w:val="0"/>
                <w:sz w:val="16"/>
                <w:szCs w:val="16"/>
              </w:rPr>
            </w:pPr>
            <w:r w:rsidRPr="00B664C6">
              <w:rPr>
                <w:rFonts w:eastAsia="Times New Roman"/>
                <w:color w:val="000000"/>
                <w:spacing w:val="0"/>
                <w:w w:val="100"/>
                <w:kern w:val="0"/>
                <w:sz w:val="16"/>
                <w:szCs w:val="16"/>
              </w:rPr>
              <w:t>Total expenses</w:t>
            </w:r>
          </w:p>
        </w:tc>
        <w:tc>
          <w:tcPr>
            <w:tcW w:w="936" w:type="dxa"/>
            <w:tcBorders>
              <w:top w:val="single" w:sz="4" w:space="0" w:color="auto"/>
              <w:left w:val="single" w:sz="4" w:space="0" w:color="auto"/>
              <w:bottom w:val="single" w:sz="4" w:space="0" w:color="auto"/>
              <w:right w:val="single" w:sz="4" w:space="0" w:color="auto"/>
            </w:tcBorders>
          </w:tcPr>
          <w:p w14:paraId="5FAB276A" w14:textId="5258D947" w:rsidR="00BB319A" w:rsidRPr="00B664C6" w:rsidRDefault="00BB319A" w:rsidP="00BB319A">
            <w:pPr>
              <w:keepNext/>
              <w:suppressAutoHyphens w:val="0"/>
              <w:spacing w:line="240" w:lineRule="auto"/>
              <w:jc w:val="right"/>
              <w:rPr>
                <w:color w:val="000000"/>
                <w:sz w:val="16"/>
                <w:szCs w:val="16"/>
              </w:rPr>
            </w:pPr>
            <w:r w:rsidRPr="00B74B3F">
              <w:rPr>
                <w:color w:val="000000"/>
                <w:sz w:val="16"/>
                <w:szCs w:val="16"/>
              </w:rPr>
              <w:t>5</w:t>
            </w:r>
            <w:r w:rsidR="007861D0" w:rsidRPr="00B74B3F">
              <w:rPr>
                <w:color w:val="000000"/>
                <w:sz w:val="16"/>
                <w:szCs w:val="16"/>
              </w:rPr>
              <w:t xml:space="preserve"> </w:t>
            </w:r>
            <w:r w:rsidRPr="00B74B3F">
              <w:rPr>
                <w:color w:val="000000"/>
                <w:sz w:val="16"/>
                <w:szCs w:val="16"/>
              </w:rPr>
              <w:t>3</w:t>
            </w:r>
            <w:r w:rsidR="00184053" w:rsidRPr="00B74B3F">
              <w:rPr>
                <w:color w:val="000000"/>
                <w:sz w:val="16"/>
                <w:szCs w:val="16"/>
              </w:rPr>
              <w:t>4</w:t>
            </w:r>
            <w:r w:rsidR="006837F2" w:rsidRPr="00B74B3F">
              <w:rPr>
                <w:color w:val="000000"/>
                <w:sz w:val="16"/>
                <w:szCs w:val="16"/>
              </w:rPr>
              <w:t>8</w:t>
            </w:r>
          </w:p>
        </w:tc>
        <w:tc>
          <w:tcPr>
            <w:tcW w:w="936" w:type="dxa"/>
            <w:tcBorders>
              <w:top w:val="single" w:sz="4" w:space="0" w:color="auto"/>
              <w:left w:val="single" w:sz="4" w:space="0" w:color="auto"/>
              <w:bottom w:val="single" w:sz="4" w:space="0" w:color="auto"/>
              <w:right w:val="single" w:sz="4" w:space="0" w:color="auto"/>
            </w:tcBorders>
            <w:shd w:val="clear" w:color="auto" w:fill="auto"/>
            <w:noWrap/>
          </w:tcPr>
          <w:p w14:paraId="72A503EC" w14:textId="359464D7" w:rsidR="00BB319A" w:rsidRPr="00B664C6" w:rsidRDefault="00BB319A" w:rsidP="00BB319A">
            <w:pPr>
              <w:keepNext/>
              <w:suppressAutoHyphens w:val="0"/>
              <w:spacing w:line="240" w:lineRule="auto"/>
              <w:jc w:val="right"/>
              <w:rPr>
                <w:rFonts w:eastAsia="Times New Roman"/>
                <w:color w:val="000000"/>
                <w:spacing w:val="0"/>
                <w:w w:val="100"/>
                <w:kern w:val="0"/>
                <w:sz w:val="16"/>
                <w:szCs w:val="16"/>
              </w:rPr>
            </w:pPr>
            <w:r w:rsidRPr="00B664C6">
              <w:rPr>
                <w:color w:val="000000"/>
                <w:sz w:val="16"/>
                <w:szCs w:val="16"/>
              </w:rPr>
              <w:t>5</w:t>
            </w:r>
            <w:r w:rsidR="007861D0">
              <w:rPr>
                <w:color w:val="000000"/>
                <w:sz w:val="16"/>
                <w:szCs w:val="16"/>
              </w:rPr>
              <w:t xml:space="preserve"> </w:t>
            </w:r>
            <w:r>
              <w:rPr>
                <w:color w:val="000000"/>
                <w:sz w:val="16"/>
                <w:szCs w:val="16"/>
              </w:rPr>
              <w:t>385</w:t>
            </w:r>
          </w:p>
        </w:tc>
        <w:tc>
          <w:tcPr>
            <w:tcW w:w="936" w:type="dxa"/>
            <w:tcBorders>
              <w:top w:val="single" w:sz="4" w:space="0" w:color="000000" w:themeColor="text1"/>
              <w:left w:val="nil"/>
              <w:bottom w:val="single" w:sz="4" w:space="0" w:color="auto"/>
              <w:right w:val="single" w:sz="4" w:space="0" w:color="000000" w:themeColor="text1"/>
            </w:tcBorders>
            <w:shd w:val="clear" w:color="auto" w:fill="auto"/>
            <w:noWrap/>
          </w:tcPr>
          <w:p w14:paraId="3D796B62" w14:textId="18ED631A" w:rsidR="00BB319A" w:rsidRPr="00B664C6" w:rsidRDefault="000E3AE5"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(38)</w:t>
            </w:r>
          </w:p>
        </w:tc>
        <w:tc>
          <w:tcPr>
            <w:tcW w:w="958" w:type="dxa"/>
            <w:tcBorders>
              <w:top w:val="single" w:sz="4" w:space="0" w:color="000000" w:themeColor="text1"/>
              <w:left w:val="nil"/>
              <w:bottom w:val="single" w:sz="4" w:space="0" w:color="auto"/>
              <w:right w:val="single" w:sz="4" w:space="0" w:color="auto"/>
            </w:tcBorders>
            <w:shd w:val="clear" w:color="auto" w:fill="auto"/>
            <w:noWrap/>
          </w:tcPr>
          <w:p w14:paraId="761963DE" w14:textId="65FF8B80" w:rsidR="00BB319A" w:rsidRPr="00B664C6" w:rsidRDefault="003459B6" w:rsidP="00BB319A">
            <w:pPr>
              <w:keepNext/>
              <w:suppressAutoHyphens w:val="0"/>
              <w:spacing w:line="240" w:lineRule="auto"/>
              <w:jc w:val="right"/>
              <w:rPr>
                <w:rFonts w:eastAsia="Times New Roman"/>
                <w:color w:val="000000"/>
                <w:spacing w:val="0"/>
                <w:w w:val="100"/>
                <w:kern w:val="0"/>
                <w:sz w:val="16"/>
                <w:szCs w:val="16"/>
              </w:rPr>
            </w:pPr>
            <w:r>
              <w:rPr>
                <w:rFonts w:eastAsia="Times New Roman"/>
                <w:color w:val="000000"/>
                <w:spacing w:val="0"/>
                <w:w w:val="100"/>
                <w:kern w:val="0"/>
                <w:sz w:val="16"/>
                <w:szCs w:val="16"/>
              </w:rPr>
              <w:t>(1</w:t>
            </w:r>
            <w:r w:rsidR="00BB319A" w:rsidRPr="00B664C6">
              <w:rPr>
                <w:rFonts w:eastAsia="Times New Roman"/>
                <w:color w:val="000000"/>
                <w:spacing w:val="0"/>
                <w:w w:val="100"/>
                <w:kern w:val="0"/>
                <w:sz w:val="16"/>
                <w:szCs w:val="16"/>
              </w:rPr>
              <w:t>%</w:t>
            </w:r>
            <w:r>
              <w:rPr>
                <w:rFonts w:eastAsia="Times New Roman"/>
                <w:color w:val="000000"/>
                <w:spacing w:val="0"/>
                <w:w w:val="100"/>
                <w:kern w:val="0"/>
                <w:sz w:val="16"/>
                <w:szCs w:val="16"/>
              </w:rPr>
              <w:t>)</w:t>
            </w:r>
          </w:p>
        </w:tc>
      </w:tr>
    </w:tbl>
    <w:p w14:paraId="08952FBD" w14:textId="5060FFAC" w:rsidR="00F6326E" w:rsidRPr="001E729A" w:rsidRDefault="00F6326E" w:rsidP="008515A2">
      <w:pPr>
        <w:ind w:left="1428"/>
        <w:rPr>
          <w:sz w:val="13"/>
          <w:szCs w:val="13"/>
        </w:rPr>
      </w:pPr>
      <w:r w:rsidRPr="001E729A">
        <w:rPr>
          <w:sz w:val="13"/>
          <w:szCs w:val="13"/>
        </w:rPr>
        <w:t xml:space="preserve"> </w:t>
      </w:r>
      <w:r w:rsidR="004B2F5C" w:rsidRPr="001E729A">
        <w:rPr>
          <w:sz w:val="13"/>
          <w:szCs w:val="13"/>
        </w:rPr>
        <w:t>*</w:t>
      </w:r>
      <w:r w:rsidRPr="001E729A">
        <w:rPr>
          <w:sz w:val="13"/>
          <w:szCs w:val="13"/>
        </w:rPr>
        <w:t xml:space="preserve"> </w:t>
      </w:r>
      <w:r w:rsidR="004C148B" w:rsidRPr="001E729A">
        <w:rPr>
          <w:sz w:val="13"/>
          <w:szCs w:val="13"/>
        </w:rPr>
        <w:t>T</w:t>
      </w:r>
      <w:r w:rsidRPr="001E729A">
        <w:rPr>
          <w:sz w:val="13"/>
          <w:szCs w:val="13"/>
        </w:rPr>
        <w:t xml:space="preserve">he amount </w:t>
      </w:r>
      <w:r w:rsidR="00144EDC" w:rsidRPr="001E729A">
        <w:rPr>
          <w:sz w:val="13"/>
          <w:szCs w:val="13"/>
        </w:rPr>
        <w:t xml:space="preserve">is </w:t>
      </w:r>
      <w:r w:rsidR="00AF0924" w:rsidRPr="001E729A">
        <w:rPr>
          <w:sz w:val="13"/>
          <w:szCs w:val="13"/>
        </w:rPr>
        <w:t xml:space="preserve">presented </w:t>
      </w:r>
      <w:r w:rsidR="008C48CC" w:rsidRPr="001E729A">
        <w:rPr>
          <w:sz w:val="13"/>
          <w:szCs w:val="13"/>
        </w:rPr>
        <w:t xml:space="preserve">aligning </w:t>
      </w:r>
      <w:r w:rsidR="00144EDC" w:rsidRPr="001E729A">
        <w:rPr>
          <w:sz w:val="13"/>
          <w:szCs w:val="13"/>
        </w:rPr>
        <w:t xml:space="preserve">with financial statements and </w:t>
      </w:r>
      <w:r w:rsidR="00B02F80">
        <w:rPr>
          <w:sz w:val="13"/>
          <w:szCs w:val="13"/>
        </w:rPr>
        <w:t>may</w:t>
      </w:r>
      <w:r w:rsidRPr="001E729A">
        <w:rPr>
          <w:sz w:val="13"/>
          <w:szCs w:val="13"/>
        </w:rPr>
        <w:t xml:space="preserve"> not add up due to rounding</w:t>
      </w:r>
      <w:r w:rsidR="00E13EA8" w:rsidRPr="001E729A">
        <w:rPr>
          <w:sz w:val="13"/>
          <w:szCs w:val="13"/>
        </w:rPr>
        <w:t xml:space="preserve"> off</w:t>
      </w:r>
      <w:r w:rsidRPr="001E729A">
        <w:rPr>
          <w:sz w:val="13"/>
          <w:szCs w:val="13"/>
        </w:rPr>
        <w:t>.</w:t>
      </w:r>
    </w:p>
    <w:p w14:paraId="34AC65B0" w14:textId="2326A1DF" w:rsidR="00F6326E" w:rsidRDefault="002D0D84" w:rsidP="00F6326E">
      <w:pPr>
        <w:pStyle w:val="ListParagraph"/>
        <w:numPr>
          <w:ilvl w:val="0"/>
          <w:numId w:val="5"/>
        </w:numPr>
        <w:spacing w:before="240" w:after="240" w:line="240" w:lineRule="auto"/>
        <w:ind w:right="1267"/>
        <w:contextualSpacing w:val="0"/>
        <w:jc w:val="both"/>
      </w:pPr>
      <w:r w:rsidRPr="002D0D84">
        <w:t>In its decision 2020/12, the UNDP Executive Board endorsed the cost definitions and classification of activities and associated costs in the broad categories, as follows: (a) development, which encompass subcategories for programme activities, operational support to programme activities and development effectiveness activities; (b) United Nations development coordinatio</w:t>
      </w:r>
      <w:r w:rsidR="00AF31D7">
        <w:t>n</w:t>
      </w:r>
      <w:r w:rsidRPr="002D0D84">
        <w:t>;</w:t>
      </w:r>
      <w:r w:rsidR="00AF31D7">
        <w:t xml:space="preserve"> </w:t>
      </w:r>
      <w:r w:rsidRPr="002D0D84">
        <w:t xml:space="preserve">(c) management; (d) independent oversight and assurance; (e) </w:t>
      </w:r>
      <w:r w:rsidR="00E41F0B" w:rsidRPr="002D0D84">
        <w:t>special purpose</w:t>
      </w:r>
      <w:r w:rsidR="00FB6A8C" w:rsidRPr="00B664C6">
        <w:t xml:space="preserve">. Expenditure outside those classifications </w:t>
      </w:r>
      <w:r w:rsidR="002A5453">
        <w:t>is</w:t>
      </w:r>
      <w:r w:rsidR="00FB6A8C" w:rsidRPr="00B664C6">
        <w:t xml:space="preserve"> reported under ‘other activities’ and </w:t>
      </w:r>
      <w:r w:rsidR="00116D56" w:rsidRPr="00B664C6">
        <w:t xml:space="preserve">are </w:t>
      </w:r>
      <w:r w:rsidR="00FB6A8C" w:rsidRPr="00B664C6">
        <w:t>included as part of overall expenditure.</w:t>
      </w:r>
      <w:r w:rsidR="00CA2ECE" w:rsidRPr="00B664C6">
        <w:t xml:space="preserve"> </w:t>
      </w:r>
    </w:p>
    <w:p w14:paraId="7CAB2255" w14:textId="4A3A953E" w:rsidR="00CA2ECE" w:rsidRDefault="00CA2ECE" w:rsidP="00F6326E">
      <w:pPr>
        <w:pStyle w:val="ListParagraph"/>
        <w:numPr>
          <w:ilvl w:val="0"/>
          <w:numId w:val="5"/>
        </w:numPr>
        <w:spacing w:before="240" w:after="240" w:line="240" w:lineRule="auto"/>
        <w:ind w:right="1267"/>
        <w:contextualSpacing w:val="0"/>
        <w:jc w:val="both"/>
      </w:pPr>
      <w:r w:rsidRPr="00B664C6">
        <w:t xml:space="preserve">The composition </w:t>
      </w:r>
      <w:r w:rsidR="00054D22" w:rsidRPr="00B664C6">
        <w:t xml:space="preserve">of </w:t>
      </w:r>
      <w:r w:rsidR="0008145A" w:rsidRPr="00B664C6">
        <w:t xml:space="preserve">total expenses and </w:t>
      </w:r>
      <w:r w:rsidRPr="00B664C6">
        <w:t xml:space="preserve">harmonized cost classification activities is shown in </w:t>
      </w:r>
      <w:r w:rsidR="000F1D96" w:rsidRPr="00B664C6">
        <w:t>f</w:t>
      </w:r>
      <w:r w:rsidRPr="00B664C6">
        <w:t xml:space="preserve">igure </w:t>
      </w:r>
      <w:r w:rsidR="004D4DCC" w:rsidRPr="00B664C6">
        <w:t>IV</w:t>
      </w:r>
      <w:r w:rsidR="00442030" w:rsidRPr="00B664C6">
        <w:t xml:space="preserve"> (</w:t>
      </w:r>
      <w:r w:rsidR="00346A36" w:rsidRPr="00B664C6">
        <w:t>a</w:t>
      </w:r>
      <w:r w:rsidR="00442030" w:rsidRPr="00B664C6">
        <w:t>)</w:t>
      </w:r>
      <w:r w:rsidR="000F1D96" w:rsidRPr="00B664C6">
        <w:t xml:space="preserve">; </w:t>
      </w:r>
      <w:r w:rsidR="00210BA3" w:rsidRPr="00B664C6">
        <w:t xml:space="preserve">comparison </w:t>
      </w:r>
      <w:r w:rsidR="00FB12E6" w:rsidRPr="00B664C6">
        <w:t xml:space="preserve">of </w:t>
      </w:r>
      <w:r w:rsidR="00210BA3" w:rsidRPr="00B664C6">
        <w:t xml:space="preserve">programme expenses by region </w:t>
      </w:r>
      <w:r w:rsidR="00346A36" w:rsidRPr="00B664C6">
        <w:t>between 20</w:t>
      </w:r>
      <w:r w:rsidR="00305304">
        <w:t>2</w:t>
      </w:r>
      <w:r w:rsidR="00A10545">
        <w:t>1</w:t>
      </w:r>
      <w:r w:rsidR="00346A36" w:rsidRPr="00B664C6">
        <w:t xml:space="preserve"> and 20</w:t>
      </w:r>
      <w:r w:rsidR="003F20BD" w:rsidRPr="00B664C6">
        <w:t>2</w:t>
      </w:r>
      <w:r w:rsidR="00A10545">
        <w:t>2</w:t>
      </w:r>
      <w:r w:rsidR="00FB12E6" w:rsidRPr="000E57AE">
        <w:t xml:space="preserve"> is shown in </w:t>
      </w:r>
      <w:r w:rsidR="000F1D96">
        <w:t>f</w:t>
      </w:r>
      <w:r w:rsidR="00FB12E6" w:rsidRPr="000E57AE">
        <w:t xml:space="preserve">igure </w:t>
      </w:r>
      <w:r w:rsidR="004D4DCC">
        <w:t>IV</w:t>
      </w:r>
      <w:r w:rsidR="00442030">
        <w:t xml:space="preserve"> (</w:t>
      </w:r>
      <w:r w:rsidR="00FB12E6" w:rsidRPr="000E57AE">
        <w:t>b</w:t>
      </w:r>
      <w:r w:rsidR="00442030">
        <w:t>)</w:t>
      </w:r>
      <w:r w:rsidR="0074520C" w:rsidRPr="000E57AE">
        <w:t>.</w:t>
      </w:r>
    </w:p>
    <w:p w14:paraId="5A8E1960" w14:textId="447C4E6E" w:rsidR="006C0436" w:rsidRPr="003F20BD" w:rsidRDefault="006C0436" w:rsidP="003C31AA">
      <w:pPr>
        <w:pStyle w:val="SingleTxt"/>
        <w:keepNext/>
        <w:tabs>
          <w:tab w:val="clear" w:pos="1267"/>
          <w:tab w:val="clear" w:pos="1742"/>
          <w:tab w:val="clear" w:pos="2218"/>
          <w:tab w:val="clear" w:pos="2693"/>
          <w:tab w:val="left" w:pos="1530"/>
          <w:tab w:val="left" w:pos="1620"/>
          <w:tab w:val="left" w:pos="1800"/>
        </w:tabs>
        <w:spacing w:after="0"/>
        <w:ind w:left="720"/>
        <w:rPr>
          <w:b/>
          <w:bCs/>
          <w:spacing w:val="2"/>
        </w:rPr>
      </w:pPr>
      <w:r w:rsidRPr="003F20BD">
        <w:rPr>
          <w:b/>
          <w:bCs/>
          <w:spacing w:val="2"/>
        </w:rPr>
        <w:t xml:space="preserve">Figure </w:t>
      </w:r>
      <w:r w:rsidR="004D4DCC" w:rsidRPr="003F20BD">
        <w:rPr>
          <w:b/>
          <w:bCs/>
          <w:spacing w:val="2"/>
        </w:rPr>
        <w:t>IV</w:t>
      </w:r>
      <w:r w:rsidR="00442030" w:rsidRPr="003F20BD">
        <w:rPr>
          <w:b/>
          <w:bCs/>
          <w:spacing w:val="2"/>
        </w:rPr>
        <w:t xml:space="preserve"> (</w:t>
      </w:r>
      <w:r w:rsidRPr="003F20BD">
        <w:rPr>
          <w:b/>
          <w:bCs/>
          <w:spacing w:val="2"/>
        </w:rPr>
        <w:t>a</w:t>
      </w:r>
      <w:r w:rsidR="00442030" w:rsidRPr="003F20BD">
        <w:rPr>
          <w:b/>
          <w:bCs/>
          <w:spacing w:val="2"/>
        </w:rPr>
        <w:t>)</w:t>
      </w:r>
      <w:r w:rsidRPr="003F20BD">
        <w:rPr>
          <w:b/>
          <w:bCs/>
          <w:spacing w:val="2"/>
        </w:rPr>
        <w:t>.</w:t>
      </w:r>
      <w:r w:rsidR="00D118FF" w:rsidRPr="003F20BD">
        <w:rPr>
          <w:b/>
          <w:bCs/>
          <w:spacing w:val="2"/>
        </w:rPr>
        <w:t xml:space="preserve"> </w:t>
      </w:r>
      <w:r w:rsidR="00133EFF" w:rsidRPr="00666ED3">
        <w:rPr>
          <w:b/>
          <w:bCs/>
          <w:spacing w:val="2"/>
        </w:rPr>
        <w:t xml:space="preserve">Total expenses by </w:t>
      </w:r>
      <w:r w:rsidRPr="00666ED3">
        <w:rPr>
          <w:b/>
          <w:bCs/>
          <w:spacing w:val="2"/>
        </w:rPr>
        <w:t>cost classification</w:t>
      </w:r>
      <w:r w:rsidR="00795E37" w:rsidRPr="003F20BD">
        <w:rPr>
          <w:b/>
          <w:bCs/>
          <w:spacing w:val="2"/>
        </w:rPr>
        <w:t xml:space="preserve"> and programme expenses by region, 20</w:t>
      </w:r>
      <w:r w:rsidR="003F20BD" w:rsidRPr="003F20BD">
        <w:rPr>
          <w:b/>
          <w:bCs/>
          <w:spacing w:val="2"/>
        </w:rPr>
        <w:t>2</w:t>
      </w:r>
      <w:r w:rsidR="00043228">
        <w:rPr>
          <w:b/>
          <w:bCs/>
          <w:spacing w:val="2"/>
        </w:rPr>
        <w:t>2</w:t>
      </w:r>
    </w:p>
    <w:p w14:paraId="2D048F08" w14:textId="6FD9A2CE" w:rsidR="00731759" w:rsidRPr="00EE0A6B" w:rsidRDefault="5BAD9A00" w:rsidP="00C23F38">
      <w:pPr>
        <w:pStyle w:val="SingleTxt"/>
        <w:keepNext/>
        <w:spacing w:line="240" w:lineRule="auto"/>
        <w:jc w:val="center"/>
        <w:rPr>
          <w:i/>
          <w:iCs/>
          <w:spacing w:val="2"/>
          <w:sz w:val="18"/>
          <w:szCs w:val="18"/>
        </w:rPr>
      </w:pPr>
      <w:r w:rsidRPr="00EE0A6B">
        <w:rPr>
          <w:i/>
          <w:iCs/>
          <w:spacing w:val="2"/>
          <w:sz w:val="18"/>
          <w:szCs w:val="18"/>
        </w:rPr>
        <w:t>(</w:t>
      </w:r>
      <w:r w:rsidR="002473D1" w:rsidRPr="00EE0A6B">
        <w:rPr>
          <w:i/>
          <w:iCs/>
          <w:spacing w:val="2"/>
          <w:sz w:val="18"/>
          <w:szCs w:val="18"/>
        </w:rPr>
        <w:t>In</w:t>
      </w:r>
      <w:r w:rsidRPr="00EE0A6B">
        <w:rPr>
          <w:i/>
          <w:iCs/>
          <w:spacing w:val="2"/>
          <w:sz w:val="18"/>
          <w:szCs w:val="18"/>
        </w:rPr>
        <w:t xml:space="preserve"> millions of </w:t>
      </w:r>
      <w:r w:rsidR="02DAF8F1" w:rsidRPr="00EE0A6B">
        <w:rPr>
          <w:i/>
          <w:iCs/>
          <w:spacing w:val="2"/>
          <w:sz w:val="18"/>
          <w:szCs w:val="18"/>
        </w:rPr>
        <w:t xml:space="preserve">United States </w:t>
      </w:r>
      <w:r w:rsidRPr="00EE0A6B">
        <w:rPr>
          <w:i/>
          <w:iCs/>
          <w:spacing w:val="2"/>
          <w:sz w:val="18"/>
          <w:szCs w:val="18"/>
        </w:rPr>
        <w:t>dollars)</w:t>
      </w:r>
      <w:r w:rsidR="0029738B">
        <w:rPr>
          <w:noProof/>
        </w:rPr>
        <w:drawing>
          <wp:inline distT="0" distB="0" distL="0" distR="0" wp14:anchorId="1930EF06" wp14:editId="74F5799A">
            <wp:extent cx="5516880" cy="2423160"/>
            <wp:effectExtent l="0" t="0" r="7620" b="0"/>
            <wp:docPr id="1313779396" name="Chart 1">
              <a:extLst xmlns:a="http://schemas.openxmlformats.org/drawingml/2006/main">
                <a:ext uri="{FF2B5EF4-FFF2-40B4-BE49-F238E27FC236}">
                  <a16:creationId xmlns:a16="http://schemas.microsoft.com/office/drawing/2014/main" id="{51B526E1-4BA4-4A98-8408-429735578D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ACC359" w14:textId="706DA78C" w:rsidR="00E83358" w:rsidRPr="000E57AE" w:rsidRDefault="00E83358" w:rsidP="000578BE">
      <w:pPr>
        <w:pStyle w:val="H4"/>
        <w:tabs>
          <w:tab w:val="clear" w:pos="1267"/>
          <w:tab w:val="clear" w:pos="1742"/>
          <w:tab w:val="left" w:pos="1260"/>
          <w:tab w:val="left" w:pos="1440"/>
          <w:tab w:val="left" w:pos="1620"/>
        </w:tabs>
        <w:spacing w:before="240" w:after="240" w:line="240" w:lineRule="auto"/>
        <w:ind w:left="1008" w:firstLine="0"/>
        <w:outlineLvl w:val="2"/>
      </w:pPr>
      <w:bookmarkStart w:id="296" w:name="_Toc39596247"/>
      <w:bookmarkStart w:id="297" w:name="_Toc40281196"/>
      <w:bookmarkStart w:id="298" w:name="_Toc40281355"/>
      <w:bookmarkStart w:id="299" w:name="_Toc44499882"/>
      <w:bookmarkStart w:id="300" w:name="_Toc44603229"/>
      <w:bookmarkStart w:id="301" w:name="_Toc44606542"/>
      <w:bookmarkStart w:id="302" w:name="_Toc45297428"/>
      <w:bookmarkStart w:id="303" w:name="_Toc46221139"/>
      <w:bookmarkStart w:id="304" w:name="_Toc46399204"/>
      <w:bookmarkStart w:id="305" w:name="_Toc75466841"/>
      <w:bookmarkStart w:id="306" w:name="_Toc139289033"/>
      <w:bookmarkStart w:id="307" w:name="_Toc139289141"/>
      <w:r w:rsidRPr="000E57AE">
        <w:t>Development expenses</w:t>
      </w:r>
      <w:bookmarkEnd w:id="296"/>
      <w:bookmarkEnd w:id="297"/>
      <w:bookmarkEnd w:id="298"/>
      <w:bookmarkEnd w:id="299"/>
      <w:bookmarkEnd w:id="300"/>
      <w:bookmarkEnd w:id="301"/>
      <w:bookmarkEnd w:id="302"/>
      <w:bookmarkEnd w:id="303"/>
      <w:bookmarkEnd w:id="304"/>
      <w:bookmarkEnd w:id="305"/>
      <w:bookmarkEnd w:id="306"/>
      <w:bookmarkEnd w:id="307"/>
    </w:p>
    <w:p w14:paraId="15CEF09F" w14:textId="5984271A" w:rsidR="00163C93" w:rsidRPr="000E57AE" w:rsidRDefault="00E83358" w:rsidP="00AF3FD4">
      <w:pPr>
        <w:pStyle w:val="ListParagraph"/>
        <w:numPr>
          <w:ilvl w:val="0"/>
          <w:numId w:val="5"/>
        </w:numPr>
        <w:spacing w:before="240" w:after="240" w:line="240" w:lineRule="auto"/>
        <w:ind w:right="1267"/>
        <w:contextualSpacing w:val="0"/>
        <w:jc w:val="both"/>
      </w:pPr>
      <w:r w:rsidRPr="000E57AE">
        <w:t xml:space="preserve">Development expenses consist </w:t>
      </w:r>
      <w:r w:rsidR="00E7076F" w:rsidRPr="000E57AE">
        <w:t>of</w:t>
      </w:r>
      <w:r w:rsidRPr="000E57AE">
        <w:t xml:space="preserve"> programme expenses of $</w:t>
      </w:r>
      <w:r w:rsidR="004D4942">
        <w:t>4.</w:t>
      </w:r>
      <w:r w:rsidR="002A28F1">
        <w:t>6</w:t>
      </w:r>
      <w:r w:rsidRPr="000E57AE">
        <w:t xml:space="preserve"> </w:t>
      </w:r>
      <w:r w:rsidR="00EE2806">
        <w:t>b</w:t>
      </w:r>
      <w:r w:rsidRPr="000E57AE">
        <w:t>illion</w:t>
      </w:r>
      <w:r w:rsidR="002A28F1">
        <w:t>, operational support to programme of $32</w:t>
      </w:r>
      <w:r w:rsidR="00995588">
        <w:t xml:space="preserve"> </w:t>
      </w:r>
      <w:r w:rsidR="002A28F1">
        <w:t>m</w:t>
      </w:r>
      <w:r w:rsidR="00995588">
        <w:t>illion</w:t>
      </w:r>
      <w:r w:rsidRPr="000E57AE">
        <w:t xml:space="preserve"> and development effectiveness of $</w:t>
      </w:r>
      <w:r w:rsidR="002A28F1">
        <w:t>188</w:t>
      </w:r>
      <w:r w:rsidRPr="000E57AE">
        <w:t xml:space="preserve"> million.</w:t>
      </w:r>
    </w:p>
    <w:p w14:paraId="3EF1BB95" w14:textId="0F5EC09F" w:rsidR="00163C93" w:rsidRPr="000E57AE" w:rsidRDefault="008B5591" w:rsidP="000578BE">
      <w:pPr>
        <w:pStyle w:val="H4"/>
        <w:tabs>
          <w:tab w:val="clear" w:pos="1267"/>
          <w:tab w:val="clear" w:pos="1742"/>
          <w:tab w:val="left" w:pos="1260"/>
          <w:tab w:val="left" w:pos="1440"/>
          <w:tab w:val="left" w:pos="1620"/>
        </w:tabs>
        <w:spacing w:before="240" w:after="240" w:line="240" w:lineRule="auto"/>
        <w:ind w:left="1008" w:firstLine="0"/>
        <w:outlineLvl w:val="2"/>
      </w:pPr>
      <w:bookmarkStart w:id="308" w:name="_Toc39596248"/>
      <w:bookmarkStart w:id="309" w:name="_Toc40281197"/>
      <w:bookmarkStart w:id="310" w:name="_Toc40281356"/>
      <w:bookmarkStart w:id="311" w:name="_Toc44499883"/>
      <w:bookmarkStart w:id="312" w:name="_Toc44603230"/>
      <w:bookmarkStart w:id="313" w:name="_Toc44606543"/>
      <w:bookmarkStart w:id="314" w:name="_Toc45297429"/>
      <w:bookmarkStart w:id="315" w:name="_Toc46221140"/>
      <w:bookmarkStart w:id="316" w:name="_Toc46399205"/>
      <w:bookmarkStart w:id="317" w:name="_Toc75466842"/>
      <w:bookmarkStart w:id="318" w:name="_Toc139289034"/>
      <w:bookmarkStart w:id="319" w:name="_Toc139289142"/>
      <w:r w:rsidRPr="00557696">
        <w:lastRenderedPageBreak/>
        <w:t xml:space="preserve">Programme </w:t>
      </w:r>
      <w:r w:rsidR="00163C93" w:rsidRPr="00557696">
        <w:t>expenses</w:t>
      </w:r>
      <w:bookmarkEnd w:id="308"/>
      <w:bookmarkEnd w:id="309"/>
      <w:bookmarkEnd w:id="310"/>
      <w:bookmarkEnd w:id="311"/>
      <w:bookmarkEnd w:id="312"/>
      <w:bookmarkEnd w:id="313"/>
      <w:bookmarkEnd w:id="314"/>
      <w:bookmarkEnd w:id="315"/>
      <w:bookmarkEnd w:id="316"/>
      <w:bookmarkEnd w:id="317"/>
      <w:bookmarkEnd w:id="318"/>
      <w:bookmarkEnd w:id="319"/>
    </w:p>
    <w:p w14:paraId="22EFF1F6" w14:textId="14EB3F90" w:rsidR="00847187" w:rsidRPr="000E57AE" w:rsidRDefault="00847187" w:rsidP="00AF3FD4">
      <w:pPr>
        <w:pStyle w:val="ListParagraph"/>
        <w:numPr>
          <w:ilvl w:val="0"/>
          <w:numId w:val="5"/>
        </w:numPr>
        <w:spacing w:before="240" w:after="240" w:line="240" w:lineRule="auto"/>
        <w:ind w:right="1267"/>
        <w:contextualSpacing w:val="0"/>
        <w:jc w:val="both"/>
      </w:pPr>
      <w:r>
        <w:t>P</w:t>
      </w:r>
      <w:r w:rsidRPr="004D509D">
        <w:t>rogramme expenses were $4.</w:t>
      </w:r>
      <w:r w:rsidR="0032786F">
        <w:t>6</w:t>
      </w:r>
      <w:r w:rsidRPr="004D509D">
        <w:t xml:space="preserve"> billion, a</w:t>
      </w:r>
      <w:r w:rsidR="00AA0248">
        <w:t xml:space="preserve"> decrease</w:t>
      </w:r>
      <w:r w:rsidRPr="004D509D">
        <w:t xml:space="preserve"> of $</w:t>
      </w:r>
      <w:r w:rsidR="006A1FFB">
        <w:t>19</w:t>
      </w:r>
      <w:r w:rsidRPr="004D509D">
        <w:t xml:space="preserve"> million (</w:t>
      </w:r>
      <w:r w:rsidR="00AA0248">
        <w:t>1</w:t>
      </w:r>
      <w:r w:rsidRPr="004D509D">
        <w:t xml:space="preserve"> per cent) from 202</w:t>
      </w:r>
      <w:r w:rsidR="00AA0248">
        <w:t>1</w:t>
      </w:r>
      <w:r w:rsidRPr="004D509D">
        <w:t xml:space="preserve">. </w:t>
      </w:r>
    </w:p>
    <w:p w14:paraId="195C726E" w14:textId="5C204241" w:rsidR="00133EFF" w:rsidRPr="00B01769" w:rsidRDefault="00F467B2" w:rsidP="00AF3FD4">
      <w:pPr>
        <w:pStyle w:val="ListParagraph"/>
        <w:numPr>
          <w:ilvl w:val="0"/>
          <w:numId w:val="5"/>
        </w:numPr>
        <w:spacing w:before="240" w:after="240" w:line="240" w:lineRule="auto"/>
        <w:ind w:right="1267"/>
        <w:contextualSpacing w:val="0"/>
        <w:jc w:val="both"/>
      </w:pPr>
      <w:r w:rsidRPr="00B01769">
        <w:t xml:space="preserve">UNDP took </w:t>
      </w:r>
      <w:r w:rsidR="0050788D" w:rsidRPr="00B01769">
        <w:t xml:space="preserve">measures </w:t>
      </w:r>
      <w:r w:rsidRPr="00B01769">
        <w:t>to curtail expenses</w:t>
      </w:r>
      <w:r w:rsidR="000F1D96" w:rsidRPr="00B01769">
        <w:t>,</w:t>
      </w:r>
      <w:r w:rsidRPr="00B01769">
        <w:t xml:space="preserve"> reflecting </w:t>
      </w:r>
      <w:r w:rsidR="000F1D96" w:rsidRPr="00B01769">
        <w:t xml:space="preserve">its </w:t>
      </w:r>
      <w:r w:rsidRPr="00B01769">
        <w:t xml:space="preserve">focus on efficiency </w:t>
      </w:r>
      <w:r w:rsidR="0050788D" w:rsidRPr="00B01769">
        <w:t xml:space="preserve">while </w:t>
      </w:r>
      <w:r w:rsidRPr="00B01769">
        <w:t>shield</w:t>
      </w:r>
      <w:r w:rsidR="0050788D" w:rsidRPr="00B01769">
        <w:t>ing</w:t>
      </w:r>
      <w:r w:rsidRPr="00B01769">
        <w:t xml:space="preserve"> programme components</w:t>
      </w:r>
      <w:r w:rsidR="007D30FA" w:rsidRPr="00B01769">
        <w:t>,</w:t>
      </w:r>
      <w:r w:rsidRPr="00B01769">
        <w:t xml:space="preserve"> such as </w:t>
      </w:r>
      <w:r w:rsidR="000F1D96" w:rsidRPr="00B01769">
        <w:t xml:space="preserve">target for resource assignment from the core </w:t>
      </w:r>
      <w:r w:rsidRPr="00B01769">
        <w:t xml:space="preserve">TRAC-1, TRAC-2, TRAC-3, South-South cooperation, </w:t>
      </w:r>
      <w:r w:rsidR="00BB5D55" w:rsidRPr="00B01769">
        <w:t xml:space="preserve">and </w:t>
      </w:r>
      <w:r w:rsidRPr="00B01769">
        <w:t>the Human Development Report Office</w:t>
      </w:r>
      <w:r w:rsidR="00DC0F91" w:rsidRPr="00B01769">
        <w:t>, including m</w:t>
      </w:r>
      <w:r w:rsidR="00E83358" w:rsidRPr="00B01769">
        <w:t>ulti-year allocations from TRAC-2</w:t>
      </w:r>
      <w:r w:rsidR="00A501B2" w:rsidRPr="00B01769">
        <w:t>.</w:t>
      </w:r>
      <w:r w:rsidR="00A501B2" w:rsidRPr="00B01769" w:rsidDel="00A501B2">
        <w:t xml:space="preserve"> </w:t>
      </w:r>
    </w:p>
    <w:p w14:paraId="6A9467E0" w14:textId="40FD8A35" w:rsidR="00E82350" w:rsidRPr="00B664C6" w:rsidRDefault="42EEDB6E" w:rsidP="00AF3FD4">
      <w:pPr>
        <w:pStyle w:val="ListParagraph"/>
        <w:numPr>
          <w:ilvl w:val="0"/>
          <w:numId w:val="5"/>
        </w:numPr>
        <w:spacing w:before="240" w:after="240" w:line="240" w:lineRule="auto"/>
        <w:ind w:right="1267"/>
        <w:contextualSpacing w:val="0"/>
        <w:jc w:val="both"/>
      </w:pPr>
      <w:r w:rsidRPr="00EF3DE8">
        <w:t>Th</w:t>
      </w:r>
      <w:r w:rsidR="174B9357" w:rsidRPr="00EF3DE8">
        <w:t>e</w:t>
      </w:r>
      <w:r w:rsidR="009C1CE2" w:rsidRPr="00EF3DE8">
        <w:t xml:space="preserve"> $</w:t>
      </w:r>
      <w:r w:rsidR="00266C68" w:rsidRPr="00EF3DE8">
        <w:t>4.</w:t>
      </w:r>
      <w:r w:rsidR="003C3D49">
        <w:t>6</w:t>
      </w:r>
      <w:r w:rsidR="00A24BE3" w:rsidRPr="00EF3DE8">
        <w:t xml:space="preserve"> billion</w:t>
      </w:r>
      <w:r w:rsidR="009C1CE2" w:rsidRPr="00EF3DE8">
        <w:t xml:space="preserve"> programme </w:t>
      </w:r>
      <w:r w:rsidRPr="00EF3DE8">
        <w:t>expense</w:t>
      </w:r>
      <w:r w:rsidR="0BB3BA58" w:rsidRPr="00EF3DE8">
        <w:t>s</w:t>
      </w:r>
      <w:r w:rsidRPr="00B664C6">
        <w:t xml:space="preserve"> include</w:t>
      </w:r>
      <w:r w:rsidR="009C1CE2" w:rsidRPr="00B664C6">
        <w:t xml:space="preserve"> $</w:t>
      </w:r>
      <w:r w:rsidR="00FC6974">
        <w:t>1.9</w:t>
      </w:r>
      <w:r w:rsidR="00D568AB">
        <w:t xml:space="preserve"> </w:t>
      </w:r>
      <w:r w:rsidR="00A24BE3" w:rsidRPr="00B664C6">
        <w:t xml:space="preserve">billion </w:t>
      </w:r>
      <w:r w:rsidR="009C1CE2" w:rsidRPr="00B664C6">
        <w:t>related to donor cost-sharing, $</w:t>
      </w:r>
      <w:r w:rsidR="00C06E48">
        <w:t>1.</w:t>
      </w:r>
      <w:r w:rsidR="006B69CE">
        <w:t>1</w:t>
      </w:r>
      <w:r w:rsidR="009C1CE2" w:rsidRPr="00B664C6">
        <w:t xml:space="preserve"> </w:t>
      </w:r>
      <w:r w:rsidR="00C06E48">
        <w:t>b</w:t>
      </w:r>
      <w:r w:rsidR="009C1CE2" w:rsidRPr="00B664C6">
        <w:t>illion related to government cost-sharing, $</w:t>
      </w:r>
      <w:r w:rsidR="006B69CE">
        <w:t>978</w:t>
      </w:r>
      <w:r w:rsidR="009C1CE2" w:rsidRPr="00B664C6">
        <w:t xml:space="preserve"> million related to vertical funds</w:t>
      </w:r>
      <w:r w:rsidR="00E163B7" w:rsidRPr="00B664C6">
        <w:t xml:space="preserve">, including </w:t>
      </w:r>
      <w:r w:rsidR="009C1CE2" w:rsidRPr="00B664C6">
        <w:t>the Global Fund to Fight AIDS, Tuberculosis and Malaria ($</w:t>
      </w:r>
      <w:r w:rsidR="00CC4852">
        <w:t>472</w:t>
      </w:r>
      <w:r w:rsidR="009C1CE2" w:rsidRPr="00B664C6">
        <w:t> million), the Global Environment Facility ($</w:t>
      </w:r>
      <w:r w:rsidR="007A7FC7">
        <w:t>29</w:t>
      </w:r>
      <w:r w:rsidR="0080736E">
        <w:t>2</w:t>
      </w:r>
      <w:r w:rsidR="009C1CE2" w:rsidRPr="00B664C6">
        <w:t xml:space="preserve"> million), the Green Climate Fund ($</w:t>
      </w:r>
      <w:r w:rsidR="00C3622A">
        <w:t>1</w:t>
      </w:r>
      <w:r w:rsidR="0080736E">
        <w:t>66</w:t>
      </w:r>
      <w:r w:rsidR="009C1CE2" w:rsidRPr="00B664C6">
        <w:t xml:space="preserve"> million) and the Montreal Protocol ($</w:t>
      </w:r>
      <w:r w:rsidR="00C3622A">
        <w:t>26</w:t>
      </w:r>
      <w:r w:rsidR="009C1CE2" w:rsidRPr="00B664C6">
        <w:t xml:space="preserve"> million).</w:t>
      </w:r>
      <w:r w:rsidR="007777F1" w:rsidRPr="00B664C6">
        <w:t xml:space="preserve"> </w:t>
      </w:r>
      <w:r w:rsidR="00EF3DE8">
        <w:t>3</w:t>
      </w:r>
      <w:r w:rsidR="003D27D3">
        <w:t>0</w:t>
      </w:r>
      <w:r w:rsidR="00EF3DE8">
        <w:t xml:space="preserve"> per cent of</w:t>
      </w:r>
      <w:r w:rsidR="0099639A">
        <w:t xml:space="preserve"> the</w:t>
      </w:r>
      <w:r w:rsidR="00EF3DE8">
        <w:t xml:space="preserve"> UNDP programme expenses </w:t>
      </w:r>
      <w:r w:rsidR="0099639A">
        <w:t xml:space="preserve">amounting to </w:t>
      </w:r>
      <w:r w:rsidR="00EF3DE8">
        <w:t>$1</w:t>
      </w:r>
      <w:r w:rsidR="002A5FED">
        <w:t>.</w:t>
      </w:r>
      <w:r w:rsidR="003D27D3">
        <w:t>4</w:t>
      </w:r>
      <w:r w:rsidR="002A5FED">
        <w:t xml:space="preserve"> b</w:t>
      </w:r>
      <w:r w:rsidR="00EF3DE8">
        <w:t xml:space="preserve">illion was attributed to the 10 largest country offices, in </w:t>
      </w:r>
      <w:r w:rsidR="00F75DF5">
        <w:t>Argentina, Iraq, Zimbabwe, Afghanistan, Yemen, Colombia, Lebanon, Nigeria, Egypt and Ukraine</w:t>
      </w:r>
      <w:r w:rsidR="00EF3DE8">
        <w:t>.</w:t>
      </w:r>
    </w:p>
    <w:p w14:paraId="79435952" w14:textId="3107622C" w:rsidR="00C45F88" w:rsidRPr="002609B0" w:rsidRDefault="006A24BB" w:rsidP="003F5F37">
      <w:pPr>
        <w:pStyle w:val="ListParagraph"/>
        <w:keepNext/>
        <w:tabs>
          <w:tab w:val="left" w:pos="1620"/>
          <w:tab w:val="left" w:pos="1710"/>
          <w:tab w:val="left" w:pos="8820"/>
        </w:tabs>
        <w:ind w:left="1526" w:right="1238"/>
        <w:jc w:val="center"/>
        <w:rPr>
          <w:b/>
          <w:spacing w:val="2"/>
        </w:rPr>
      </w:pPr>
      <w:r w:rsidRPr="00B948CB">
        <w:rPr>
          <w:b/>
          <w:spacing w:val="2"/>
        </w:rPr>
        <w:t>Figure</w:t>
      </w:r>
      <w:r w:rsidR="00C45F88" w:rsidRPr="00B948CB">
        <w:rPr>
          <w:b/>
          <w:spacing w:val="2"/>
        </w:rPr>
        <w:t xml:space="preserve"> </w:t>
      </w:r>
      <w:r w:rsidR="004D4DCC" w:rsidRPr="00B948CB">
        <w:rPr>
          <w:b/>
          <w:spacing w:val="2"/>
        </w:rPr>
        <w:t>IV</w:t>
      </w:r>
      <w:r w:rsidR="00442030" w:rsidRPr="00B948CB">
        <w:rPr>
          <w:b/>
          <w:spacing w:val="2"/>
        </w:rPr>
        <w:t xml:space="preserve"> (</w:t>
      </w:r>
      <w:r w:rsidR="008E7C8A" w:rsidRPr="00B948CB">
        <w:rPr>
          <w:b/>
          <w:spacing w:val="2"/>
        </w:rPr>
        <w:t>b</w:t>
      </w:r>
      <w:r w:rsidR="00442030" w:rsidRPr="00B948CB">
        <w:rPr>
          <w:b/>
          <w:spacing w:val="2"/>
        </w:rPr>
        <w:t>)</w:t>
      </w:r>
      <w:r w:rsidR="008E7C8A" w:rsidRPr="00B948CB">
        <w:rPr>
          <w:b/>
          <w:spacing w:val="2"/>
        </w:rPr>
        <w:t xml:space="preserve">. </w:t>
      </w:r>
      <w:r w:rsidR="00CE3EA6" w:rsidRPr="00B948CB">
        <w:rPr>
          <w:b/>
          <w:spacing w:val="2"/>
        </w:rPr>
        <w:t>P</w:t>
      </w:r>
      <w:r w:rsidR="006B4C5D" w:rsidRPr="00B948CB">
        <w:rPr>
          <w:b/>
          <w:spacing w:val="2"/>
        </w:rPr>
        <w:t>rog</w:t>
      </w:r>
      <w:r w:rsidR="00740F11" w:rsidRPr="00B948CB">
        <w:rPr>
          <w:b/>
          <w:spacing w:val="2"/>
        </w:rPr>
        <w:t xml:space="preserve">ramme </w:t>
      </w:r>
      <w:r w:rsidR="008E7C8A" w:rsidRPr="00B948CB">
        <w:rPr>
          <w:b/>
          <w:spacing w:val="2"/>
        </w:rPr>
        <w:t>expenses</w:t>
      </w:r>
      <w:r w:rsidR="00CE3EA6" w:rsidRPr="00B948CB">
        <w:rPr>
          <w:b/>
          <w:spacing w:val="2"/>
        </w:rPr>
        <w:t xml:space="preserve"> </w:t>
      </w:r>
      <w:r w:rsidR="008E7C8A" w:rsidRPr="00B948CB">
        <w:rPr>
          <w:b/>
          <w:spacing w:val="2"/>
        </w:rPr>
        <w:t xml:space="preserve">by </w:t>
      </w:r>
      <w:r w:rsidR="00C45F88" w:rsidRPr="00B948CB">
        <w:rPr>
          <w:b/>
          <w:spacing w:val="2"/>
        </w:rPr>
        <w:t>region, 20</w:t>
      </w:r>
      <w:r w:rsidR="00955BB6" w:rsidRPr="00B948CB">
        <w:rPr>
          <w:b/>
          <w:spacing w:val="2"/>
        </w:rPr>
        <w:t>2</w:t>
      </w:r>
      <w:r w:rsidR="006D2576">
        <w:rPr>
          <w:b/>
          <w:spacing w:val="2"/>
        </w:rPr>
        <w:t>1</w:t>
      </w:r>
      <w:r w:rsidR="00F56DAB" w:rsidRPr="00B948CB">
        <w:rPr>
          <w:b/>
          <w:spacing w:val="2"/>
        </w:rPr>
        <w:t>-</w:t>
      </w:r>
      <w:r w:rsidR="00EF3FDD" w:rsidRPr="00B948CB">
        <w:rPr>
          <w:b/>
          <w:spacing w:val="2"/>
        </w:rPr>
        <w:t>20</w:t>
      </w:r>
      <w:r w:rsidR="002609B0" w:rsidRPr="00B948CB">
        <w:rPr>
          <w:b/>
          <w:spacing w:val="2"/>
        </w:rPr>
        <w:t>2</w:t>
      </w:r>
      <w:r w:rsidR="006D2576">
        <w:rPr>
          <w:b/>
          <w:spacing w:val="2"/>
        </w:rPr>
        <w:t>2</w:t>
      </w:r>
    </w:p>
    <w:p w14:paraId="0011E734" w14:textId="37446277" w:rsidR="00C91FB8" w:rsidRDefault="12C3CB5B" w:rsidP="00C91FB8">
      <w:pPr>
        <w:pStyle w:val="ListParagraph"/>
        <w:keepNext/>
        <w:tabs>
          <w:tab w:val="left" w:pos="1620"/>
          <w:tab w:val="left" w:pos="1710"/>
          <w:tab w:val="left" w:pos="8820"/>
        </w:tabs>
        <w:spacing w:line="240" w:lineRule="auto"/>
        <w:ind w:left="1527" w:right="1238" w:hanging="274"/>
        <w:jc w:val="center"/>
        <w:rPr>
          <w:noProof/>
        </w:rPr>
      </w:pPr>
      <w:r w:rsidRPr="00441212">
        <w:rPr>
          <w:i/>
          <w:iCs/>
          <w:spacing w:val="2"/>
          <w:sz w:val="18"/>
          <w:szCs w:val="18"/>
        </w:rPr>
        <w:t>(</w:t>
      </w:r>
      <w:r w:rsidR="00B948CB" w:rsidRPr="00441212">
        <w:rPr>
          <w:i/>
          <w:iCs/>
          <w:spacing w:val="2"/>
          <w:sz w:val="18"/>
          <w:szCs w:val="18"/>
        </w:rPr>
        <w:t>I</w:t>
      </w:r>
      <w:r w:rsidRPr="00441212">
        <w:rPr>
          <w:i/>
          <w:iCs/>
          <w:spacing w:val="2"/>
          <w:sz w:val="18"/>
          <w:szCs w:val="18"/>
        </w:rPr>
        <w:t xml:space="preserve">n millions of </w:t>
      </w:r>
      <w:r w:rsidR="57C7EDB9" w:rsidRPr="00441212">
        <w:rPr>
          <w:i/>
          <w:iCs/>
          <w:spacing w:val="2"/>
          <w:sz w:val="18"/>
          <w:szCs w:val="18"/>
        </w:rPr>
        <w:t xml:space="preserve">United States </w:t>
      </w:r>
      <w:r w:rsidRPr="00441212">
        <w:rPr>
          <w:i/>
          <w:iCs/>
          <w:spacing w:val="2"/>
          <w:sz w:val="18"/>
          <w:szCs w:val="18"/>
        </w:rPr>
        <w:t>dollars)</w:t>
      </w:r>
      <w:r w:rsidR="00B948CB" w:rsidRPr="00B948CB">
        <w:rPr>
          <w:noProof/>
        </w:rPr>
        <w:t xml:space="preserve"> </w:t>
      </w:r>
    </w:p>
    <w:p w14:paraId="0381B648" w14:textId="77777777" w:rsidR="003D42C7" w:rsidRDefault="003D42C7" w:rsidP="00C91FB8">
      <w:pPr>
        <w:pStyle w:val="ListParagraph"/>
        <w:keepNext/>
        <w:tabs>
          <w:tab w:val="left" w:pos="1620"/>
          <w:tab w:val="left" w:pos="1710"/>
          <w:tab w:val="left" w:pos="8820"/>
        </w:tabs>
        <w:spacing w:line="240" w:lineRule="auto"/>
        <w:ind w:left="1527" w:right="1238" w:hanging="274"/>
        <w:jc w:val="center"/>
        <w:rPr>
          <w:noProof/>
        </w:rPr>
      </w:pPr>
    </w:p>
    <w:p w14:paraId="32A9B03D" w14:textId="06B5AAE4" w:rsidR="007965C8" w:rsidRPr="003D42C7" w:rsidRDefault="002F4105" w:rsidP="003D42C7">
      <w:pPr>
        <w:pStyle w:val="ListParagraph"/>
        <w:keepNext/>
        <w:tabs>
          <w:tab w:val="left" w:pos="1620"/>
          <w:tab w:val="left" w:pos="1710"/>
          <w:tab w:val="left" w:pos="8820"/>
        </w:tabs>
        <w:spacing w:line="240" w:lineRule="auto"/>
        <w:ind w:left="1527" w:right="1238" w:hanging="274"/>
        <w:jc w:val="center"/>
        <w:rPr>
          <w:spacing w:val="2"/>
        </w:rPr>
      </w:pPr>
      <w:r>
        <w:rPr>
          <w:noProof/>
        </w:rPr>
        <w:drawing>
          <wp:inline distT="0" distB="0" distL="0" distR="0" wp14:anchorId="53D2B515" wp14:editId="624A9EC1">
            <wp:extent cx="4983480" cy="2103120"/>
            <wp:effectExtent l="0" t="0" r="7620" b="11430"/>
            <wp:docPr id="1254039206" name="Chart 1">
              <a:extLst xmlns:a="http://schemas.openxmlformats.org/drawingml/2006/main">
                <a:ext uri="{FF2B5EF4-FFF2-40B4-BE49-F238E27FC236}">
                  <a16:creationId xmlns:a16="http://schemas.microsoft.com/office/drawing/2014/main" id="{A6A0CB81-27C4-4728-B6BF-E89DE2897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83B6D2" w14:textId="01DC42B0" w:rsidR="00D20701" w:rsidRPr="000E57AE" w:rsidRDefault="00D20701" w:rsidP="0038188B">
      <w:pPr>
        <w:pStyle w:val="ListParagraph"/>
        <w:keepNext/>
        <w:tabs>
          <w:tab w:val="left" w:pos="1620"/>
          <w:tab w:val="left" w:pos="1710"/>
          <w:tab w:val="left" w:pos="8820"/>
        </w:tabs>
        <w:ind w:left="1526" w:right="1238" w:hanging="270"/>
        <w:jc w:val="center"/>
      </w:pPr>
    </w:p>
    <w:p w14:paraId="400956E1" w14:textId="28CD46CB" w:rsidR="00F56DAB" w:rsidRPr="000E57AE" w:rsidRDefault="003B7574" w:rsidP="000578BE">
      <w:pPr>
        <w:pStyle w:val="H4"/>
        <w:tabs>
          <w:tab w:val="clear" w:pos="1742"/>
          <w:tab w:val="left" w:pos="1440"/>
          <w:tab w:val="left" w:pos="1620"/>
        </w:tabs>
        <w:spacing w:before="240" w:after="240" w:line="240" w:lineRule="auto"/>
        <w:ind w:left="1008" w:firstLine="0"/>
        <w:outlineLvl w:val="2"/>
      </w:pPr>
      <w:bookmarkStart w:id="320" w:name="_Toc40281198"/>
      <w:bookmarkStart w:id="321" w:name="_Toc40281357"/>
      <w:bookmarkStart w:id="322" w:name="_Toc44499884"/>
      <w:bookmarkStart w:id="323" w:name="_Toc44603231"/>
      <w:bookmarkStart w:id="324" w:name="_Toc44606544"/>
      <w:bookmarkStart w:id="325" w:name="_Toc39596249"/>
      <w:bookmarkStart w:id="326" w:name="_Toc45297430"/>
      <w:bookmarkStart w:id="327" w:name="_Toc46221141"/>
      <w:bookmarkStart w:id="328" w:name="_Toc46399206"/>
      <w:bookmarkStart w:id="329" w:name="_Toc139289035"/>
      <w:bookmarkStart w:id="330" w:name="_Toc139289143"/>
      <w:bookmarkStart w:id="331" w:name="_Toc75466843"/>
      <w:r w:rsidRPr="00B47CA4">
        <w:t>Comparison of programme expenses by region, 20</w:t>
      </w:r>
      <w:r w:rsidR="008B36D0">
        <w:t>2</w:t>
      </w:r>
      <w:r w:rsidR="006D2576">
        <w:t>1</w:t>
      </w:r>
      <w:r w:rsidRPr="00B47CA4">
        <w:t>-20</w:t>
      </w:r>
      <w:bookmarkEnd w:id="320"/>
      <w:bookmarkEnd w:id="321"/>
      <w:bookmarkEnd w:id="322"/>
      <w:bookmarkEnd w:id="323"/>
      <w:bookmarkEnd w:id="324"/>
      <w:bookmarkEnd w:id="325"/>
      <w:bookmarkEnd w:id="326"/>
      <w:bookmarkEnd w:id="327"/>
      <w:bookmarkEnd w:id="328"/>
      <w:r w:rsidR="006C7982" w:rsidRPr="00B47CA4">
        <w:t>2</w:t>
      </w:r>
      <w:r w:rsidR="006D2576">
        <w:t>2</w:t>
      </w:r>
      <w:bookmarkEnd w:id="329"/>
      <w:bookmarkEnd w:id="330"/>
      <w:bookmarkEnd w:id="331"/>
    </w:p>
    <w:p w14:paraId="21DD7479" w14:textId="20A202BB" w:rsidR="00206DF9" w:rsidRDefault="007F068A" w:rsidP="006403D0">
      <w:pPr>
        <w:pStyle w:val="ListParagraph"/>
        <w:numPr>
          <w:ilvl w:val="0"/>
          <w:numId w:val="5"/>
        </w:numPr>
        <w:spacing w:before="240" w:after="240" w:line="240" w:lineRule="auto"/>
        <w:ind w:right="1267"/>
        <w:jc w:val="both"/>
      </w:pPr>
      <w:r w:rsidRPr="00842755">
        <w:t xml:space="preserve">Overall programme delivery in </w:t>
      </w:r>
      <w:r w:rsidR="00585042" w:rsidRPr="00842755">
        <w:t xml:space="preserve">the </w:t>
      </w:r>
      <w:r w:rsidRPr="00842755">
        <w:t xml:space="preserve">Africa region </w:t>
      </w:r>
      <w:r w:rsidR="007720FD">
        <w:t>in</w:t>
      </w:r>
      <w:r w:rsidR="00986640" w:rsidRPr="00842755">
        <w:t>creased</w:t>
      </w:r>
      <w:r w:rsidR="000245E1" w:rsidRPr="00842755">
        <w:t xml:space="preserve"> </w:t>
      </w:r>
      <w:r w:rsidRPr="00842755">
        <w:t xml:space="preserve">by </w:t>
      </w:r>
      <w:r w:rsidR="00423597">
        <w:t>3.9</w:t>
      </w:r>
      <w:r w:rsidRPr="00842755">
        <w:t xml:space="preserve"> per cent. </w:t>
      </w:r>
      <w:r w:rsidRPr="00B664C6">
        <w:t xml:space="preserve">The top three countries with the largest programme delivery in </w:t>
      </w:r>
      <w:r w:rsidR="00123DD1" w:rsidRPr="00B664C6">
        <w:t>202</w:t>
      </w:r>
      <w:r w:rsidR="00A652A4">
        <w:t>2</w:t>
      </w:r>
      <w:r w:rsidRPr="00B664C6">
        <w:t xml:space="preserve"> </w:t>
      </w:r>
      <w:r w:rsidR="00FC1CC5" w:rsidRPr="00B664C6">
        <w:t xml:space="preserve">were </w:t>
      </w:r>
      <w:r w:rsidR="006049F9" w:rsidRPr="00B664C6">
        <w:t>Zimbabwe ($</w:t>
      </w:r>
      <w:r w:rsidR="00A652A4">
        <w:t>17</w:t>
      </w:r>
      <w:r w:rsidR="0017243B">
        <w:t>4</w:t>
      </w:r>
      <w:r w:rsidR="006049F9" w:rsidRPr="00B664C6">
        <w:t> million)</w:t>
      </w:r>
      <w:r w:rsidRPr="00B664C6">
        <w:t xml:space="preserve">, </w:t>
      </w:r>
      <w:r w:rsidR="00B307DC">
        <w:t>Nigeria</w:t>
      </w:r>
      <w:r w:rsidRPr="00B664C6">
        <w:t xml:space="preserve"> (</w:t>
      </w:r>
      <w:r w:rsidR="00C93BC0" w:rsidRPr="00B664C6">
        <w:t>$</w:t>
      </w:r>
      <w:r w:rsidR="00A652A4">
        <w:t>77</w:t>
      </w:r>
      <w:r w:rsidRPr="00B664C6">
        <w:t xml:space="preserve"> million) and </w:t>
      </w:r>
      <w:r w:rsidR="00A652A4">
        <w:t>Burundi</w:t>
      </w:r>
      <w:r w:rsidR="00A652A4" w:rsidRPr="00B664C6">
        <w:t xml:space="preserve"> </w:t>
      </w:r>
      <w:r w:rsidRPr="00B664C6">
        <w:t>($</w:t>
      </w:r>
      <w:r w:rsidR="00A652A4">
        <w:t>72</w:t>
      </w:r>
      <w:r w:rsidR="00FC1CC5" w:rsidRPr="00B664C6">
        <w:t> </w:t>
      </w:r>
      <w:r w:rsidRPr="00B664C6">
        <w:t xml:space="preserve">million). </w:t>
      </w:r>
      <w:r w:rsidR="00046337" w:rsidRPr="00B664C6">
        <w:t xml:space="preserve">Of </w:t>
      </w:r>
      <w:r w:rsidR="00CC229A" w:rsidRPr="00B664C6">
        <w:t>the $</w:t>
      </w:r>
      <w:r w:rsidR="00A652A4">
        <w:t>17</w:t>
      </w:r>
      <w:r w:rsidR="0017243B">
        <w:t>4</w:t>
      </w:r>
      <w:r w:rsidR="00CC229A" w:rsidRPr="00B664C6">
        <w:t xml:space="preserve"> million delivery in </w:t>
      </w:r>
      <w:r w:rsidR="007E512D" w:rsidRPr="00B664C6">
        <w:t>Zimbabwe</w:t>
      </w:r>
      <w:r w:rsidR="00CC229A" w:rsidRPr="00B664C6">
        <w:t>,</w:t>
      </w:r>
      <w:r w:rsidR="003F2899" w:rsidRPr="00B664C6">
        <w:t xml:space="preserve"> $</w:t>
      </w:r>
      <w:r w:rsidR="004F766C">
        <w:t>1</w:t>
      </w:r>
      <w:r w:rsidR="002910BF">
        <w:t>41</w:t>
      </w:r>
      <w:r w:rsidR="003F2899" w:rsidRPr="00B664C6">
        <w:t xml:space="preserve"> million </w:t>
      </w:r>
      <w:r w:rsidR="00C23DE7" w:rsidRPr="00B664C6">
        <w:t>(</w:t>
      </w:r>
      <w:r w:rsidR="00430AA9" w:rsidRPr="00B664C6">
        <w:t>8</w:t>
      </w:r>
      <w:r w:rsidR="00950CA8">
        <w:t>1</w:t>
      </w:r>
      <w:r w:rsidR="00C23DE7" w:rsidRPr="00B664C6">
        <w:t xml:space="preserve"> per cent) was </w:t>
      </w:r>
      <w:r w:rsidR="00BA0578" w:rsidRPr="00B664C6">
        <w:t>funded by the Global Fund</w:t>
      </w:r>
      <w:r w:rsidR="00734CFB" w:rsidRPr="00B664C6">
        <w:t>.</w:t>
      </w:r>
      <w:r w:rsidR="00BA0578" w:rsidRPr="00B664C6">
        <w:t xml:space="preserve"> </w:t>
      </w:r>
      <w:r w:rsidR="00A4766C" w:rsidRPr="00B664C6">
        <w:t xml:space="preserve">Of the top </w:t>
      </w:r>
      <w:r w:rsidR="002F7BC6">
        <w:t>eight</w:t>
      </w:r>
      <w:r w:rsidR="002F7BC6" w:rsidRPr="00B664C6">
        <w:t xml:space="preserve"> </w:t>
      </w:r>
      <w:r w:rsidR="00A4766C" w:rsidRPr="00B664C6">
        <w:t>Country Offices within this region with more than $</w:t>
      </w:r>
      <w:r w:rsidR="00985813">
        <w:t>4</w:t>
      </w:r>
      <w:r w:rsidR="00A4766C" w:rsidRPr="00B664C6">
        <w:t>0 million deliv</w:t>
      </w:r>
      <w:r w:rsidR="003954C7" w:rsidRPr="00B664C6">
        <w:t>ery</w:t>
      </w:r>
      <w:r w:rsidR="00416828">
        <w:t>;</w:t>
      </w:r>
      <w:r w:rsidR="003954C7" w:rsidRPr="00B664C6">
        <w:t xml:space="preserve"> </w:t>
      </w:r>
      <w:r w:rsidR="000C1EDD">
        <w:t>B</w:t>
      </w:r>
      <w:r w:rsidR="00D50B31">
        <w:t>urundi</w:t>
      </w:r>
      <w:r w:rsidR="002A0FCD" w:rsidRPr="00B664C6">
        <w:t xml:space="preserve"> increased delivery by </w:t>
      </w:r>
      <w:r w:rsidR="00F77D72">
        <w:t>$</w:t>
      </w:r>
      <w:r w:rsidR="008957A1">
        <w:t>3</w:t>
      </w:r>
      <w:r w:rsidR="00D50B31">
        <w:t>0</w:t>
      </w:r>
      <w:r w:rsidR="002A0FCD" w:rsidRPr="00B664C6">
        <w:t xml:space="preserve"> million</w:t>
      </w:r>
      <w:r w:rsidR="00E7213D" w:rsidRPr="00B664C6">
        <w:t xml:space="preserve"> (</w:t>
      </w:r>
      <w:r w:rsidR="00D50B31">
        <w:t>7</w:t>
      </w:r>
      <w:r w:rsidR="00055DB3" w:rsidRPr="00B664C6">
        <w:t>2 per cent</w:t>
      </w:r>
      <w:r w:rsidR="00416828" w:rsidRPr="00B664C6">
        <w:t>)</w:t>
      </w:r>
      <w:r w:rsidR="00A90562">
        <w:t>,</w:t>
      </w:r>
      <w:r w:rsidR="00416828">
        <w:t xml:space="preserve"> </w:t>
      </w:r>
      <w:r w:rsidR="00A90562">
        <w:t xml:space="preserve">South Sudan </w:t>
      </w:r>
      <w:r w:rsidR="00875014">
        <w:t>by $17 million (</w:t>
      </w:r>
      <w:r w:rsidR="00361E07">
        <w:t>3</w:t>
      </w:r>
      <w:r w:rsidR="00016378">
        <w:t>2 per cent</w:t>
      </w:r>
      <w:r w:rsidR="00361E07">
        <w:t>), Angola by $26 million (7</w:t>
      </w:r>
      <w:r w:rsidR="00016378">
        <w:t>7 per cent</w:t>
      </w:r>
      <w:r w:rsidR="00361E07">
        <w:t xml:space="preserve">), Democratic Republic of Congo by </w:t>
      </w:r>
      <w:r w:rsidR="00C36029">
        <w:t>$7 milli</w:t>
      </w:r>
      <w:r w:rsidR="00016378">
        <w:t xml:space="preserve">on </w:t>
      </w:r>
      <w:r w:rsidR="00C36029">
        <w:t>(14</w:t>
      </w:r>
      <w:r w:rsidR="00016378">
        <w:t xml:space="preserve"> per cent</w:t>
      </w:r>
      <w:r w:rsidR="00C36029">
        <w:t xml:space="preserve">) and Chad </w:t>
      </w:r>
      <w:r w:rsidR="002A0FCD" w:rsidRPr="00B664C6">
        <w:t xml:space="preserve">by </w:t>
      </w:r>
      <w:r w:rsidR="00F77D72">
        <w:t>$</w:t>
      </w:r>
      <w:r w:rsidR="00C36029">
        <w:t>8</w:t>
      </w:r>
      <w:r w:rsidR="002A0FCD" w:rsidRPr="00B664C6">
        <w:t xml:space="preserve"> million</w:t>
      </w:r>
      <w:r w:rsidR="00055DB3" w:rsidRPr="00B664C6">
        <w:t xml:space="preserve"> (</w:t>
      </w:r>
      <w:r w:rsidR="00C36029">
        <w:t>1</w:t>
      </w:r>
      <w:r w:rsidR="004245CA">
        <w:t>9</w:t>
      </w:r>
      <w:r w:rsidR="00055DB3" w:rsidRPr="00B664C6">
        <w:t xml:space="preserve"> per cent)</w:t>
      </w:r>
      <w:r w:rsidR="002A0FCD" w:rsidRPr="00B664C6">
        <w:t xml:space="preserve">, </w:t>
      </w:r>
      <w:r w:rsidR="008957A1">
        <w:t>while</w:t>
      </w:r>
      <w:r w:rsidR="0050002C">
        <w:t xml:space="preserve"> </w:t>
      </w:r>
      <w:r w:rsidR="00A90562" w:rsidRPr="00B664C6">
        <w:t>Zimbabwe</w:t>
      </w:r>
      <w:r w:rsidR="00A90562">
        <w:t xml:space="preserve">, </w:t>
      </w:r>
      <w:r w:rsidR="005823B5">
        <w:t>Nigeria and Ethiopia</w:t>
      </w:r>
      <w:r w:rsidR="0050002C">
        <w:t xml:space="preserve"> decreased</w:t>
      </w:r>
      <w:r w:rsidR="008957A1" w:rsidRPr="00B664C6">
        <w:t xml:space="preserve"> </w:t>
      </w:r>
      <w:r w:rsidR="002A0FCD" w:rsidRPr="00B664C6">
        <w:t xml:space="preserve">by </w:t>
      </w:r>
      <w:r w:rsidR="00F77D72">
        <w:t>$</w:t>
      </w:r>
      <w:r w:rsidR="005823B5">
        <w:t>3</w:t>
      </w:r>
      <w:r w:rsidR="0068026F">
        <w:t>5</w:t>
      </w:r>
      <w:r w:rsidR="002A0FCD" w:rsidRPr="00B664C6">
        <w:t xml:space="preserve"> million</w:t>
      </w:r>
      <w:r w:rsidR="00055DB3" w:rsidRPr="00B664C6">
        <w:t xml:space="preserve"> (</w:t>
      </w:r>
      <w:r w:rsidR="005823B5">
        <w:t>17</w:t>
      </w:r>
      <w:r w:rsidR="0050002C">
        <w:t xml:space="preserve"> </w:t>
      </w:r>
      <w:r w:rsidR="00055DB3" w:rsidRPr="00B664C6">
        <w:t>per cent)</w:t>
      </w:r>
      <w:r w:rsidR="002A0FCD" w:rsidRPr="00B664C6">
        <w:t xml:space="preserve">, </w:t>
      </w:r>
      <w:r w:rsidR="00530727">
        <w:t xml:space="preserve">by </w:t>
      </w:r>
      <w:r w:rsidR="00F77D72">
        <w:t>$</w:t>
      </w:r>
      <w:r w:rsidR="005823B5">
        <w:t>6</w:t>
      </w:r>
      <w:r w:rsidR="00530727">
        <w:t xml:space="preserve"> million (7 per cent</w:t>
      </w:r>
      <w:r w:rsidR="005823B5">
        <w:t>)</w:t>
      </w:r>
      <w:r w:rsidR="001C65CC">
        <w:t xml:space="preserve"> and by </w:t>
      </w:r>
      <w:r w:rsidR="00F77D72">
        <w:t>$</w:t>
      </w:r>
      <w:r w:rsidR="005823B5">
        <w:t>13</w:t>
      </w:r>
      <w:r w:rsidR="001C65CC">
        <w:t xml:space="preserve"> million (</w:t>
      </w:r>
      <w:r w:rsidR="005823B5">
        <w:t>24</w:t>
      </w:r>
      <w:r w:rsidR="001C65CC">
        <w:t xml:space="preserve"> per cent) </w:t>
      </w:r>
      <w:r w:rsidR="00E7213D" w:rsidRPr="00B664C6">
        <w:t>respectively</w:t>
      </w:r>
      <w:r w:rsidR="00430AA9" w:rsidRPr="00B664C6">
        <w:t>.</w:t>
      </w:r>
      <w:r w:rsidR="001C65CC">
        <w:t xml:space="preserve"> </w:t>
      </w:r>
    </w:p>
    <w:p w14:paraId="5E0B8718" w14:textId="77777777" w:rsidR="00395991" w:rsidRPr="00842755" w:rsidRDefault="00395991" w:rsidP="00206DF9">
      <w:pPr>
        <w:pStyle w:val="ListParagraph"/>
        <w:spacing w:before="240" w:after="240" w:line="240" w:lineRule="auto"/>
        <w:ind w:left="1343" w:right="1267"/>
        <w:jc w:val="both"/>
      </w:pPr>
    </w:p>
    <w:p w14:paraId="37F38EA2" w14:textId="4D23C1E8" w:rsidR="0014785B" w:rsidRPr="00842755" w:rsidRDefault="00351E19" w:rsidP="00AF3FD4">
      <w:pPr>
        <w:pStyle w:val="ListParagraph"/>
        <w:numPr>
          <w:ilvl w:val="0"/>
          <w:numId w:val="5"/>
        </w:numPr>
        <w:spacing w:before="240" w:after="240" w:line="240" w:lineRule="auto"/>
        <w:ind w:right="1267"/>
        <w:contextualSpacing w:val="0"/>
        <w:jc w:val="both"/>
      </w:pPr>
      <w:r w:rsidRPr="00842755">
        <w:t xml:space="preserve">Overall programme delivery in the Arab States region </w:t>
      </w:r>
      <w:r w:rsidR="007C3CCD">
        <w:t>in</w:t>
      </w:r>
      <w:r w:rsidR="00BB07E5" w:rsidRPr="00842755">
        <w:t>creased</w:t>
      </w:r>
      <w:r w:rsidRPr="00842755">
        <w:t xml:space="preserve"> by </w:t>
      </w:r>
      <w:r w:rsidR="00423597">
        <w:t>2.2</w:t>
      </w:r>
      <w:r w:rsidR="00ED3732" w:rsidRPr="00842755">
        <w:t xml:space="preserve"> </w:t>
      </w:r>
      <w:r w:rsidRPr="00842755">
        <w:t xml:space="preserve">per cent. </w:t>
      </w:r>
      <w:r w:rsidR="00057B87">
        <w:t xml:space="preserve">While </w:t>
      </w:r>
      <w:r w:rsidR="009B1161" w:rsidRPr="00842755">
        <w:t xml:space="preserve">Iraq </w:t>
      </w:r>
      <w:r w:rsidR="00261F17" w:rsidRPr="00842755">
        <w:t>ha</w:t>
      </w:r>
      <w:r w:rsidR="003D79BF">
        <w:t xml:space="preserve">d </w:t>
      </w:r>
      <w:r w:rsidR="009B1161" w:rsidRPr="00842755">
        <w:t>the</w:t>
      </w:r>
      <w:r w:rsidR="00A17A03">
        <w:t xml:space="preserve"> second</w:t>
      </w:r>
      <w:r w:rsidR="009B1161" w:rsidRPr="00842755">
        <w:t xml:space="preserve"> largest programme delivery in UNDP</w:t>
      </w:r>
      <w:r w:rsidR="003D79BF">
        <w:t xml:space="preserve">, the </w:t>
      </w:r>
      <w:r w:rsidR="00B549BF">
        <w:t>C</w:t>
      </w:r>
      <w:r w:rsidR="00C6627D">
        <w:t>ountr</w:t>
      </w:r>
      <w:r w:rsidR="00E651BE">
        <w:t xml:space="preserve">y </w:t>
      </w:r>
      <w:r w:rsidR="00B549BF">
        <w:t>O</w:t>
      </w:r>
      <w:r w:rsidR="00E651BE">
        <w:t>ffice</w:t>
      </w:r>
      <w:r w:rsidR="003D79BF">
        <w:t xml:space="preserve"> </w:t>
      </w:r>
      <w:r w:rsidR="009B1161" w:rsidRPr="00842755">
        <w:t>delivered a total of $</w:t>
      </w:r>
      <w:r w:rsidR="00AC6646" w:rsidRPr="00842755">
        <w:t>2</w:t>
      </w:r>
      <w:r w:rsidR="00A17A03">
        <w:t>6</w:t>
      </w:r>
      <w:r w:rsidR="003A3579">
        <w:t>3</w:t>
      </w:r>
      <w:r w:rsidR="009B1161" w:rsidRPr="00842755">
        <w:t xml:space="preserve"> million</w:t>
      </w:r>
      <w:r w:rsidR="00AC60D6">
        <w:t xml:space="preserve"> in 2022,</w:t>
      </w:r>
      <w:r w:rsidR="009B1161" w:rsidRPr="00842755">
        <w:t xml:space="preserve"> a</w:t>
      </w:r>
      <w:r w:rsidR="00057B87">
        <w:t xml:space="preserve"> de</w:t>
      </w:r>
      <w:r w:rsidR="00AC6646" w:rsidRPr="00842755">
        <w:t>crease</w:t>
      </w:r>
      <w:r w:rsidR="009B1161" w:rsidRPr="00842755">
        <w:t xml:space="preserve"> of </w:t>
      </w:r>
      <w:r w:rsidR="00A831B4">
        <w:t>5</w:t>
      </w:r>
      <w:r w:rsidR="009B1161" w:rsidRPr="00842755">
        <w:t xml:space="preserve"> per cent from </w:t>
      </w:r>
      <w:r w:rsidR="00BA5ED1" w:rsidRPr="00842755">
        <w:t xml:space="preserve">the </w:t>
      </w:r>
      <w:r w:rsidR="00DC6F93" w:rsidRPr="00842755">
        <w:t>20</w:t>
      </w:r>
      <w:r w:rsidR="00A93C33">
        <w:t>2</w:t>
      </w:r>
      <w:r w:rsidR="003D79BF">
        <w:t>1</w:t>
      </w:r>
      <w:r w:rsidR="009B1161" w:rsidRPr="00842755">
        <w:t xml:space="preserve"> delivery of $</w:t>
      </w:r>
      <w:r w:rsidR="00A93C33">
        <w:t>2</w:t>
      </w:r>
      <w:r w:rsidR="003D79BF">
        <w:t>76</w:t>
      </w:r>
      <w:r w:rsidR="00FC1CC5" w:rsidRPr="00842755">
        <w:t> </w:t>
      </w:r>
      <w:r w:rsidR="009B1161" w:rsidRPr="00842755">
        <w:t xml:space="preserve">million. Of that amount, </w:t>
      </w:r>
      <w:r w:rsidR="00F83196" w:rsidRPr="00842755">
        <w:t>9</w:t>
      </w:r>
      <w:r w:rsidR="00345C96">
        <w:t>0</w:t>
      </w:r>
      <w:r w:rsidR="009B1161" w:rsidRPr="00842755">
        <w:t xml:space="preserve"> per</w:t>
      </w:r>
      <w:r w:rsidR="0036649C" w:rsidRPr="00842755">
        <w:t xml:space="preserve"> </w:t>
      </w:r>
      <w:r w:rsidR="009B1161" w:rsidRPr="00842755">
        <w:t>cent was funded by donor country governments under third-party cost-sharing arrangement</w:t>
      </w:r>
      <w:r w:rsidR="00BA5ED1" w:rsidRPr="00842755">
        <w:t>s</w:t>
      </w:r>
      <w:r w:rsidR="009B1161" w:rsidRPr="00842755">
        <w:t xml:space="preserve">. Yemen was also one of the top </w:t>
      </w:r>
      <w:r w:rsidR="00442374" w:rsidRPr="00842755">
        <w:t>ten</w:t>
      </w:r>
      <w:r w:rsidR="009B1161" w:rsidRPr="00842755">
        <w:t xml:space="preserve"> </w:t>
      </w:r>
      <w:r w:rsidR="009B1161" w:rsidRPr="00842755">
        <w:lastRenderedPageBreak/>
        <w:t>countr</w:t>
      </w:r>
      <w:r w:rsidR="00734CFB" w:rsidRPr="00842755">
        <w:t>ies</w:t>
      </w:r>
      <w:r w:rsidR="00900E20">
        <w:t xml:space="preserve"> in UNDP</w:t>
      </w:r>
      <w:r w:rsidR="00FC1CC5" w:rsidRPr="00842755">
        <w:t>,</w:t>
      </w:r>
      <w:r w:rsidR="009B1161" w:rsidRPr="00842755">
        <w:t xml:space="preserve"> with total programme delivery of $</w:t>
      </w:r>
      <w:r w:rsidR="00F66E9C">
        <w:t>111</w:t>
      </w:r>
      <w:r w:rsidR="009B1161" w:rsidRPr="00842755">
        <w:t xml:space="preserve"> million</w:t>
      </w:r>
      <w:r w:rsidR="008475B8" w:rsidRPr="00842755">
        <w:t xml:space="preserve">, of which </w:t>
      </w:r>
      <w:r w:rsidR="006F785D">
        <w:t>47</w:t>
      </w:r>
      <w:r w:rsidR="007C2DEB" w:rsidRPr="00842755">
        <w:t xml:space="preserve"> per</w:t>
      </w:r>
      <w:r w:rsidR="0059324E" w:rsidRPr="00842755">
        <w:t xml:space="preserve"> </w:t>
      </w:r>
      <w:r w:rsidR="007C2DEB" w:rsidRPr="00842755">
        <w:t>cent</w:t>
      </w:r>
      <w:r w:rsidR="008475B8" w:rsidRPr="00842755">
        <w:t xml:space="preserve"> were funded by the World Bank Group</w:t>
      </w:r>
      <w:r w:rsidR="0047727B" w:rsidRPr="00842755">
        <w:t>.</w:t>
      </w:r>
    </w:p>
    <w:p w14:paraId="00B6B8E5" w14:textId="31911F62" w:rsidR="00B27D57" w:rsidRDefault="00BE5F98" w:rsidP="00DF131B">
      <w:pPr>
        <w:pStyle w:val="ListParagraph"/>
        <w:numPr>
          <w:ilvl w:val="0"/>
          <w:numId w:val="5"/>
        </w:numPr>
        <w:spacing w:before="240" w:after="240" w:line="240" w:lineRule="auto"/>
        <w:ind w:right="1267"/>
        <w:jc w:val="both"/>
      </w:pPr>
      <w:r w:rsidRPr="00842755">
        <w:t>Overall programme delivery in the</w:t>
      </w:r>
      <w:r>
        <w:t xml:space="preserve"> </w:t>
      </w:r>
      <w:r w:rsidRPr="00842755">
        <w:t>Asia and the Pacific region</w:t>
      </w:r>
      <w:r>
        <w:t xml:space="preserve"> de</w:t>
      </w:r>
      <w:r w:rsidRPr="00842755">
        <w:t xml:space="preserve">creased by </w:t>
      </w:r>
      <w:r w:rsidR="00A56F4B">
        <w:t>2.3</w:t>
      </w:r>
      <w:r w:rsidRPr="00842755">
        <w:t xml:space="preserve"> per cent.</w:t>
      </w:r>
      <w:r w:rsidR="00EB39AE">
        <w:t xml:space="preserve"> </w:t>
      </w:r>
      <w:r w:rsidR="00E718AA" w:rsidRPr="00842755">
        <w:t xml:space="preserve">Of the </w:t>
      </w:r>
      <w:r w:rsidR="00E718AA">
        <w:t>s</w:t>
      </w:r>
      <w:r w:rsidR="008864D2">
        <w:t>ix</w:t>
      </w:r>
      <w:r w:rsidR="00E718AA" w:rsidRPr="00842755">
        <w:t xml:space="preserve"> Country Offices with more than $30 million delivery</w:t>
      </w:r>
      <w:r w:rsidR="00E718AA">
        <w:t>,</w:t>
      </w:r>
      <w:r w:rsidR="00E718AA" w:rsidRPr="00842755">
        <w:t xml:space="preserve"> </w:t>
      </w:r>
      <w:r w:rsidR="00E718AA">
        <w:t xml:space="preserve">Afghanistan, </w:t>
      </w:r>
      <w:r w:rsidR="00260345">
        <w:t xml:space="preserve">Bangladesh </w:t>
      </w:r>
      <w:r w:rsidR="00E718AA">
        <w:t xml:space="preserve">and </w:t>
      </w:r>
      <w:r w:rsidR="00260345">
        <w:t>India</w:t>
      </w:r>
      <w:r w:rsidR="00E718AA">
        <w:t xml:space="preserve"> have decreased their delivery by </w:t>
      </w:r>
      <w:r w:rsidR="00EB2095">
        <w:t>$</w:t>
      </w:r>
      <w:r w:rsidR="00260345">
        <w:t>63</w:t>
      </w:r>
      <w:r w:rsidR="00E718AA">
        <w:t xml:space="preserve"> million (</w:t>
      </w:r>
      <w:r w:rsidR="00260345">
        <w:t>27</w:t>
      </w:r>
      <w:r w:rsidR="00E718AA">
        <w:t xml:space="preserve"> per cent), </w:t>
      </w:r>
      <w:r w:rsidR="00E811D9">
        <w:t>$</w:t>
      </w:r>
      <w:r w:rsidR="00260345">
        <w:t>1</w:t>
      </w:r>
      <w:r w:rsidR="00E718AA">
        <w:t xml:space="preserve"> million (</w:t>
      </w:r>
      <w:r w:rsidR="00260345">
        <w:t>2</w:t>
      </w:r>
      <w:r w:rsidR="00E718AA">
        <w:t xml:space="preserve"> per cent) and </w:t>
      </w:r>
      <w:r w:rsidR="00E811D9">
        <w:t>$</w:t>
      </w:r>
      <w:r w:rsidR="00260345">
        <w:t>8</w:t>
      </w:r>
      <w:r w:rsidR="00E718AA">
        <w:t xml:space="preserve"> million (1</w:t>
      </w:r>
      <w:r w:rsidR="00260345">
        <w:t>5</w:t>
      </w:r>
      <w:r w:rsidR="00E718AA">
        <w:t xml:space="preserve"> per cent)</w:t>
      </w:r>
      <w:r w:rsidR="006272E6">
        <w:t xml:space="preserve"> respectively</w:t>
      </w:r>
      <w:r w:rsidR="00E718AA">
        <w:t xml:space="preserve">. </w:t>
      </w:r>
      <w:r w:rsidR="009B1161" w:rsidRPr="00842755">
        <w:t>Afghanistan delivered the</w:t>
      </w:r>
      <w:r w:rsidR="00FD3F42">
        <w:t xml:space="preserve"> </w:t>
      </w:r>
      <w:r w:rsidR="00BD4D69">
        <w:t>fourth</w:t>
      </w:r>
      <w:r w:rsidR="009B1161" w:rsidRPr="00842755">
        <w:t xml:space="preserve"> highest level of programme expenses </w:t>
      </w:r>
      <w:r w:rsidR="003A7213" w:rsidRPr="00842755">
        <w:t xml:space="preserve">in UNDP at </w:t>
      </w:r>
      <w:r w:rsidR="009B1161" w:rsidRPr="00842755">
        <w:t>$</w:t>
      </w:r>
      <w:r w:rsidR="0092491E">
        <w:t>172</w:t>
      </w:r>
      <w:r w:rsidR="009B1161" w:rsidRPr="00842755">
        <w:t xml:space="preserve"> million</w:t>
      </w:r>
      <w:r w:rsidR="00A96C4C" w:rsidRPr="00842755">
        <w:t>,</w:t>
      </w:r>
      <w:r w:rsidR="00B70F3D" w:rsidRPr="00842755">
        <w:t xml:space="preserve"> inclu</w:t>
      </w:r>
      <w:r w:rsidR="00EB5271" w:rsidRPr="00842755">
        <w:t>ding</w:t>
      </w:r>
      <w:r w:rsidR="00E863D8" w:rsidRPr="00842755">
        <w:t xml:space="preserve"> </w:t>
      </w:r>
      <w:r w:rsidR="00892BE8" w:rsidRPr="00842755">
        <w:t>$</w:t>
      </w:r>
      <w:r w:rsidR="00E85100">
        <w:t>1</w:t>
      </w:r>
      <w:r w:rsidR="0076764F">
        <w:t>49</w:t>
      </w:r>
      <w:r w:rsidR="00892BE8" w:rsidRPr="00842755">
        <w:t xml:space="preserve"> million under cost-sharing agreements</w:t>
      </w:r>
      <w:r w:rsidR="00C3274E" w:rsidRPr="00842755">
        <w:t>.</w:t>
      </w:r>
      <w:r w:rsidR="00CE428D" w:rsidRPr="00842755">
        <w:t xml:space="preserve"> </w:t>
      </w:r>
      <w:r w:rsidR="00D358E5" w:rsidRPr="00842755">
        <w:t>Ind</w:t>
      </w:r>
      <w:r w:rsidR="00B27D57">
        <w:t>onesia</w:t>
      </w:r>
      <w:r w:rsidR="0015002F" w:rsidRPr="00842755">
        <w:t>,</w:t>
      </w:r>
      <w:r w:rsidR="00E7076F" w:rsidRPr="00842755">
        <w:t xml:space="preserve"> </w:t>
      </w:r>
      <w:r w:rsidR="000B4141" w:rsidRPr="00842755">
        <w:t>Fiji</w:t>
      </w:r>
      <w:r w:rsidR="00A42F4F" w:rsidRPr="00842755">
        <w:t xml:space="preserve">, and </w:t>
      </w:r>
      <w:r w:rsidR="00B27D57">
        <w:t>Pakistan</w:t>
      </w:r>
      <w:r w:rsidR="00B27D57" w:rsidRPr="00842755">
        <w:t xml:space="preserve"> </w:t>
      </w:r>
      <w:r w:rsidR="00271DDC">
        <w:t>– these countries</w:t>
      </w:r>
      <w:r w:rsidR="00C025D9" w:rsidRPr="00842755">
        <w:t xml:space="preserve"> </w:t>
      </w:r>
      <w:r w:rsidR="007A2D59" w:rsidRPr="00842755">
        <w:t>ha</w:t>
      </w:r>
      <w:r w:rsidR="004A10B9" w:rsidRPr="00842755">
        <w:t xml:space="preserve">ve </w:t>
      </w:r>
      <w:r w:rsidR="00A4766C" w:rsidRPr="00842755">
        <w:t>increased their deliver</w:t>
      </w:r>
      <w:r w:rsidR="00271DDC">
        <w:t>y</w:t>
      </w:r>
      <w:r w:rsidR="00F25188">
        <w:t xml:space="preserve"> </w:t>
      </w:r>
      <w:r w:rsidR="001230A2">
        <w:t xml:space="preserve">by </w:t>
      </w:r>
      <w:r w:rsidR="00E811D9">
        <w:t>$</w:t>
      </w:r>
      <w:r w:rsidR="00B27D57">
        <w:t>31</w:t>
      </w:r>
      <w:r w:rsidR="001230A2">
        <w:t xml:space="preserve"> </w:t>
      </w:r>
      <w:r w:rsidR="001C37E4">
        <w:t>million (</w:t>
      </w:r>
      <w:r w:rsidR="00B27D57">
        <w:t>81</w:t>
      </w:r>
      <w:r w:rsidR="001230A2">
        <w:t xml:space="preserve"> per cent), </w:t>
      </w:r>
      <w:r w:rsidR="00E811D9">
        <w:t>$</w:t>
      </w:r>
      <w:r w:rsidR="00B27D57">
        <w:t>10</w:t>
      </w:r>
      <w:r w:rsidR="001230A2">
        <w:t xml:space="preserve"> million (</w:t>
      </w:r>
      <w:r w:rsidR="00B27D57">
        <w:t>23</w:t>
      </w:r>
      <w:r w:rsidR="001230A2">
        <w:t xml:space="preserve"> per cent) and </w:t>
      </w:r>
      <w:r w:rsidR="00E811D9">
        <w:t>$</w:t>
      </w:r>
      <w:r w:rsidR="00B27D57">
        <w:t>3</w:t>
      </w:r>
      <w:r w:rsidR="001230A2">
        <w:t xml:space="preserve"> million (</w:t>
      </w:r>
      <w:r w:rsidR="00B27D57">
        <w:t>7</w:t>
      </w:r>
      <w:r w:rsidR="001230A2">
        <w:t xml:space="preserve"> per cent).</w:t>
      </w:r>
    </w:p>
    <w:p w14:paraId="648DFCB4" w14:textId="48785D6A" w:rsidR="00B73EB6" w:rsidRPr="00842755" w:rsidRDefault="001230A2" w:rsidP="00B27D57">
      <w:pPr>
        <w:pStyle w:val="ListParagraph"/>
        <w:spacing w:before="240" w:after="240" w:line="240" w:lineRule="auto"/>
        <w:ind w:left="1343" w:right="1267"/>
        <w:jc w:val="both"/>
      </w:pPr>
      <w:r>
        <w:t xml:space="preserve"> </w:t>
      </w:r>
    </w:p>
    <w:p w14:paraId="7BD64769" w14:textId="7484A1D8" w:rsidR="00F82B59" w:rsidRPr="00842755" w:rsidRDefault="00F82B59" w:rsidP="00AF3FD4">
      <w:pPr>
        <w:pStyle w:val="ListParagraph"/>
        <w:numPr>
          <w:ilvl w:val="0"/>
          <w:numId w:val="5"/>
        </w:numPr>
        <w:spacing w:before="240" w:after="240" w:line="240" w:lineRule="auto"/>
        <w:ind w:right="1267"/>
        <w:contextualSpacing w:val="0"/>
        <w:jc w:val="both"/>
      </w:pPr>
      <w:r w:rsidRPr="00C72E23">
        <w:t>Overall programme</w:t>
      </w:r>
      <w:r w:rsidRPr="00842755">
        <w:t xml:space="preserve"> delivery in the Europe and the Commonwealth of Independent States (CIS) region increased by </w:t>
      </w:r>
      <w:r w:rsidR="0000687F">
        <w:t>4.6</w:t>
      </w:r>
      <w:r w:rsidRPr="00842755">
        <w:t xml:space="preserve"> per cent. Ukraine ha</w:t>
      </w:r>
      <w:r w:rsidR="00AE239D">
        <w:t>d</w:t>
      </w:r>
      <w:r w:rsidRPr="00842755">
        <w:t xml:space="preserve"> the highest programme delivery</w:t>
      </w:r>
      <w:r w:rsidR="00355BC3">
        <w:t xml:space="preserve"> in the region</w:t>
      </w:r>
      <w:r w:rsidRPr="00842755">
        <w:t xml:space="preserve"> at $</w:t>
      </w:r>
      <w:r w:rsidR="008541D0">
        <w:t>76</w:t>
      </w:r>
      <w:r w:rsidRPr="00842755">
        <w:t xml:space="preserve"> million</w:t>
      </w:r>
      <w:r w:rsidR="003337BF">
        <w:t xml:space="preserve">, </w:t>
      </w:r>
      <w:r w:rsidR="001138AF">
        <w:t xml:space="preserve">while it </w:t>
      </w:r>
      <w:r w:rsidR="003337BF">
        <w:t>represented a decrease of</w:t>
      </w:r>
      <w:r w:rsidR="001138AF">
        <w:t xml:space="preserve"> 33 per cent from </w:t>
      </w:r>
      <w:r w:rsidR="00C72E23">
        <w:t>$113 million in 2021. T</w:t>
      </w:r>
      <w:r w:rsidRPr="00842755">
        <w:t xml:space="preserve">he highest increase in programme delivery </w:t>
      </w:r>
      <w:r w:rsidR="002E14FC" w:rsidRPr="00842755">
        <w:t xml:space="preserve">in this region </w:t>
      </w:r>
      <w:r w:rsidRPr="00842755">
        <w:t>was in</w:t>
      </w:r>
      <w:r w:rsidR="009D192F">
        <w:t xml:space="preserve"> Belarus</w:t>
      </w:r>
      <w:r w:rsidR="003337BF">
        <w:t>,</w:t>
      </w:r>
      <w:r w:rsidRPr="00842755">
        <w:t xml:space="preserve"> which incr</w:t>
      </w:r>
      <w:r w:rsidR="009D192F">
        <w:t>e</w:t>
      </w:r>
      <w:r w:rsidRPr="00842755">
        <w:t>ased to $</w:t>
      </w:r>
      <w:r w:rsidR="009D192F">
        <w:t>40</w:t>
      </w:r>
      <w:r w:rsidRPr="00842755">
        <w:t xml:space="preserve"> million from $</w:t>
      </w:r>
      <w:r w:rsidR="009D192F">
        <w:t>2</w:t>
      </w:r>
      <w:r w:rsidR="00CA0D4F">
        <w:t>1</w:t>
      </w:r>
      <w:r w:rsidRPr="00842755">
        <w:t xml:space="preserve"> million in 20</w:t>
      </w:r>
      <w:r w:rsidR="00CA0D4F">
        <w:t>2</w:t>
      </w:r>
      <w:r w:rsidR="009D192F">
        <w:t>1</w:t>
      </w:r>
      <w:r w:rsidRPr="00842755">
        <w:t>.</w:t>
      </w:r>
      <w:r w:rsidR="002268FB" w:rsidRPr="00842755">
        <w:t xml:space="preserve"> </w:t>
      </w:r>
    </w:p>
    <w:p w14:paraId="5D40EC15" w14:textId="388C4F5A" w:rsidR="00BE3441" w:rsidRPr="00B664C6" w:rsidRDefault="00304E65" w:rsidP="00AF3FD4">
      <w:pPr>
        <w:pStyle w:val="ListParagraph"/>
        <w:numPr>
          <w:ilvl w:val="0"/>
          <w:numId w:val="5"/>
        </w:numPr>
        <w:spacing w:before="240" w:after="240" w:line="240" w:lineRule="auto"/>
        <w:ind w:right="1267"/>
        <w:contextualSpacing w:val="0"/>
        <w:jc w:val="both"/>
      </w:pPr>
      <w:r w:rsidRPr="00B664C6">
        <w:t>I</w:t>
      </w:r>
      <w:r w:rsidR="00246EE6" w:rsidRPr="00B664C6">
        <w:t xml:space="preserve">n </w:t>
      </w:r>
      <w:r w:rsidR="00BA3F01">
        <w:t xml:space="preserve">the </w:t>
      </w:r>
      <w:r w:rsidR="00246EE6" w:rsidRPr="00B664C6">
        <w:t xml:space="preserve">Latin America </w:t>
      </w:r>
      <w:r w:rsidR="00FC1CC5" w:rsidRPr="00B664C6">
        <w:t>and</w:t>
      </w:r>
      <w:r w:rsidR="00246EE6" w:rsidRPr="00B664C6">
        <w:t xml:space="preserve"> Caribbean region</w:t>
      </w:r>
      <w:r w:rsidRPr="00B664C6">
        <w:t xml:space="preserve">, </w:t>
      </w:r>
      <w:r w:rsidR="00BA543D" w:rsidRPr="00B664C6">
        <w:t xml:space="preserve">overall programme delivery </w:t>
      </w:r>
      <w:r w:rsidR="008B5F9D">
        <w:t>de</w:t>
      </w:r>
      <w:r w:rsidR="00BA543D" w:rsidRPr="00B664C6">
        <w:t xml:space="preserve">creased by </w:t>
      </w:r>
      <w:r w:rsidR="008B5F9D">
        <w:t>12.6</w:t>
      </w:r>
      <w:r w:rsidR="00BA543D" w:rsidRPr="00B664C6">
        <w:t xml:space="preserve"> per cent</w:t>
      </w:r>
      <w:r w:rsidR="00D46389">
        <w:rPr>
          <w:rFonts w:asciiTheme="minorEastAsia" w:eastAsiaTheme="minorEastAsia" w:hAnsiTheme="minorEastAsia" w:hint="eastAsia"/>
          <w:lang w:eastAsia="zh-CN"/>
        </w:rPr>
        <w:t>.</w:t>
      </w:r>
      <w:r w:rsidR="00D46389">
        <w:t xml:space="preserve"> </w:t>
      </w:r>
      <w:r w:rsidR="00D132B6">
        <w:t>Argentina</w:t>
      </w:r>
      <w:r w:rsidR="00293119" w:rsidRPr="00B664C6">
        <w:t xml:space="preserve"> </w:t>
      </w:r>
      <w:r w:rsidR="001D3CB2" w:rsidRPr="00B664C6">
        <w:t>ha</w:t>
      </w:r>
      <w:r w:rsidR="008A3A4C">
        <w:t>d</w:t>
      </w:r>
      <w:r w:rsidR="001D3CB2" w:rsidRPr="00B664C6">
        <w:t xml:space="preserve"> the highest programme delivery</w:t>
      </w:r>
      <w:r w:rsidR="002268FB" w:rsidRPr="00B664C6">
        <w:t>,</w:t>
      </w:r>
      <w:r w:rsidR="001D3CB2" w:rsidRPr="00B664C6">
        <w:t xml:space="preserve"> </w:t>
      </w:r>
      <w:r w:rsidR="002268FB" w:rsidRPr="00B664C6">
        <w:t xml:space="preserve">at </w:t>
      </w:r>
      <w:r w:rsidR="001D3CB2" w:rsidRPr="00B664C6">
        <w:t>$</w:t>
      </w:r>
      <w:r w:rsidR="00415962">
        <w:t>2</w:t>
      </w:r>
      <w:r w:rsidR="00D132B6">
        <w:t>66</w:t>
      </w:r>
      <w:r w:rsidR="001D3CB2" w:rsidRPr="00B664C6">
        <w:t xml:space="preserve"> million</w:t>
      </w:r>
      <w:r w:rsidR="007C1224" w:rsidRPr="00B664C6">
        <w:t xml:space="preserve">, </w:t>
      </w:r>
      <w:r w:rsidR="002A026A" w:rsidRPr="00B664C6">
        <w:t xml:space="preserve">an increase of </w:t>
      </w:r>
      <w:r w:rsidR="00415962">
        <w:t>2</w:t>
      </w:r>
      <w:r w:rsidR="00D132B6">
        <w:t>0</w:t>
      </w:r>
      <w:r w:rsidR="002A026A" w:rsidRPr="00B664C6">
        <w:t xml:space="preserve"> per cent from </w:t>
      </w:r>
      <w:r w:rsidR="002E739E" w:rsidRPr="00B664C6">
        <w:t>the 20</w:t>
      </w:r>
      <w:r w:rsidR="00415962">
        <w:t>2</w:t>
      </w:r>
      <w:r w:rsidR="00D132B6">
        <w:t>1</w:t>
      </w:r>
      <w:r w:rsidR="002E739E" w:rsidRPr="00B664C6">
        <w:t xml:space="preserve"> delivery of $</w:t>
      </w:r>
      <w:r w:rsidR="00D132B6">
        <w:t>221</w:t>
      </w:r>
      <w:r w:rsidR="002E739E" w:rsidRPr="00B664C6">
        <w:t xml:space="preserve"> million</w:t>
      </w:r>
      <w:r w:rsidR="001D3CB2" w:rsidRPr="00B664C6">
        <w:t xml:space="preserve">. </w:t>
      </w:r>
      <w:r w:rsidR="00847E23" w:rsidRPr="00B664C6">
        <w:t xml:space="preserve">The second highest </w:t>
      </w:r>
      <w:r w:rsidR="005F3FDB" w:rsidRPr="00B664C6">
        <w:t xml:space="preserve">delivery </w:t>
      </w:r>
      <w:r w:rsidR="008A3A4C">
        <w:t>was</w:t>
      </w:r>
      <w:r w:rsidR="005F3FDB" w:rsidRPr="00B664C6">
        <w:t xml:space="preserve"> </w:t>
      </w:r>
      <w:r w:rsidR="00B736F7">
        <w:t xml:space="preserve">in </w:t>
      </w:r>
      <w:r w:rsidR="00D132B6">
        <w:t>Colombia</w:t>
      </w:r>
      <w:r w:rsidR="005F3FDB" w:rsidRPr="00B664C6">
        <w:t xml:space="preserve">, which </w:t>
      </w:r>
      <w:r w:rsidR="00A90DC3">
        <w:t>de</w:t>
      </w:r>
      <w:r w:rsidR="005F3FDB" w:rsidRPr="00B664C6">
        <w:t>creased to $</w:t>
      </w:r>
      <w:r w:rsidR="00A90DC3">
        <w:t>91</w:t>
      </w:r>
      <w:r w:rsidR="005F3FDB" w:rsidRPr="00B664C6">
        <w:t xml:space="preserve"> million </w:t>
      </w:r>
      <w:r w:rsidR="00716364" w:rsidRPr="00B664C6">
        <w:t>from</w:t>
      </w:r>
      <w:r w:rsidR="005F3FDB" w:rsidRPr="00B664C6">
        <w:t xml:space="preserve"> $</w:t>
      </w:r>
      <w:r w:rsidR="00A90DC3">
        <w:t>98</w:t>
      </w:r>
      <w:r w:rsidR="005F3FDB" w:rsidRPr="00B664C6">
        <w:t xml:space="preserve"> million</w:t>
      </w:r>
      <w:r w:rsidR="00716364" w:rsidRPr="00B664C6">
        <w:t xml:space="preserve"> in 20</w:t>
      </w:r>
      <w:r w:rsidR="003F6498">
        <w:t>2</w:t>
      </w:r>
      <w:r w:rsidR="00A90DC3">
        <w:t>1</w:t>
      </w:r>
      <w:r w:rsidR="00716364" w:rsidRPr="00B664C6">
        <w:t xml:space="preserve">. </w:t>
      </w:r>
      <w:r w:rsidR="00A90DC3">
        <w:t>EI Salvador</w:t>
      </w:r>
      <w:r w:rsidR="00A90DC3" w:rsidRPr="00B664C6">
        <w:t xml:space="preserve"> </w:t>
      </w:r>
      <w:r w:rsidR="000409FA" w:rsidRPr="00B664C6">
        <w:t>ha</w:t>
      </w:r>
      <w:r w:rsidR="008A3A4C">
        <w:t>d</w:t>
      </w:r>
      <w:r w:rsidR="000409FA" w:rsidRPr="00B664C6">
        <w:t xml:space="preserve"> the third </w:t>
      </w:r>
      <w:r w:rsidR="00594E7C">
        <w:t>highest</w:t>
      </w:r>
      <w:r w:rsidR="00594E7C" w:rsidRPr="00B664C6">
        <w:t xml:space="preserve"> </w:t>
      </w:r>
      <w:r w:rsidR="000409FA" w:rsidRPr="00B664C6">
        <w:t>delivery of $</w:t>
      </w:r>
      <w:r w:rsidR="00A90DC3">
        <w:t>59</w:t>
      </w:r>
      <w:r w:rsidR="000409FA" w:rsidRPr="00B664C6">
        <w:t xml:space="preserve"> million</w:t>
      </w:r>
      <w:r w:rsidR="006853A1">
        <w:t xml:space="preserve">. </w:t>
      </w:r>
      <w:r w:rsidR="006853A1" w:rsidRPr="007723C7">
        <w:t>Dominican Republic</w:t>
      </w:r>
      <w:r w:rsidR="006853A1">
        <w:t xml:space="preserve">, </w:t>
      </w:r>
      <w:r w:rsidR="00393808">
        <w:t>as the largest delivery country</w:t>
      </w:r>
      <w:r w:rsidR="006853A1">
        <w:t xml:space="preserve"> in 2021</w:t>
      </w:r>
      <w:r w:rsidR="000409FA" w:rsidRPr="00B664C6">
        <w:t xml:space="preserve"> </w:t>
      </w:r>
      <w:r w:rsidR="00EE7107">
        <w:t>de</w:t>
      </w:r>
      <w:r w:rsidR="000409FA" w:rsidRPr="00B664C6">
        <w:t>creased its programme delivery to $</w:t>
      </w:r>
      <w:r w:rsidR="00EE7107">
        <w:t xml:space="preserve">44 </w:t>
      </w:r>
      <w:r w:rsidR="000409FA" w:rsidRPr="00B664C6">
        <w:t>million from $</w:t>
      </w:r>
      <w:r w:rsidR="00EE7107">
        <w:t>221</w:t>
      </w:r>
      <w:r w:rsidR="000409FA" w:rsidRPr="00B664C6">
        <w:t xml:space="preserve"> million.</w:t>
      </w:r>
      <w:r w:rsidR="00354A06" w:rsidRPr="00B664C6">
        <w:t xml:space="preserve"> </w:t>
      </w:r>
    </w:p>
    <w:p w14:paraId="12C49F50" w14:textId="05A3F3F5" w:rsidR="009C6522" w:rsidRPr="00DC4085" w:rsidRDefault="009C6522" w:rsidP="00744ED6">
      <w:pPr>
        <w:pStyle w:val="H4"/>
        <w:tabs>
          <w:tab w:val="clear" w:pos="1742"/>
          <w:tab w:val="left" w:pos="1440"/>
          <w:tab w:val="left" w:pos="1620"/>
        </w:tabs>
        <w:spacing w:before="240" w:after="240" w:line="240" w:lineRule="auto"/>
        <w:ind w:left="1008" w:firstLine="0"/>
        <w:outlineLvl w:val="2"/>
      </w:pPr>
      <w:bookmarkStart w:id="332" w:name="_Toc39596251"/>
      <w:bookmarkStart w:id="333" w:name="_Toc40281200"/>
      <w:bookmarkStart w:id="334" w:name="_Toc40281359"/>
      <w:bookmarkStart w:id="335" w:name="_Toc44499886"/>
      <w:bookmarkStart w:id="336" w:name="_Toc44603233"/>
      <w:bookmarkStart w:id="337" w:name="_Toc44606546"/>
      <w:bookmarkStart w:id="338" w:name="_Toc45297432"/>
      <w:bookmarkStart w:id="339" w:name="_Toc46221143"/>
      <w:bookmarkStart w:id="340" w:name="_Toc46399208"/>
      <w:bookmarkStart w:id="341" w:name="_Toc75466845"/>
      <w:bookmarkStart w:id="342" w:name="_Toc139289036"/>
      <w:bookmarkStart w:id="343" w:name="_Toc139289144"/>
      <w:r w:rsidRPr="008A13E0">
        <w:t>Management expenses</w:t>
      </w:r>
      <w:bookmarkEnd w:id="332"/>
      <w:bookmarkEnd w:id="333"/>
      <w:bookmarkEnd w:id="334"/>
      <w:bookmarkEnd w:id="335"/>
      <w:bookmarkEnd w:id="336"/>
      <w:bookmarkEnd w:id="337"/>
      <w:bookmarkEnd w:id="338"/>
      <w:bookmarkEnd w:id="339"/>
      <w:bookmarkEnd w:id="340"/>
      <w:bookmarkEnd w:id="341"/>
      <w:bookmarkEnd w:id="342"/>
      <w:bookmarkEnd w:id="343"/>
    </w:p>
    <w:p w14:paraId="2354594E" w14:textId="38FE7F12" w:rsidR="00F50673" w:rsidRDefault="00795B1F" w:rsidP="009D4BB3">
      <w:pPr>
        <w:pStyle w:val="SingleTxt"/>
        <w:numPr>
          <w:ilvl w:val="0"/>
          <w:numId w:val="5"/>
        </w:numPr>
        <w:tabs>
          <w:tab w:val="left" w:pos="1530"/>
        </w:tabs>
        <w:spacing w:before="240" w:after="240" w:line="240" w:lineRule="auto"/>
      </w:pPr>
      <w:r w:rsidRPr="00DC4085">
        <w:t xml:space="preserve"> Management expenses</w:t>
      </w:r>
      <w:r w:rsidR="00FD4CFC">
        <w:t xml:space="preserve"> </w:t>
      </w:r>
      <w:r w:rsidR="00332FB0">
        <w:t>in</w:t>
      </w:r>
      <w:r w:rsidR="00E57B3C">
        <w:t>creased to</w:t>
      </w:r>
      <w:r w:rsidRPr="00DC4085">
        <w:t xml:space="preserve"> $</w:t>
      </w:r>
      <w:r w:rsidR="00332FB0">
        <w:t>463</w:t>
      </w:r>
      <w:r w:rsidRPr="00DC4085">
        <w:t xml:space="preserve"> million (</w:t>
      </w:r>
      <w:r w:rsidR="007325D3" w:rsidRPr="00DC4085">
        <w:t>20</w:t>
      </w:r>
      <w:r w:rsidR="00E57B3C">
        <w:t>2</w:t>
      </w:r>
      <w:r w:rsidR="00332FB0">
        <w:t>1</w:t>
      </w:r>
      <w:r w:rsidRPr="00DC4085">
        <w:t>: $</w:t>
      </w:r>
      <w:r w:rsidR="00E57B3C">
        <w:t>4</w:t>
      </w:r>
      <w:r w:rsidR="00FD4CFC">
        <w:t>13</w:t>
      </w:r>
      <w:r w:rsidR="001B4828">
        <w:t xml:space="preserve"> </w:t>
      </w:r>
      <w:r w:rsidRPr="00DC4085">
        <w:t>million)</w:t>
      </w:r>
      <w:r w:rsidR="009E5480">
        <w:t xml:space="preserve"> </w:t>
      </w:r>
      <w:r w:rsidR="00F50673" w:rsidRPr="00182C72">
        <w:t>remaining within the parameters of the integrated resources plan, 20</w:t>
      </w:r>
      <w:r w:rsidR="00F50673">
        <w:t>22</w:t>
      </w:r>
      <w:r w:rsidR="00F50673" w:rsidRPr="00182C72">
        <w:t>-202</w:t>
      </w:r>
      <w:r w:rsidR="00F50673">
        <w:t>5.</w:t>
      </w:r>
    </w:p>
    <w:p w14:paraId="184F0D49" w14:textId="0CB7A093" w:rsidR="00490681" w:rsidRDefault="00490681" w:rsidP="00490681">
      <w:pPr>
        <w:pStyle w:val="H4"/>
        <w:tabs>
          <w:tab w:val="clear" w:pos="1742"/>
          <w:tab w:val="left" w:pos="1440"/>
          <w:tab w:val="left" w:pos="1620"/>
        </w:tabs>
        <w:spacing w:before="240" w:after="240" w:line="240" w:lineRule="auto"/>
        <w:ind w:left="1008" w:firstLine="0"/>
        <w:outlineLvl w:val="2"/>
      </w:pPr>
      <w:r>
        <w:t>Independent oversight and assurance</w:t>
      </w:r>
    </w:p>
    <w:p w14:paraId="61E90894" w14:textId="2DF40795" w:rsidR="00F575D3" w:rsidRPr="00182C72" w:rsidRDefault="00871AE5" w:rsidP="00871AE5">
      <w:pPr>
        <w:pStyle w:val="SingleTxt"/>
        <w:numPr>
          <w:ilvl w:val="0"/>
          <w:numId w:val="5"/>
        </w:numPr>
        <w:tabs>
          <w:tab w:val="left" w:pos="1530"/>
        </w:tabs>
        <w:spacing w:before="240" w:after="240" w:line="240" w:lineRule="auto"/>
      </w:pPr>
      <w:r>
        <w:t xml:space="preserve"> </w:t>
      </w:r>
      <w:r w:rsidR="009E5480">
        <w:t>$33 millio</w:t>
      </w:r>
      <w:r>
        <w:t xml:space="preserve">n </w:t>
      </w:r>
      <w:r w:rsidR="009E5480">
        <w:t>was spent on independent oversight and assurance</w:t>
      </w:r>
      <w:r>
        <w:t xml:space="preserve"> in 2022</w:t>
      </w:r>
      <w:r w:rsidR="009E5480">
        <w:t xml:space="preserve"> (2021: 31 million)</w:t>
      </w:r>
      <w:r>
        <w:t>.</w:t>
      </w:r>
    </w:p>
    <w:p w14:paraId="643DCD05" w14:textId="77777777" w:rsidR="009C6522" w:rsidRPr="00DC4085" w:rsidRDefault="009C6522" w:rsidP="000578BE">
      <w:pPr>
        <w:pStyle w:val="H4"/>
        <w:tabs>
          <w:tab w:val="clear" w:pos="1742"/>
          <w:tab w:val="left" w:pos="1440"/>
          <w:tab w:val="left" w:pos="1620"/>
        </w:tabs>
        <w:spacing w:before="240" w:after="240" w:line="240" w:lineRule="auto"/>
        <w:ind w:left="1008" w:firstLine="0"/>
        <w:outlineLvl w:val="2"/>
      </w:pPr>
      <w:bookmarkStart w:id="344" w:name="_Toc39596252"/>
      <w:bookmarkStart w:id="345" w:name="_Toc40281201"/>
      <w:bookmarkStart w:id="346" w:name="_Toc40281360"/>
      <w:bookmarkStart w:id="347" w:name="_Toc44499887"/>
      <w:bookmarkStart w:id="348" w:name="_Toc44603234"/>
      <w:bookmarkStart w:id="349" w:name="_Toc44606547"/>
      <w:bookmarkStart w:id="350" w:name="_Toc45297433"/>
      <w:bookmarkStart w:id="351" w:name="_Toc46221144"/>
      <w:bookmarkStart w:id="352" w:name="_Toc46399209"/>
      <w:bookmarkStart w:id="353" w:name="_Toc75466846"/>
      <w:bookmarkStart w:id="354" w:name="_Toc139289037"/>
      <w:bookmarkStart w:id="355" w:name="_Toc139289145"/>
      <w:r w:rsidRPr="008A13E0">
        <w:t>Special</w:t>
      </w:r>
      <w:r w:rsidR="00B215B4" w:rsidRPr="008A13E0">
        <w:t xml:space="preserve"> </w:t>
      </w:r>
      <w:r w:rsidRPr="008A13E0">
        <w:t>purpose expenses</w:t>
      </w:r>
      <w:bookmarkEnd w:id="344"/>
      <w:bookmarkEnd w:id="345"/>
      <w:bookmarkEnd w:id="346"/>
      <w:bookmarkEnd w:id="347"/>
      <w:bookmarkEnd w:id="348"/>
      <w:bookmarkEnd w:id="349"/>
      <w:bookmarkEnd w:id="350"/>
      <w:bookmarkEnd w:id="351"/>
      <w:bookmarkEnd w:id="352"/>
      <w:bookmarkEnd w:id="353"/>
      <w:bookmarkEnd w:id="354"/>
      <w:bookmarkEnd w:id="355"/>
    </w:p>
    <w:p w14:paraId="4CE18A91" w14:textId="21CA623E" w:rsidR="009C6522" w:rsidRPr="00DC4085" w:rsidRDefault="00B215B4" w:rsidP="00AF3FD4">
      <w:pPr>
        <w:pStyle w:val="ListParagraph"/>
        <w:numPr>
          <w:ilvl w:val="0"/>
          <w:numId w:val="5"/>
        </w:numPr>
        <w:spacing w:before="240" w:after="240" w:line="240" w:lineRule="auto"/>
        <w:ind w:right="1267"/>
        <w:contextualSpacing w:val="0"/>
        <w:jc w:val="both"/>
      </w:pPr>
      <w:r w:rsidRPr="00DC4085">
        <w:t>Special purpose e</w:t>
      </w:r>
      <w:r w:rsidR="009C6522" w:rsidRPr="00DC4085">
        <w:t>xpenses totalled $</w:t>
      </w:r>
      <w:r w:rsidR="00135AA5">
        <w:t>52</w:t>
      </w:r>
      <w:r w:rsidR="009C6522" w:rsidRPr="00DC4085">
        <w:t xml:space="preserve"> million (20</w:t>
      </w:r>
      <w:r w:rsidR="006D284E">
        <w:t>2</w:t>
      </w:r>
      <w:r w:rsidR="00D86971">
        <w:t>1</w:t>
      </w:r>
      <w:r w:rsidR="009C6522" w:rsidRPr="00DC4085">
        <w:t>: $</w:t>
      </w:r>
      <w:r w:rsidR="00D86971">
        <w:t>78</w:t>
      </w:r>
      <w:r w:rsidR="009C6522" w:rsidRPr="00DC4085">
        <w:t xml:space="preserve"> million). </w:t>
      </w:r>
      <w:r w:rsidR="00206FB2" w:rsidRPr="00DC4085">
        <w:t>This amount includes expenses of $</w:t>
      </w:r>
      <w:r w:rsidR="000617C7">
        <w:t>32</w:t>
      </w:r>
      <w:r w:rsidR="00206FB2" w:rsidRPr="00DC4085">
        <w:t xml:space="preserve"> million for reimbursable support services, $</w:t>
      </w:r>
      <w:r w:rsidR="00724281">
        <w:t>4</w:t>
      </w:r>
      <w:r w:rsidR="00206FB2" w:rsidRPr="00DC4085">
        <w:t xml:space="preserve"> million related to capital investments, $</w:t>
      </w:r>
      <w:r w:rsidR="00C540E9" w:rsidRPr="00DC4085">
        <w:t>9</w:t>
      </w:r>
      <w:r w:rsidR="00206FB2" w:rsidRPr="00DC4085">
        <w:t xml:space="preserve"> million</w:t>
      </w:r>
      <w:r w:rsidR="00206FB2" w:rsidRPr="00DC4085" w:rsidDel="00254502">
        <w:t xml:space="preserve"> </w:t>
      </w:r>
      <w:r w:rsidR="00206FB2" w:rsidRPr="00DC4085">
        <w:t>related to UNV and $</w:t>
      </w:r>
      <w:r w:rsidR="00C540E9" w:rsidRPr="00DC4085">
        <w:t>2</w:t>
      </w:r>
      <w:r w:rsidR="00206FB2" w:rsidRPr="00DC4085">
        <w:t xml:space="preserve"> million related to UNCDF.</w:t>
      </w:r>
    </w:p>
    <w:p w14:paraId="6FAB0B98" w14:textId="6B6BFE26" w:rsidR="009C6522" w:rsidRPr="00FB7ECE" w:rsidRDefault="009C6522" w:rsidP="000578BE">
      <w:pPr>
        <w:pStyle w:val="H4"/>
        <w:tabs>
          <w:tab w:val="clear" w:pos="1742"/>
          <w:tab w:val="left" w:pos="1440"/>
          <w:tab w:val="left" w:pos="1620"/>
        </w:tabs>
        <w:spacing w:before="240" w:after="240" w:line="240" w:lineRule="auto"/>
        <w:ind w:left="1008" w:firstLine="0"/>
        <w:outlineLvl w:val="2"/>
      </w:pPr>
      <w:bookmarkStart w:id="356" w:name="_Toc39596253"/>
      <w:bookmarkStart w:id="357" w:name="_Toc40281202"/>
      <w:bookmarkStart w:id="358" w:name="_Toc40281361"/>
      <w:bookmarkStart w:id="359" w:name="_Toc44499888"/>
      <w:bookmarkStart w:id="360" w:name="_Toc44603235"/>
      <w:bookmarkStart w:id="361" w:name="_Toc44606548"/>
      <w:bookmarkStart w:id="362" w:name="_Toc45297434"/>
      <w:bookmarkStart w:id="363" w:name="_Toc46221145"/>
      <w:bookmarkStart w:id="364" w:name="_Toc46399210"/>
      <w:bookmarkStart w:id="365" w:name="_Toc75466847"/>
      <w:bookmarkStart w:id="366" w:name="_Toc139289038"/>
      <w:bookmarkStart w:id="367" w:name="_Toc139289146"/>
      <w:r w:rsidRPr="008A13E0">
        <w:t>Other expenses</w:t>
      </w:r>
      <w:bookmarkEnd w:id="356"/>
      <w:bookmarkEnd w:id="357"/>
      <w:bookmarkEnd w:id="358"/>
      <w:bookmarkEnd w:id="359"/>
      <w:bookmarkEnd w:id="360"/>
      <w:bookmarkEnd w:id="361"/>
      <w:bookmarkEnd w:id="362"/>
      <w:bookmarkEnd w:id="363"/>
      <w:bookmarkEnd w:id="364"/>
      <w:bookmarkEnd w:id="365"/>
      <w:bookmarkEnd w:id="366"/>
      <w:bookmarkEnd w:id="367"/>
    </w:p>
    <w:p w14:paraId="745C3397" w14:textId="06475C5C" w:rsidR="00637A8D" w:rsidRPr="00331E23" w:rsidRDefault="005475AE" w:rsidP="00AF3FD4">
      <w:pPr>
        <w:pStyle w:val="ListParagraph"/>
        <w:numPr>
          <w:ilvl w:val="0"/>
          <w:numId w:val="5"/>
        </w:numPr>
        <w:spacing w:before="240" w:after="240" w:line="240" w:lineRule="auto"/>
        <w:ind w:right="1267"/>
        <w:contextualSpacing w:val="0"/>
        <w:jc w:val="both"/>
      </w:pPr>
      <w:r w:rsidRPr="00331E23">
        <w:t>Other expenses totalled $</w:t>
      </w:r>
      <w:r w:rsidR="00D87A01" w:rsidRPr="00331E23">
        <w:t>2</w:t>
      </w:r>
      <w:r w:rsidR="003F16F7">
        <w:t>18</w:t>
      </w:r>
      <w:r w:rsidRPr="00331E23">
        <w:t xml:space="preserve"> million (20</w:t>
      </w:r>
      <w:r w:rsidR="006D7CC0">
        <w:t>2</w:t>
      </w:r>
      <w:r w:rsidR="003F16F7">
        <w:t>1</w:t>
      </w:r>
      <w:r w:rsidRPr="00331E23">
        <w:t>: $</w:t>
      </w:r>
      <w:r w:rsidR="006D7CC0">
        <w:t>2</w:t>
      </w:r>
      <w:r w:rsidR="003F16F7">
        <w:t>42</w:t>
      </w:r>
      <w:r w:rsidRPr="00331E23">
        <w:t xml:space="preserve"> million</w:t>
      </w:r>
      <w:r w:rsidRPr="0051371B">
        <w:t>), of which $</w:t>
      </w:r>
      <w:r w:rsidR="005B4BCC" w:rsidRPr="0051371B">
        <w:t>52</w:t>
      </w:r>
      <w:r w:rsidRPr="0051371B">
        <w:t xml:space="preserve"> million (20</w:t>
      </w:r>
      <w:r w:rsidR="00CE68A1" w:rsidRPr="0051371B">
        <w:t>2</w:t>
      </w:r>
      <w:r w:rsidR="003F16F7" w:rsidRPr="0051371B">
        <w:t>1</w:t>
      </w:r>
      <w:r w:rsidRPr="0051371B">
        <w:t>: $</w:t>
      </w:r>
      <w:r w:rsidR="0045134F" w:rsidRPr="0051371B">
        <w:t>3</w:t>
      </w:r>
      <w:r w:rsidR="003F16F7" w:rsidRPr="0051371B">
        <w:t>4</w:t>
      </w:r>
      <w:r w:rsidRPr="0051371B">
        <w:t> million) related to after-service health insurance</w:t>
      </w:r>
      <w:r w:rsidR="00A47C19" w:rsidRPr="0051371B">
        <w:t>,</w:t>
      </w:r>
      <w:r w:rsidR="00A47C19" w:rsidRPr="00331E23">
        <w:t xml:space="preserve"> </w:t>
      </w:r>
      <w:r w:rsidR="00C11D49" w:rsidRPr="00331E23">
        <w:t>$</w:t>
      </w:r>
      <w:r w:rsidR="00945F33" w:rsidRPr="00331E23">
        <w:t>3</w:t>
      </w:r>
      <w:r w:rsidR="00021387">
        <w:t>7</w:t>
      </w:r>
      <w:r w:rsidR="00C11D49" w:rsidRPr="00331E23">
        <w:t xml:space="preserve"> million (20</w:t>
      </w:r>
      <w:r w:rsidR="00AD6075">
        <w:t>2</w:t>
      </w:r>
      <w:r w:rsidR="003F16F7">
        <w:t>1</w:t>
      </w:r>
      <w:r w:rsidR="00C11D49" w:rsidRPr="00331E23">
        <w:t>: $</w:t>
      </w:r>
      <w:r w:rsidR="00945F33" w:rsidRPr="00331E23">
        <w:t>3</w:t>
      </w:r>
      <w:r w:rsidR="003F16F7">
        <w:t>4</w:t>
      </w:r>
      <w:r w:rsidR="00C11D49" w:rsidRPr="00331E23">
        <w:t xml:space="preserve"> million) to common services, </w:t>
      </w:r>
      <w:r w:rsidR="0058549D" w:rsidRPr="00331E23">
        <w:t>$</w:t>
      </w:r>
      <w:r w:rsidR="006F7C13">
        <w:t>22</w:t>
      </w:r>
      <w:r w:rsidR="0058549D" w:rsidRPr="00331E23">
        <w:t xml:space="preserve"> million (20</w:t>
      </w:r>
      <w:r w:rsidR="007B567D">
        <w:t>2</w:t>
      </w:r>
      <w:r w:rsidR="00E2549E">
        <w:t>1</w:t>
      </w:r>
      <w:r w:rsidR="0058549D" w:rsidRPr="00331E23">
        <w:t>: $</w:t>
      </w:r>
      <w:r w:rsidR="00E2549E">
        <w:t>18</w:t>
      </w:r>
      <w:r w:rsidR="00F6508B" w:rsidRPr="00331E23">
        <w:t xml:space="preserve"> million) </w:t>
      </w:r>
      <w:r w:rsidR="00134168" w:rsidRPr="00331E23">
        <w:t xml:space="preserve">to </w:t>
      </w:r>
      <w:r w:rsidR="00134168" w:rsidRPr="00EC1E35">
        <w:t>security</w:t>
      </w:r>
      <w:r w:rsidR="00134168" w:rsidRPr="00331E23">
        <w:t xml:space="preserve">-related activities, </w:t>
      </w:r>
      <w:r w:rsidR="00A47C19" w:rsidRPr="00331E23">
        <w:t>$</w:t>
      </w:r>
      <w:r w:rsidR="00945F33" w:rsidRPr="00331E23">
        <w:t>1</w:t>
      </w:r>
      <w:r w:rsidR="00192883">
        <w:t xml:space="preserve">4 </w:t>
      </w:r>
      <w:r w:rsidR="00A47C19" w:rsidRPr="00331E23">
        <w:t>million</w:t>
      </w:r>
      <w:r w:rsidR="006E0CBA" w:rsidRPr="00331E23">
        <w:t xml:space="preserve"> (20</w:t>
      </w:r>
      <w:r w:rsidR="00191499">
        <w:t>2</w:t>
      </w:r>
      <w:r w:rsidR="00E2549E">
        <w:t>1</w:t>
      </w:r>
      <w:r w:rsidR="006E0CBA" w:rsidRPr="00331E23">
        <w:t>: $</w:t>
      </w:r>
      <w:r w:rsidR="00945F33" w:rsidRPr="00331E23">
        <w:t>1</w:t>
      </w:r>
      <w:r w:rsidR="00E2549E">
        <w:t>6</w:t>
      </w:r>
      <w:r w:rsidR="006E0CBA" w:rsidRPr="00331E23">
        <w:t xml:space="preserve"> million) to the junior professional office programme,</w:t>
      </w:r>
      <w:r w:rsidR="00A47C19" w:rsidRPr="00331E23">
        <w:t xml:space="preserve"> and</w:t>
      </w:r>
      <w:r w:rsidRPr="00331E23">
        <w:t xml:space="preserve"> </w:t>
      </w:r>
      <w:r w:rsidRPr="00446C1F">
        <w:t>$</w:t>
      </w:r>
      <w:r w:rsidR="0072173F">
        <w:t>25</w:t>
      </w:r>
      <w:r w:rsidRPr="00446C1F">
        <w:t> million</w:t>
      </w:r>
      <w:r w:rsidRPr="00331E23">
        <w:t xml:space="preserve"> (20</w:t>
      </w:r>
      <w:r w:rsidR="00186210">
        <w:t>2</w:t>
      </w:r>
      <w:r w:rsidR="00E2549E">
        <w:t>1</w:t>
      </w:r>
      <w:r w:rsidRPr="00331E23">
        <w:t xml:space="preserve">: </w:t>
      </w:r>
      <w:r w:rsidR="00E2549E">
        <w:t>52</w:t>
      </w:r>
      <w:r w:rsidRPr="00331E23">
        <w:t xml:space="preserve"> million) to currency revaluation and exchange rate fluctuations</w:t>
      </w:r>
      <w:r w:rsidR="00D16CC0">
        <w:t xml:space="preserve"> </w:t>
      </w:r>
      <w:r w:rsidRPr="00331E23">
        <w:t>to voluntary contributions</w:t>
      </w:r>
      <w:r w:rsidR="00975944" w:rsidRPr="00331E23">
        <w:t>, $1</w:t>
      </w:r>
      <w:r w:rsidR="004A27CE">
        <w:t>0</w:t>
      </w:r>
      <w:r w:rsidR="00975944" w:rsidRPr="00331E23">
        <w:t xml:space="preserve"> million (20</w:t>
      </w:r>
      <w:r w:rsidR="005B20E6">
        <w:t>2</w:t>
      </w:r>
      <w:r w:rsidR="00E2549E">
        <w:t>1</w:t>
      </w:r>
      <w:r w:rsidR="00975944" w:rsidRPr="00331E23">
        <w:t>: $1</w:t>
      </w:r>
      <w:r w:rsidR="00E2549E">
        <w:t>3</w:t>
      </w:r>
      <w:r w:rsidR="00975944" w:rsidRPr="00331E23">
        <w:t xml:space="preserve"> million) to the support fee for the Joint Programme, and $</w:t>
      </w:r>
      <w:r w:rsidR="002A71B5">
        <w:t>1</w:t>
      </w:r>
      <w:r w:rsidR="00975944" w:rsidRPr="00331E23">
        <w:t xml:space="preserve"> million (20</w:t>
      </w:r>
      <w:r w:rsidR="00264182">
        <w:t>2</w:t>
      </w:r>
      <w:r w:rsidR="00E2549E">
        <w:t>1</w:t>
      </w:r>
      <w:r w:rsidR="00975944" w:rsidRPr="00331E23">
        <w:t>: $</w:t>
      </w:r>
      <w:r w:rsidR="00E2549E">
        <w:t>6</w:t>
      </w:r>
      <w:r w:rsidR="00975944" w:rsidRPr="00331E23">
        <w:t xml:space="preserve"> million) to Management Service Agreement related activities</w:t>
      </w:r>
      <w:r w:rsidR="00983301" w:rsidRPr="00331E23">
        <w:t>.</w:t>
      </w:r>
    </w:p>
    <w:p w14:paraId="66696985" w14:textId="3FCCBCF6" w:rsidR="00BE6202" w:rsidRPr="00FB7ECE" w:rsidRDefault="00BE6202" w:rsidP="000578BE">
      <w:pPr>
        <w:pStyle w:val="H4"/>
        <w:tabs>
          <w:tab w:val="clear" w:pos="1742"/>
          <w:tab w:val="left" w:pos="1440"/>
          <w:tab w:val="left" w:pos="1620"/>
        </w:tabs>
        <w:spacing w:before="240" w:after="240" w:line="240" w:lineRule="auto"/>
        <w:ind w:left="1008" w:firstLine="0"/>
        <w:outlineLvl w:val="2"/>
      </w:pPr>
      <w:bookmarkStart w:id="368" w:name="_Toc39596254"/>
      <w:bookmarkStart w:id="369" w:name="_Toc40281203"/>
      <w:bookmarkStart w:id="370" w:name="_Toc40281362"/>
      <w:bookmarkStart w:id="371" w:name="_Toc44499889"/>
      <w:bookmarkStart w:id="372" w:name="_Toc44603237"/>
      <w:bookmarkStart w:id="373" w:name="_Toc44606550"/>
      <w:bookmarkStart w:id="374" w:name="_Toc45297435"/>
      <w:bookmarkStart w:id="375" w:name="_Toc46221146"/>
      <w:bookmarkStart w:id="376" w:name="_Toc46399211"/>
      <w:bookmarkStart w:id="377" w:name="_Toc75466848"/>
      <w:bookmarkStart w:id="378" w:name="_Toc139289039"/>
      <w:bookmarkStart w:id="379" w:name="_Toc139289147"/>
      <w:r w:rsidRPr="00E564BB">
        <w:lastRenderedPageBreak/>
        <w:t>Regular resources and integrated budget expenditure</w:t>
      </w:r>
      <w:bookmarkEnd w:id="368"/>
      <w:bookmarkEnd w:id="369"/>
      <w:bookmarkEnd w:id="370"/>
      <w:bookmarkEnd w:id="371"/>
      <w:bookmarkEnd w:id="372"/>
      <w:bookmarkEnd w:id="373"/>
      <w:bookmarkEnd w:id="374"/>
      <w:bookmarkEnd w:id="375"/>
      <w:bookmarkEnd w:id="376"/>
      <w:bookmarkEnd w:id="377"/>
      <w:bookmarkEnd w:id="378"/>
      <w:bookmarkEnd w:id="379"/>
    </w:p>
    <w:p w14:paraId="7501FF6F" w14:textId="33B5E132" w:rsidR="00BE6202" w:rsidRPr="00FB7ECE" w:rsidRDefault="00BE6202" w:rsidP="00AF3FD4">
      <w:pPr>
        <w:pStyle w:val="ListParagraph"/>
        <w:numPr>
          <w:ilvl w:val="0"/>
          <w:numId w:val="5"/>
        </w:numPr>
        <w:spacing w:before="240" w:after="240" w:line="240" w:lineRule="auto"/>
        <w:ind w:right="1267"/>
        <w:contextualSpacing w:val="0"/>
        <w:jc w:val="both"/>
      </w:pPr>
      <w:r w:rsidRPr="00FB7ECE">
        <w:t>For activities reported in 20</w:t>
      </w:r>
      <w:r w:rsidR="00B942DF">
        <w:t>2</w:t>
      </w:r>
      <w:r w:rsidR="00E564BB">
        <w:t>2</w:t>
      </w:r>
      <w:r w:rsidRPr="00FB7ECE">
        <w:t>, UNDP operates within the integrated budget, 20</w:t>
      </w:r>
      <w:r w:rsidR="00E356F8">
        <w:t>22</w:t>
      </w:r>
      <w:r w:rsidR="00CB5C02">
        <w:t>-</w:t>
      </w:r>
      <w:r w:rsidRPr="00FB7ECE">
        <w:t>202</w:t>
      </w:r>
      <w:r w:rsidR="00E356F8">
        <w:t>5</w:t>
      </w:r>
      <w:r w:rsidRPr="00FB7ECE">
        <w:t>, as approved by the Executive Board in decision 20</w:t>
      </w:r>
      <w:r w:rsidR="00E356F8">
        <w:t>21</w:t>
      </w:r>
      <w:r w:rsidRPr="00FB7ECE">
        <w:t>/</w:t>
      </w:r>
      <w:r w:rsidR="00E356F8">
        <w:t>15</w:t>
      </w:r>
      <w:r w:rsidRPr="00FB7ECE">
        <w:t>, for regular resources</w:t>
      </w:r>
      <w:r w:rsidR="00A43FA7">
        <w:t xml:space="preserve"> </w:t>
      </w:r>
      <w:r w:rsidRPr="00FB7ECE">
        <w:t xml:space="preserve">-financed activities: (a) programmatic components; and (b) institutional components. </w:t>
      </w:r>
    </w:p>
    <w:p w14:paraId="746336C0" w14:textId="58BBAA8D" w:rsidR="00BE6202" w:rsidRDefault="00BE6202" w:rsidP="00AF3FD4">
      <w:pPr>
        <w:pStyle w:val="ListParagraph"/>
        <w:numPr>
          <w:ilvl w:val="0"/>
          <w:numId w:val="5"/>
        </w:numPr>
        <w:spacing w:before="240" w:after="240" w:line="240" w:lineRule="auto"/>
        <w:ind w:right="1267"/>
        <w:contextualSpacing w:val="0"/>
        <w:jc w:val="both"/>
      </w:pPr>
      <w:r w:rsidRPr="00131CDF">
        <w:t>A</w:t>
      </w:r>
      <w:r w:rsidR="00525415" w:rsidRPr="00131CDF">
        <w:t>ppendix</w:t>
      </w:r>
      <w:r w:rsidRPr="00131CDF">
        <w:t xml:space="preserve"> II and figure </w:t>
      </w:r>
      <w:r w:rsidR="004D4DCC" w:rsidRPr="00131CDF">
        <w:t>V</w:t>
      </w:r>
      <w:r w:rsidRPr="00131CDF">
        <w:t xml:space="preserve"> </w:t>
      </w:r>
      <w:r w:rsidR="00F157B2" w:rsidRPr="00131CDF">
        <w:t>below</w:t>
      </w:r>
      <w:r w:rsidRPr="00131CDF">
        <w:t xml:space="preserve"> compare the </w:t>
      </w:r>
      <w:r w:rsidR="00E356F8">
        <w:t>2022-2025</w:t>
      </w:r>
      <w:r w:rsidR="00B756CB">
        <w:t xml:space="preserve"> </w:t>
      </w:r>
      <w:r w:rsidRPr="00131CDF">
        <w:t xml:space="preserve">approved budget, covering both programmatic and institutional components, with the </w:t>
      </w:r>
      <w:r w:rsidR="00E356F8">
        <w:t xml:space="preserve">2022 </w:t>
      </w:r>
      <w:r w:rsidRPr="00131CDF">
        <w:t xml:space="preserve">actual expenditure amounts, calculated on the same basis as the corresponding budget for regular resources (modified accruals basis). </w:t>
      </w:r>
    </w:p>
    <w:p w14:paraId="6039C2AA" w14:textId="116C8A81" w:rsidR="00D56452" w:rsidRPr="00131CDF" w:rsidRDefault="0007210E" w:rsidP="0007210E">
      <w:pPr>
        <w:pStyle w:val="ListParagraph"/>
        <w:numPr>
          <w:ilvl w:val="0"/>
          <w:numId w:val="5"/>
        </w:numPr>
        <w:spacing w:before="240" w:after="240" w:line="240" w:lineRule="auto"/>
        <w:ind w:right="1267"/>
        <w:contextualSpacing w:val="0"/>
        <w:jc w:val="both"/>
      </w:pPr>
      <w:r w:rsidRPr="0007210E">
        <w:t>The statement of activities and related budget expenditures presented in figure V are aligned with the harmonized cost classification categories specified in the</w:t>
      </w:r>
      <w:r w:rsidRPr="0007210E" w:rsidDel="00402707">
        <w:t xml:space="preserve"> </w:t>
      </w:r>
      <w:hyperlink r:id="rId24" w:history="1">
        <w:r w:rsidRPr="005A0039">
          <w:t>Joint comprehensive proposal on the cost-recovery policy</w:t>
        </w:r>
      </w:hyperlink>
      <w:r w:rsidRPr="0007210E">
        <w:t xml:space="preserve">, as endorsed by the Executive Board during its second regular session in 2020 (decision 2020/12). </w:t>
      </w:r>
    </w:p>
    <w:p w14:paraId="2E4AEEA1" w14:textId="0C0A1FDA" w:rsidR="00474FDC" w:rsidRPr="00131CDF" w:rsidRDefault="00474FDC" w:rsidP="003F5F37">
      <w:pPr>
        <w:keepNext/>
        <w:ind w:left="708" w:hanging="708"/>
        <w:jc w:val="center"/>
        <w:rPr>
          <w:b/>
        </w:rPr>
      </w:pPr>
      <w:r w:rsidRPr="00916A8B">
        <w:rPr>
          <w:b/>
        </w:rPr>
        <w:t xml:space="preserve">Figure </w:t>
      </w:r>
      <w:r w:rsidR="004D4DCC" w:rsidRPr="00916A8B">
        <w:rPr>
          <w:b/>
        </w:rPr>
        <w:t>V</w:t>
      </w:r>
      <w:r w:rsidRPr="00916A8B">
        <w:rPr>
          <w:b/>
        </w:rPr>
        <w:t xml:space="preserve">. Regular resources, comparison of </w:t>
      </w:r>
      <w:r w:rsidR="00417188" w:rsidRPr="00916A8B">
        <w:rPr>
          <w:b/>
        </w:rPr>
        <w:t>budget</w:t>
      </w:r>
      <w:r w:rsidR="00417188" w:rsidRPr="00916A8B" w:rsidDel="002562DB">
        <w:rPr>
          <w:b/>
        </w:rPr>
        <w:t xml:space="preserve"> </w:t>
      </w:r>
      <w:r w:rsidR="00417188" w:rsidRPr="00916A8B">
        <w:rPr>
          <w:b/>
        </w:rPr>
        <w:t xml:space="preserve">to </w:t>
      </w:r>
      <w:r w:rsidRPr="00916A8B">
        <w:rPr>
          <w:b/>
        </w:rPr>
        <w:t xml:space="preserve">actual expenditure, </w:t>
      </w:r>
      <w:r w:rsidR="00033527" w:rsidRPr="00916A8B">
        <w:rPr>
          <w:b/>
        </w:rPr>
        <w:t>202</w:t>
      </w:r>
      <w:r w:rsidR="003D1C5F">
        <w:rPr>
          <w:b/>
        </w:rPr>
        <w:t>2</w:t>
      </w:r>
    </w:p>
    <w:p w14:paraId="7DBE2EDB" w14:textId="77777777" w:rsidR="00EC1DE7" w:rsidRDefault="02E8E41C" w:rsidP="00AE01E6">
      <w:pPr>
        <w:keepNext/>
        <w:spacing w:line="240" w:lineRule="auto"/>
        <w:ind w:left="476"/>
        <w:jc w:val="center"/>
        <w:rPr>
          <w:noProof/>
        </w:rPr>
      </w:pPr>
      <w:r w:rsidRPr="00351BBA">
        <w:rPr>
          <w:i/>
          <w:iCs/>
          <w:spacing w:val="2"/>
          <w:sz w:val="18"/>
          <w:szCs w:val="18"/>
        </w:rPr>
        <w:t>(</w:t>
      </w:r>
      <w:r w:rsidR="00A37849" w:rsidRPr="00351BBA">
        <w:rPr>
          <w:i/>
          <w:iCs/>
          <w:spacing w:val="2"/>
          <w:sz w:val="18"/>
          <w:szCs w:val="18"/>
        </w:rPr>
        <w:t>I</w:t>
      </w:r>
      <w:r w:rsidRPr="00351BBA">
        <w:rPr>
          <w:i/>
          <w:iCs/>
          <w:spacing w:val="2"/>
          <w:sz w:val="18"/>
          <w:szCs w:val="18"/>
        </w:rPr>
        <w:t>n millions of United States dollars</w:t>
      </w:r>
      <w:r w:rsidR="00351BBA">
        <w:rPr>
          <w:i/>
          <w:iCs/>
          <w:spacing w:val="2"/>
          <w:sz w:val="18"/>
          <w:szCs w:val="18"/>
        </w:rPr>
        <w:t>)</w:t>
      </w:r>
      <w:r w:rsidR="00024B62" w:rsidRPr="00024B62">
        <w:rPr>
          <w:noProof/>
        </w:rPr>
        <w:t xml:space="preserve"> </w:t>
      </w:r>
    </w:p>
    <w:p w14:paraId="586B3F95" w14:textId="77777777" w:rsidR="002C27E7" w:rsidRDefault="002C27E7" w:rsidP="00AE01E6">
      <w:pPr>
        <w:keepNext/>
        <w:spacing w:line="240" w:lineRule="auto"/>
        <w:ind w:left="476"/>
        <w:jc w:val="center"/>
        <w:rPr>
          <w:noProof/>
        </w:rPr>
      </w:pPr>
    </w:p>
    <w:p w14:paraId="282461B4" w14:textId="7B74AF61" w:rsidR="00EC1DE7" w:rsidRDefault="00034FDB" w:rsidP="002C27E7">
      <w:pPr>
        <w:keepNext/>
        <w:spacing w:line="240" w:lineRule="auto"/>
        <w:ind w:left="476"/>
        <w:jc w:val="center"/>
        <w:rPr>
          <w:noProof/>
        </w:rPr>
      </w:pPr>
      <w:r>
        <w:rPr>
          <w:noProof/>
        </w:rPr>
        <w:drawing>
          <wp:inline distT="0" distB="0" distL="0" distR="0" wp14:anchorId="3EE46146" wp14:editId="450B66C3">
            <wp:extent cx="4703445" cy="2223655"/>
            <wp:effectExtent l="0" t="0" r="1905" b="5715"/>
            <wp:docPr id="651079462" name="Chart 1">
              <a:extLst xmlns:a="http://schemas.openxmlformats.org/drawingml/2006/main">
                <a:ext uri="{FF2B5EF4-FFF2-40B4-BE49-F238E27FC236}">
                  <a16:creationId xmlns:a16="http://schemas.microsoft.com/office/drawing/2014/main" id="{80AC1BB7-6759-4C23-A306-149859970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8F3B98" w14:textId="1C1CA6A7" w:rsidR="00AE01E6" w:rsidRDefault="00AE6FC7" w:rsidP="00AE6FC7">
      <w:pPr>
        <w:keepNext/>
        <w:spacing w:line="240" w:lineRule="auto"/>
        <w:rPr>
          <w:noProof/>
        </w:rPr>
      </w:pPr>
      <w:r>
        <w:rPr>
          <w:sz w:val="13"/>
          <w:szCs w:val="13"/>
        </w:rPr>
        <w:t xml:space="preserve">                                              </w:t>
      </w:r>
      <w:r w:rsidR="000A2A7B">
        <w:rPr>
          <w:sz w:val="13"/>
          <w:szCs w:val="13"/>
        </w:rPr>
        <w:t>*</w:t>
      </w:r>
      <w:r>
        <w:rPr>
          <w:sz w:val="13"/>
          <w:szCs w:val="13"/>
        </w:rPr>
        <w:t xml:space="preserve">Not including unbudgeted </w:t>
      </w:r>
      <w:r w:rsidR="001067D8">
        <w:rPr>
          <w:sz w:val="13"/>
          <w:szCs w:val="13"/>
        </w:rPr>
        <w:t>additional resources for security measures (</w:t>
      </w:r>
      <w:r w:rsidR="00B41452">
        <w:rPr>
          <w:sz w:val="13"/>
          <w:szCs w:val="13"/>
        </w:rPr>
        <w:t>$</w:t>
      </w:r>
      <w:r w:rsidR="002923EE">
        <w:rPr>
          <w:sz w:val="13"/>
          <w:szCs w:val="13"/>
        </w:rPr>
        <w:t>0.9</w:t>
      </w:r>
      <w:r w:rsidR="00B41452">
        <w:rPr>
          <w:sz w:val="13"/>
          <w:szCs w:val="13"/>
        </w:rPr>
        <w:t xml:space="preserve"> million</w:t>
      </w:r>
      <w:r w:rsidR="001067D8">
        <w:rPr>
          <w:sz w:val="13"/>
          <w:szCs w:val="13"/>
        </w:rPr>
        <w:t>)</w:t>
      </w:r>
      <w:r>
        <w:rPr>
          <w:sz w:val="13"/>
          <w:szCs w:val="13"/>
        </w:rPr>
        <w:t>.</w:t>
      </w:r>
    </w:p>
    <w:p w14:paraId="33E5B329" w14:textId="553D7289" w:rsidR="00AE01E6" w:rsidRDefault="00AE01E6" w:rsidP="00AE01E6">
      <w:pPr>
        <w:pStyle w:val="ListParagraph"/>
        <w:numPr>
          <w:ilvl w:val="0"/>
          <w:numId w:val="5"/>
        </w:numPr>
        <w:spacing w:before="240" w:after="240" w:line="240" w:lineRule="auto"/>
        <w:ind w:right="1267"/>
        <w:contextualSpacing w:val="0"/>
        <w:jc w:val="both"/>
      </w:pPr>
      <w:r w:rsidRPr="00030DD4">
        <w:t>UNDP</w:t>
      </w:r>
      <w:r>
        <w:t>’s</w:t>
      </w:r>
      <w:r w:rsidRPr="00030DD4">
        <w:t xml:space="preserve"> performance in 20</w:t>
      </w:r>
      <w:r>
        <w:t>2</w:t>
      </w:r>
      <w:r w:rsidR="00601EDE">
        <w:t>2</w:t>
      </w:r>
      <w:r w:rsidRPr="00030DD4">
        <w:t xml:space="preserve"> should be considered against the backdrop of two contexts: </w:t>
      </w:r>
    </w:p>
    <w:p w14:paraId="7AE07110" w14:textId="03CD71CC" w:rsidR="00190898" w:rsidRDefault="00190898" w:rsidP="005F648C">
      <w:pPr>
        <w:pStyle w:val="ListParagraph"/>
        <w:numPr>
          <w:ilvl w:val="0"/>
          <w:numId w:val="11"/>
        </w:numPr>
        <w:tabs>
          <w:tab w:val="left" w:pos="1267"/>
          <w:tab w:val="left" w:pos="1530"/>
          <w:tab w:val="left" w:pos="2693"/>
          <w:tab w:val="left" w:pos="3182"/>
          <w:tab w:val="left" w:pos="3658"/>
          <w:tab w:val="left" w:pos="4133"/>
          <w:tab w:val="left" w:pos="4622"/>
          <w:tab w:val="left" w:pos="5098"/>
          <w:tab w:val="left" w:pos="5573"/>
          <w:tab w:val="left" w:pos="6048"/>
        </w:tabs>
        <w:spacing w:before="120" w:after="120" w:line="240" w:lineRule="auto"/>
        <w:ind w:left="2059" w:right="1267"/>
        <w:contextualSpacing w:val="0"/>
        <w:jc w:val="both"/>
      </w:pPr>
      <w:r>
        <w:t>T</w:t>
      </w:r>
      <w:r w:rsidRPr="00DF6999">
        <w:t>he overarching objective of the UNDP budget was to ensure financial sustainability with respect to the institutional and programmatic components, achieve a better equilibrium between regular and other resources</w:t>
      </w:r>
      <w:r w:rsidR="006524B0">
        <w:t>,</w:t>
      </w:r>
      <w:r w:rsidRPr="00DF6999">
        <w:t xml:space="preserve"> and increase productivity over time; and </w:t>
      </w:r>
    </w:p>
    <w:p w14:paraId="0F5E683A" w14:textId="3E337E68" w:rsidR="00190898" w:rsidRPr="00DF6999" w:rsidRDefault="00716F3F" w:rsidP="5E7BD891">
      <w:pPr>
        <w:pStyle w:val="ListParagraph"/>
        <w:numPr>
          <w:ilvl w:val="0"/>
          <w:numId w:val="11"/>
        </w:numPr>
        <w:tabs>
          <w:tab w:val="left" w:pos="1267"/>
          <w:tab w:val="left" w:pos="1530"/>
          <w:tab w:val="left" w:pos="2693"/>
          <w:tab w:val="left" w:pos="3182"/>
          <w:tab w:val="left" w:pos="3658"/>
          <w:tab w:val="left" w:pos="4133"/>
          <w:tab w:val="left" w:pos="4622"/>
          <w:tab w:val="left" w:pos="5098"/>
          <w:tab w:val="left" w:pos="5573"/>
          <w:tab w:val="left" w:pos="6048"/>
        </w:tabs>
        <w:spacing w:before="120" w:after="120" w:line="240" w:lineRule="auto"/>
        <w:ind w:left="2059" w:right="1267"/>
        <w:jc w:val="both"/>
      </w:pPr>
      <w:r>
        <w:t>In 2022,</w:t>
      </w:r>
      <w:r w:rsidR="00190898" w:rsidRPr="00DF6999">
        <w:t xml:space="preserve"> UNDP continued to support the functioning of the independent and reinvigorated resident coordinator system, helping to ensure that </w:t>
      </w:r>
      <w:r w:rsidR="00DD37B3">
        <w:t>R</w:t>
      </w:r>
      <w:r w:rsidR="00190898" w:rsidRPr="00DF6999">
        <w:t xml:space="preserve">esident </w:t>
      </w:r>
      <w:r w:rsidR="00DD37B3">
        <w:t>C</w:t>
      </w:r>
      <w:r w:rsidR="00190898" w:rsidRPr="00DF6999">
        <w:t>oordinators and their offices are able to carry out their critical coordination functions seamlessly. At the same time, UNDP maintained its business continuity and continued successfully to drive forward the Strategic Plan, 20</w:t>
      </w:r>
      <w:r w:rsidR="003B3BAD">
        <w:t>22</w:t>
      </w:r>
      <w:r w:rsidR="00190898" w:rsidRPr="00DF6999">
        <w:t>-202</w:t>
      </w:r>
      <w:r w:rsidR="003B3BAD">
        <w:t>5</w:t>
      </w:r>
      <w:r w:rsidR="00190898" w:rsidRPr="00DF6999">
        <w:t xml:space="preserve">. </w:t>
      </w:r>
    </w:p>
    <w:p w14:paraId="69E7D37F" w14:textId="44D4FCA5" w:rsidR="00024499" w:rsidRPr="00C719EF" w:rsidRDefault="00190898" w:rsidP="00024499">
      <w:pPr>
        <w:pStyle w:val="ListParagraph"/>
        <w:numPr>
          <w:ilvl w:val="0"/>
          <w:numId w:val="5"/>
        </w:numPr>
        <w:spacing w:before="240" w:after="240" w:line="240" w:lineRule="auto"/>
        <w:ind w:right="1267"/>
        <w:contextualSpacing w:val="0"/>
        <w:jc w:val="both"/>
      </w:pPr>
      <w:r w:rsidRPr="00C719EF">
        <w:t>Table 5</w:t>
      </w:r>
      <w:r w:rsidR="00ED60B8" w:rsidRPr="00C719EF">
        <w:t xml:space="preserve"> below </w:t>
      </w:r>
      <w:r w:rsidRPr="00C719EF">
        <w:t>compares actual expenditure for 20</w:t>
      </w:r>
      <w:r w:rsidR="00971953" w:rsidRPr="00C719EF">
        <w:t>2</w:t>
      </w:r>
      <w:r w:rsidR="00E94B2A" w:rsidRPr="00C719EF">
        <w:t>2</w:t>
      </w:r>
      <w:r w:rsidRPr="00C719EF">
        <w:t xml:space="preserve"> and 20</w:t>
      </w:r>
      <w:r w:rsidR="008F6661" w:rsidRPr="00C719EF">
        <w:t>2</w:t>
      </w:r>
      <w:r w:rsidR="00971953" w:rsidRPr="00C719EF">
        <w:t>1</w:t>
      </w:r>
      <w:r w:rsidRPr="00C719EF">
        <w:t>. In 20</w:t>
      </w:r>
      <w:r w:rsidR="008F6661" w:rsidRPr="00C719EF">
        <w:t>2</w:t>
      </w:r>
      <w:r w:rsidR="00782445" w:rsidRPr="00C719EF">
        <w:t>2</w:t>
      </w:r>
      <w:r w:rsidRPr="00C719EF">
        <w:t>, the share of regular resources spent for institutional activities was $</w:t>
      </w:r>
      <w:r w:rsidR="008F6661" w:rsidRPr="00C719EF">
        <w:t>2</w:t>
      </w:r>
      <w:r w:rsidR="00EE5F55" w:rsidRPr="00C719EF">
        <w:t>31</w:t>
      </w:r>
      <w:r w:rsidRPr="00C719EF">
        <w:t xml:space="preserve"> million, which was $</w:t>
      </w:r>
      <w:r w:rsidR="00EE5F55" w:rsidRPr="00C719EF">
        <w:t>8</w:t>
      </w:r>
      <w:r w:rsidRPr="00C719EF">
        <w:t xml:space="preserve"> million or </w:t>
      </w:r>
      <w:r w:rsidR="00EE5F55" w:rsidRPr="00C719EF">
        <w:t>3</w:t>
      </w:r>
      <w:r w:rsidRPr="00C719EF">
        <w:t xml:space="preserve"> per cent </w:t>
      </w:r>
      <w:r w:rsidR="00E53160" w:rsidRPr="00C719EF">
        <w:t>less</w:t>
      </w:r>
      <w:r w:rsidR="00AB64C9" w:rsidRPr="00C719EF">
        <w:t>,</w:t>
      </w:r>
      <w:r w:rsidRPr="00C719EF">
        <w:t xml:space="preserve"> compared to $</w:t>
      </w:r>
      <w:r w:rsidR="00001904" w:rsidRPr="00C719EF">
        <w:t>2</w:t>
      </w:r>
      <w:r w:rsidR="00236498" w:rsidRPr="00C719EF">
        <w:t xml:space="preserve">39 </w:t>
      </w:r>
      <w:r w:rsidRPr="00C719EF">
        <w:t>million in 20</w:t>
      </w:r>
      <w:r w:rsidR="00832F36" w:rsidRPr="00C719EF">
        <w:t>2</w:t>
      </w:r>
      <w:r w:rsidR="00236498" w:rsidRPr="00C719EF">
        <w:t>1</w:t>
      </w:r>
      <w:r w:rsidRPr="00C719EF">
        <w:t>. The share of regular resources spent for programmatic activities was $</w:t>
      </w:r>
      <w:r w:rsidR="00EE5F55" w:rsidRPr="00C719EF">
        <w:t>515</w:t>
      </w:r>
      <w:r w:rsidRPr="00C719EF">
        <w:t xml:space="preserve"> million, which was $</w:t>
      </w:r>
      <w:r w:rsidR="00C719EF" w:rsidRPr="00C719EF">
        <w:t>59</w:t>
      </w:r>
      <w:r w:rsidRPr="00C719EF">
        <w:t xml:space="preserve"> million or </w:t>
      </w:r>
      <w:r w:rsidR="00C719EF" w:rsidRPr="00C719EF">
        <w:t>13</w:t>
      </w:r>
      <w:r w:rsidRPr="00C719EF">
        <w:t xml:space="preserve"> per cent </w:t>
      </w:r>
      <w:r w:rsidR="00041E49" w:rsidRPr="00C719EF">
        <w:t>more</w:t>
      </w:r>
      <w:r w:rsidR="00AB64C9" w:rsidRPr="00C719EF">
        <w:t>,</w:t>
      </w:r>
      <w:r w:rsidRPr="00C719EF">
        <w:t xml:space="preserve"> compared to $</w:t>
      </w:r>
      <w:r w:rsidR="00460C80" w:rsidRPr="00C719EF">
        <w:t>4</w:t>
      </w:r>
      <w:r w:rsidR="00C719EF" w:rsidRPr="00C719EF">
        <w:t>56</w:t>
      </w:r>
      <w:r w:rsidRPr="00C719EF">
        <w:t xml:space="preserve"> million in 20</w:t>
      </w:r>
      <w:r w:rsidR="00E960E1" w:rsidRPr="00C719EF">
        <w:t>2</w:t>
      </w:r>
      <w:r w:rsidR="00C719EF" w:rsidRPr="00C719EF">
        <w:t>1</w:t>
      </w:r>
      <w:r w:rsidRPr="00C719EF">
        <w:t>.</w:t>
      </w:r>
      <w:r w:rsidR="00024499" w:rsidRPr="00C719EF">
        <w:t xml:space="preserve"> </w:t>
      </w:r>
    </w:p>
    <w:p w14:paraId="59AB3223" w14:textId="77777777" w:rsidR="00AF6BE0" w:rsidRPr="000E57AE" w:rsidRDefault="00AF6BE0" w:rsidP="00AF6BE0">
      <w:pPr>
        <w:pStyle w:val="ListParagraph"/>
        <w:numPr>
          <w:ilvl w:val="0"/>
          <w:numId w:val="5"/>
        </w:numPr>
        <w:spacing w:before="240" w:after="240" w:line="240" w:lineRule="auto"/>
        <w:ind w:right="1267"/>
        <w:contextualSpacing w:val="0"/>
        <w:jc w:val="both"/>
      </w:pPr>
      <w:r w:rsidRPr="00E92FD2">
        <w:rPr>
          <w:lang w:val="en-US"/>
        </w:rPr>
        <w:lastRenderedPageBreak/>
        <w:t>For 2022, expenditures for all cost classification categories remained within 20</w:t>
      </w:r>
      <w:r>
        <w:rPr>
          <w:lang w:val="en-US"/>
        </w:rPr>
        <w:t>22</w:t>
      </w:r>
      <w:r w:rsidRPr="00E92FD2">
        <w:rPr>
          <w:lang w:val="en-US"/>
        </w:rPr>
        <w:t>-202</w:t>
      </w:r>
      <w:r>
        <w:rPr>
          <w:lang w:val="en-US"/>
        </w:rPr>
        <w:t>5</w:t>
      </w:r>
      <w:r w:rsidRPr="00E92FD2">
        <w:rPr>
          <w:lang w:val="en-US"/>
        </w:rPr>
        <w:t xml:space="preserve"> approved budget. </w:t>
      </w:r>
    </w:p>
    <w:p w14:paraId="682806A3" w14:textId="59F84BC5" w:rsidR="00474FDC" w:rsidRPr="00CF5ABA" w:rsidRDefault="00474FDC" w:rsidP="003E18FC">
      <w:pPr>
        <w:keepNext/>
        <w:ind w:left="708" w:hanging="708"/>
        <w:jc w:val="center"/>
        <w:rPr>
          <w:b/>
        </w:rPr>
      </w:pPr>
      <w:bookmarkStart w:id="380" w:name="_Toc46221147"/>
      <w:r w:rsidRPr="00CF5ABA">
        <w:rPr>
          <w:b/>
        </w:rPr>
        <w:t xml:space="preserve">Table </w:t>
      </w:r>
      <w:r w:rsidR="00C9140A" w:rsidRPr="00CF5ABA">
        <w:rPr>
          <w:b/>
        </w:rPr>
        <w:t>5</w:t>
      </w:r>
      <w:r w:rsidRPr="00CF5ABA">
        <w:rPr>
          <w:b/>
        </w:rPr>
        <w:t>. Integrated budget expenditure, by cost classification category, 20</w:t>
      </w:r>
      <w:r w:rsidR="00A543FD">
        <w:rPr>
          <w:b/>
        </w:rPr>
        <w:t>2</w:t>
      </w:r>
      <w:r w:rsidR="00E9522A">
        <w:rPr>
          <w:b/>
        </w:rPr>
        <w:t>1</w:t>
      </w:r>
      <w:r w:rsidRPr="00CF5ABA">
        <w:rPr>
          <w:b/>
        </w:rPr>
        <w:t>-20</w:t>
      </w:r>
      <w:bookmarkEnd w:id="380"/>
      <w:r w:rsidR="00CF5ABA">
        <w:rPr>
          <w:b/>
        </w:rPr>
        <w:t>2</w:t>
      </w:r>
      <w:r w:rsidR="00E9522A">
        <w:rPr>
          <w:b/>
        </w:rPr>
        <w:t>2</w:t>
      </w:r>
    </w:p>
    <w:p w14:paraId="62938F3D" w14:textId="3BF6AD1F" w:rsidR="00474FDC" w:rsidRPr="00631E51" w:rsidRDefault="00474FDC" w:rsidP="003F5F37">
      <w:pPr>
        <w:pStyle w:val="SingleTxt"/>
        <w:keepNext/>
        <w:spacing w:after="0" w:line="200" w:lineRule="exact"/>
        <w:jc w:val="center"/>
        <w:rPr>
          <w:i/>
          <w:spacing w:val="2"/>
          <w:sz w:val="18"/>
          <w:szCs w:val="18"/>
        </w:rPr>
      </w:pPr>
      <w:r w:rsidRPr="00631E51">
        <w:rPr>
          <w:i/>
          <w:spacing w:val="2"/>
          <w:sz w:val="18"/>
          <w:szCs w:val="18"/>
        </w:rPr>
        <w:t>(</w:t>
      </w:r>
      <w:r w:rsidR="00A543FD" w:rsidRPr="00631E51">
        <w:rPr>
          <w:i/>
          <w:spacing w:val="2"/>
          <w:sz w:val="18"/>
          <w:szCs w:val="18"/>
        </w:rPr>
        <w:t>I</w:t>
      </w:r>
      <w:r w:rsidRPr="00631E51">
        <w:rPr>
          <w:i/>
          <w:spacing w:val="2"/>
          <w:sz w:val="18"/>
          <w:szCs w:val="18"/>
        </w:rPr>
        <w:t xml:space="preserve">n millions of </w:t>
      </w:r>
      <w:r w:rsidR="000C4DE4" w:rsidRPr="00631E51">
        <w:rPr>
          <w:i/>
          <w:spacing w:val="2"/>
          <w:sz w:val="18"/>
          <w:szCs w:val="18"/>
        </w:rPr>
        <w:t xml:space="preserve">United States </w:t>
      </w:r>
      <w:r w:rsidRPr="00631E51">
        <w:rPr>
          <w:i/>
          <w:spacing w:val="2"/>
          <w:sz w:val="18"/>
          <w:szCs w:val="18"/>
        </w:rPr>
        <w:t>dollars)</w:t>
      </w:r>
    </w:p>
    <w:p w14:paraId="51EB0E98" w14:textId="77777777" w:rsidR="00474FDC" w:rsidRPr="000E57AE" w:rsidRDefault="00474FDC" w:rsidP="003F5F37">
      <w:pPr>
        <w:pStyle w:val="SingleTxt"/>
        <w:keepNext/>
        <w:spacing w:after="0" w:line="120" w:lineRule="exact"/>
        <w:rPr>
          <w:sz w:val="10"/>
          <w:szCs w:val="14"/>
        </w:rPr>
      </w:pPr>
    </w:p>
    <w:p w14:paraId="419BCB97" w14:textId="3494CCA1" w:rsidR="00474FDC" w:rsidRPr="000E57AE" w:rsidRDefault="00474FDC" w:rsidP="003F5F37">
      <w:pPr>
        <w:pStyle w:val="SingleTxt"/>
        <w:keepNext/>
        <w:spacing w:after="0" w:line="120" w:lineRule="exact"/>
        <w:rPr>
          <w:sz w:val="10"/>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530"/>
        <w:gridCol w:w="1530"/>
      </w:tblGrid>
      <w:tr w:rsidR="00CF5ABA" w:rsidRPr="000E57AE" w14:paraId="40A24E0D" w14:textId="77777777" w:rsidTr="0032253F">
        <w:trPr>
          <w:trHeight w:val="354"/>
          <w:jc w:val="center"/>
        </w:trPr>
        <w:tc>
          <w:tcPr>
            <w:tcW w:w="2765" w:type="dxa"/>
            <w:shd w:val="clear" w:color="auto" w:fill="auto"/>
            <w:vAlign w:val="center"/>
          </w:tcPr>
          <w:p w14:paraId="10DE28B0" w14:textId="77777777" w:rsidR="00CF5ABA" w:rsidRPr="000E57AE" w:rsidRDefault="00CF5ABA" w:rsidP="00CF5ABA">
            <w:pPr>
              <w:keepNext/>
              <w:spacing w:line="276" w:lineRule="auto"/>
              <w:jc w:val="center"/>
              <w:rPr>
                <w:b/>
                <w:sz w:val="16"/>
                <w:szCs w:val="16"/>
              </w:rPr>
            </w:pPr>
            <w:r w:rsidRPr="000E57AE">
              <w:rPr>
                <w:b/>
                <w:sz w:val="16"/>
                <w:szCs w:val="16"/>
              </w:rPr>
              <w:t>Regular resources</w:t>
            </w:r>
          </w:p>
        </w:tc>
        <w:tc>
          <w:tcPr>
            <w:tcW w:w="1530" w:type="dxa"/>
          </w:tcPr>
          <w:p w14:paraId="7947020E" w14:textId="257FAD9E" w:rsidR="00CF5ABA" w:rsidRDefault="00CF5ABA" w:rsidP="00CF5ABA">
            <w:pPr>
              <w:keepNext/>
              <w:spacing w:line="276" w:lineRule="auto"/>
              <w:jc w:val="center"/>
              <w:rPr>
                <w:b/>
                <w:sz w:val="16"/>
                <w:szCs w:val="16"/>
              </w:rPr>
            </w:pPr>
            <w:r>
              <w:rPr>
                <w:b/>
                <w:sz w:val="16"/>
                <w:szCs w:val="16"/>
              </w:rPr>
              <w:t>202</w:t>
            </w:r>
            <w:r w:rsidR="00E9522A">
              <w:rPr>
                <w:b/>
                <w:sz w:val="16"/>
                <w:szCs w:val="16"/>
              </w:rPr>
              <w:t>2</w:t>
            </w:r>
            <w:r>
              <w:rPr>
                <w:b/>
                <w:sz w:val="16"/>
                <w:szCs w:val="16"/>
              </w:rPr>
              <w:t xml:space="preserve"> actual</w:t>
            </w:r>
          </w:p>
          <w:p w14:paraId="093BDDA9" w14:textId="231606A4" w:rsidR="00CF5ABA" w:rsidRPr="000E57AE" w:rsidRDefault="00D053A7" w:rsidP="00CF5ABA">
            <w:pPr>
              <w:keepNext/>
              <w:spacing w:line="276" w:lineRule="auto"/>
              <w:jc w:val="center"/>
              <w:rPr>
                <w:b/>
                <w:sz w:val="16"/>
                <w:szCs w:val="16"/>
              </w:rPr>
            </w:pPr>
            <w:r>
              <w:rPr>
                <w:b/>
                <w:sz w:val="16"/>
                <w:szCs w:val="16"/>
              </w:rPr>
              <w:t>E</w:t>
            </w:r>
            <w:r w:rsidR="00CF5ABA">
              <w:rPr>
                <w:b/>
                <w:sz w:val="16"/>
                <w:szCs w:val="16"/>
              </w:rPr>
              <w:t>xpenditures</w:t>
            </w:r>
          </w:p>
        </w:tc>
        <w:tc>
          <w:tcPr>
            <w:tcW w:w="1530" w:type="dxa"/>
            <w:shd w:val="clear" w:color="auto" w:fill="auto"/>
          </w:tcPr>
          <w:p w14:paraId="73639C4E" w14:textId="2868AC56" w:rsidR="00CF5ABA" w:rsidRDefault="00CF5ABA" w:rsidP="00CF5ABA">
            <w:pPr>
              <w:keepNext/>
              <w:spacing w:line="276" w:lineRule="auto"/>
              <w:jc w:val="center"/>
              <w:rPr>
                <w:b/>
                <w:sz w:val="16"/>
                <w:szCs w:val="16"/>
              </w:rPr>
            </w:pPr>
            <w:r>
              <w:rPr>
                <w:b/>
                <w:sz w:val="16"/>
                <w:szCs w:val="16"/>
              </w:rPr>
              <w:t>20</w:t>
            </w:r>
            <w:r w:rsidR="00A543FD">
              <w:rPr>
                <w:b/>
                <w:sz w:val="16"/>
                <w:szCs w:val="16"/>
              </w:rPr>
              <w:t>2</w:t>
            </w:r>
            <w:r w:rsidR="00E9522A">
              <w:rPr>
                <w:b/>
                <w:sz w:val="16"/>
                <w:szCs w:val="16"/>
              </w:rPr>
              <w:t xml:space="preserve">1 </w:t>
            </w:r>
            <w:r>
              <w:rPr>
                <w:b/>
                <w:sz w:val="16"/>
                <w:szCs w:val="16"/>
              </w:rPr>
              <w:t>actual</w:t>
            </w:r>
          </w:p>
          <w:p w14:paraId="35CBB0B2" w14:textId="4F70405D" w:rsidR="00CF5ABA" w:rsidRPr="000E57AE" w:rsidRDefault="00CF5ABA" w:rsidP="00CF5ABA">
            <w:pPr>
              <w:keepNext/>
              <w:spacing w:line="276" w:lineRule="auto"/>
              <w:jc w:val="center"/>
              <w:rPr>
                <w:b/>
                <w:sz w:val="16"/>
                <w:szCs w:val="16"/>
              </w:rPr>
            </w:pPr>
            <w:r>
              <w:rPr>
                <w:b/>
                <w:sz w:val="16"/>
                <w:szCs w:val="16"/>
              </w:rPr>
              <w:t>expenditures</w:t>
            </w:r>
          </w:p>
        </w:tc>
      </w:tr>
      <w:tr w:rsidR="00E9522A" w:rsidRPr="000E57AE" w14:paraId="1C128177" w14:textId="77777777" w:rsidTr="0032253F">
        <w:trPr>
          <w:trHeight w:val="216"/>
          <w:jc w:val="center"/>
        </w:trPr>
        <w:tc>
          <w:tcPr>
            <w:tcW w:w="2765" w:type="dxa"/>
            <w:tcBorders>
              <w:top w:val="nil"/>
              <w:left w:val="single" w:sz="4" w:space="0" w:color="auto"/>
              <w:bottom w:val="dotted" w:sz="4" w:space="0" w:color="auto"/>
              <w:right w:val="nil"/>
            </w:tcBorders>
            <w:shd w:val="clear" w:color="auto" w:fill="auto"/>
            <w:vAlign w:val="bottom"/>
          </w:tcPr>
          <w:p w14:paraId="2D990E42" w14:textId="77777777" w:rsidR="00E9522A" w:rsidRPr="000E57AE" w:rsidRDefault="00E9522A" w:rsidP="00E9522A">
            <w:pPr>
              <w:keepNext/>
              <w:spacing w:line="276" w:lineRule="auto"/>
              <w:jc w:val="both"/>
              <w:rPr>
                <w:sz w:val="16"/>
              </w:rPr>
            </w:pPr>
            <w:r w:rsidRPr="000E57AE">
              <w:rPr>
                <w:rFonts w:eastAsia="Times New Roman"/>
                <w:color w:val="000000"/>
                <w:spacing w:val="0"/>
                <w:w w:val="100"/>
                <w:kern w:val="0"/>
                <w:sz w:val="16"/>
              </w:rPr>
              <w:t>Programmatic component</w:t>
            </w:r>
          </w:p>
        </w:tc>
        <w:tc>
          <w:tcPr>
            <w:tcW w:w="1530" w:type="dxa"/>
            <w:tcBorders>
              <w:top w:val="nil"/>
              <w:left w:val="single" w:sz="4" w:space="0" w:color="auto"/>
              <w:bottom w:val="dotted" w:sz="4" w:space="0" w:color="auto"/>
              <w:right w:val="single" w:sz="4" w:space="0" w:color="auto"/>
            </w:tcBorders>
          </w:tcPr>
          <w:p w14:paraId="2DAA4F29" w14:textId="52A82CCB" w:rsidR="00E9522A" w:rsidRPr="000E57AE" w:rsidRDefault="00E37A39"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5</w:t>
            </w:r>
            <w:r w:rsidR="00A926CF">
              <w:rPr>
                <w:rFonts w:eastAsia="Times New Roman"/>
                <w:color w:val="000000"/>
                <w:spacing w:val="0"/>
                <w:w w:val="100"/>
                <w:kern w:val="0"/>
                <w:sz w:val="16"/>
              </w:rPr>
              <w:t>1</w:t>
            </w:r>
            <w:r>
              <w:rPr>
                <w:rFonts w:eastAsia="Times New Roman"/>
                <w:color w:val="000000"/>
                <w:spacing w:val="0"/>
                <w:w w:val="100"/>
                <w:kern w:val="0"/>
                <w:sz w:val="16"/>
              </w:rPr>
              <w:t>5</w:t>
            </w:r>
          </w:p>
        </w:tc>
        <w:tc>
          <w:tcPr>
            <w:tcW w:w="1530" w:type="dxa"/>
            <w:tcBorders>
              <w:top w:val="nil"/>
              <w:left w:val="single" w:sz="4" w:space="0" w:color="auto"/>
              <w:bottom w:val="dotted" w:sz="4" w:space="0" w:color="auto"/>
              <w:right w:val="single" w:sz="4" w:space="0" w:color="auto"/>
            </w:tcBorders>
            <w:shd w:val="clear" w:color="auto" w:fill="auto"/>
          </w:tcPr>
          <w:p w14:paraId="63C4C308" w14:textId="18CB4183" w:rsidR="00E9522A" w:rsidRPr="000E57AE" w:rsidRDefault="00E9522A" w:rsidP="00E9522A">
            <w:pPr>
              <w:keepNext/>
              <w:spacing w:line="276" w:lineRule="auto"/>
              <w:jc w:val="right"/>
              <w:rPr>
                <w:sz w:val="16"/>
              </w:rPr>
            </w:pPr>
            <w:r>
              <w:rPr>
                <w:rFonts w:eastAsia="Times New Roman"/>
                <w:color w:val="000000"/>
                <w:spacing w:val="0"/>
                <w:w w:val="100"/>
                <w:kern w:val="0"/>
                <w:sz w:val="16"/>
              </w:rPr>
              <w:t>456</w:t>
            </w:r>
          </w:p>
        </w:tc>
      </w:tr>
      <w:tr w:rsidR="00E9522A" w:rsidRPr="000E57AE" w14:paraId="3B926535" w14:textId="77777777" w:rsidTr="0032253F">
        <w:trPr>
          <w:trHeight w:val="216"/>
          <w:jc w:val="center"/>
        </w:trPr>
        <w:tc>
          <w:tcPr>
            <w:tcW w:w="2765" w:type="dxa"/>
            <w:tcBorders>
              <w:top w:val="nil"/>
              <w:left w:val="single" w:sz="4" w:space="0" w:color="auto"/>
              <w:bottom w:val="nil"/>
              <w:right w:val="nil"/>
            </w:tcBorders>
            <w:shd w:val="clear" w:color="auto" w:fill="auto"/>
            <w:vAlign w:val="bottom"/>
          </w:tcPr>
          <w:p w14:paraId="0CFD7944" w14:textId="77777777" w:rsidR="00E9522A" w:rsidRPr="000E57AE" w:rsidRDefault="00E9522A" w:rsidP="00E9522A">
            <w:pPr>
              <w:keepNext/>
              <w:spacing w:line="276" w:lineRule="auto"/>
              <w:jc w:val="both"/>
              <w:rPr>
                <w:sz w:val="16"/>
              </w:rPr>
            </w:pPr>
            <w:r w:rsidRPr="000E57AE">
              <w:rPr>
                <w:rFonts w:eastAsia="Times New Roman"/>
                <w:color w:val="000000"/>
                <w:spacing w:val="0"/>
                <w:w w:val="100"/>
                <w:kern w:val="0"/>
                <w:sz w:val="16"/>
              </w:rPr>
              <w:t>Institutional component</w:t>
            </w:r>
          </w:p>
        </w:tc>
        <w:tc>
          <w:tcPr>
            <w:tcW w:w="1530" w:type="dxa"/>
            <w:tcBorders>
              <w:top w:val="nil"/>
              <w:left w:val="single" w:sz="4" w:space="0" w:color="auto"/>
              <w:bottom w:val="nil"/>
              <w:right w:val="single" w:sz="4" w:space="0" w:color="auto"/>
            </w:tcBorders>
          </w:tcPr>
          <w:p w14:paraId="676F1079" w14:textId="489D094B" w:rsidR="00E9522A" w:rsidRPr="000E57AE" w:rsidRDefault="00A926CF"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231</w:t>
            </w:r>
          </w:p>
        </w:tc>
        <w:tc>
          <w:tcPr>
            <w:tcW w:w="1530" w:type="dxa"/>
            <w:tcBorders>
              <w:top w:val="nil"/>
              <w:left w:val="single" w:sz="4" w:space="0" w:color="auto"/>
              <w:bottom w:val="nil"/>
              <w:right w:val="single" w:sz="4" w:space="0" w:color="auto"/>
            </w:tcBorders>
            <w:shd w:val="clear" w:color="auto" w:fill="auto"/>
          </w:tcPr>
          <w:p w14:paraId="7321E0AB" w14:textId="4B7A5FC2" w:rsidR="00E9522A" w:rsidRPr="000E57AE" w:rsidRDefault="00E9522A" w:rsidP="00E9522A">
            <w:pPr>
              <w:keepNext/>
              <w:spacing w:line="276" w:lineRule="auto"/>
              <w:jc w:val="right"/>
              <w:rPr>
                <w:sz w:val="16"/>
              </w:rPr>
            </w:pPr>
            <w:r>
              <w:rPr>
                <w:rFonts w:eastAsia="Times New Roman"/>
                <w:color w:val="000000"/>
                <w:spacing w:val="0"/>
                <w:w w:val="100"/>
                <w:kern w:val="0"/>
                <w:sz w:val="16"/>
              </w:rPr>
              <w:t>239</w:t>
            </w:r>
          </w:p>
        </w:tc>
      </w:tr>
      <w:tr w:rsidR="00E9522A" w:rsidRPr="000E57AE" w14:paraId="0C2B6BDE" w14:textId="77777777" w:rsidTr="0032253F">
        <w:trPr>
          <w:trHeight w:val="216"/>
          <w:jc w:val="center"/>
        </w:trPr>
        <w:tc>
          <w:tcPr>
            <w:tcW w:w="2765" w:type="dxa"/>
            <w:tcBorders>
              <w:top w:val="single" w:sz="4" w:space="0" w:color="auto"/>
              <w:left w:val="single" w:sz="4" w:space="0" w:color="auto"/>
              <w:bottom w:val="single" w:sz="4" w:space="0" w:color="auto"/>
              <w:right w:val="nil"/>
            </w:tcBorders>
            <w:shd w:val="clear" w:color="auto" w:fill="auto"/>
            <w:vAlign w:val="bottom"/>
          </w:tcPr>
          <w:p w14:paraId="7A417D97" w14:textId="77777777" w:rsidR="00E9522A" w:rsidRPr="000E57AE" w:rsidRDefault="00E9522A" w:rsidP="00E9522A">
            <w:pPr>
              <w:keepNext/>
              <w:spacing w:line="276" w:lineRule="auto"/>
              <w:jc w:val="both"/>
              <w:rPr>
                <w:b/>
                <w:i/>
                <w:sz w:val="16"/>
              </w:rPr>
            </w:pPr>
            <w:r w:rsidRPr="000E57AE">
              <w:rPr>
                <w:rFonts w:eastAsia="Times New Roman"/>
                <w:b/>
                <w:bCs/>
                <w:i/>
                <w:iCs/>
                <w:color w:val="000000"/>
                <w:spacing w:val="0"/>
                <w:w w:val="100"/>
                <w:kern w:val="0"/>
                <w:sz w:val="16"/>
              </w:rPr>
              <w:t>Total</w:t>
            </w:r>
          </w:p>
        </w:tc>
        <w:tc>
          <w:tcPr>
            <w:tcW w:w="1530" w:type="dxa"/>
            <w:tcBorders>
              <w:top w:val="single" w:sz="4" w:space="0" w:color="auto"/>
              <w:left w:val="single" w:sz="4" w:space="0" w:color="auto"/>
              <w:bottom w:val="single" w:sz="4" w:space="0" w:color="auto"/>
              <w:right w:val="single" w:sz="4" w:space="0" w:color="auto"/>
            </w:tcBorders>
          </w:tcPr>
          <w:p w14:paraId="22548332" w14:textId="30B86354" w:rsidR="00E9522A" w:rsidRPr="000E57AE" w:rsidRDefault="00D40373" w:rsidP="00E9522A">
            <w:pPr>
              <w:keepNext/>
              <w:spacing w:line="276" w:lineRule="auto"/>
              <w:jc w:val="right"/>
              <w:rPr>
                <w:rFonts w:eastAsia="Times New Roman"/>
                <w:b/>
                <w:bCs/>
                <w:color w:val="000000"/>
                <w:spacing w:val="0"/>
                <w:w w:val="100"/>
                <w:kern w:val="0"/>
                <w:sz w:val="16"/>
              </w:rPr>
            </w:pPr>
            <w:r>
              <w:rPr>
                <w:rFonts w:eastAsia="Times New Roman"/>
                <w:b/>
                <w:bCs/>
                <w:color w:val="000000"/>
                <w:spacing w:val="0"/>
                <w:w w:val="100"/>
                <w:kern w:val="0"/>
                <w:sz w:val="16"/>
              </w:rPr>
              <w:t>746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D7BF3CE" w14:textId="2CC75CCB" w:rsidR="00E9522A" w:rsidRPr="000E57AE" w:rsidRDefault="00E9522A" w:rsidP="00E9522A">
            <w:pPr>
              <w:keepNext/>
              <w:spacing w:line="276" w:lineRule="auto"/>
              <w:jc w:val="right"/>
              <w:rPr>
                <w:b/>
                <w:sz w:val="16"/>
              </w:rPr>
            </w:pPr>
            <w:r>
              <w:rPr>
                <w:rFonts w:eastAsia="Times New Roman"/>
                <w:b/>
                <w:bCs/>
                <w:color w:val="000000"/>
                <w:spacing w:val="0"/>
                <w:w w:val="100"/>
                <w:kern w:val="0"/>
                <w:sz w:val="16"/>
              </w:rPr>
              <w:t>695</w:t>
            </w:r>
          </w:p>
        </w:tc>
      </w:tr>
      <w:tr w:rsidR="0091272B" w:rsidRPr="000E57AE" w14:paraId="1464586B" w14:textId="77777777" w:rsidTr="0091272B">
        <w:trPr>
          <w:gridAfter w:val="1"/>
          <w:wAfter w:w="1530" w:type="dxa"/>
          <w:trHeight w:val="20"/>
          <w:jc w:val="center"/>
        </w:trPr>
        <w:tc>
          <w:tcPr>
            <w:tcW w:w="2765" w:type="dxa"/>
            <w:tcBorders>
              <w:left w:val="nil"/>
              <w:bottom w:val="single" w:sz="4" w:space="0" w:color="auto"/>
              <w:right w:val="nil"/>
            </w:tcBorders>
            <w:shd w:val="clear" w:color="auto" w:fill="auto"/>
            <w:vAlign w:val="center"/>
          </w:tcPr>
          <w:p w14:paraId="78D5ED73" w14:textId="77777777" w:rsidR="0091272B" w:rsidRPr="000E57AE" w:rsidRDefault="0091272B" w:rsidP="003F5F37">
            <w:pPr>
              <w:keepNext/>
              <w:spacing w:line="276" w:lineRule="auto"/>
              <w:rPr>
                <w:b/>
                <w:sz w:val="16"/>
              </w:rPr>
            </w:pPr>
          </w:p>
        </w:tc>
        <w:tc>
          <w:tcPr>
            <w:tcW w:w="1530" w:type="dxa"/>
            <w:tcBorders>
              <w:left w:val="nil"/>
              <w:bottom w:val="single" w:sz="4" w:space="0" w:color="auto"/>
              <w:right w:val="nil"/>
            </w:tcBorders>
          </w:tcPr>
          <w:p w14:paraId="0900743A" w14:textId="77777777" w:rsidR="0091272B" w:rsidRPr="000E57AE" w:rsidRDefault="0091272B" w:rsidP="003F5F37">
            <w:pPr>
              <w:keepNext/>
              <w:spacing w:line="276" w:lineRule="auto"/>
              <w:jc w:val="center"/>
              <w:rPr>
                <w:b/>
                <w:sz w:val="16"/>
              </w:rPr>
            </w:pPr>
          </w:p>
        </w:tc>
      </w:tr>
      <w:tr w:rsidR="00CF5ABA" w:rsidRPr="000E57AE" w14:paraId="4146B866" w14:textId="77777777" w:rsidTr="001B438D">
        <w:trPr>
          <w:trHeight w:val="264"/>
          <w:jc w:val="center"/>
        </w:trPr>
        <w:tc>
          <w:tcPr>
            <w:tcW w:w="2765" w:type="dxa"/>
            <w:tcBorders>
              <w:top w:val="single" w:sz="4" w:space="0" w:color="auto"/>
              <w:left w:val="single" w:sz="4" w:space="0" w:color="auto"/>
              <w:bottom w:val="dotted" w:sz="4" w:space="0" w:color="auto"/>
              <w:right w:val="nil"/>
            </w:tcBorders>
            <w:shd w:val="clear" w:color="auto" w:fill="FFFFFF" w:themeFill="background1"/>
            <w:vAlign w:val="center"/>
          </w:tcPr>
          <w:p w14:paraId="68A0CBA6" w14:textId="77777777" w:rsidR="00CF5ABA" w:rsidRPr="000E57AE" w:rsidRDefault="00CF5ABA" w:rsidP="00CF5ABA">
            <w:pPr>
              <w:keepNext/>
              <w:spacing w:line="276" w:lineRule="auto"/>
              <w:jc w:val="center"/>
              <w:rPr>
                <w:b/>
                <w:sz w:val="16"/>
                <w:szCs w:val="16"/>
              </w:rPr>
            </w:pPr>
            <w:r w:rsidRPr="000E57AE">
              <w:rPr>
                <w:b/>
                <w:sz w:val="16"/>
                <w:szCs w:val="16"/>
              </w:rPr>
              <w:t>Cost classification category</w:t>
            </w:r>
          </w:p>
        </w:tc>
        <w:tc>
          <w:tcPr>
            <w:tcW w:w="1530" w:type="dxa"/>
            <w:tcBorders>
              <w:top w:val="single" w:sz="4" w:space="0" w:color="auto"/>
              <w:left w:val="single" w:sz="4" w:space="0" w:color="auto"/>
              <w:bottom w:val="dotted" w:sz="4" w:space="0" w:color="auto"/>
              <w:right w:val="single" w:sz="4" w:space="0" w:color="auto"/>
            </w:tcBorders>
            <w:shd w:val="clear" w:color="auto" w:fill="FFFFFF" w:themeFill="background1"/>
          </w:tcPr>
          <w:p w14:paraId="010193AF" w14:textId="773F91F6" w:rsidR="00CF5ABA" w:rsidRDefault="00CF5ABA" w:rsidP="00CF5ABA">
            <w:pPr>
              <w:keepNext/>
              <w:spacing w:line="276" w:lineRule="auto"/>
              <w:jc w:val="center"/>
              <w:rPr>
                <w:b/>
                <w:sz w:val="16"/>
                <w:szCs w:val="16"/>
              </w:rPr>
            </w:pPr>
            <w:r>
              <w:rPr>
                <w:b/>
                <w:sz w:val="16"/>
                <w:szCs w:val="16"/>
              </w:rPr>
              <w:t>202</w:t>
            </w:r>
            <w:r w:rsidR="00E9522A">
              <w:rPr>
                <w:b/>
                <w:sz w:val="16"/>
                <w:szCs w:val="16"/>
              </w:rPr>
              <w:t>2</w:t>
            </w:r>
            <w:r>
              <w:rPr>
                <w:b/>
                <w:sz w:val="16"/>
                <w:szCs w:val="16"/>
              </w:rPr>
              <w:t xml:space="preserve"> actual</w:t>
            </w:r>
          </w:p>
          <w:p w14:paraId="02554D61" w14:textId="7B6D48A7" w:rsidR="00CF5ABA" w:rsidRPr="000E57AE" w:rsidRDefault="00CF5ABA" w:rsidP="00CF5ABA">
            <w:pPr>
              <w:keepNext/>
              <w:spacing w:line="276" w:lineRule="auto"/>
              <w:jc w:val="center"/>
              <w:rPr>
                <w:b/>
                <w:sz w:val="16"/>
                <w:szCs w:val="16"/>
              </w:rPr>
            </w:pPr>
            <w:r>
              <w:rPr>
                <w:b/>
                <w:sz w:val="16"/>
                <w:szCs w:val="16"/>
              </w:rPr>
              <w:t>expenditures</w:t>
            </w:r>
          </w:p>
        </w:tc>
        <w:tc>
          <w:tcPr>
            <w:tcW w:w="1530" w:type="dxa"/>
            <w:tcBorders>
              <w:top w:val="single" w:sz="4" w:space="0" w:color="auto"/>
              <w:left w:val="single" w:sz="4" w:space="0" w:color="auto"/>
              <w:bottom w:val="dotted" w:sz="4" w:space="0" w:color="auto"/>
              <w:right w:val="single" w:sz="4" w:space="0" w:color="auto"/>
            </w:tcBorders>
            <w:shd w:val="clear" w:color="auto" w:fill="FFFFFF" w:themeFill="background1"/>
          </w:tcPr>
          <w:p w14:paraId="00869A6F" w14:textId="5CCF8FBD" w:rsidR="00CF5ABA" w:rsidRDefault="00CF5ABA" w:rsidP="00CF5ABA">
            <w:pPr>
              <w:keepNext/>
              <w:spacing w:line="276" w:lineRule="auto"/>
              <w:jc w:val="center"/>
              <w:rPr>
                <w:b/>
                <w:sz w:val="16"/>
                <w:szCs w:val="16"/>
              </w:rPr>
            </w:pPr>
            <w:r>
              <w:rPr>
                <w:b/>
                <w:sz w:val="16"/>
                <w:szCs w:val="16"/>
              </w:rPr>
              <w:t>20</w:t>
            </w:r>
            <w:r w:rsidR="00E6189A">
              <w:rPr>
                <w:b/>
                <w:sz w:val="16"/>
                <w:szCs w:val="16"/>
              </w:rPr>
              <w:t>2</w:t>
            </w:r>
            <w:r w:rsidR="00E9522A">
              <w:rPr>
                <w:b/>
                <w:sz w:val="16"/>
                <w:szCs w:val="16"/>
              </w:rPr>
              <w:t>1</w:t>
            </w:r>
            <w:r>
              <w:rPr>
                <w:b/>
                <w:sz w:val="16"/>
                <w:szCs w:val="16"/>
              </w:rPr>
              <w:t xml:space="preserve"> actual</w:t>
            </w:r>
          </w:p>
          <w:p w14:paraId="7BB183C8" w14:textId="46DF50B7" w:rsidR="00CF5ABA" w:rsidRPr="000E57AE" w:rsidRDefault="00CF5ABA" w:rsidP="00CF5ABA">
            <w:pPr>
              <w:keepNext/>
              <w:spacing w:line="276" w:lineRule="auto"/>
              <w:jc w:val="center"/>
              <w:rPr>
                <w:b/>
                <w:sz w:val="16"/>
                <w:szCs w:val="16"/>
              </w:rPr>
            </w:pPr>
            <w:r>
              <w:rPr>
                <w:b/>
                <w:sz w:val="16"/>
                <w:szCs w:val="16"/>
              </w:rPr>
              <w:t>expenditures</w:t>
            </w:r>
          </w:p>
        </w:tc>
      </w:tr>
      <w:tr w:rsidR="00E9522A" w:rsidRPr="000E57AE" w14:paraId="245182CB" w14:textId="77777777" w:rsidTr="0061037C">
        <w:trPr>
          <w:trHeight w:val="216"/>
          <w:jc w:val="center"/>
        </w:trPr>
        <w:tc>
          <w:tcPr>
            <w:tcW w:w="2765" w:type="dxa"/>
            <w:tcBorders>
              <w:top w:val="dotted" w:sz="4" w:space="0" w:color="auto"/>
              <w:left w:val="single" w:sz="4" w:space="0" w:color="auto"/>
              <w:bottom w:val="dotted" w:sz="4" w:space="0" w:color="auto"/>
              <w:right w:val="single" w:sz="4" w:space="0" w:color="auto"/>
            </w:tcBorders>
            <w:shd w:val="clear" w:color="auto" w:fill="auto"/>
            <w:vAlign w:val="bottom"/>
          </w:tcPr>
          <w:p w14:paraId="511CFE1D" w14:textId="77777777" w:rsidR="00E9522A" w:rsidRPr="000E57AE" w:rsidRDefault="00E9522A" w:rsidP="00E9522A">
            <w:pPr>
              <w:keepNext/>
              <w:spacing w:line="276" w:lineRule="auto"/>
              <w:jc w:val="both"/>
              <w:rPr>
                <w:sz w:val="16"/>
              </w:rPr>
            </w:pPr>
            <w:r w:rsidRPr="000E57AE">
              <w:rPr>
                <w:rFonts w:eastAsia="Times New Roman"/>
                <w:color w:val="000000"/>
                <w:spacing w:val="0"/>
                <w:w w:val="100"/>
                <w:kern w:val="0"/>
                <w:sz w:val="16"/>
              </w:rPr>
              <w:t>Development activities</w:t>
            </w:r>
          </w:p>
        </w:tc>
        <w:tc>
          <w:tcPr>
            <w:tcW w:w="1530" w:type="dxa"/>
            <w:tcBorders>
              <w:top w:val="dotted" w:sz="4" w:space="0" w:color="auto"/>
              <w:left w:val="nil"/>
              <w:bottom w:val="dotted" w:sz="4" w:space="0" w:color="auto"/>
              <w:right w:val="single" w:sz="4" w:space="0" w:color="auto"/>
            </w:tcBorders>
          </w:tcPr>
          <w:p w14:paraId="6054E43B" w14:textId="21CA2BCA" w:rsidR="00E9522A" w:rsidRPr="000E57AE" w:rsidRDefault="0010433A"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581</w:t>
            </w:r>
          </w:p>
        </w:tc>
        <w:tc>
          <w:tcPr>
            <w:tcW w:w="1530" w:type="dxa"/>
            <w:tcBorders>
              <w:top w:val="dotted" w:sz="4" w:space="0" w:color="auto"/>
              <w:left w:val="single" w:sz="4" w:space="0" w:color="auto"/>
              <w:bottom w:val="dotted" w:sz="4" w:space="0" w:color="auto"/>
              <w:right w:val="single" w:sz="4" w:space="0" w:color="auto"/>
            </w:tcBorders>
            <w:shd w:val="clear" w:color="auto" w:fill="auto"/>
          </w:tcPr>
          <w:p w14:paraId="604D8F4D" w14:textId="63FEADF6" w:rsidR="00E9522A" w:rsidRPr="000E57AE" w:rsidRDefault="00E9522A" w:rsidP="00E9522A">
            <w:pPr>
              <w:keepNext/>
              <w:spacing w:line="276" w:lineRule="auto"/>
              <w:jc w:val="right"/>
              <w:rPr>
                <w:sz w:val="16"/>
              </w:rPr>
            </w:pPr>
            <w:r>
              <w:rPr>
                <w:rFonts w:eastAsia="Times New Roman"/>
                <w:color w:val="000000"/>
                <w:spacing w:val="0"/>
                <w:w w:val="100"/>
                <w:kern w:val="0"/>
                <w:sz w:val="16"/>
              </w:rPr>
              <w:t>523</w:t>
            </w:r>
          </w:p>
        </w:tc>
      </w:tr>
      <w:tr w:rsidR="00E9522A" w:rsidRPr="000E57AE" w14:paraId="2DDF78E3" w14:textId="77777777" w:rsidTr="0061037C">
        <w:trPr>
          <w:trHeight w:val="216"/>
          <w:jc w:val="center"/>
        </w:trPr>
        <w:tc>
          <w:tcPr>
            <w:tcW w:w="2765" w:type="dxa"/>
            <w:tcBorders>
              <w:top w:val="dotted" w:sz="4" w:space="0" w:color="auto"/>
              <w:left w:val="single" w:sz="4" w:space="0" w:color="auto"/>
              <w:bottom w:val="dotted" w:sz="4" w:space="0" w:color="auto"/>
              <w:right w:val="single" w:sz="4" w:space="0" w:color="auto"/>
            </w:tcBorders>
            <w:shd w:val="clear" w:color="auto" w:fill="auto"/>
            <w:vAlign w:val="bottom"/>
          </w:tcPr>
          <w:p w14:paraId="66137385" w14:textId="77777777" w:rsidR="00E9522A" w:rsidRPr="000E57AE" w:rsidRDefault="00E9522A" w:rsidP="00E9522A">
            <w:pPr>
              <w:keepNext/>
              <w:spacing w:line="276" w:lineRule="auto"/>
              <w:rPr>
                <w:sz w:val="16"/>
              </w:rPr>
            </w:pPr>
            <w:r w:rsidRPr="000E57AE">
              <w:rPr>
                <w:rFonts w:eastAsia="Times New Roman"/>
                <w:color w:val="000000"/>
                <w:spacing w:val="0"/>
                <w:w w:val="100"/>
                <w:kern w:val="0"/>
                <w:sz w:val="16"/>
              </w:rPr>
              <w:t>United Nations coordination activities</w:t>
            </w:r>
          </w:p>
        </w:tc>
        <w:tc>
          <w:tcPr>
            <w:tcW w:w="1530" w:type="dxa"/>
            <w:tcBorders>
              <w:top w:val="dotted" w:sz="4" w:space="0" w:color="auto"/>
              <w:left w:val="nil"/>
              <w:bottom w:val="dotted" w:sz="4" w:space="0" w:color="auto"/>
              <w:right w:val="single" w:sz="4" w:space="0" w:color="auto"/>
            </w:tcBorders>
          </w:tcPr>
          <w:p w14:paraId="2F35783C" w14:textId="3C649E71" w:rsidR="00E9522A" w:rsidRPr="000E57AE" w:rsidRDefault="0035393C"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11</w:t>
            </w:r>
          </w:p>
        </w:tc>
        <w:tc>
          <w:tcPr>
            <w:tcW w:w="1530" w:type="dxa"/>
            <w:tcBorders>
              <w:top w:val="dotted" w:sz="4" w:space="0" w:color="auto"/>
              <w:left w:val="single" w:sz="4" w:space="0" w:color="auto"/>
              <w:bottom w:val="dotted" w:sz="4" w:space="0" w:color="auto"/>
              <w:right w:val="single" w:sz="4" w:space="0" w:color="auto"/>
            </w:tcBorders>
            <w:shd w:val="clear" w:color="auto" w:fill="auto"/>
          </w:tcPr>
          <w:p w14:paraId="1343A3FD" w14:textId="7B1F3A5A" w:rsidR="00E9522A" w:rsidRPr="000E57AE" w:rsidRDefault="00E9522A" w:rsidP="00E9522A">
            <w:pPr>
              <w:keepNext/>
              <w:spacing w:line="276" w:lineRule="auto"/>
              <w:jc w:val="right"/>
              <w:rPr>
                <w:sz w:val="16"/>
              </w:rPr>
            </w:pPr>
            <w:r>
              <w:rPr>
                <w:rFonts w:eastAsia="Times New Roman"/>
                <w:color w:val="000000"/>
                <w:spacing w:val="0"/>
                <w:w w:val="100"/>
                <w:kern w:val="0"/>
                <w:sz w:val="16"/>
              </w:rPr>
              <w:t>10</w:t>
            </w:r>
          </w:p>
        </w:tc>
      </w:tr>
      <w:tr w:rsidR="00E9522A" w:rsidRPr="000E57AE" w14:paraId="5A100E09" w14:textId="77777777" w:rsidTr="0061037C">
        <w:trPr>
          <w:trHeight w:val="216"/>
          <w:jc w:val="center"/>
        </w:trPr>
        <w:tc>
          <w:tcPr>
            <w:tcW w:w="2765" w:type="dxa"/>
            <w:tcBorders>
              <w:top w:val="dotted" w:sz="4" w:space="0" w:color="auto"/>
              <w:left w:val="single" w:sz="4" w:space="0" w:color="auto"/>
              <w:bottom w:val="dotted" w:sz="4" w:space="0" w:color="auto"/>
              <w:right w:val="single" w:sz="4" w:space="0" w:color="auto"/>
            </w:tcBorders>
            <w:shd w:val="clear" w:color="auto" w:fill="auto"/>
            <w:vAlign w:val="bottom"/>
          </w:tcPr>
          <w:p w14:paraId="712D5FBF" w14:textId="77777777" w:rsidR="00E9522A" w:rsidRPr="000E57AE" w:rsidRDefault="00E9522A" w:rsidP="00E9522A">
            <w:pPr>
              <w:keepNext/>
              <w:spacing w:line="276" w:lineRule="auto"/>
              <w:jc w:val="both"/>
              <w:rPr>
                <w:sz w:val="16"/>
              </w:rPr>
            </w:pPr>
            <w:r w:rsidRPr="000E57AE">
              <w:rPr>
                <w:rFonts w:eastAsia="Times New Roman"/>
                <w:color w:val="000000"/>
                <w:spacing w:val="0"/>
                <w:w w:val="100"/>
                <w:kern w:val="0"/>
                <w:sz w:val="16"/>
              </w:rPr>
              <w:t>Management activities</w:t>
            </w:r>
          </w:p>
        </w:tc>
        <w:tc>
          <w:tcPr>
            <w:tcW w:w="1530" w:type="dxa"/>
            <w:tcBorders>
              <w:top w:val="dotted" w:sz="4" w:space="0" w:color="auto"/>
              <w:left w:val="nil"/>
              <w:bottom w:val="dotted" w:sz="4" w:space="0" w:color="auto"/>
              <w:right w:val="single" w:sz="4" w:space="0" w:color="auto"/>
            </w:tcBorders>
          </w:tcPr>
          <w:p w14:paraId="2488DE28" w14:textId="780E7EB6" w:rsidR="00E9522A" w:rsidRPr="000E57AE" w:rsidRDefault="00C2487D"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128</w:t>
            </w:r>
          </w:p>
        </w:tc>
        <w:tc>
          <w:tcPr>
            <w:tcW w:w="1530" w:type="dxa"/>
            <w:tcBorders>
              <w:top w:val="dotted" w:sz="4" w:space="0" w:color="auto"/>
              <w:left w:val="single" w:sz="4" w:space="0" w:color="auto"/>
              <w:bottom w:val="dotted" w:sz="4" w:space="0" w:color="auto"/>
              <w:right w:val="single" w:sz="4" w:space="0" w:color="auto"/>
            </w:tcBorders>
            <w:shd w:val="clear" w:color="auto" w:fill="auto"/>
          </w:tcPr>
          <w:p w14:paraId="74BF26EF" w14:textId="5F1FFB3C" w:rsidR="00E9522A" w:rsidRPr="000E57AE" w:rsidRDefault="00E9522A" w:rsidP="00E9522A">
            <w:pPr>
              <w:keepNext/>
              <w:spacing w:line="276" w:lineRule="auto"/>
              <w:jc w:val="right"/>
              <w:rPr>
                <w:sz w:val="16"/>
              </w:rPr>
            </w:pPr>
            <w:r>
              <w:rPr>
                <w:rFonts w:eastAsia="Times New Roman"/>
                <w:color w:val="000000"/>
                <w:spacing w:val="0"/>
                <w:w w:val="100"/>
                <w:kern w:val="0"/>
                <w:sz w:val="16"/>
              </w:rPr>
              <w:t>154</w:t>
            </w:r>
          </w:p>
        </w:tc>
      </w:tr>
      <w:tr w:rsidR="0035393C" w:rsidRPr="000E57AE" w14:paraId="7F727192" w14:textId="77777777" w:rsidTr="0061037C">
        <w:trPr>
          <w:trHeight w:val="216"/>
          <w:jc w:val="center"/>
        </w:trPr>
        <w:tc>
          <w:tcPr>
            <w:tcW w:w="2765" w:type="dxa"/>
            <w:tcBorders>
              <w:top w:val="dotted" w:sz="4" w:space="0" w:color="auto"/>
              <w:left w:val="single" w:sz="4" w:space="0" w:color="auto"/>
              <w:bottom w:val="dotted" w:sz="4" w:space="0" w:color="auto"/>
              <w:right w:val="single" w:sz="4" w:space="0" w:color="auto"/>
            </w:tcBorders>
            <w:shd w:val="clear" w:color="auto" w:fill="auto"/>
            <w:vAlign w:val="bottom"/>
          </w:tcPr>
          <w:p w14:paraId="315C56C4" w14:textId="1D73804D" w:rsidR="0035393C" w:rsidRPr="000E57AE" w:rsidRDefault="0003205E" w:rsidP="00E9522A">
            <w:pPr>
              <w:keepNext/>
              <w:spacing w:line="276" w:lineRule="auto"/>
              <w:jc w:val="both"/>
              <w:rPr>
                <w:rFonts w:eastAsia="Times New Roman"/>
                <w:color w:val="000000"/>
                <w:spacing w:val="0"/>
                <w:w w:val="100"/>
                <w:kern w:val="0"/>
                <w:sz w:val="16"/>
              </w:rPr>
            </w:pPr>
            <w:r w:rsidRPr="0003205E">
              <w:rPr>
                <w:rFonts w:eastAsia="Times New Roman"/>
                <w:color w:val="000000"/>
                <w:spacing w:val="0"/>
                <w:w w:val="100"/>
                <w:kern w:val="0"/>
                <w:sz w:val="16"/>
              </w:rPr>
              <w:t>Independent oversight and assurance</w:t>
            </w:r>
          </w:p>
        </w:tc>
        <w:tc>
          <w:tcPr>
            <w:tcW w:w="1530" w:type="dxa"/>
            <w:tcBorders>
              <w:top w:val="dotted" w:sz="4" w:space="0" w:color="auto"/>
              <w:left w:val="nil"/>
              <w:bottom w:val="dotted" w:sz="4" w:space="0" w:color="auto"/>
              <w:right w:val="single" w:sz="4" w:space="0" w:color="auto"/>
            </w:tcBorders>
          </w:tcPr>
          <w:p w14:paraId="3E7958D9" w14:textId="49877BC4" w:rsidR="0035393C" w:rsidDel="006A66B0" w:rsidRDefault="0003205E"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19</w:t>
            </w:r>
          </w:p>
        </w:tc>
        <w:tc>
          <w:tcPr>
            <w:tcW w:w="1530" w:type="dxa"/>
            <w:tcBorders>
              <w:top w:val="dotted" w:sz="4" w:space="0" w:color="auto"/>
              <w:left w:val="single" w:sz="4" w:space="0" w:color="auto"/>
              <w:bottom w:val="dotted" w:sz="4" w:space="0" w:color="auto"/>
              <w:right w:val="single" w:sz="4" w:space="0" w:color="auto"/>
            </w:tcBorders>
            <w:shd w:val="clear" w:color="auto" w:fill="auto"/>
          </w:tcPr>
          <w:p w14:paraId="505246C9" w14:textId="123228D1" w:rsidR="0035393C" w:rsidRDefault="0061037C"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n</w:t>
            </w:r>
            <w:r w:rsidR="008C192E">
              <w:rPr>
                <w:rFonts w:eastAsia="Times New Roman"/>
                <w:color w:val="000000"/>
                <w:spacing w:val="0"/>
                <w:w w:val="100"/>
                <w:kern w:val="0"/>
                <w:sz w:val="16"/>
              </w:rPr>
              <w:t>/</w:t>
            </w:r>
            <w:r>
              <w:rPr>
                <w:rFonts w:eastAsia="Times New Roman"/>
                <w:color w:val="000000"/>
                <w:spacing w:val="0"/>
                <w:w w:val="100"/>
                <w:kern w:val="0"/>
                <w:sz w:val="16"/>
              </w:rPr>
              <w:t>a</w:t>
            </w:r>
          </w:p>
        </w:tc>
      </w:tr>
      <w:tr w:rsidR="00E9522A" w:rsidRPr="000E57AE" w14:paraId="5CC5BC39" w14:textId="77777777" w:rsidTr="001B438D">
        <w:trPr>
          <w:trHeight w:val="216"/>
          <w:jc w:val="center"/>
        </w:trPr>
        <w:tc>
          <w:tcPr>
            <w:tcW w:w="2765" w:type="dxa"/>
            <w:tcBorders>
              <w:top w:val="dotted" w:sz="4" w:space="0" w:color="auto"/>
              <w:left w:val="single" w:sz="4" w:space="0" w:color="auto"/>
              <w:bottom w:val="dotted" w:sz="4" w:space="0" w:color="auto"/>
              <w:right w:val="single" w:sz="4" w:space="0" w:color="auto"/>
            </w:tcBorders>
            <w:shd w:val="clear" w:color="auto" w:fill="auto"/>
            <w:vAlign w:val="bottom"/>
          </w:tcPr>
          <w:p w14:paraId="34F75612" w14:textId="77777777" w:rsidR="00E9522A" w:rsidRPr="000E57AE" w:rsidRDefault="00E9522A" w:rsidP="00E9522A">
            <w:pPr>
              <w:keepNext/>
              <w:spacing w:line="276" w:lineRule="auto"/>
              <w:jc w:val="both"/>
              <w:rPr>
                <w:sz w:val="16"/>
              </w:rPr>
            </w:pPr>
            <w:r w:rsidRPr="000E57AE">
              <w:rPr>
                <w:rFonts w:eastAsia="Times New Roman"/>
                <w:color w:val="000000"/>
                <w:spacing w:val="0"/>
                <w:w w:val="100"/>
                <w:kern w:val="0"/>
                <w:sz w:val="16"/>
              </w:rPr>
              <w:t>Special purpose activities</w:t>
            </w:r>
          </w:p>
        </w:tc>
        <w:tc>
          <w:tcPr>
            <w:tcW w:w="1530" w:type="dxa"/>
            <w:tcBorders>
              <w:top w:val="dotted" w:sz="4" w:space="0" w:color="auto"/>
              <w:left w:val="nil"/>
              <w:bottom w:val="dotted" w:sz="4" w:space="0" w:color="auto"/>
              <w:right w:val="single" w:sz="4" w:space="0" w:color="auto"/>
            </w:tcBorders>
          </w:tcPr>
          <w:p w14:paraId="2562D717" w14:textId="68F61505" w:rsidR="00E9522A" w:rsidRPr="000E57AE" w:rsidRDefault="00C2487D" w:rsidP="00E9522A">
            <w:pPr>
              <w:keepNext/>
              <w:spacing w:line="276" w:lineRule="auto"/>
              <w:jc w:val="right"/>
              <w:rPr>
                <w:rFonts w:eastAsia="Times New Roman"/>
                <w:color w:val="000000"/>
                <w:spacing w:val="0"/>
                <w:w w:val="100"/>
                <w:kern w:val="0"/>
                <w:sz w:val="16"/>
              </w:rPr>
            </w:pPr>
            <w:r>
              <w:rPr>
                <w:rFonts w:eastAsia="Times New Roman"/>
                <w:color w:val="000000"/>
                <w:spacing w:val="0"/>
                <w:w w:val="100"/>
                <w:kern w:val="0"/>
                <w:sz w:val="16"/>
              </w:rPr>
              <w:t>7</w:t>
            </w:r>
          </w:p>
        </w:tc>
        <w:tc>
          <w:tcPr>
            <w:tcW w:w="1530" w:type="dxa"/>
            <w:tcBorders>
              <w:top w:val="dotted" w:sz="4" w:space="0" w:color="auto"/>
              <w:left w:val="single" w:sz="4" w:space="0" w:color="auto"/>
              <w:bottom w:val="dotted" w:sz="4" w:space="0" w:color="auto"/>
              <w:right w:val="single" w:sz="4" w:space="0" w:color="auto"/>
            </w:tcBorders>
            <w:shd w:val="clear" w:color="auto" w:fill="auto"/>
          </w:tcPr>
          <w:p w14:paraId="0FADD279" w14:textId="4391540E" w:rsidR="00E9522A" w:rsidRPr="000E57AE" w:rsidRDefault="00E9522A" w:rsidP="00E9522A">
            <w:pPr>
              <w:keepNext/>
              <w:spacing w:line="276" w:lineRule="auto"/>
              <w:jc w:val="right"/>
              <w:rPr>
                <w:sz w:val="16"/>
              </w:rPr>
            </w:pPr>
            <w:r>
              <w:rPr>
                <w:rFonts w:eastAsia="Times New Roman"/>
                <w:color w:val="000000"/>
                <w:spacing w:val="0"/>
                <w:w w:val="100"/>
                <w:kern w:val="0"/>
                <w:sz w:val="16"/>
              </w:rPr>
              <w:t>8</w:t>
            </w:r>
          </w:p>
        </w:tc>
      </w:tr>
      <w:tr w:rsidR="00E9522A" w:rsidRPr="000E57AE" w14:paraId="4560AC66" w14:textId="77777777" w:rsidTr="001B438D">
        <w:trPr>
          <w:trHeight w:val="216"/>
          <w:jc w:val="center"/>
        </w:trPr>
        <w:tc>
          <w:tcPr>
            <w:tcW w:w="2765" w:type="dxa"/>
            <w:tcBorders>
              <w:top w:val="dotted" w:sz="4" w:space="0" w:color="auto"/>
              <w:left w:val="single" w:sz="4" w:space="0" w:color="auto"/>
              <w:bottom w:val="single" w:sz="4" w:space="0" w:color="auto"/>
              <w:right w:val="single" w:sz="4" w:space="0" w:color="auto"/>
            </w:tcBorders>
            <w:shd w:val="clear" w:color="auto" w:fill="FFFFFF" w:themeFill="background1"/>
            <w:vAlign w:val="bottom"/>
          </w:tcPr>
          <w:p w14:paraId="28D2CD65" w14:textId="77777777" w:rsidR="00E9522A" w:rsidRPr="000E57AE" w:rsidRDefault="00E9522A" w:rsidP="00E9522A">
            <w:pPr>
              <w:keepNext/>
              <w:spacing w:line="276" w:lineRule="auto"/>
              <w:jc w:val="both"/>
              <w:rPr>
                <w:b/>
                <w:i/>
                <w:sz w:val="16"/>
                <w:szCs w:val="18"/>
              </w:rPr>
            </w:pPr>
            <w:r w:rsidRPr="000E57AE">
              <w:rPr>
                <w:rFonts w:eastAsia="Times New Roman"/>
                <w:b/>
                <w:bCs/>
                <w:i/>
                <w:iCs/>
                <w:color w:val="000000"/>
                <w:spacing w:val="0"/>
                <w:w w:val="100"/>
                <w:kern w:val="0"/>
                <w:sz w:val="16"/>
              </w:rPr>
              <w:t>Total</w:t>
            </w:r>
          </w:p>
        </w:tc>
        <w:tc>
          <w:tcPr>
            <w:tcW w:w="1530" w:type="dxa"/>
            <w:tcBorders>
              <w:top w:val="dotted" w:sz="4" w:space="0" w:color="auto"/>
              <w:left w:val="nil"/>
              <w:bottom w:val="single" w:sz="4" w:space="0" w:color="auto"/>
              <w:right w:val="single" w:sz="4" w:space="0" w:color="auto"/>
            </w:tcBorders>
            <w:shd w:val="clear" w:color="auto" w:fill="FFFFFF" w:themeFill="background1"/>
          </w:tcPr>
          <w:p w14:paraId="49D57F43" w14:textId="395284DD" w:rsidR="00E9522A" w:rsidRPr="000E57AE" w:rsidRDefault="0010433A" w:rsidP="00E9522A">
            <w:pPr>
              <w:keepNext/>
              <w:spacing w:line="276" w:lineRule="auto"/>
              <w:jc w:val="right"/>
              <w:rPr>
                <w:rFonts w:eastAsia="Times New Roman"/>
                <w:b/>
                <w:bCs/>
                <w:color w:val="000000"/>
                <w:spacing w:val="0"/>
                <w:w w:val="100"/>
                <w:kern w:val="0"/>
                <w:sz w:val="16"/>
              </w:rPr>
            </w:pPr>
            <w:r>
              <w:rPr>
                <w:rFonts w:eastAsia="Times New Roman"/>
                <w:b/>
                <w:bCs/>
                <w:color w:val="000000"/>
                <w:spacing w:val="0"/>
                <w:w w:val="100"/>
                <w:kern w:val="0"/>
                <w:sz w:val="16"/>
              </w:rPr>
              <w:t>746</w:t>
            </w:r>
          </w:p>
        </w:tc>
        <w:tc>
          <w:tcPr>
            <w:tcW w:w="1530" w:type="dxa"/>
            <w:tcBorders>
              <w:top w:val="dotted" w:sz="4" w:space="0" w:color="auto"/>
              <w:left w:val="single" w:sz="4" w:space="0" w:color="auto"/>
              <w:bottom w:val="single" w:sz="4" w:space="0" w:color="auto"/>
              <w:right w:val="single" w:sz="4" w:space="0" w:color="auto"/>
            </w:tcBorders>
            <w:shd w:val="clear" w:color="auto" w:fill="FFFFFF" w:themeFill="background1"/>
          </w:tcPr>
          <w:p w14:paraId="3A1E6ABE" w14:textId="2DBFDBB7" w:rsidR="00E9522A" w:rsidRPr="000E57AE" w:rsidRDefault="00E9522A" w:rsidP="00E9522A">
            <w:pPr>
              <w:keepNext/>
              <w:spacing w:line="276" w:lineRule="auto"/>
              <w:jc w:val="right"/>
              <w:rPr>
                <w:sz w:val="16"/>
                <w:szCs w:val="18"/>
              </w:rPr>
            </w:pPr>
            <w:r>
              <w:rPr>
                <w:rFonts w:eastAsia="Times New Roman"/>
                <w:b/>
                <w:bCs/>
                <w:color w:val="000000"/>
                <w:spacing w:val="0"/>
                <w:w w:val="100"/>
                <w:kern w:val="0"/>
                <w:sz w:val="16"/>
              </w:rPr>
              <w:t>695</w:t>
            </w:r>
          </w:p>
        </w:tc>
      </w:tr>
    </w:tbl>
    <w:p w14:paraId="4C46EC49" w14:textId="295AB9B3" w:rsidR="002006FB" w:rsidRPr="000E4547" w:rsidRDefault="002C3524" w:rsidP="000E4547">
      <w:pPr>
        <w:pStyle w:val="ListParagraph"/>
        <w:numPr>
          <w:ilvl w:val="0"/>
          <w:numId w:val="5"/>
        </w:numPr>
        <w:spacing w:before="240" w:after="240" w:line="240" w:lineRule="auto"/>
        <w:ind w:right="1267"/>
        <w:contextualSpacing w:val="0"/>
        <w:jc w:val="both"/>
        <w:rPr>
          <w:rFonts w:eastAsia="Times New Roman"/>
        </w:rPr>
      </w:pPr>
      <w:r w:rsidRPr="000E57AE">
        <w:t>A</w:t>
      </w:r>
      <w:r>
        <w:t>ppendix</w:t>
      </w:r>
      <w:r w:rsidR="0026176E" w:rsidRPr="000E57AE">
        <w:t xml:space="preserve"> III.A presents the integrated resources plan that covers regular and other resources for 20</w:t>
      </w:r>
      <w:r w:rsidR="00066AEB">
        <w:t>22</w:t>
      </w:r>
      <w:r w:rsidR="0026176E" w:rsidRPr="000E57AE">
        <w:t>-</w:t>
      </w:r>
      <w:r w:rsidR="00F77B36" w:rsidRPr="000E57AE">
        <w:t>20</w:t>
      </w:r>
      <w:r w:rsidR="00471C88">
        <w:t>2</w:t>
      </w:r>
      <w:r w:rsidR="00066AEB">
        <w:t>5</w:t>
      </w:r>
      <w:r w:rsidR="00F77B36" w:rsidRPr="000E57AE">
        <w:t xml:space="preserve"> </w:t>
      </w:r>
      <w:r w:rsidR="0026176E" w:rsidRPr="000E57AE">
        <w:t xml:space="preserve">and compares the plan with </w:t>
      </w:r>
      <w:r w:rsidR="00AB069C">
        <w:t>2022</w:t>
      </w:r>
      <w:r w:rsidR="0026176E" w:rsidRPr="000E57AE">
        <w:t xml:space="preserve"> actuals. This comparison shows that:</w:t>
      </w:r>
      <w:r w:rsidR="6CE2B655" w:rsidRPr="00A60AC7">
        <w:t xml:space="preserve"> </w:t>
      </w:r>
      <w:r w:rsidR="0026176E" w:rsidRPr="00A60AC7">
        <w:t xml:space="preserve">activities reported in </w:t>
      </w:r>
      <w:r w:rsidR="000E4547">
        <w:t>2022</w:t>
      </w:r>
      <w:r w:rsidR="0042541A" w:rsidRPr="000E57AE">
        <w:t xml:space="preserve"> </w:t>
      </w:r>
      <w:r w:rsidR="0026176E" w:rsidRPr="00A60AC7">
        <w:t xml:space="preserve">remain within the integrated resources </w:t>
      </w:r>
      <w:r w:rsidR="00024499" w:rsidRPr="00A60AC7">
        <w:t>plan.</w:t>
      </w:r>
    </w:p>
    <w:p w14:paraId="108F86BD" w14:textId="29C0084E" w:rsidR="0026176E" w:rsidRPr="000E57AE" w:rsidRDefault="00F57891" w:rsidP="002D4BC0">
      <w:pPr>
        <w:pStyle w:val="ListParagraph"/>
        <w:numPr>
          <w:ilvl w:val="0"/>
          <w:numId w:val="5"/>
        </w:numPr>
        <w:spacing w:before="240" w:after="240" w:line="240" w:lineRule="auto"/>
        <w:ind w:right="1267"/>
        <w:contextualSpacing w:val="0"/>
        <w:jc w:val="both"/>
      </w:pPr>
      <w:r w:rsidRPr="000E57AE">
        <w:t>A</w:t>
      </w:r>
      <w:r>
        <w:t>ppendix</w:t>
      </w:r>
      <w:r w:rsidR="0026176E" w:rsidRPr="000E57AE">
        <w:t xml:space="preserve"> III.B presents </w:t>
      </w:r>
      <w:r w:rsidR="000F488E">
        <w:t>2022</w:t>
      </w:r>
      <w:r w:rsidR="007D45BE">
        <w:t xml:space="preserve"> </w:t>
      </w:r>
      <w:r w:rsidR="0026176E" w:rsidRPr="000E57AE">
        <w:t xml:space="preserve">actuals versus estimates of the institutional components of the integrated resources plan by category of expenditures, while </w:t>
      </w:r>
      <w:r>
        <w:t>appendix</w:t>
      </w:r>
      <w:r w:rsidR="0026176E" w:rsidRPr="000E57AE">
        <w:t xml:space="preserve"> III.C presents information on resources allocated to posts by location.</w:t>
      </w:r>
    </w:p>
    <w:bookmarkEnd w:id="229"/>
    <w:p w14:paraId="7F05C532" w14:textId="6D67340E" w:rsidR="003A32A3" w:rsidRPr="00507534" w:rsidRDefault="006A4015" w:rsidP="005F648C">
      <w:pPr>
        <w:pStyle w:val="HCh"/>
        <w:numPr>
          <w:ilvl w:val="0"/>
          <w:numId w:val="13"/>
        </w:numPr>
        <w:spacing w:before="360" w:after="240" w:line="240" w:lineRule="auto"/>
        <w:ind w:right="1267"/>
      </w:pPr>
      <w:r>
        <w:tab/>
      </w:r>
      <w:bookmarkStart w:id="381" w:name="_Toc139289148"/>
      <w:r w:rsidR="0044151A" w:rsidRPr="00507534">
        <w:t xml:space="preserve">Financial </w:t>
      </w:r>
      <w:r w:rsidR="00E82350" w:rsidRPr="00507534">
        <w:t>p</w:t>
      </w:r>
      <w:r w:rsidR="0044151A" w:rsidRPr="00507534">
        <w:t>osition</w:t>
      </w:r>
      <w:bookmarkEnd w:id="381"/>
    </w:p>
    <w:p w14:paraId="74F45DFF" w14:textId="4375DDB9" w:rsidR="00717F24" w:rsidRPr="009E5F63" w:rsidRDefault="004D3601" w:rsidP="005F648C">
      <w:pPr>
        <w:pStyle w:val="H1"/>
        <w:numPr>
          <w:ilvl w:val="1"/>
          <w:numId w:val="7"/>
        </w:numPr>
        <w:tabs>
          <w:tab w:val="clear" w:pos="1022"/>
          <w:tab w:val="clear" w:pos="1742"/>
          <w:tab w:val="right" w:pos="1440"/>
          <w:tab w:val="left" w:pos="1800"/>
        </w:tabs>
        <w:spacing w:before="240" w:after="240" w:line="240" w:lineRule="auto"/>
        <w:ind w:left="1152" w:right="0"/>
        <w:outlineLvl w:val="1"/>
      </w:pPr>
      <w:bookmarkStart w:id="382" w:name="_Toc39596168"/>
      <w:bookmarkStart w:id="383" w:name="_Toc39596212"/>
      <w:bookmarkStart w:id="384" w:name="_Toc39596256"/>
      <w:bookmarkStart w:id="385" w:name="_Toc139289041"/>
      <w:bookmarkStart w:id="386" w:name="_Toc139289149"/>
      <w:bookmarkEnd w:id="382"/>
      <w:bookmarkEnd w:id="383"/>
      <w:bookmarkEnd w:id="384"/>
      <w:r w:rsidRPr="000E57AE">
        <w:t>Assets</w:t>
      </w:r>
      <w:bookmarkStart w:id="387" w:name="_Hlk1477398"/>
      <w:bookmarkEnd w:id="385"/>
      <w:bookmarkEnd w:id="386"/>
    </w:p>
    <w:bookmarkEnd w:id="387"/>
    <w:p w14:paraId="2327BEAB" w14:textId="1AB407E5" w:rsidR="009972C4" w:rsidRPr="00AF3FD4" w:rsidRDefault="00970A1E" w:rsidP="00AF3FD4">
      <w:pPr>
        <w:pStyle w:val="ListParagraph"/>
        <w:numPr>
          <w:ilvl w:val="0"/>
          <w:numId w:val="5"/>
        </w:numPr>
        <w:spacing w:before="240" w:after="240" w:line="240" w:lineRule="auto"/>
        <w:ind w:right="1267"/>
        <w:contextualSpacing w:val="0"/>
        <w:jc w:val="both"/>
      </w:pPr>
      <w:r w:rsidRPr="000E57AE">
        <w:t xml:space="preserve">Total assets registered </w:t>
      </w:r>
      <w:r w:rsidRPr="00BC225E">
        <w:t>$</w:t>
      </w:r>
      <w:r w:rsidR="00BF1C05" w:rsidRPr="00BC225E">
        <w:t>1</w:t>
      </w:r>
      <w:r w:rsidR="00C73CD4">
        <w:t>4.8</w:t>
      </w:r>
      <w:r w:rsidR="00E9711F" w:rsidRPr="00BC225E">
        <w:t xml:space="preserve"> </w:t>
      </w:r>
      <w:r w:rsidR="00F029F6" w:rsidRPr="00BC225E">
        <w:t>b</w:t>
      </w:r>
      <w:r w:rsidR="00E9711F" w:rsidRPr="00BC225E">
        <w:t>illion (20</w:t>
      </w:r>
      <w:r w:rsidR="00FC58EA">
        <w:t>2</w:t>
      </w:r>
      <w:r w:rsidR="00C73CD4">
        <w:t>1</w:t>
      </w:r>
      <w:r w:rsidR="00C75F13">
        <w:t>:</w:t>
      </w:r>
      <w:r w:rsidR="00E9711F" w:rsidRPr="00BC225E">
        <w:t xml:space="preserve"> $</w:t>
      </w:r>
      <w:r w:rsidR="00036B97" w:rsidRPr="00BC225E">
        <w:t>1</w:t>
      </w:r>
      <w:r w:rsidR="00C73CD4">
        <w:t>5.2</w:t>
      </w:r>
      <w:r w:rsidR="00E9711F" w:rsidRPr="00BC225E">
        <w:t xml:space="preserve"> </w:t>
      </w:r>
      <w:r w:rsidR="006E6EBB" w:rsidRPr="00BC225E">
        <w:t>b</w:t>
      </w:r>
      <w:r w:rsidR="00E9711F" w:rsidRPr="00BC225E">
        <w:t>illion)</w:t>
      </w:r>
      <w:r w:rsidR="00766914" w:rsidRPr="00BC225E">
        <w:t>,</w:t>
      </w:r>
      <w:r w:rsidR="004F6372" w:rsidRPr="00BC225E">
        <w:t xml:space="preserve"> representing a</w:t>
      </w:r>
      <w:r w:rsidR="00360F92">
        <w:t xml:space="preserve"> de</w:t>
      </w:r>
      <w:r w:rsidR="004F6372" w:rsidRPr="00BC225E">
        <w:t xml:space="preserve">crease of </w:t>
      </w:r>
      <w:r w:rsidR="00360F92">
        <w:t>2</w:t>
      </w:r>
      <w:r w:rsidR="00B4722F" w:rsidRPr="00BC225E">
        <w:t xml:space="preserve"> per</w:t>
      </w:r>
      <w:r w:rsidR="00B61A0A" w:rsidRPr="00BC225E">
        <w:t xml:space="preserve"> </w:t>
      </w:r>
      <w:r w:rsidR="00B4722F" w:rsidRPr="00BC225E">
        <w:t xml:space="preserve">cent. </w:t>
      </w:r>
      <w:r w:rsidR="00F123BD" w:rsidRPr="00BC225E">
        <w:t xml:space="preserve">UNDP assets consist mainly of </w:t>
      </w:r>
      <w:r w:rsidR="007E4833" w:rsidRPr="00BC225E">
        <w:t>investments</w:t>
      </w:r>
      <w:r w:rsidR="00F123BD" w:rsidRPr="00BC225E">
        <w:t xml:space="preserve"> to fund known liabilities, as well as </w:t>
      </w:r>
      <w:r w:rsidR="00A47F7C" w:rsidRPr="00BC225E">
        <w:t>contributions r</w:t>
      </w:r>
      <w:r w:rsidR="00A47F7C" w:rsidRPr="000E57AE">
        <w:t xml:space="preserve">eceivable, as set out below. </w:t>
      </w:r>
    </w:p>
    <w:p w14:paraId="34DEDD9C" w14:textId="0E716F24" w:rsidR="000B1F9D" w:rsidRPr="00141DFA" w:rsidRDefault="00B937C4" w:rsidP="5D788B90">
      <w:pPr>
        <w:pStyle w:val="SingleTxt"/>
        <w:keepNext/>
        <w:tabs>
          <w:tab w:val="clear" w:pos="2218"/>
        </w:tabs>
        <w:spacing w:after="0"/>
        <w:ind w:left="2398" w:hanging="1138"/>
        <w:jc w:val="center"/>
        <w:rPr>
          <w:b/>
          <w:highlight w:val="yellow"/>
        </w:rPr>
      </w:pPr>
      <w:r w:rsidRPr="00BA4D80">
        <w:rPr>
          <w:b/>
        </w:rPr>
        <w:lastRenderedPageBreak/>
        <w:t xml:space="preserve">Figure </w:t>
      </w:r>
      <w:r w:rsidR="004D4DCC" w:rsidRPr="00BA4D80">
        <w:rPr>
          <w:b/>
        </w:rPr>
        <w:t>VI</w:t>
      </w:r>
      <w:r w:rsidR="00A1202C" w:rsidRPr="00BA4D80">
        <w:rPr>
          <w:b/>
        </w:rPr>
        <w:t xml:space="preserve">.  </w:t>
      </w:r>
      <w:r w:rsidR="000B1F9D" w:rsidRPr="00BA4D80">
        <w:rPr>
          <w:b/>
        </w:rPr>
        <w:t xml:space="preserve">UNDP </w:t>
      </w:r>
      <w:r w:rsidR="00452A2D" w:rsidRPr="00BA4D80">
        <w:rPr>
          <w:b/>
        </w:rPr>
        <w:t>a</w:t>
      </w:r>
      <w:r w:rsidR="000B1F9D" w:rsidRPr="00BA4D80">
        <w:rPr>
          <w:b/>
        </w:rPr>
        <w:t xml:space="preserve">ssets, </w:t>
      </w:r>
      <w:r w:rsidR="00702F31" w:rsidRPr="00BA4D80">
        <w:rPr>
          <w:b/>
        </w:rPr>
        <w:t>20</w:t>
      </w:r>
      <w:r w:rsidR="003717D6" w:rsidRPr="00BA4D80">
        <w:rPr>
          <w:b/>
        </w:rPr>
        <w:t>2</w:t>
      </w:r>
      <w:r w:rsidR="00360F92">
        <w:rPr>
          <w:b/>
        </w:rPr>
        <w:t>1</w:t>
      </w:r>
      <w:r w:rsidR="00702F31" w:rsidRPr="00BA4D80">
        <w:rPr>
          <w:b/>
        </w:rPr>
        <w:t>-202</w:t>
      </w:r>
      <w:r w:rsidR="00360F92">
        <w:rPr>
          <w:b/>
        </w:rPr>
        <w:t>2</w:t>
      </w:r>
    </w:p>
    <w:p w14:paraId="23E84AC7" w14:textId="7A861D18" w:rsidR="00BA4D80" w:rsidRDefault="4484479D" w:rsidP="009C3952">
      <w:pPr>
        <w:pStyle w:val="SingleTxt"/>
        <w:keepNext/>
        <w:tabs>
          <w:tab w:val="clear" w:pos="2218"/>
        </w:tabs>
        <w:spacing w:line="240" w:lineRule="auto"/>
        <w:ind w:left="3038" w:hanging="1771"/>
        <w:jc w:val="center"/>
        <w:rPr>
          <w:noProof/>
          <w:sz w:val="18"/>
          <w:szCs w:val="18"/>
        </w:rPr>
      </w:pPr>
      <w:r w:rsidRPr="00AA41DC">
        <w:rPr>
          <w:i/>
          <w:iCs/>
          <w:sz w:val="18"/>
          <w:szCs w:val="18"/>
        </w:rPr>
        <w:t>(</w:t>
      </w:r>
      <w:r w:rsidR="00BA4D80" w:rsidRPr="00AA41DC">
        <w:rPr>
          <w:i/>
          <w:iCs/>
          <w:sz w:val="18"/>
          <w:szCs w:val="18"/>
        </w:rPr>
        <w:t>In</w:t>
      </w:r>
      <w:r w:rsidRPr="00AA41DC">
        <w:rPr>
          <w:i/>
          <w:iCs/>
          <w:sz w:val="18"/>
          <w:szCs w:val="18"/>
        </w:rPr>
        <w:t xml:space="preserve"> millions of </w:t>
      </w:r>
      <w:r w:rsidR="2E908218" w:rsidRPr="00AA41DC">
        <w:rPr>
          <w:i/>
          <w:iCs/>
          <w:sz w:val="18"/>
          <w:szCs w:val="18"/>
        </w:rPr>
        <w:t xml:space="preserve">United States </w:t>
      </w:r>
      <w:r w:rsidRPr="00AA41DC">
        <w:rPr>
          <w:i/>
          <w:iCs/>
          <w:sz w:val="18"/>
          <w:szCs w:val="18"/>
        </w:rPr>
        <w:t>dollars)</w:t>
      </w:r>
      <w:bookmarkStart w:id="388" w:name="_Toc39596258"/>
      <w:bookmarkStart w:id="389" w:name="_Toc40281206"/>
      <w:bookmarkStart w:id="390" w:name="_Toc40281365"/>
      <w:bookmarkStart w:id="391" w:name="_Toc44499892"/>
      <w:r w:rsidR="4074E311" w:rsidRPr="00AA41DC">
        <w:rPr>
          <w:noProof/>
          <w:sz w:val="18"/>
          <w:szCs w:val="18"/>
        </w:rPr>
        <w:t xml:space="preserve"> </w:t>
      </w:r>
    </w:p>
    <w:p w14:paraId="56089FFD" w14:textId="0ADAA1CD" w:rsidR="00033B7C" w:rsidRPr="00F875D7" w:rsidRDefault="00602600" w:rsidP="00326B8B">
      <w:pPr>
        <w:pStyle w:val="SingleTxt"/>
        <w:keepNext/>
        <w:tabs>
          <w:tab w:val="clear" w:pos="2218"/>
        </w:tabs>
        <w:spacing w:line="240" w:lineRule="auto"/>
        <w:ind w:left="2779" w:hanging="1771"/>
        <w:jc w:val="center"/>
        <w:rPr>
          <w:i/>
          <w:iCs/>
        </w:rPr>
      </w:pPr>
      <w:r>
        <w:rPr>
          <w:noProof/>
        </w:rPr>
        <w:drawing>
          <wp:inline distT="0" distB="0" distL="0" distR="0" wp14:anchorId="3705DAD4" wp14:editId="082880C3">
            <wp:extent cx="4984750" cy="1943100"/>
            <wp:effectExtent l="0" t="0" r="6350" b="0"/>
            <wp:docPr id="1540016794" name="Chart 1">
              <a:extLst xmlns:a="http://schemas.openxmlformats.org/drawingml/2006/main">
                <a:ext uri="{FF2B5EF4-FFF2-40B4-BE49-F238E27FC236}">
                  <a16:creationId xmlns:a16="http://schemas.microsoft.com/office/drawing/2014/main" id="{6306EF24-CB96-4CDF-B009-185A31A84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A6C807" w14:textId="439609E2" w:rsidR="00472981" w:rsidRPr="009E5F63" w:rsidRDefault="00472981" w:rsidP="009E5F63">
      <w:pPr>
        <w:pStyle w:val="H4"/>
        <w:tabs>
          <w:tab w:val="clear" w:pos="1742"/>
          <w:tab w:val="left" w:pos="1440"/>
          <w:tab w:val="left" w:pos="1620"/>
        </w:tabs>
        <w:spacing w:before="240" w:after="240" w:line="240" w:lineRule="auto"/>
        <w:ind w:left="1008" w:firstLine="0"/>
        <w:outlineLvl w:val="2"/>
      </w:pPr>
      <w:bookmarkStart w:id="392" w:name="_Toc44603240"/>
      <w:bookmarkStart w:id="393" w:name="_Toc44606553"/>
      <w:bookmarkStart w:id="394" w:name="_Toc45297438"/>
      <w:bookmarkStart w:id="395" w:name="_Toc46221150"/>
      <w:bookmarkStart w:id="396" w:name="_Toc46399214"/>
      <w:bookmarkStart w:id="397" w:name="_Toc75466851"/>
      <w:bookmarkStart w:id="398" w:name="_Toc139289042"/>
      <w:bookmarkStart w:id="399" w:name="_Toc139289150"/>
      <w:r w:rsidRPr="000E57AE">
        <w:t>Cash and investments</w:t>
      </w:r>
      <w:bookmarkEnd w:id="388"/>
      <w:bookmarkEnd w:id="389"/>
      <w:bookmarkEnd w:id="390"/>
      <w:bookmarkEnd w:id="391"/>
      <w:bookmarkEnd w:id="392"/>
      <w:bookmarkEnd w:id="393"/>
      <w:bookmarkEnd w:id="394"/>
      <w:bookmarkEnd w:id="395"/>
      <w:bookmarkEnd w:id="396"/>
      <w:bookmarkEnd w:id="397"/>
      <w:bookmarkEnd w:id="398"/>
      <w:bookmarkEnd w:id="399"/>
    </w:p>
    <w:p w14:paraId="5F54AADA" w14:textId="050EB62E" w:rsidR="002C1049" w:rsidRPr="00AF3FD4" w:rsidRDefault="009960EC" w:rsidP="00AF3FD4">
      <w:pPr>
        <w:pStyle w:val="ListParagraph"/>
        <w:numPr>
          <w:ilvl w:val="0"/>
          <w:numId w:val="5"/>
        </w:numPr>
        <w:spacing w:before="240" w:after="240" w:line="240" w:lineRule="auto"/>
        <w:ind w:right="1267"/>
        <w:contextualSpacing w:val="0"/>
        <w:jc w:val="both"/>
      </w:pPr>
      <w:r w:rsidRPr="000E57AE">
        <w:t xml:space="preserve">Total </w:t>
      </w:r>
      <w:r w:rsidR="00DE2BC5" w:rsidRPr="000E57AE">
        <w:t>cash and cash eq</w:t>
      </w:r>
      <w:r w:rsidR="005D5895" w:rsidRPr="000E57AE">
        <w:t>u</w:t>
      </w:r>
      <w:r w:rsidR="00DE2BC5" w:rsidRPr="000E57AE">
        <w:t xml:space="preserve">ivalents </w:t>
      </w:r>
      <w:r w:rsidR="005D5895" w:rsidRPr="000E57AE">
        <w:t xml:space="preserve">and </w:t>
      </w:r>
      <w:r w:rsidR="00C734EB" w:rsidRPr="000E57AE">
        <w:t xml:space="preserve">investments </w:t>
      </w:r>
      <w:r w:rsidR="00DB0C47" w:rsidRPr="000E57AE">
        <w:t>amounted to $</w:t>
      </w:r>
      <w:r w:rsidR="00BD74D6">
        <w:t>621</w:t>
      </w:r>
      <w:r w:rsidR="00DB0C47" w:rsidRPr="000E57AE">
        <w:t xml:space="preserve"> million and $</w:t>
      </w:r>
      <w:r w:rsidR="005C3096">
        <w:t>7.</w:t>
      </w:r>
      <w:r w:rsidR="00BD74D6">
        <w:t>5</w:t>
      </w:r>
      <w:r w:rsidR="00492099">
        <w:t xml:space="preserve"> billion</w:t>
      </w:r>
      <w:r w:rsidR="0015701C">
        <w:t>,</w:t>
      </w:r>
      <w:r w:rsidR="00DB0C47" w:rsidRPr="000E57AE">
        <w:t xml:space="preserve"> respectively</w:t>
      </w:r>
      <w:r w:rsidR="00CB5862" w:rsidRPr="000E57AE">
        <w:t>.</w:t>
      </w:r>
      <w:r w:rsidR="00D2391E" w:rsidRPr="00AF3FD4">
        <w:t xml:space="preserve"> </w:t>
      </w:r>
    </w:p>
    <w:p w14:paraId="4E2B6634" w14:textId="2D909A54" w:rsidR="001326F4" w:rsidRPr="000E57AE" w:rsidRDefault="00986235" w:rsidP="5E7BD891">
      <w:pPr>
        <w:pStyle w:val="ListParagraph"/>
        <w:numPr>
          <w:ilvl w:val="0"/>
          <w:numId w:val="5"/>
        </w:numPr>
        <w:spacing w:before="240" w:after="240" w:line="240" w:lineRule="auto"/>
        <w:ind w:right="1267"/>
        <w:jc w:val="both"/>
      </w:pPr>
      <w:r w:rsidRPr="000E57AE">
        <w:t xml:space="preserve">The </w:t>
      </w:r>
      <w:r w:rsidR="00584DAB" w:rsidRPr="000E57AE">
        <w:t>majority</w:t>
      </w:r>
      <w:r w:rsidR="001578CC" w:rsidRPr="000E57AE">
        <w:t xml:space="preserve"> </w:t>
      </w:r>
      <w:r w:rsidR="00584DAB" w:rsidRPr="000E57AE">
        <w:t xml:space="preserve">of investments and cash and cash equivalents </w:t>
      </w:r>
      <w:r w:rsidR="00BF4C75" w:rsidRPr="000E57AE">
        <w:t xml:space="preserve">in other resources </w:t>
      </w:r>
      <w:r w:rsidR="00584DAB" w:rsidRPr="000E57AE">
        <w:t xml:space="preserve">are </w:t>
      </w:r>
      <w:r w:rsidR="00CB6AC7" w:rsidRPr="000E57AE">
        <w:t xml:space="preserve">earmarked for programme activities </w:t>
      </w:r>
      <w:r w:rsidR="00BE0D2F" w:rsidRPr="000E57AE">
        <w:t>funded through cost-sharing and trust fund agreements with donors</w:t>
      </w:r>
      <w:r w:rsidR="001578CC" w:rsidRPr="000E57AE">
        <w:t xml:space="preserve">. </w:t>
      </w:r>
      <w:r w:rsidR="00992880" w:rsidRPr="000E57AE">
        <w:t>The investments</w:t>
      </w:r>
      <w:r w:rsidR="00F75026" w:rsidRPr="000E57AE">
        <w:t xml:space="preserve"> and cash equivalents in </w:t>
      </w:r>
      <w:r w:rsidR="00E374EA" w:rsidRPr="000E57AE">
        <w:t xml:space="preserve">regular resources and other resources </w:t>
      </w:r>
      <w:r w:rsidR="001326F4" w:rsidRPr="000E57AE">
        <w:t xml:space="preserve">also </w:t>
      </w:r>
      <w:r w:rsidR="00EF3A5C" w:rsidRPr="000E57AE">
        <w:t>include</w:t>
      </w:r>
      <w:r w:rsidR="00AF1D2C">
        <w:t>s</w:t>
      </w:r>
      <w:r w:rsidR="00EF3A5C" w:rsidRPr="000E57AE">
        <w:t xml:space="preserve"> </w:t>
      </w:r>
      <w:r w:rsidR="00782C88" w:rsidRPr="000E57AE">
        <w:t>$</w:t>
      </w:r>
      <w:r w:rsidR="001D1A57">
        <w:t>978 million</w:t>
      </w:r>
      <w:r w:rsidR="00142C8D" w:rsidRPr="000E57AE">
        <w:t xml:space="preserve"> </w:t>
      </w:r>
      <w:r w:rsidR="00005AFF" w:rsidRPr="000E57AE">
        <w:t xml:space="preserve">for </w:t>
      </w:r>
      <w:r w:rsidR="00005AFF" w:rsidRPr="00082639">
        <w:t>after</w:t>
      </w:r>
      <w:r w:rsidR="00082639" w:rsidRPr="00C860BF">
        <w:t>-service health insurance</w:t>
      </w:r>
      <w:r w:rsidR="00A37202">
        <w:t xml:space="preserve"> </w:t>
      </w:r>
      <w:r w:rsidR="00005AFF">
        <w:t xml:space="preserve">and </w:t>
      </w:r>
      <w:r w:rsidR="00005AFF" w:rsidRPr="00796CEA">
        <w:t>end</w:t>
      </w:r>
      <w:r w:rsidR="00796CEA" w:rsidRPr="00C860BF">
        <w:t>-of-service</w:t>
      </w:r>
      <w:r w:rsidR="00066D2A">
        <w:t>,</w:t>
      </w:r>
      <w:r w:rsidR="006F620A" w:rsidRPr="000E57AE">
        <w:t xml:space="preserve"> the amount</w:t>
      </w:r>
      <w:r w:rsidR="00D05994" w:rsidRPr="000E57AE">
        <w:t xml:space="preserve"> invested for </w:t>
      </w:r>
      <w:r w:rsidR="00BA02F2" w:rsidRPr="000E57AE">
        <w:t xml:space="preserve">the </w:t>
      </w:r>
      <w:r w:rsidR="00BC33B8" w:rsidRPr="000E57AE">
        <w:t xml:space="preserve">Executive Board mandated </w:t>
      </w:r>
      <w:r w:rsidR="00531DC0" w:rsidRPr="000E57AE">
        <w:t xml:space="preserve">operational </w:t>
      </w:r>
      <w:r w:rsidR="00BA02F2" w:rsidRPr="000E57AE">
        <w:t>reserves of $</w:t>
      </w:r>
      <w:r w:rsidR="00FF7527">
        <w:t>30</w:t>
      </w:r>
      <w:r w:rsidR="004F6D26">
        <w:t>6</w:t>
      </w:r>
      <w:r w:rsidR="006D6B85">
        <w:t> </w:t>
      </w:r>
      <w:r w:rsidR="00BA02F2" w:rsidRPr="000E57AE">
        <w:t>million</w:t>
      </w:r>
      <w:r w:rsidR="00BC33B8" w:rsidRPr="000E57AE">
        <w:t xml:space="preserve"> and </w:t>
      </w:r>
      <w:r w:rsidR="0015701C">
        <w:t xml:space="preserve">the Programme of Assistance to the Palestinian People </w:t>
      </w:r>
      <w:r w:rsidR="006D6B85">
        <w:t xml:space="preserve">(PAPP) </w:t>
      </w:r>
      <w:r w:rsidR="00BC33B8" w:rsidRPr="000E57AE">
        <w:t>Endowment Fund of $3</w:t>
      </w:r>
      <w:r w:rsidR="0015701C">
        <w:t> </w:t>
      </w:r>
      <w:r w:rsidR="00346C4D" w:rsidRPr="000E57AE">
        <w:t>million</w:t>
      </w:r>
      <w:r w:rsidR="00C26EA7" w:rsidRPr="000E57AE">
        <w:t>.</w:t>
      </w:r>
    </w:p>
    <w:p w14:paraId="0A8096FC" w14:textId="77777777" w:rsidR="000C536C" w:rsidRPr="000E57AE" w:rsidRDefault="000C536C" w:rsidP="000C536C">
      <w:pPr>
        <w:pStyle w:val="ListParagraph"/>
        <w:spacing w:before="240" w:after="240" w:line="240" w:lineRule="auto"/>
        <w:ind w:left="1343" w:right="1267"/>
        <w:jc w:val="both"/>
      </w:pPr>
    </w:p>
    <w:p w14:paraId="71FCC024" w14:textId="2F04A39A" w:rsidR="00722D46" w:rsidRPr="000E57AE" w:rsidRDefault="001326F4" w:rsidP="00AF3FD4">
      <w:pPr>
        <w:pStyle w:val="ListParagraph"/>
        <w:numPr>
          <w:ilvl w:val="0"/>
          <w:numId w:val="5"/>
        </w:numPr>
        <w:spacing w:before="240" w:after="240" w:line="240" w:lineRule="auto"/>
        <w:ind w:right="1267"/>
        <w:contextualSpacing w:val="0"/>
        <w:jc w:val="both"/>
      </w:pPr>
      <w:r w:rsidRPr="000E57AE">
        <w:t xml:space="preserve">The </w:t>
      </w:r>
      <w:r w:rsidR="00986235" w:rsidRPr="000E57AE">
        <w:t xml:space="preserve">total </w:t>
      </w:r>
      <w:r w:rsidR="00185F29" w:rsidRPr="000E57AE">
        <w:t xml:space="preserve">cash and investments </w:t>
      </w:r>
      <w:r w:rsidRPr="000E57AE">
        <w:t xml:space="preserve">for </w:t>
      </w:r>
      <w:r w:rsidR="002967DF">
        <w:t>Multi-Partner Trust Fund Office</w:t>
      </w:r>
      <w:r w:rsidRPr="000E57AE">
        <w:t xml:space="preserve"> </w:t>
      </w:r>
      <w:r w:rsidR="00986235" w:rsidRPr="000E57AE">
        <w:t>of $</w:t>
      </w:r>
      <w:r w:rsidR="00421104">
        <w:t>1</w:t>
      </w:r>
      <w:r w:rsidR="00B901DE">
        <w:t>.</w:t>
      </w:r>
      <w:r w:rsidR="006D2C22">
        <w:t>3</w:t>
      </w:r>
      <w:r w:rsidR="00986235" w:rsidRPr="000E57AE">
        <w:t xml:space="preserve"> </w:t>
      </w:r>
      <w:r w:rsidR="00B901DE">
        <w:t>b</w:t>
      </w:r>
      <w:r w:rsidR="00185F29" w:rsidRPr="000E57AE">
        <w:t xml:space="preserve">illion </w:t>
      </w:r>
      <w:r w:rsidR="00434BCA" w:rsidRPr="000E57AE">
        <w:t xml:space="preserve">(cash and cash equivalents of </w:t>
      </w:r>
      <w:r w:rsidR="00041766" w:rsidRPr="000E57AE">
        <w:t>$</w:t>
      </w:r>
      <w:r w:rsidR="008B6189">
        <w:t>247</w:t>
      </w:r>
      <w:r w:rsidR="00041766" w:rsidRPr="000E57AE">
        <w:t xml:space="preserve"> million and investments </w:t>
      </w:r>
      <w:r w:rsidR="0015701C">
        <w:t xml:space="preserve">of </w:t>
      </w:r>
      <w:r w:rsidR="00041766" w:rsidRPr="000E57AE">
        <w:t>$</w:t>
      </w:r>
      <w:r w:rsidR="00510441">
        <w:t>1.1</w:t>
      </w:r>
      <w:r w:rsidR="00041766" w:rsidRPr="000E57AE">
        <w:t xml:space="preserve"> </w:t>
      </w:r>
      <w:r w:rsidR="00510441">
        <w:t>b</w:t>
      </w:r>
      <w:r w:rsidR="00041766" w:rsidRPr="000E57AE">
        <w:t xml:space="preserve">illion) </w:t>
      </w:r>
      <w:r w:rsidR="00FD476B" w:rsidRPr="000E57AE">
        <w:t xml:space="preserve">represent funds provided to UNDP by </w:t>
      </w:r>
      <w:r w:rsidR="007F64EF">
        <w:t>funding partners</w:t>
      </w:r>
      <w:r w:rsidR="00FD476B" w:rsidRPr="000E57AE">
        <w:t xml:space="preserve"> to be held on their behalf </w:t>
      </w:r>
      <w:r w:rsidR="00080AA8" w:rsidRPr="000E57AE">
        <w:t xml:space="preserve">for future disbursement to organizations of the United Nations system and to national governments. </w:t>
      </w:r>
    </w:p>
    <w:p w14:paraId="577A44AF" w14:textId="7F368946" w:rsidR="00491555" w:rsidRPr="00491555" w:rsidRDefault="00472981" w:rsidP="00491555">
      <w:pPr>
        <w:pStyle w:val="H4"/>
        <w:tabs>
          <w:tab w:val="clear" w:pos="1742"/>
          <w:tab w:val="left" w:pos="1440"/>
          <w:tab w:val="left" w:pos="1620"/>
        </w:tabs>
        <w:spacing w:before="240" w:after="240" w:line="240" w:lineRule="auto"/>
        <w:ind w:left="1008" w:firstLine="0"/>
        <w:outlineLvl w:val="2"/>
      </w:pPr>
      <w:bookmarkStart w:id="400" w:name="_Toc39596259"/>
      <w:bookmarkStart w:id="401" w:name="_Toc40281207"/>
      <w:bookmarkStart w:id="402" w:name="_Toc40281366"/>
      <w:bookmarkStart w:id="403" w:name="_Toc44499893"/>
      <w:bookmarkStart w:id="404" w:name="_Toc44603241"/>
      <w:bookmarkStart w:id="405" w:name="_Toc44606554"/>
      <w:bookmarkStart w:id="406" w:name="_Toc45297439"/>
      <w:bookmarkStart w:id="407" w:name="_Toc46221151"/>
      <w:bookmarkStart w:id="408" w:name="_Toc46399215"/>
      <w:bookmarkStart w:id="409" w:name="_Toc75466852"/>
      <w:bookmarkStart w:id="410" w:name="_Toc139289043"/>
      <w:bookmarkStart w:id="411" w:name="_Toc139289151"/>
      <w:r w:rsidRPr="000E57AE">
        <w:t>Contributions receivable</w:t>
      </w:r>
      <w:bookmarkEnd w:id="400"/>
      <w:bookmarkEnd w:id="401"/>
      <w:bookmarkEnd w:id="402"/>
      <w:bookmarkEnd w:id="403"/>
      <w:bookmarkEnd w:id="404"/>
      <w:bookmarkEnd w:id="405"/>
      <w:bookmarkEnd w:id="406"/>
      <w:bookmarkEnd w:id="407"/>
      <w:bookmarkEnd w:id="408"/>
      <w:bookmarkEnd w:id="409"/>
      <w:bookmarkEnd w:id="410"/>
      <w:bookmarkEnd w:id="411"/>
    </w:p>
    <w:p w14:paraId="2928774F" w14:textId="45AA078B" w:rsidR="003A32A3" w:rsidRPr="0057213A" w:rsidRDefault="002A502F" w:rsidP="00AF3FD4">
      <w:pPr>
        <w:pStyle w:val="ListParagraph"/>
        <w:numPr>
          <w:ilvl w:val="0"/>
          <w:numId w:val="5"/>
        </w:numPr>
        <w:spacing w:before="240" w:after="240" w:line="240" w:lineRule="auto"/>
        <w:ind w:right="1267"/>
        <w:contextualSpacing w:val="0"/>
        <w:jc w:val="both"/>
      </w:pPr>
      <w:bookmarkStart w:id="412" w:name="_Hlk1474284"/>
      <w:r w:rsidRPr="0057213A">
        <w:t>C</w:t>
      </w:r>
      <w:r w:rsidR="00472981" w:rsidRPr="0057213A">
        <w:t xml:space="preserve">ontributions receivable from </w:t>
      </w:r>
      <w:r w:rsidR="00966DF8" w:rsidRPr="0057213A">
        <w:t>funding partners</w:t>
      </w:r>
      <w:r w:rsidR="00472981" w:rsidRPr="0057213A">
        <w:t xml:space="preserve"> registered $</w:t>
      </w:r>
      <w:r w:rsidR="00196ECB">
        <w:t>5.0</w:t>
      </w:r>
      <w:r w:rsidR="00492099" w:rsidRPr="0057213A">
        <w:t xml:space="preserve"> billion</w:t>
      </w:r>
      <w:r w:rsidR="00562423" w:rsidRPr="0057213A">
        <w:t>, a</w:t>
      </w:r>
      <w:r w:rsidR="000004A0">
        <w:t>n in</w:t>
      </w:r>
      <w:r w:rsidR="0069583D">
        <w:t>crease</w:t>
      </w:r>
      <w:r w:rsidR="00562423" w:rsidRPr="0057213A">
        <w:t xml:space="preserve"> of </w:t>
      </w:r>
      <w:r w:rsidR="007A7C37" w:rsidRPr="0057213A">
        <w:t>$</w:t>
      </w:r>
      <w:r w:rsidR="000004A0">
        <w:t>224</w:t>
      </w:r>
      <w:r w:rsidR="006B2B54" w:rsidRPr="0057213A">
        <w:t> </w:t>
      </w:r>
      <w:r w:rsidR="007A7C37" w:rsidRPr="0057213A">
        <w:t>million (</w:t>
      </w:r>
      <w:r w:rsidR="00074AAB">
        <w:t>5</w:t>
      </w:r>
      <w:r w:rsidR="00470AD9" w:rsidRPr="0057213A">
        <w:t xml:space="preserve"> per cent</w:t>
      </w:r>
      <w:r w:rsidR="007A7C37" w:rsidRPr="0057213A">
        <w:t xml:space="preserve">) </w:t>
      </w:r>
      <w:r w:rsidR="00562423" w:rsidRPr="0057213A">
        <w:t xml:space="preserve">from </w:t>
      </w:r>
      <w:r w:rsidR="00470AD9" w:rsidRPr="0057213A">
        <w:t xml:space="preserve">the </w:t>
      </w:r>
      <w:r w:rsidR="00600ED0" w:rsidRPr="0057213A">
        <w:t>20</w:t>
      </w:r>
      <w:r w:rsidR="00482D8C">
        <w:t>2</w:t>
      </w:r>
      <w:r w:rsidR="00074AAB">
        <w:t>1</w:t>
      </w:r>
      <w:r w:rsidR="00470AD9" w:rsidRPr="0057213A">
        <w:t xml:space="preserve"> amount of </w:t>
      </w:r>
      <w:r w:rsidR="00562423" w:rsidRPr="0057213A">
        <w:t>$</w:t>
      </w:r>
      <w:r w:rsidR="00251665" w:rsidRPr="0057213A">
        <w:t>4</w:t>
      </w:r>
      <w:r w:rsidR="00492099" w:rsidRPr="0057213A">
        <w:t>.</w:t>
      </w:r>
      <w:r w:rsidR="00074AAB">
        <w:t>7</w:t>
      </w:r>
      <w:r w:rsidR="00492099" w:rsidRPr="0057213A">
        <w:t xml:space="preserve"> billion</w:t>
      </w:r>
      <w:r w:rsidR="007A7C37" w:rsidRPr="0057213A">
        <w:t xml:space="preserve">. </w:t>
      </w:r>
      <w:bookmarkEnd w:id="412"/>
    </w:p>
    <w:p w14:paraId="1075E40C" w14:textId="341E1B17" w:rsidR="004232F3" w:rsidRPr="00794F4B" w:rsidRDefault="00794F4B" w:rsidP="00AF3FD4">
      <w:pPr>
        <w:pStyle w:val="ListParagraph"/>
        <w:numPr>
          <w:ilvl w:val="0"/>
          <w:numId w:val="5"/>
        </w:numPr>
        <w:spacing w:before="240" w:after="240" w:line="240" w:lineRule="auto"/>
        <w:ind w:right="1267"/>
        <w:contextualSpacing w:val="0"/>
        <w:jc w:val="both"/>
      </w:pPr>
      <w:r w:rsidRPr="00794F4B">
        <w:t>C</w:t>
      </w:r>
      <w:r w:rsidR="003B4481" w:rsidRPr="00794F4B">
        <w:t xml:space="preserve">ontributions </w:t>
      </w:r>
      <w:r w:rsidR="003A218B" w:rsidRPr="00794F4B">
        <w:t>receivable</w:t>
      </w:r>
      <w:r w:rsidR="00101DA3" w:rsidRPr="00794F4B">
        <w:t xml:space="preserve"> amou</w:t>
      </w:r>
      <w:r w:rsidR="00931B31" w:rsidRPr="00794F4B">
        <w:t>nt</w:t>
      </w:r>
      <w:r w:rsidR="003B4481" w:rsidRPr="00794F4B">
        <w:t xml:space="preserve"> </w:t>
      </w:r>
      <w:r w:rsidR="00693C42">
        <w:t>is</w:t>
      </w:r>
      <w:r w:rsidR="003B4481" w:rsidRPr="00794F4B">
        <w:t xml:space="preserve"> </w:t>
      </w:r>
      <w:r w:rsidR="003A218B" w:rsidRPr="00794F4B">
        <w:t>recognized in full, including for multi-year contributions, at the time the agreement is signed</w:t>
      </w:r>
      <w:r w:rsidR="006857A0" w:rsidRPr="00794F4B">
        <w:t>,</w:t>
      </w:r>
      <w:r w:rsidR="003A218B" w:rsidRPr="00794F4B">
        <w:t xml:space="preserve"> except for programme government contribution agreements and agreements </w:t>
      </w:r>
      <w:r w:rsidR="006B2B54" w:rsidRPr="00794F4B">
        <w:t xml:space="preserve">that </w:t>
      </w:r>
      <w:r w:rsidR="003A218B" w:rsidRPr="00794F4B">
        <w:t xml:space="preserve">have performance conditions beyond the control of UNDP. </w:t>
      </w:r>
      <w:r w:rsidR="00FC3D9C" w:rsidRPr="00794F4B">
        <w:t>As these funds are not yet received, they are not available for utilization.</w:t>
      </w:r>
    </w:p>
    <w:p w14:paraId="15BA6BBD" w14:textId="64666526" w:rsidR="00C5001F" w:rsidRPr="00B664C6" w:rsidRDefault="005126F1" w:rsidP="5E7BD891">
      <w:pPr>
        <w:pStyle w:val="ListParagraph"/>
        <w:numPr>
          <w:ilvl w:val="0"/>
          <w:numId w:val="5"/>
        </w:numPr>
        <w:spacing w:before="240" w:after="240" w:line="240" w:lineRule="auto"/>
        <w:ind w:right="1267"/>
        <w:jc w:val="both"/>
      </w:pPr>
      <w:r w:rsidRPr="00B664C6">
        <w:t xml:space="preserve">Contributions receivable </w:t>
      </w:r>
      <w:r w:rsidR="00521B57" w:rsidRPr="00B664C6">
        <w:t xml:space="preserve">of </w:t>
      </w:r>
      <w:r w:rsidR="00EE4EF7" w:rsidRPr="00B664C6">
        <w:t>$</w:t>
      </w:r>
      <w:r w:rsidR="00074AAB">
        <w:t>5.0</w:t>
      </w:r>
      <w:r w:rsidR="00521B57" w:rsidRPr="00B664C6">
        <w:t xml:space="preserve"> </w:t>
      </w:r>
      <w:r w:rsidR="00492099" w:rsidRPr="00B664C6">
        <w:t>b</w:t>
      </w:r>
      <w:r w:rsidR="00521B57" w:rsidRPr="00B664C6">
        <w:t xml:space="preserve">illion </w:t>
      </w:r>
      <w:r w:rsidRPr="00B664C6">
        <w:t>include</w:t>
      </w:r>
      <w:r w:rsidR="00A9572F" w:rsidRPr="00B664C6">
        <w:t xml:space="preserve"> $</w:t>
      </w:r>
      <w:r w:rsidR="00DC03C9" w:rsidRPr="00B664C6">
        <w:t>4.</w:t>
      </w:r>
      <w:r w:rsidR="00824E46">
        <w:t>7</w:t>
      </w:r>
      <w:r w:rsidR="00A9572F" w:rsidRPr="00B664C6">
        <w:t xml:space="preserve"> </w:t>
      </w:r>
      <w:r w:rsidR="00492099" w:rsidRPr="00B664C6">
        <w:t>b</w:t>
      </w:r>
      <w:r w:rsidR="00A9572F" w:rsidRPr="00B664C6">
        <w:t xml:space="preserve">illion </w:t>
      </w:r>
      <w:r w:rsidR="00593C88" w:rsidRPr="00B664C6">
        <w:t xml:space="preserve">committed to UNDP by </w:t>
      </w:r>
      <w:r w:rsidR="00EE7A8A" w:rsidRPr="00B664C6">
        <w:t xml:space="preserve">donors </w:t>
      </w:r>
      <w:r w:rsidR="00962BE1" w:rsidRPr="00B664C6">
        <w:t xml:space="preserve">in future years, </w:t>
      </w:r>
      <w:r w:rsidR="00EE7A8A" w:rsidRPr="00B664C6">
        <w:t>as set out in the payment schedule in signed agreements</w:t>
      </w:r>
      <w:r w:rsidR="00C13A88" w:rsidRPr="00B664C6">
        <w:t xml:space="preserve">. </w:t>
      </w:r>
      <w:r w:rsidR="008721A8" w:rsidRPr="00B664C6">
        <w:t xml:space="preserve">This </w:t>
      </w:r>
      <w:r w:rsidR="00715299">
        <w:t>receivable amount</w:t>
      </w:r>
      <w:r w:rsidR="00C33C83">
        <w:t xml:space="preserve"> </w:t>
      </w:r>
      <w:r w:rsidR="00962BE1" w:rsidRPr="00B664C6">
        <w:t xml:space="preserve">is </w:t>
      </w:r>
      <w:r w:rsidR="00EE7A8A" w:rsidRPr="00B664C6">
        <w:t>programmed accordingly for delivery in future years</w:t>
      </w:r>
      <w:r w:rsidR="00390152" w:rsidRPr="00B664C6">
        <w:t xml:space="preserve"> and </w:t>
      </w:r>
      <w:r w:rsidR="00EE7A8A" w:rsidRPr="00B664C6">
        <w:t>consists of $</w:t>
      </w:r>
      <w:r w:rsidR="008D719E">
        <w:t>3</w:t>
      </w:r>
      <w:r w:rsidR="00331A71">
        <w:t>69</w:t>
      </w:r>
      <w:r w:rsidR="00EE7A8A" w:rsidRPr="00B664C6">
        <w:t xml:space="preserve"> million </w:t>
      </w:r>
      <w:r w:rsidR="004E6895" w:rsidRPr="00B664C6">
        <w:t>receivable</w:t>
      </w:r>
      <w:r w:rsidR="00EE7A8A" w:rsidRPr="00B664C6">
        <w:t xml:space="preserve"> for regular resources and $</w:t>
      </w:r>
      <w:r w:rsidR="00EA0AA2" w:rsidRPr="00B664C6">
        <w:t>4.</w:t>
      </w:r>
      <w:r w:rsidR="000D4E24">
        <w:t>6</w:t>
      </w:r>
      <w:r w:rsidR="00492099" w:rsidRPr="00B664C6">
        <w:t xml:space="preserve"> billion</w:t>
      </w:r>
      <w:r w:rsidR="00EE7A8A" w:rsidRPr="00B664C6">
        <w:t xml:space="preserve"> for other resources</w:t>
      </w:r>
      <w:r w:rsidR="00476FCB" w:rsidRPr="00B664C6">
        <w:t>.</w:t>
      </w:r>
    </w:p>
    <w:p w14:paraId="33C51360" w14:textId="77777777" w:rsidR="00693C42" w:rsidRPr="00B664C6" w:rsidRDefault="00693C42" w:rsidP="00693C42">
      <w:pPr>
        <w:pStyle w:val="ListParagraph"/>
        <w:spacing w:before="240" w:after="240" w:line="240" w:lineRule="auto"/>
        <w:ind w:left="1343" w:right="1267"/>
        <w:jc w:val="both"/>
      </w:pPr>
    </w:p>
    <w:p w14:paraId="58D0CA43" w14:textId="45FBDB83" w:rsidR="00C56520" w:rsidRPr="00B664C6" w:rsidRDefault="00C56520" w:rsidP="0032253F">
      <w:pPr>
        <w:pStyle w:val="ListParagraph"/>
        <w:numPr>
          <w:ilvl w:val="0"/>
          <w:numId w:val="5"/>
        </w:numPr>
        <w:spacing w:before="240" w:after="240" w:line="240" w:lineRule="auto"/>
        <w:ind w:right="1267"/>
        <w:contextualSpacing w:val="0"/>
        <w:jc w:val="both"/>
      </w:pPr>
      <w:r w:rsidRPr="00C75C61">
        <w:t xml:space="preserve">Of the </w:t>
      </w:r>
      <w:r w:rsidR="00B24C4B" w:rsidRPr="00C75C61">
        <w:t>$</w:t>
      </w:r>
      <w:r w:rsidR="00725A85" w:rsidRPr="00C75C61">
        <w:t>3</w:t>
      </w:r>
      <w:r w:rsidR="000D4E24" w:rsidRPr="00C75C61">
        <w:t>69</w:t>
      </w:r>
      <w:r w:rsidR="00B24C4B" w:rsidRPr="00C75C61">
        <w:t xml:space="preserve"> million</w:t>
      </w:r>
      <w:r w:rsidRPr="00C75C61">
        <w:t xml:space="preserve"> </w:t>
      </w:r>
      <w:r w:rsidR="003B35E3" w:rsidRPr="00C75C61">
        <w:t>regular resources</w:t>
      </w:r>
      <w:r w:rsidR="003B35E3" w:rsidRPr="00B664C6">
        <w:t xml:space="preserve"> </w:t>
      </w:r>
      <w:r w:rsidRPr="00B664C6">
        <w:t>contributions receivable, $</w:t>
      </w:r>
      <w:r w:rsidR="00FE69F0">
        <w:t>3</w:t>
      </w:r>
      <w:r w:rsidR="00622C27">
        <w:t>6</w:t>
      </w:r>
      <w:r w:rsidR="00BC05D9">
        <w:t>4</w:t>
      </w:r>
      <w:r w:rsidR="00D3445C" w:rsidRPr="00B664C6">
        <w:t xml:space="preserve"> million</w:t>
      </w:r>
      <w:r w:rsidR="00084DF8" w:rsidRPr="00B664C6">
        <w:t xml:space="preserve"> is due in </w:t>
      </w:r>
      <w:r w:rsidR="00391DD7">
        <w:t xml:space="preserve">2023 and </w:t>
      </w:r>
      <w:r w:rsidR="00084DF8" w:rsidRPr="00B664C6">
        <w:t xml:space="preserve">future years, </w:t>
      </w:r>
      <w:r w:rsidR="00A85C69">
        <w:t xml:space="preserve">$6 million is past due </w:t>
      </w:r>
      <w:r w:rsidR="00084DF8" w:rsidRPr="00B664C6">
        <w:t xml:space="preserve">and </w:t>
      </w:r>
      <w:r w:rsidRPr="00B664C6">
        <w:t>the</w:t>
      </w:r>
      <w:r w:rsidR="00711612" w:rsidRPr="00B664C6">
        <w:t xml:space="preserve"> </w:t>
      </w:r>
      <w:r w:rsidRPr="00B664C6">
        <w:t xml:space="preserve">balance of </w:t>
      </w:r>
      <w:r w:rsidR="00746A28" w:rsidRPr="00B664C6">
        <w:t>-</w:t>
      </w:r>
      <w:r w:rsidRPr="00B664C6">
        <w:t>$</w:t>
      </w:r>
      <w:r w:rsidR="00711612" w:rsidRPr="00B664C6">
        <w:t>8</w:t>
      </w:r>
      <w:r w:rsidR="00FE69F0">
        <w:t>8</w:t>
      </w:r>
      <w:r w:rsidR="00711612" w:rsidRPr="00B664C6">
        <w:t xml:space="preserve">0 thousands </w:t>
      </w:r>
      <w:r w:rsidRPr="00B664C6">
        <w:t xml:space="preserve">is </w:t>
      </w:r>
      <w:r w:rsidR="00711612" w:rsidRPr="00B664C6">
        <w:t xml:space="preserve">allowance for </w:t>
      </w:r>
      <w:r w:rsidR="000531BF" w:rsidRPr="00B664C6">
        <w:t>the receivables due in 202</w:t>
      </w:r>
      <w:r w:rsidR="00A92017">
        <w:t>2</w:t>
      </w:r>
      <w:r w:rsidRPr="00B664C6">
        <w:t>. Of the</w:t>
      </w:r>
      <w:r w:rsidR="003B35E3" w:rsidRPr="00B664C6">
        <w:t xml:space="preserve"> </w:t>
      </w:r>
      <w:r w:rsidR="00E435FC" w:rsidRPr="00B664C6">
        <w:t>$</w:t>
      </w:r>
      <w:r w:rsidR="000531BF" w:rsidRPr="00B664C6">
        <w:t>4.</w:t>
      </w:r>
      <w:r w:rsidR="00A61A9E">
        <w:t>6</w:t>
      </w:r>
      <w:r w:rsidR="002E1F91" w:rsidRPr="00B664C6">
        <w:t xml:space="preserve"> billion other</w:t>
      </w:r>
      <w:r w:rsidR="00DD2E25" w:rsidRPr="00B664C6">
        <w:t xml:space="preserve"> </w:t>
      </w:r>
      <w:r w:rsidR="003B35E3" w:rsidRPr="00B664C6">
        <w:t>resources</w:t>
      </w:r>
      <w:r w:rsidRPr="00B664C6">
        <w:t xml:space="preserve"> contributions receivable,</w:t>
      </w:r>
      <w:r w:rsidR="00E41829" w:rsidRPr="00B664C6">
        <w:t xml:space="preserve"> </w:t>
      </w:r>
      <w:r w:rsidR="00CC318B" w:rsidRPr="00B664C6">
        <w:t>$</w:t>
      </w:r>
      <w:r w:rsidR="00B31AF9">
        <w:t>279</w:t>
      </w:r>
      <w:r w:rsidR="00CC318B" w:rsidRPr="00B664C6">
        <w:t xml:space="preserve"> million is past due, </w:t>
      </w:r>
      <w:r w:rsidRPr="00B664C6">
        <w:t>$</w:t>
      </w:r>
      <w:r w:rsidR="005A682B" w:rsidRPr="00B664C6">
        <w:t>2.</w:t>
      </w:r>
      <w:r w:rsidR="00AF051C">
        <w:t>1</w:t>
      </w:r>
      <w:r w:rsidRPr="00B664C6">
        <w:t xml:space="preserve"> billion is due in 202</w:t>
      </w:r>
      <w:r w:rsidR="00AF051C">
        <w:t>3</w:t>
      </w:r>
      <w:r w:rsidR="00E41829" w:rsidRPr="00B664C6">
        <w:t>,</w:t>
      </w:r>
      <w:r w:rsidRPr="00B664C6">
        <w:t xml:space="preserve"> $</w:t>
      </w:r>
      <w:r w:rsidR="00D342A2" w:rsidRPr="00B664C6">
        <w:t>2.</w:t>
      </w:r>
      <w:r w:rsidR="00AF051C">
        <w:t>2</w:t>
      </w:r>
      <w:r w:rsidRPr="00B664C6">
        <w:t xml:space="preserve"> billion is due in future years</w:t>
      </w:r>
      <w:r w:rsidR="00516FE7">
        <w:t xml:space="preserve"> and the balance of </w:t>
      </w:r>
      <w:r w:rsidR="0057704B">
        <w:t>-</w:t>
      </w:r>
      <w:r w:rsidR="00516FE7">
        <w:t xml:space="preserve">$31 million is </w:t>
      </w:r>
      <w:r w:rsidR="006D1853">
        <w:t xml:space="preserve">the impairment against </w:t>
      </w:r>
      <w:r w:rsidR="006D1853">
        <w:lastRenderedPageBreak/>
        <w:t xml:space="preserve">the </w:t>
      </w:r>
      <w:r w:rsidR="00040257">
        <w:t>other resources receivable</w:t>
      </w:r>
      <w:r w:rsidR="00D8347D">
        <w:t xml:space="preserve"> due in 2022</w:t>
      </w:r>
      <w:r w:rsidRPr="00B664C6">
        <w:t xml:space="preserve">. </w:t>
      </w:r>
      <w:r w:rsidR="00066969">
        <w:t xml:space="preserve">The top three donors, accounting for </w:t>
      </w:r>
      <w:r w:rsidR="00E24979">
        <w:t>44</w:t>
      </w:r>
      <w:r w:rsidR="00066969">
        <w:t xml:space="preserve"> per cent (202</w:t>
      </w:r>
      <w:r w:rsidR="00557EE1">
        <w:t>1</w:t>
      </w:r>
      <w:r w:rsidR="00066969">
        <w:t xml:space="preserve">: </w:t>
      </w:r>
      <w:r w:rsidR="00557EE1">
        <w:t>50</w:t>
      </w:r>
      <w:r w:rsidR="00066969">
        <w:t xml:space="preserve"> per cent) of the outstanding non-exchange receivable balances, </w:t>
      </w:r>
      <w:r w:rsidR="00882644" w:rsidRPr="00882644">
        <w:t>are multilateral or United Nations pooled funds donors</w:t>
      </w:r>
      <w:r w:rsidR="00A01C7C">
        <w:t>.</w:t>
      </w:r>
      <w:r w:rsidR="00634148">
        <w:t xml:space="preserve"> </w:t>
      </w:r>
      <w:r w:rsidRPr="00B664C6">
        <w:t>This provides visibility of future year funding available for programme pipeline.</w:t>
      </w:r>
    </w:p>
    <w:p w14:paraId="3EB8FCA2" w14:textId="39B0B18B" w:rsidR="003278F9" w:rsidRPr="000C3158" w:rsidRDefault="00D520E6" w:rsidP="003F5F37">
      <w:pPr>
        <w:pStyle w:val="SingleTxt"/>
        <w:keepNext/>
        <w:tabs>
          <w:tab w:val="clear" w:pos="2218"/>
        </w:tabs>
        <w:spacing w:after="0" w:line="240" w:lineRule="auto"/>
        <w:jc w:val="center"/>
        <w:rPr>
          <w:b/>
        </w:rPr>
      </w:pPr>
      <w:r w:rsidRPr="000C3158">
        <w:rPr>
          <w:b/>
        </w:rPr>
        <w:t xml:space="preserve">Table </w:t>
      </w:r>
      <w:r w:rsidR="0071731E" w:rsidRPr="000C3158">
        <w:rPr>
          <w:b/>
        </w:rPr>
        <w:t>6</w:t>
      </w:r>
      <w:r w:rsidRPr="000C3158">
        <w:rPr>
          <w:b/>
        </w:rPr>
        <w:t xml:space="preserve">. Contributions receivable, </w:t>
      </w:r>
      <w:r w:rsidR="000C3158" w:rsidRPr="000C3158">
        <w:rPr>
          <w:b/>
        </w:rPr>
        <w:t>20</w:t>
      </w:r>
      <w:r w:rsidR="003B2742">
        <w:rPr>
          <w:b/>
        </w:rPr>
        <w:t>2</w:t>
      </w:r>
      <w:r w:rsidR="00E875A3">
        <w:rPr>
          <w:b/>
        </w:rPr>
        <w:t>1</w:t>
      </w:r>
      <w:r w:rsidR="000C3158" w:rsidRPr="000C3158">
        <w:rPr>
          <w:b/>
        </w:rPr>
        <w:t>-202</w:t>
      </w:r>
      <w:r w:rsidR="00E875A3">
        <w:rPr>
          <w:b/>
        </w:rPr>
        <w:t>2</w:t>
      </w:r>
    </w:p>
    <w:p w14:paraId="196D5106" w14:textId="1BA420AD" w:rsidR="00931B31" w:rsidRPr="006A3748" w:rsidRDefault="00240245" w:rsidP="003F5F37">
      <w:pPr>
        <w:pStyle w:val="SingleTxt"/>
        <w:keepNext/>
        <w:tabs>
          <w:tab w:val="clear" w:pos="2218"/>
        </w:tabs>
        <w:jc w:val="center"/>
        <w:rPr>
          <w:i/>
          <w:sz w:val="18"/>
          <w:szCs w:val="18"/>
        </w:rPr>
      </w:pPr>
      <w:r w:rsidRPr="006A3748">
        <w:rPr>
          <w:i/>
          <w:sz w:val="18"/>
          <w:szCs w:val="18"/>
        </w:rPr>
        <w:t>(</w:t>
      </w:r>
      <w:r w:rsidR="006A3748" w:rsidRPr="006A3748">
        <w:rPr>
          <w:i/>
          <w:sz w:val="18"/>
          <w:szCs w:val="18"/>
        </w:rPr>
        <w:t>In</w:t>
      </w:r>
      <w:r w:rsidRPr="006A3748">
        <w:rPr>
          <w:i/>
          <w:sz w:val="18"/>
          <w:szCs w:val="18"/>
        </w:rPr>
        <w:t xml:space="preserve"> millions</w:t>
      </w:r>
      <w:r w:rsidR="003278F9" w:rsidRPr="006A3748">
        <w:rPr>
          <w:i/>
          <w:sz w:val="18"/>
          <w:szCs w:val="18"/>
        </w:rPr>
        <w:t xml:space="preserve"> of United States dollars</w:t>
      </w:r>
      <w:r w:rsidRPr="006A3748">
        <w:rPr>
          <w:i/>
          <w:sz w:val="18"/>
          <w:szCs w:val="18"/>
        </w:rPr>
        <w:t>)</w:t>
      </w:r>
    </w:p>
    <w:tbl>
      <w:tblPr>
        <w:tblW w:w="6766"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048"/>
        <w:gridCol w:w="1147"/>
        <w:gridCol w:w="1026"/>
      </w:tblGrid>
      <w:tr w:rsidR="0099187E" w:rsidRPr="000E57AE" w14:paraId="5BA0926E" w14:textId="77777777" w:rsidTr="0099187E">
        <w:trPr>
          <w:trHeight w:val="487"/>
        </w:trPr>
        <w:tc>
          <w:tcPr>
            <w:tcW w:w="3545" w:type="dxa"/>
            <w:shd w:val="clear" w:color="auto" w:fill="auto"/>
            <w:vAlign w:val="center"/>
            <w:hideMark/>
          </w:tcPr>
          <w:p w14:paraId="11C9FF77" w14:textId="77777777" w:rsidR="0099187E" w:rsidRPr="000E57AE" w:rsidRDefault="0099187E" w:rsidP="0099187E">
            <w:pPr>
              <w:keepNext/>
              <w:suppressAutoHyphens w:val="0"/>
              <w:spacing w:line="240" w:lineRule="auto"/>
              <w:rPr>
                <w:rFonts w:eastAsia="Times New Roman"/>
                <w:b/>
                <w:bCs/>
                <w:color w:val="000000"/>
                <w:spacing w:val="0"/>
                <w:w w:val="100"/>
                <w:kern w:val="0"/>
                <w:sz w:val="16"/>
                <w:szCs w:val="16"/>
              </w:rPr>
            </w:pPr>
            <w:r w:rsidRPr="000E57AE">
              <w:rPr>
                <w:rFonts w:eastAsia="Times New Roman"/>
                <w:b/>
                <w:bCs/>
                <w:color w:val="000000"/>
                <w:spacing w:val="0"/>
                <w:w w:val="100"/>
                <w:kern w:val="0"/>
                <w:sz w:val="16"/>
                <w:szCs w:val="16"/>
              </w:rPr>
              <w:t>Contributions receivable</w:t>
            </w:r>
          </w:p>
        </w:tc>
        <w:tc>
          <w:tcPr>
            <w:tcW w:w="1048" w:type="dxa"/>
            <w:vAlign w:val="center"/>
          </w:tcPr>
          <w:p w14:paraId="62060DAE" w14:textId="4A980081" w:rsidR="0099187E" w:rsidRPr="000E57AE" w:rsidRDefault="0099187E" w:rsidP="0099187E">
            <w:pPr>
              <w:keepNext/>
              <w:suppressAutoHyphens w:val="0"/>
              <w:spacing w:line="240" w:lineRule="auto"/>
              <w:jc w:val="center"/>
              <w:rPr>
                <w:rFonts w:eastAsia="Times New Roman"/>
                <w:b/>
                <w:bCs/>
                <w:color w:val="000000"/>
                <w:spacing w:val="0"/>
                <w:w w:val="100"/>
                <w:kern w:val="0"/>
                <w:sz w:val="16"/>
                <w:szCs w:val="16"/>
              </w:rPr>
            </w:pPr>
            <w:r>
              <w:rPr>
                <w:rFonts w:eastAsia="Times New Roman"/>
                <w:b/>
                <w:bCs/>
                <w:color w:val="000000"/>
                <w:spacing w:val="0"/>
                <w:w w:val="100"/>
                <w:kern w:val="0"/>
                <w:sz w:val="16"/>
                <w:szCs w:val="16"/>
              </w:rPr>
              <w:t>20</w:t>
            </w:r>
            <w:r w:rsidR="000C3158">
              <w:rPr>
                <w:rFonts w:eastAsia="Times New Roman"/>
                <w:b/>
                <w:bCs/>
                <w:color w:val="000000"/>
                <w:spacing w:val="0"/>
                <w:w w:val="100"/>
                <w:kern w:val="0"/>
                <w:sz w:val="16"/>
                <w:szCs w:val="16"/>
              </w:rPr>
              <w:t>2</w:t>
            </w:r>
            <w:r w:rsidR="00E875A3">
              <w:rPr>
                <w:rFonts w:eastAsia="Times New Roman"/>
                <w:b/>
                <w:bCs/>
                <w:color w:val="000000"/>
                <w:spacing w:val="0"/>
                <w:w w:val="100"/>
                <w:kern w:val="0"/>
                <w:sz w:val="16"/>
                <w:szCs w:val="16"/>
              </w:rPr>
              <w:t>2</w:t>
            </w:r>
          </w:p>
        </w:tc>
        <w:tc>
          <w:tcPr>
            <w:tcW w:w="1147" w:type="dxa"/>
            <w:vAlign w:val="center"/>
          </w:tcPr>
          <w:p w14:paraId="211F1CD8" w14:textId="44583AFE" w:rsidR="0099187E" w:rsidRPr="000E57AE" w:rsidRDefault="0099187E" w:rsidP="000C3158">
            <w:pPr>
              <w:keepNext/>
              <w:jc w:val="center"/>
              <w:rPr>
                <w:rFonts w:eastAsia="Times New Roman"/>
                <w:b/>
                <w:bCs/>
                <w:color w:val="000000"/>
                <w:spacing w:val="0"/>
                <w:w w:val="100"/>
                <w:kern w:val="0"/>
                <w:sz w:val="16"/>
                <w:szCs w:val="16"/>
              </w:rPr>
            </w:pPr>
            <w:r w:rsidRPr="008A1060">
              <w:rPr>
                <w:rFonts w:eastAsia="Times New Roman"/>
                <w:b/>
                <w:bCs/>
                <w:color w:val="000000"/>
                <w:sz w:val="16"/>
                <w:szCs w:val="16"/>
              </w:rPr>
              <w:t>20</w:t>
            </w:r>
            <w:r w:rsidR="00B12652">
              <w:rPr>
                <w:rFonts w:eastAsia="Times New Roman"/>
                <w:b/>
                <w:bCs/>
                <w:color w:val="000000"/>
                <w:sz w:val="16"/>
                <w:szCs w:val="16"/>
              </w:rPr>
              <w:t>2</w:t>
            </w:r>
            <w:r w:rsidR="00E875A3">
              <w:rPr>
                <w:rFonts w:eastAsia="Times New Roman"/>
                <w:b/>
                <w:bCs/>
                <w:color w:val="000000"/>
                <w:sz w:val="16"/>
                <w:szCs w:val="16"/>
              </w:rPr>
              <w:t>1</w:t>
            </w:r>
          </w:p>
        </w:tc>
        <w:tc>
          <w:tcPr>
            <w:tcW w:w="1026" w:type="dxa"/>
            <w:shd w:val="clear" w:color="auto" w:fill="auto"/>
            <w:vAlign w:val="center"/>
            <w:hideMark/>
          </w:tcPr>
          <w:p w14:paraId="242C896B" w14:textId="77777777" w:rsidR="0099187E" w:rsidRPr="000E57AE" w:rsidRDefault="0099187E" w:rsidP="0099187E">
            <w:pPr>
              <w:keepNext/>
              <w:suppressAutoHyphens w:val="0"/>
              <w:spacing w:line="240" w:lineRule="auto"/>
              <w:jc w:val="center"/>
              <w:rPr>
                <w:rFonts w:eastAsia="Times New Roman"/>
                <w:b/>
                <w:bCs/>
                <w:color w:val="000000"/>
                <w:spacing w:val="0"/>
                <w:w w:val="100"/>
                <w:kern w:val="0"/>
                <w:sz w:val="16"/>
                <w:szCs w:val="16"/>
              </w:rPr>
            </w:pPr>
            <w:r w:rsidRPr="000E57AE">
              <w:rPr>
                <w:rFonts w:eastAsia="Times New Roman"/>
                <w:b/>
                <w:bCs/>
                <w:color w:val="000000"/>
                <w:spacing w:val="0"/>
                <w:w w:val="100"/>
                <w:kern w:val="0"/>
                <w:sz w:val="16"/>
                <w:szCs w:val="16"/>
              </w:rPr>
              <w:t>increase/ (decrease)</w:t>
            </w:r>
          </w:p>
        </w:tc>
      </w:tr>
      <w:tr w:rsidR="00A61A9E" w:rsidRPr="000E57AE" w14:paraId="0E82A712" w14:textId="77777777" w:rsidTr="000C3158">
        <w:trPr>
          <w:trHeight w:val="272"/>
        </w:trPr>
        <w:tc>
          <w:tcPr>
            <w:tcW w:w="3545" w:type="dxa"/>
            <w:shd w:val="clear" w:color="auto" w:fill="auto"/>
            <w:vAlign w:val="center"/>
            <w:hideMark/>
          </w:tcPr>
          <w:p w14:paraId="3A1E6785" w14:textId="77777777" w:rsidR="00A61A9E" w:rsidRPr="000E57AE" w:rsidRDefault="00A61A9E" w:rsidP="00A61A9E">
            <w:pPr>
              <w:keepNext/>
              <w:suppressAutoHyphens w:val="0"/>
              <w:spacing w:line="240" w:lineRule="auto"/>
              <w:rPr>
                <w:rFonts w:eastAsia="Times New Roman"/>
                <w:color w:val="000000"/>
                <w:spacing w:val="0"/>
                <w:w w:val="100"/>
                <w:kern w:val="0"/>
                <w:sz w:val="16"/>
                <w:szCs w:val="16"/>
              </w:rPr>
            </w:pPr>
            <w:r w:rsidRPr="000E57AE">
              <w:rPr>
                <w:rFonts w:eastAsia="Times New Roman"/>
                <w:color w:val="000000"/>
                <w:spacing w:val="0"/>
                <w:w w:val="100"/>
                <w:kern w:val="0"/>
                <w:sz w:val="16"/>
                <w:szCs w:val="16"/>
              </w:rPr>
              <w:t>Contributions past due</w:t>
            </w:r>
          </w:p>
        </w:tc>
        <w:tc>
          <w:tcPr>
            <w:tcW w:w="1048" w:type="dxa"/>
            <w:vAlign w:val="center"/>
          </w:tcPr>
          <w:p w14:paraId="4AD0D76C" w14:textId="07DBEBDB" w:rsidR="00A61A9E" w:rsidRPr="00E1502B" w:rsidRDefault="00A61A9E" w:rsidP="00547A0F">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253</w:t>
            </w:r>
          </w:p>
        </w:tc>
        <w:tc>
          <w:tcPr>
            <w:tcW w:w="1147" w:type="dxa"/>
            <w:vAlign w:val="center"/>
          </w:tcPr>
          <w:p w14:paraId="388DF6C6" w14:textId="1BA2265F" w:rsidR="00A61A9E" w:rsidRPr="00E1502B" w:rsidDel="00A05C94" w:rsidRDefault="00A61A9E" w:rsidP="00547A0F">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129</w:t>
            </w:r>
          </w:p>
        </w:tc>
        <w:tc>
          <w:tcPr>
            <w:tcW w:w="1026" w:type="dxa"/>
            <w:shd w:val="clear" w:color="auto" w:fill="auto"/>
            <w:noWrap/>
            <w:vAlign w:val="center"/>
          </w:tcPr>
          <w:p w14:paraId="1948877E" w14:textId="36A6D42B" w:rsidR="00A61A9E" w:rsidRPr="00E1502B" w:rsidRDefault="00C053C7" w:rsidP="00547A0F">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124</w:t>
            </w:r>
          </w:p>
        </w:tc>
      </w:tr>
      <w:tr w:rsidR="00A61A9E" w:rsidRPr="000E57AE" w14:paraId="21D318E5" w14:textId="77777777" w:rsidTr="000C3158">
        <w:trPr>
          <w:trHeight w:val="272"/>
        </w:trPr>
        <w:tc>
          <w:tcPr>
            <w:tcW w:w="3545" w:type="dxa"/>
            <w:shd w:val="clear" w:color="auto" w:fill="auto"/>
            <w:vAlign w:val="center"/>
            <w:hideMark/>
          </w:tcPr>
          <w:p w14:paraId="45501D27" w14:textId="77777777" w:rsidR="00A61A9E" w:rsidRPr="000E57AE" w:rsidRDefault="00A61A9E" w:rsidP="00A61A9E">
            <w:pPr>
              <w:keepNext/>
              <w:suppressAutoHyphens w:val="0"/>
              <w:spacing w:line="240" w:lineRule="auto"/>
              <w:rPr>
                <w:rFonts w:eastAsia="Times New Roman"/>
                <w:color w:val="000000"/>
                <w:spacing w:val="0"/>
                <w:w w:val="100"/>
                <w:kern w:val="0"/>
                <w:sz w:val="16"/>
                <w:szCs w:val="16"/>
              </w:rPr>
            </w:pPr>
            <w:r w:rsidRPr="000E57AE">
              <w:rPr>
                <w:rFonts w:eastAsia="Times New Roman"/>
                <w:color w:val="000000"/>
                <w:spacing w:val="0"/>
                <w:w w:val="100"/>
                <w:kern w:val="0"/>
                <w:sz w:val="16"/>
                <w:szCs w:val="16"/>
              </w:rPr>
              <w:t>Contributions due in future periods</w:t>
            </w:r>
          </w:p>
        </w:tc>
        <w:tc>
          <w:tcPr>
            <w:tcW w:w="1048" w:type="dxa"/>
            <w:vAlign w:val="center"/>
          </w:tcPr>
          <w:p w14:paraId="3465DD06" w14:textId="0B30F128" w:rsidR="00A61A9E" w:rsidRPr="00E1502B" w:rsidRDefault="00A61A9E" w:rsidP="00547A0F">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4 713</w:t>
            </w:r>
          </w:p>
        </w:tc>
        <w:tc>
          <w:tcPr>
            <w:tcW w:w="1147" w:type="dxa"/>
            <w:vAlign w:val="center"/>
          </w:tcPr>
          <w:p w14:paraId="10BC8E4E" w14:textId="6FA0558F" w:rsidR="00A61A9E" w:rsidRPr="00E1502B" w:rsidRDefault="00A61A9E" w:rsidP="00547A0F">
            <w:pPr>
              <w:keepNext/>
              <w:suppressAutoHyphens w:val="0"/>
              <w:spacing w:line="240" w:lineRule="auto"/>
              <w:jc w:val="center"/>
              <w:rPr>
                <w:rFonts w:eastAsia="Times New Roman"/>
                <w:color w:val="000000"/>
                <w:spacing w:val="0"/>
                <w:w w:val="100"/>
                <w:kern w:val="0"/>
                <w:sz w:val="16"/>
                <w:szCs w:val="16"/>
              </w:rPr>
            </w:pPr>
            <w:r w:rsidRPr="00E1502B">
              <w:rPr>
                <w:rFonts w:eastAsia="Times New Roman"/>
                <w:color w:val="000000"/>
                <w:spacing w:val="0"/>
                <w:w w:val="100"/>
                <w:kern w:val="0"/>
                <w:sz w:val="16"/>
                <w:szCs w:val="16"/>
              </w:rPr>
              <w:t>4</w:t>
            </w:r>
            <w:r>
              <w:rPr>
                <w:rFonts w:eastAsia="Times New Roman"/>
                <w:color w:val="000000"/>
                <w:spacing w:val="0"/>
                <w:w w:val="100"/>
                <w:kern w:val="0"/>
                <w:sz w:val="16"/>
                <w:szCs w:val="16"/>
              </w:rPr>
              <w:t xml:space="preserve"> </w:t>
            </w:r>
            <w:r w:rsidRPr="00E1502B">
              <w:rPr>
                <w:rFonts w:eastAsia="Times New Roman"/>
                <w:color w:val="000000"/>
                <w:spacing w:val="0"/>
                <w:w w:val="100"/>
                <w:kern w:val="0"/>
                <w:sz w:val="16"/>
                <w:szCs w:val="16"/>
              </w:rPr>
              <w:t>6</w:t>
            </w:r>
            <w:r>
              <w:rPr>
                <w:rFonts w:eastAsia="Times New Roman"/>
                <w:color w:val="000000"/>
                <w:spacing w:val="0"/>
                <w:w w:val="100"/>
                <w:kern w:val="0"/>
                <w:sz w:val="16"/>
                <w:szCs w:val="16"/>
              </w:rPr>
              <w:t>13</w:t>
            </w:r>
          </w:p>
        </w:tc>
        <w:tc>
          <w:tcPr>
            <w:tcW w:w="1026" w:type="dxa"/>
            <w:shd w:val="clear" w:color="auto" w:fill="auto"/>
            <w:noWrap/>
            <w:vAlign w:val="center"/>
          </w:tcPr>
          <w:p w14:paraId="0A9F7188" w14:textId="74FF3A78" w:rsidR="00A61A9E" w:rsidRPr="00E1502B" w:rsidRDefault="00C053C7" w:rsidP="00547A0F">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100</w:t>
            </w:r>
          </w:p>
        </w:tc>
      </w:tr>
      <w:tr w:rsidR="00A61A9E" w:rsidRPr="000E57AE" w14:paraId="3460EE89" w14:textId="77777777" w:rsidTr="000C3158">
        <w:trPr>
          <w:trHeight w:val="272"/>
        </w:trPr>
        <w:tc>
          <w:tcPr>
            <w:tcW w:w="3545" w:type="dxa"/>
            <w:shd w:val="clear" w:color="auto" w:fill="auto"/>
            <w:vAlign w:val="center"/>
            <w:hideMark/>
          </w:tcPr>
          <w:p w14:paraId="3A6EBC4B" w14:textId="77777777" w:rsidR="00A61A9E" w:rsidRPr="000E57AE" w:rsidRDefault="00A61A9E" w:rsidP="00A61A9E">
            <w:pPr>
              <w:keepNext/>
              <w:suppressAutoHyphens w:val="0"/>
              <w:spacing w:line="240" w:lineRule="auto"/>
              <w:rPr>
                <w:rFonts w:eastAsia="Times New Roman"/>
                <w:b/>
                <w:bCs/>
                <w:color w:val="000000"/>
                <w:spacing w:val="0"/>
                <w:w w:val="100"/>
                <w:kern w:val="0"/>
                <w:sz w:val="16"/>
                <w:szCs w:val="16"/>
              </w:rPr>
            </w:pPr>
            <w:r w:rsidRPr="000E57AE">
              <w:rPr>
                <w:rFonts w:eastAsia="Times New Roman"/>
                <w:b/>
                <w:bCs/>
                <w:color w:val="000000"/>
                <w:spacing w:val="0"/>
                <w:w w:val="100"/>
                <w:kern w:val="0"/>
                <w:sz w:val="16"/>
                <w:szCs w:val="16"/>
              </w:rPr>
              <w:t xml:space="preserve">Total contributions receivables </w:t>
            </w:r>
          </w:p>
        </w:tc>
        <w:tc>
          <w:tcPr>
            <w:tcW w:w="1048" w:type="dxa"/>
            <w:vAlign w:val="center"/>
          </w:tcPr>
          <w:p w14:paraId="4A0F861E" w14:textId="1CEB339F" w:rsidR="00A61A9E" w:rsidRPr="00E1502B" w:rsidRDefault="00A61A9E" w:rsidP="00547A0F">
            <w:pPr>
              <w:keepNext/>
              <w:suppressAutoHyphens w:val="0"/>
              <w:spacing w:line="240" w:lineRule="auto"/>
              <w:jc w:val="center"/>
              <w:rPr>
                <w:rFonts w:eastAsia="Times New Roman"/>
                <w:b/>
                <w:bCs/>
                <w:color w:val="000000"/>
                <w:spacing w:val="0"/>
                <w:w w:val="100"/>
                <w:kern w:val="0"/>
                <w:sz w:val="16"/>
                <w:szCs w:val="16"/>
              </w:rPr>
            </w:pPr>
            <w:r>
              <w:rPr>
                <w:rFonts w:eastAsia="Times New Roman"/>
                <w:b/>
                <w:bCs/>
                <w:color w:val="000000"/>
                <w:spacing w:val="0"/>
                <w:w w:val="100"/>
                <w:kern w:val="0"/>
                <w:sz w:val="16"/>
                <w:szCs w:val="16"/>
              </w:rPr>
              <w:t>4 966</w:t>
            </w:r>
          </w:p>
        </w:tc>
        <w:tc>
          <w:tcPr>
            <w:tcW w:w="1147" w:type="dxa"/>
            <w:vAlign w:val="center"/>
          </w:tcPr>
          <w:p w14:paraId="73ECE8CA" w14:textId="4A2A06A9" w:rsidR="00A61A9E" w:rsidRPr="00E1502B" w:rsidRDefault="00A61A9E" w:rsidP="00547A0F">
            <w:pPr>
              <w:keepNext/>
              <w:suppressAutoHyphens w:val="0"/>
              <w:spacing w:line="240" w:lineRule="auto"/>
              <w:jc w:val="center"/>
              <w:rPr>
                <w:rFonts w:eastAsia="Times New Roman"/>
                <w:b/>
                <w:bCs/>
                <w:color w:val="000000"/>
                <w:spacing w:val="0"/>
                <w:w w:val="100"/>
                <w:kern w:val="0"/>
                <w:sz w:val="16"/>
                <w:szCs w:val="16"/>
              </w:rPr>
            </w:pPr>
            <w:r w:rsidRPr="00E1502B">
              <w:rPr>
                <w:rFonts w:eastAsia="Times New Roman"/>
                <w:b/>
                <w:bCs/>
                <w:color w:val="000000"/>
                <w:spacing w:val="0"/>
                <w:w w:val="100"/>
                <w:kern w:val="0"/>
                <w:sz w:val="16"/>
                <w:szCs w:val="16"/>
              </w:rPr>
              <w:t>4</w:t>
            </w:r>
            <w:r>
              <w:rPr>
                <w:rFonts w:eastAsia="Times New Roman"/>
                <w:b/>
                <w:bCs/>
                <w:color w:val="000000"/>
                <w:spacing w:val="0"/>
                <w:w w:val="100"/>
                <w:kern w:val="0"/>
                <w:sz w:val="16"/>
                <w:szCs w:val="16"/>
              </w:rPr>
              <w:t xml:space="preserve"> 742</w:t>
            </w:r>
          </w:p>
        </w:tc>
        <w:tc>
          <w:tcPr>
            <w:tcW w:w="1026" w:type="dxa"/>
            <w:shd w:val="clear" w:color="auto" w:fill="auto"/>
            <w:noWrap/>
            <w:vAlign w:val="center"/>
          </w:tcPr>
          <w:p w14:paraId="722FF1EC" w14:textId="5C48B2E7" w:rsidR="00A61A9E" w:rsidRPr="00E1502B" w:rsidRDefault="00C053C7" w:rsidP="00547A0F">
            <w:pPr>
              <w:keepNext/>
              <w:suppressAutoHyphens w:val="0"/>
              <w:spacing w:line="240" w:lineRule="auto"/>
              <w:jc w:val="center"/>
              <w:rPr>
                <w:rFonts w:eastAsia="Times New Roman"/>
                <w:color w:val="000000"/>
                <w:spacing w:val="0"/>
                <w:w w:val="100"/>
                <w:kern w:val="0"/>
                <w:sz w:val="16"/>
                <w:szCs w:val="16"/>
              </w:rPr>
            </w:pPr>
            <w:r>
              <w:rPr>
                <w:rFonts w:eastAsia="Times New Roman"/>
                <w:color w:val="000000"/>
                <w:spacing w:val="0"/>
                <w:w w:val="100"/>
                <w:kern w:val="0"/>
                <w:sz w:val="16"/>
                <w:szCs w:val="16"/>
              </w:rPr>
              <w:t>224</w:t>
            </w:r>
          </w:p>
        </w:tc>
      </w:tr>
    </w:tbl>
    <w:p w14:paraId="29A6EDEF" w14:textId="7592F3EB" w:rsidR="00515B84" w:rsidRPr="009E5F63" w:rsidRDefault="00CA2EE4" w:rsidP="005F648C">
      <w:pPr>
        <w:pStyle w:val="H1"/>
        <w:numPr>
          <w:ilvl w:val="1"/>
          <w:numId w:val="7"/>
        </w:numPr>
        <w:tabs>
          <w:tab w:val="clear" w:pos="1022"/>
          <w:tab w:val="clear" w:pos="1742"/>
          <w:tab w:val="right" w:pos="1440"/>
          <w:tab w:val="left" w:pos="1800"/>
        </w:tabs>
        <w:spacing w:before="240" w:after="240" w:line="240" w:lineRule="auto"/>
        <w:ind w:left="1152" w:right="0"/>
        <w:outlineLvl w:val="1"/>
      </w:pPr>
      <w:bookmarkStart w:id="413" w:name="_Toc40281208"/>
      <w:bookmarkStart w:id="414" w:name="_Toc40281367"/>
      <w:bookmarkStart w:id="415" w:name="_Toc44499894"/>
      <w:bookmarkStart w:id="416" w:name="_Toc44600440"/>
      <w:bookmarkStart w:id="417" w:name="_Toc44600787"/>
      <w:bookmarkStart w:id="418" w:name="_Toc44603242"/>
      <w:bookmarkStart w:id="419" w:name="_Toc44606555"/>
      <w:bookmarkStart w:id="420" w:name="_Toc139289044"/>
      <w:bookmarkStart w:id="421" w:name="_Toc139289152"/>
      <w:bookmarkEnd w:id="413"/>
      <w:bookmarkEnd w:id="414"/>
      <w:bookmarkEnd w:id="415"/>
      <w:bookmarkEnd w:id="416"/>
      <w:bookmarkEnd w:id="417"/>
      <w:bookmarkEnd w:id="418"/>
      <w:bookmarkEnd w:id="419"/>
      <w:r w:rsidRPr="000E57AE">
        <w:t>Liabilities</w:t>
      </w:r>
      <w:bookmarkEnd w:id="420"/>
      <w:bookmarkEnd w:id="421"/>
    </w:p>
    <w:p w14:paraId="6E6598BE" w14:textId="6ADF7EB0" w:rsidR="00984E98" w:rsidRPr="000E57AE" w:rsidRDefault="00984E98" w:rsidP="00AF3FD4">
      <w:pPr>
        <w:pStyle w:val="ListParagraph"/>
        <w:numPr>
          <w:ilvl w:val="0"/>
          <w:numId w:val="5"/>
        </w:numPr>
        <w:spacing w:before="240" w:after="240" w:line="240" w:lineRule="auto"/>
        <w:ind w:right="1267"/>
        <w:contextualSpacing w:val="0"/>
        <w:jc w:val="both"/>
      </w:pPr>
      <w:r>
        <w:t xml:space="preserve">The total liabilities of UNDP </w:t>
      </w:r>
      <w:r w:rsidR="00243438">
        <w:t>de</w:t>
      </w:r>
      <w:r>
        <w:t>creased by $5</w:t>
      </w:r>
      <w:r w:rsidR="00243438">
        <w:t>01</w:t>
      </w:r>
      <w:r>
        <w:t xml:space="preserve"> million, or 1</w:t>
      </w:r>
      <w:r w:rsidR="00243438">
        <w:t>4</w:t>
      </w:r>
      <w:r>
        <w:t xml:space="preserve"> per cent, from $3</w:t>
      </w:r>
      <w:r w:rsidR="00D94CB1">
        <w:t>.</w:t>
      </w:r>
      <w:r w:rsidR="00243438">
        <w:t>6</w:t>
      </w:r>
      <w:r w:rsidR="00D94CB1">
        <w:t xml:space="preserve"> b</w:t>
      </w:r>
      <w:r>
        <w:t>illion in 202</w:t>
      </w:r>
      <w:r w:rsidR="00243438">
        <w:t>1</w:t>
      </w:r>
      <w:r>
        <w:t xml:space="preserve"> to $3</w:t>
      </w:r>
      <w:r w:rsidR="00D94CB1">
        <w:t>.</w:t>
      </w:r>
      <w:r w:rsidR="00243438">
        <w:t>1</w:t>
      </w:r>
      <w:r>
        <w:t xml:space="preserve"> </w:t>
      </w:r>
      <w:r w:rsidR="00D94CB1">
        <w:t>b</w:t>
      </w:r>
      <w:r>
        <w:t>illion in 202</w:t>
      </w:r>
      <w:r w:rsidR="00243438">
        <w:t>2</w:t>
      </w:r>
      <w:r>
        <w:t xml:space="preserve">. </w:t>
      </w:r>
      <w:r w:rsidR="00880F2B" w:rsidRPr="00880F2B">
        <w:t>The change is attributable mainly to funds held in trust for the Multi-Partner Trust Fund Office, which decreased by $155 million; accounts payable, which decreased by $75 million; and employee benefits, which decreased by $310 million</w:t>
      </w:r>
      <w:r>
        <w:t xml:space="preserve">. </w:t>
      </w:r>
    </w:p>
    <w:p w14:paraId="408B1812" w14:textId="1F7D59F7" w:rsidR="009F1C3D" w:rsidRDefault="005E496A" w:rsidP="5E7BD891">
      <w:pPr>
        <w:pStyle w:val="ListParagraph"/>
        <w:numPr>
          <w:ilvl w:val="0"/>
          <w:numId w:val="5"/>
        </w:numPr>
        <w:spacing w:before="240" w:after="240" w:line="240" w:lineRule="auto"/>
        <w:ind w:right="1267"/>
        <w:jc w:val="both"/>
      </w:pPr>
      <w:r w:rsidRPr="000E57AE">
        <w:t xml:space="preserve">Funds </w:t>
      </w:r>
      <w:r w:rsidRPr="003C67B7">
        <w:t>received in advance</w:t>
      </w:r>
      <w:r w:rsidR="002D35CF" w:rsidRPr="003C67B7">
        <w:t xml:space="preserve"> </w:t>
      </w:r>
      <w:r w:rsidR="002F4D67" w:rsidRPr="003C67B7">
        <w:t>and deferred revenue</w:t>
      </w:r>
      <w:r w:rsidR="00F83D9C" w:rsidRPr="000E57AE">
        <w:t xml:space="preserve"> of $</w:t>
      </w:r>
      <w:r w:rsidR="00AF781B">
        <w:t>2</w:t>
      </w:r>
      <w:r w:rsidR="003B3271">
        <w:t>81</w:t>
      </w:r>
      <w:r w:rsidR="00F83D9C" w:rsidRPr="000E57AE">
        <w:t xml:space="preserve"> million </w:t>
      </w:r>
      <w:r w:rsidR="002F4D67" w:rsidRPr="000E57AE">
        <w:t xml:space="preserve">comprise </w:t>
      </w:r>
      <w:r w:rsidR="00B83E66">
        <w:t xml:space="preserve">of </w:t>
      </w:r>
      <w:r w:rsidR="004B3A62" w:rsidRPr="000E57AE">
        <w:t>$</w:t>
      </w:r>
      <w:r w:rsidR="00C36F90">
        <w:t>1</w:t>
      </w:r>
      <w:r w:rsidR="00A33FAE">
        <w:t> </w:t>
      </w:r>
      <w:r w:rsidR="004B3A62" w:rsidRPr="000E57AE">
        <w:t>million</w:t>
      </w:r>
      <w:r w:rsidRPr="000E57AE">
        <w:t xml:space="preserve"> </w:t>
      </w:r>
      <w:r w:rsidR="00603C12">
        <w:t>funds</w:t>
      </w:r>
      <w:r w:rsidRPr="000E57AE">
        <w:t xml:space="preserve"> </w:t>
      </w:r>
      <w:r w:rsidR="00D61D43" w:rsidRPr="000E57AE">
        <w:t>received in advance</w:t>
      </w:r>
      <w:r w:rsidR="00E27F88">
        <w:t xml:space="preserve"> for </w:t>
      </w:r>
      <w:r w:rsidRPr="000E57AE">
        <w:t>future periods specified in donor contribution agreements</w:t>
      </w:r>
      <w:r w:rsidR="00C2010D" w:rsidRPr="000E57AE">
        <w:t>,</w:t>
      </w:r>
      <w:r w:rsidR="00BA0C98" w:rsidRPr="000E57AE">
        <w:t xml:space="preserve"> $</w:t>
      </w:r>
      <w:r w:rsidR="00BB5AC2">
        <w:t>31</w:t>
      </w:r>
      <w:r w:rsidR="00F83D9C" w:rsidRPr="000E57AE">
        <w:t xml:space="preserve"> million deferred revenue</w:t>
      </w:r>
      <w:r w:rsidR="0032505F">
        <w:t xml:space="preserve"> for contributions</w:t>
      </w:r>
      <w:r w:rsidR="00665122">
        <w:t>, $</w:t>
      </w:r>
      <w:r w:rsidR="00221876">
        <w:t xml:space="preserve"> </w:t>
      </w:r>
      <w:r w:rsidR="00A37BEB">
        <w:t>1</w:t>
      </w:r>
      <w:r w:rsidR="009765CE">
        <w:t>1</w:t>
      </w:r>
      <w:r w:rsidR="00AB4651">
        <w:t>4</w:t>
      </w:r>
      <w:r w:rsidR="00221876">
        <w:t xml:space="preserve"> </w:t>
      </w:r>
      <w:r w:rsidR="00DD4739" w:rsidRPr="000E57AE">
        <w:t>million for common services</w:t>
      </w:r>
      <w:r w:rsidR="00DD4739">
        <w:t xml:space="preserve"> to United Nations entities</w:t>
      </w:r>
      <w:r w:rsidR="00A37BEB">
        <w:t>, and $1</w:t>
      </w:r>
      <w:r w:rsidR="007E21F9">
        <w:t>35</w:t>
      </w:r>
      <w:r w:rsidR="00A37BEB">
        <w:t xml:space="preserve"> million </w:t>
      </w:r>
      <w:r w:rsidR="00DD4739" w:rsidRPr="000E57AE">
        <w:t>for clearing accounts with United Nations entities</w:t>
      </w:r>
      <w:r w:rsidRPr="000E57AE">
        <w:t>.</w:t>
      </w:r>
      <w:r w:rsidR="0082407E">
        <w:t xml:space="preserve"> </w:t>
      </w:r>
      <w:r w:rsidR="00111E6C">
        <w:t xml:space="preserve"> </w:t>
      </w:r>
    </w:p>
    <w:p w14:paraId="2D6A3279" w14:textId="1FF22C31" w:rsidR="00030166" w:rsidRPr="00617B71" w:rsidRDefault="00030166" w:rsidP="003F5F37">
      <w:pPr>
        <w:pStyle w:val="SingleTxt"/>
        <w:keepNext/>
        <w:spacing w:after="0" w:line="240" w:lineRule="auto"/>
        <w:ind w:left="1530"/>
        <w:jc w:val="center"/>
        <w:rPr>
          <w:b/>
        </w:rPr>
      </w:pPr>
      <w:r w:rsidRPr="00C1422F">
        <w:rPr>
          <w:b/>
        </w:rPr>
        <w:t xml:space="preserve">Figure </w:t>
      </w:r>
      <w:r w:rsidR="004D4DCC" w:rsidRPr="00C1422F">
        <w:rPr>
          <w:b/>
        </w:rPr>
        <w:t>VII</w:t>
      </w:r>
      <w:r w:rsidRPr="00C1422F">
        <w:rPr>
          <w:b/>
        </w:rPr>
        <w:t xml:space="preserve">. UNDP </w:t>
      </w:r>
      <w:r w:rsidR="00E73792" w:rsidRPr="00C1422F">
        <w:rPr>
          <w:b/>
        </w:rPr>
        <w:t>l</w:t>
      </w:r>
      <w:r w:rsidRPr="00C1422F">
        <w:rPr>
          <w:b/>
        </w:rPr>
        <w:t xml:space="preserve">iabilities, </w:t>
      </w:r>
      <w:r w:rsidR="00617B71" w:rsidRPr="00C1422F">
        <w:rPr>
          <w:b/>
        </w:rPr>
        <w:t>20</w:t>
      </w:r>
      <w:r w:rsidR="00E72975" w:rsidRPr="00C1422F">
        <w:rPr>
          <w:b/>
        </w:rPr>
        <w:t>2</w:t>
      </w:r>
      <w:r w:rsidR="00605304">
        <w:rPr>
          <w:b/>
        </w:rPr>
        <w:t>1</w:t>
      </w:r>
      <w:r w:rsidR="00617B71" w:rsidRPr="00C1422F">
        <w:rPr>
          <w:b/>
        </w:rPr>
        <w:t>-202</w:t>
      </w:r>
      <w:r w:rsidR="00605304">
        <w:rPr>
          <w:b/>
        </w:rPr>
        <w:t>2</w:t>
      </w:r>
    </w:p>
    <w:p w14:paraId="2F2D320C" w14:textId="12168D15" w:rsidR="00C1422F" w:rsidRDefault="00C1422F" w:rsidP="003F5F37">
      <w:pPr>
        <w:pStyle w:val="SingleTxt"/>
        <w:keepNext/>
        <w:spacing w:line="240" w:lineRule="auto"/>
        <w:ind w:left="1530"/>
        <w:jc w:val="center"/>
        <w:rPr>
          <w:noProof/>
          <w:sz w:val="18"/>
          <w:szCs w:val="18"/>
        </w:rPr>
      </w:pPr>
      <w:r w:rsidRPr="009C73F3">
        <w:rPr>
          <w:i/>
          <w:iCs/>
          <w:sz w:val="18"/>
          <w:szCs w:val="18"/>
        </w:rPr>
        <w:t>(In millions of United States dollars)</w:t>
      </w:r>
      <w:r w:rsidRPr="009C73F3">
        <w:rPr>
          <w:noProof/>
          <w:sz w:val="18"/>
          <w:szCs w:val="18"/>
        </w:rPr>
        <w:t xml:space="preserve"> </w:t>
      </w:r>
    </w:p>
    <w:p w14:paraId="4BCE62D1" w14:textId="050E0DF4" w:rsidR="00CE3B5E" w:rsidRPr="000E57AE" w:rsidRDefault="0055558C" w:rsidP="00E8150D">
      <w:pPr>
        <w:pStyle w:val="SingleTxt"/>
        <w:keepNext/>
        <w:spacing w:line="240" w:lineRule="auto"/>
        <w:ind w:left="1530"/>
        <w:jc w:val="center"/>
      </w:pPr>
      <w:r>
        <w:rPr>
          <w:noProof/>
        </w:rPr>
        <w:drawing>
          <wp:inline distT="0" distB="0" distL="0" distR="0" wp14:anchorId="62ED53A7" wp14:editId="4C4AA79E">
            <wp:extent cx="4654550" cy="1758950"/>
            <wp:effectExtent l="0" t="0" r="12700" b="12700"/>
            <wp:docPr id="1580294301" name="Chart 1">
              <a:extLst xmlns:a="http://schemas.openxmlformats.org/drawingml/2006/main">
                <a:ext uri="{FF2B5EF4-FFF2-40B4-BE49-F238E27FC236}">
                  <a16:creationId xmlns:a16="http://schemas.microsoft.com/office/drawing/2014/main" id="{9CBD4A7A-D0CC-48F6-83F0-B25479414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498519" w14:textId="3C500B10" w:rsidR="002865CE" w:rsidRPr="000E57AE" w:rsidRDefault="009941EA" w:rsidP="00AF3FD4">
      <w:pPr>
        <w:pStyle w:val="ListParagraph"/>
        <w:numPr>
          <w:ilvl w:val="0"/>
          <w:numId w:val="5"/>
        </w:numPr>
        <w:spacing w:before="240" w:after="240" w:line="240" w:lineRule="auto"/>
        <w:ind w:right="1267"/>
        <w:contextualSpacing w:val="0"/>
        <w:jc w:val="both"/>
      </w:pPr>
      <w:r w:rsidRPr="000E57AE">
        <w:t xml:space="preserve">UNDP liabilities </w:t>
      </w:r>
      <w:r w:rsidR="00945345">
        <w:t xml:space="preserve">also </w:t>
      </w:r>
      <w:r w:rsidRPr="000E57AE">
        <w:t xml:space="preserve">include </w:t>
      </w:r>
      <w:r w:rsidR="00AB72AC" w:rsidRPr="000E57AE">
        <w:t>$1</w:t>
      </w:r>
      <w:r w:rsidR="00492099">
        <w:t>.</w:t>
      </w:r>
      <w:r w:rsidR="003B3271">
        <w:t>2</w:t>
      </w:r>
      <w:r w:rsidR="00492099">
        <w:t xml:space="preserve"> billion</w:t>
      </w:r>
      <w:r w:rsidR="00AB72AC" w:rsidRPr="000E57AE">
        <w:t xml:space="preserve"> (20</w:t>
      </w:r>
      <w:r w:rsidR="00620A84">
        <w:t>2</w:t>
      </w:r>
      <w:r w:rsidR="003B3271">
        <w:t>1</w:t>
      </w:r>
      <w:r w:rsidR="00AB72AC" w:rsidRPr="000E57AE">
        <w:t xml:space="preserve">: </w:t>
      </w:r>
      <w:r w:rsidR="007805D5" w:rsidRPr="000E57AE">
        <w:t>$</w:t>
      </w:r>
      <w:r w:rsidR="00C14470">
        <w:t>1</w:t>
      </w:r>
      <w:r w:rsidR="00492099">
        <w:t>.</w:t>
      </w:r>
      <w:r w:rsidR="003B3271">
        <w:t>6</w:t>
      </w:r>
      <w:r w:rsidR="00AB72AC" w:rsidRPr="000E57AE">
        <w:t xml:space="preserve"> </w:t>
      </w:r>
      <w:r w:rsidR="00492099">
        <w:t>b</w:t>
      </w:r>
      <w:r w:rsidR="00AB72AC" w:rsidRPr="000E57AE">
        <w:t xml:space="preserve">illion) </w:t>
      </w:r>
      <w:r w:rsidR="00E77C39">
        <w:t xml:space="preserve">in </w:t>
      </w:r>
      <w:r w:rsidR="00AB72AC" w:rsidRPr="000E57AE">
        <w:t>liabilities for employee benefits</w:t>
      </w:r>
      <w:r w:rsidR="003D3DAD" w:rsidRPr="000E57AE">
        <w:t xml:space="preserve">, of </w:t>
      </w:r>
      <w:r w:rsidR="003D3DAD" w:rsidRPr="00E4364C">
        <w:t xml:space="preserve">which </w:t>
      </w:r>
      <w:r w:rsidR="00AB72AC" w:rsidRPr="00E4364C">
        <w:t>$</w:t>
      </w:r>
      <w:r w:rsidR="00A607A4" w:rsidRPr="00E4364C">
        <w:t>891</w:t>
      </w:r>
      <w:r w:rsidR="00492099">
        <w:t xml:space="preserve"> </w:t>
      </w:r>
      <w:r w:rsidR="00A607A4">
        <w:t>m</w:t>
      </w:r>
      <w:r w:rsidR="00492099">
        <w:t>illion</w:t>
      </w:r>
      <w:r w:rsidR="00AB72AC" w:rsidRPr="000E57AE">
        <w:t xml:space="preserve"> </w:t>
      </w:r>
      <w:r w:rsidR="003D3DAD" w:rsidRPr="000E57AE">
        <w:t xml:space="preserve">is </w:t>
      </w:r>
      <w:r w:rsidR="00AB72AC" w:rsidRPr="000E57AE">
        <w:t>for after-service health insurance</w:t>
      </w:r>
      <w:r w:rsidR="00082639">
        <w:t xml:space="preserve">. </w:t>
      </w:r>
      <w:r w:rsidR="00E4364C" w:rsidRPr="00E4364C">
        <w:t>The after-service health insurance benefit liability, which was actuarially valued, stands at $891 million in 2022 (2021: $1</w:t>
      </w:r>
      <w:r w:rsidR="00E4364C">
        <w:t>.2 b</w:t>
      </w:r>
      <w:r w:rsidR="00E4364C" w:rsidRPr="00E4364C">
        <w:t>illion). The decrease of $299 million or 25% in the after-service health insurance liability in 2022 is due to significant increase of single equivalent discount rate from 3.16% (2021) to 5.21% (2022) partially offset by the increase of health-care cost. The end-of-service/repatriation benefit liability was actuarially valued at $99 million (2021: $108 million).</w:t>
      </w:r>
      <w:r w:rsidR="00E4364C" w:rsidRPr="00E4364C" w:rsidDel="00E4364C">
        <w:t xml:space="preserve"> </w:t>
      </w:r>
    </w:p>
    <w:p w14:paraId="13D5AEB3" w14:textId="187FB204" w:rsidR="00136E5A" w:rsidRDefault="004615C9" w:rsidP="00264A73">
      <w:pPr>
        <w:pStyle w:val="ListParagraph"/>
        <w:numPr>
          <w:ilvl w:val="0"/>
          <w:numId w:val="5"/>
        </w:numPr>
        <w:spacing w:before="240" w:after="240" w:line="240" w:lineRule="auto"/>
        <w:ind w:right="1267"/>
        <w:contextualSpacing w:val="0"/>
        <w:jc w:val="both"/>
      </w:pPr>
      <w:r w:rsidRPr="004615C9">
        <w:t>UNDP holds $917 million in cash and investments to fund its after-service health insurance liabilities (103 per cent funded) (2021: $1</w:t>
      </w:r>
      <w:r>
        <w:t>.0</w:t>
      </w:r>
      <w:r w:rsidRPr="004615C9">
        <w:t xml:space="preserve"> million and 85 per cent funded) and $61 million in cash and investments to fund its end-of-service/repatriation </w:t>
      </w:r>
      <w:r w:rsidRPr="004615C9">
        <w:lastRenderedPageBreak/>
        <w:t xml:space="preserve">liabilities (61 per cent funded) (2021: $70 million and 65 per cent funded). </w:t>
      </w:r>
      <w:r w:rsidR="00350DC6">
        <w:t>A one-time cash</w:t>
      </w:r>
      <w:r w:rsidRPr="004615C9">
        <w:t xml:space="preserve"> injection </w:t>
      </w:r>
      <w:r w:rsidR="0083092C">
        <w:t xml:space="preserve">of </w:t>
      </w:r>
      <w:r w:rsidR="0083092C" w:rsidRPr="0083092C">
        <w:t xml:space="preserve">$49.7 million </w:t>
      </w:r>
      <w:r w:rsidRPr="004615C9">
        <w:t xml:space="preserve">coupled with the decrease in the 2022 </w:t>
      </w:r>
      <w:r w:rsidR="00082639" w:rsidRPr="00C860BF">
        <w:t>after-service health insurance</w:t>
      </w:r>
      <w:r w:rsidRPr="004615C9">
        <w:t xml:space="preserve"> liability resulted in UNDP fully funding its </w:t>
      </w:r>
      <w:r w:rsidR="00082639" w:rsidRPr="00C860BF">
        <w:t>after-service health insurance</w:t>
      </w:r>
      <w:r w:rsidRPr="004615C9">
        <w:t xml:space="preserve"> liability for the first time</w:t>
      </w:r>
      <w:r w:rsidR="00264A73">
        <w:t>, noting t</w:t>
      </w:r>
      <w:r w:rsidR="00264A73" w:rsidRPr="00264A73">
        <w:t>he excess in funding is temporary in nature and primarily due to the volatility of the actuarial valuation of the after-service health insurance liabilities.</w:t>
      </w:r>
    </w:p>
    <w:p w14:paraId="00B3AAE6" w14:textId="5FB264C0" w:rsidR="000A529C" w:rsidRDefault="007422CE" w:rsidP="003622C4">
      <w:pPr>
        <w:pStyle w:val="ListParagraph"/>
        <w:numPr>
          <w:ilvl w:val="0"/>
          <w:numId w:val="5"/>
        </w:numPr>
        <w:spacing w:before="240" w:after="240" w:line="240" w:lineRule="auto"/>
        <w:ind w:right="1267"/>
        <w:jc w:val="both"/>
      </w:pPr>
      <w:r w:rsidRPr="00B664C6">
        <w:t>T</w:t>
      </w:r>
      <w:r w:rsidR="002865CE" w:rsidRPr="00B664C6">
        <w:t>he investment management of th</w:t>
      </w:r>
      <w:r w:rsidRPr="00B664C6">
        <w:t>is</w:t>
      </w:r>
      <w:r w:rsidR="002865CE" w:rsidRPr="00B664C6">
        <w:t xml:space="preserve"> portfolio </w:t>
      </w:r>
      <w:r w:rsidR="0097487B" w:rsidRPr="00B664C6">
        <w:t xml:space="preserve">is </w:t>
      </w:r>
      <w:r w:rsidR="00AA0029" w:rsidRPr="00B664C6">
        <w:t xml:space="preserve">fully </w:t>
      </w:r>
      <w:r w:rsidR="002865CE" w:rsidRPr="00B664C6">
        <w:t>outsourced to external managers</w:t>
      </w:r>
      <w:r w:rsidR="0097487B" w:rsidRPr="00B664C6">
        <w:t xml:space="preserve"> </w:t>
      </w:r>
      <w:r w:rsidR="00AA0029" w:rsidRPr="00B664C6">
        <w:t xml:space="preserve">to </w:t>
      </w:r>
      <w:r w:rsidR="002865CE" w:rsidRPr="00B664C6">
        <w:t>e</w:t>
      </w:r>
      <w:r w:rsidR="00AA0029" w:rsidRPr="00B664C6">
        <w:t>nsure an adequate level of investment return given the longer-term nature of the liabilities</w:t>
      </w:r>
      <w:r w:rsidR="002865CE" w:rsidRPr="00B664C6">
        <w:t xml:space="preserve">. UNDP, UNFPA, UNCDF, </w:t>
      </w:r>
      <w:r w:rsidR="009403B1" w:rsidRPr="00B664C6">
        <w:t>the United Nations Children’s Fund (</w:t>
      </w:r>
      <w:r w:rsidR="007F55BE" w:rsidRPr="00B664C6">
        <w:t>UNICEF</w:t>
      </w:r>
      <w:r w:rsidR="009403B1" w:rsidRPr="00B664C6">
        <w:t>)</w:t>
      </w:r>
      <w:r w:rsidR="002865CE" w:rsidRPr="00B664C6">
        <w:t xml:space="preserve"> and </w:t>
      </w:r>
      <w:r w:rsidR="009403B1" w:rsidRPr="00B664C6">
        <w:t>the United Nations Entity for Gender Equality and the Empowerment of Women (</w:t>
      </w:r>
      <w:r w:rsidR="002865CE" w:rsidRPr="00B664C6">
        <w:t>UN-Women</w:t>
      </w:r>
      <w:r w:rsidR="009403B1" w:rsidRPr="00B664C6">
        <w:t>)</w:t>
      </w:r>
      <w:r w:rsidR="002865CE" w:rsidRPr="00B664C6">
        <w:t xml:space="preserve"> collaborate in this arrangement</w:t>
      </w:r>
      <w:r w:rsidR="00AA0029" w:rsidRPr="00B664C6">
        <w:t>.</w:t>
      </w:r>
      <w:r w:rsidR="000A529C" w:rsidRPr="000A529C">
        <w:t xml:space="preserve"> </w:t>
      </w:r>
    </w:p>
    <w:p w14:paraId="2D26F315" w14:textId="77777777" w:rsidR="00B06D9D" w:rsidRPr="00B664C6" w:rsidRDefault="00B06D9D" w:rsidP="00BA688E">
      <w:pPr>
        <w:pStyle w:val="ListParagraph"/>
        <w:spacing w:before="240" w:after="240" w:line="240" w:lineRule="auto"/>
        <w:ind w:left="1343" w:right="1267"/>
        <w:jc w:val="both"/>
      </w:pPr>
    </w:p>
    <w:p w14:paraId="4AA1A576" w14:textId="37C0AAE9" w:rsidR="002865CE" w:rsidRPr="00B664C6" w:rsidRDefault="00F32955" w:rsidP="00266895">
      <w:pPr>
        <w:pStyle w:val="ListParagraph"/>
        <w:numPr>
          <w:ilvl w:val="0"/>
          <w:numId w:val="5"/>
        </w:numPr>
        <w:spacing w:before="240" w:after="240" w:line="240" w:lineRule="auto"/>
        <w:ind w:right="1267"/>
        <w:contextualSpacing w:val="0"/>
        <w:jc w:val="both"/>
      </w:pPr>
      <w:r w:rsidRPr="00B664C6">
        <w:t>Payables</w:t>
      </w:r>
      <w:r w:rsidR="009403B1" w:rsidRPr="00B664C6">
        <w:t xml:space="preserve"> (</w:t>
      </w:r>
      <w:r w:rsidRPr="00B664C6">
        <w:t>funds held in trust</w:t>
      </w:r>
      <w:r w:rsidR="009403B1" w:rsidRPr="00B664C6">
        <w:t>)</w:t>
      </w:r>
      <w:r w:rsidRPr="00B664C6">
        <w:t xml:space="preserve"> represent </w:t>
      </w:r>
      <w:r w:rsidR="000B70F0" w:rsidRPr="00B664C6">
        <w:t>funds provided by donors to UNDP to be held on their behalf for future disbursement</w:t>
      </w:r>
      <w:r w:rsidR="00A612B4" w:rsidRPr="00B664C6">
        <w:t xml:space="preserve"> to organizations of the United Nations system and to national governments</w:t>
      </w:r>
      <w:r w:rsidR="005D0EA7" w:rsidRPr="00B664C6">
        <w:t xml:space="preserve">. </w:t>
      </w:r>
      <w:r w:rsidR="00007608" w:rsidRPr="00B664C6">
        <w:t>Th</w:t>
      </w:r>
      <w:r w:rsidR="00865ACC" w:rsidRPr="00B664C6">
        <w:t>e amount of $</w:t>
      </w:r>
      <w:r w:rsidR="00C12141" w:rsidRPr="00B664C6">
        <w:t>1</w:t>
      </w:r>
      <w:r w:rsidR="00492099" w:rsidRPr="00B664C6">
        <w:t>.</w:t>
      </w:r>
      <w:r w:rsidR="003C67B7">
        <w:t>3</w:t>
      </w:r>
      <w:r w:rsidR="00492099" w:rsidRPr="00B664C6">
        <w:t xml:space="preserve"> billion</w:t>
      </w:r>
      <w:r w:rsidR="00865ACC" w:rsidRPr="00B664C6">
        <w:t xml:space="preserve"> </w:t>
      </w:r>
      <w:r w:rsidR="00D36F4F">
        <w:t>is the</w:t>
      </w:r>
      <w:r w:rsidR="008A6441" w:rsidRPr="00B664C6">
        <w:t xml:space="preserve"> </w:t>
      </w:r>
      <w:r w:rsidR="00994639" w:rsidRPr="00B664C6">
        <w:t>multi-</w:t>
      </w:r>
      <w:r w:rsidR="00A23A31" w:rsidRPr="00B664C6">
        <w:t>partner trust funds that UNDP administers</w:t>
      </w:r>
      <w:r w:rsidR="002257C8" w:rsidRPr="00B664C6">
        <w:t>.</w:t>
      </w:r>
    </w:p>
    <w:p w14:paraId="5C2ABD1C" w14:textId="7F599B70" w:rsidR="00295AF8" w:rsidRPr="00507534" w:rsidRDefault="00295AF8" w:rsidP="005F648C">
      <w:pPr>
        <w:pStyle w:val="H1"/>
        <w:numPr>
          <w:ilvl w:val="1"/>
          <w:numId w:val="7"/>
        </w:numPr>
        <w:tabs>
          <w:tab w:val="clear" w:pos="1022"/>
          <w:tab w:val="clear" w:pos="1742"/>
          <w:tab w:val="right" w:pos="1440"/>
          <w:tab w:val="left" w:pos="1800"/>
        </w:tabs>
        <w:spacing w:before="240" w:after="240" w:line="240" w:lineRule="auto"/>
        <w:ind w:left="1152" w:right="0"/>
        <w:outlineLvl w:val="1"/>
      </w:pPr>
      <w:bookmarkStart w:id="422" w:name="_Toc139289045"/>
      <w:bookmarkStart w:id="423" w:name="_Toc139289153"/>
      <w:r w:rsidRPr="00507534">
        <w:t xml:space="preserve">Accumulated </w:t>
      </w:r>
      <w:r w:rsidR="005C0AA0">
        <w:t>s</w:t>
      </w:r>
      <w:r w:rsidRPr="00507534">
        <w:t>urplus</w:t>
      </w:r>
      <w:bookmarkEnd w:id="422"/>
      <w:bookmarkEnd w:id="423"/>
      <w:r w:rsidRPr="00507534">
        <w:t xml:space="preserve"> </w:t>
      </w:r>
    </w:p>
    <w:p w14:paraId="17F0931B" w14:textId="4C1528AB" w:rsidR="009F70B4" w:rsidRPr="00BF7D9D" w:rsidRDefault="00836920" w:rsidP="00266895">
      <w:pPr>
        <w:pStyle w:val="ListParagraph"/>
        <w:numPr>
          <w:ilvl w:val="0"/>
          <w:numId w:val="5"/>
        </w:numPr>
        <w:spacing w:before="240" w:after="240" w:line="240" w:lineRule="auto"/>
        <w:ind w:right="1267"/>
        <w:contextualSpacing w:val="0"/>
        <w:jc w:val="both"/>
      </w:pPr>
      <w:r w:rsidRPr="00BF7D9D">
        <w:t xml:space="preserve">The </w:t>
      </w:r>
      <w:r w:rsidR="00C5713B">
        <w:t>F</w:t>
      </w:r>
      <w:r w:rsidR="00E605A4" w:rsidRPr="00BF7D9D">
        <w:t xml:space="preserve">inancial </w:t>
      </w:r>
      <w:r w:rsidR="00C5713B">
        <w:t>R</w:t>
      </w:r>
      <w:r w:rsidR="00E605A4" w:rsidRPr="00BF7D9D">
        <w:t xml:space="preserve">egulations and </w:t>
      </w:r>
      <w:r w:rsidR="00C5713B">
        <w:t>R</w:t>
      </w:r>
      <w:r w:rsidR="00E605A4" w:rsidRPr="00BF7D9D">
        <w:t xml:space="preserve">ules </w:t>
      </w:r>
      <w:r w:rsidRPr="00BF7D9D">
        <w:t xml:space="preserve">of UNDP </w:t>
      </w:r>
      <w:r w:rsidR="00E605A4" w:rsidRPr="00BF7D9D">
        <w:t xml:space="preserve">require </w:t>
      </w:r>
      <w:r w:rsidR="004651F7" w:rsidRPr="00BF7D9D">
        <w:t>it</w:t>
      </w:r>
      <w:r w:rsidR="004651F7" w:rsidRPr="00BF7D9D" w:rsidDel="004651F7">
        <w:t xml:space="preserve"> </w:t>
      </w:r>
      <w:r w:rsidR="00E605A4" w:rsidRPr="00BF7D9D">
        <w:t>to operate on a fully</w:t>
      </w:r>
      <w:r w:rsidR="009403B1" w:rsidRPr="00BF7D9D">
        <w:t xml:space="preserve"> </w:t>
      </w:r>
      <w:r w:rsidR="00E605A4" w:rsidRPr="00BF7D9D">
        <w:t xml:space="preserve">funded basis for </w:t>
      </w:r>
      <w:r w:rsidR="00FC313E" w:rsidRPr="00BF7D9D">
        <w:t xml:space="preserve">activities funded by </w:t>
      </w:r>
      <w:r w:rsidR="00E605A4" w:rsidRPr="00BF7D9D">
        <w:t xml:space="preserve">other resources. In accordance with partnership agreements, all project balances are segregated for accounting and reporting purposes, with no commingling of balances between projects. Appropriate cash balances are held for </w:t>
      </w:r>
      <w:r w:rsidR="004B5A56" w:rsidRPr="00BF7D9D">
        <w:t xml:space="preserve">settling </w:t>
      </w:r>
      <w:r w:rsidR="00E605A4" w:rsidRPr="00BF7D9D">
        <w:t>liabilities.</w:t>
      </w:r>
    </w:p>
    <w:p w14:paraId="39AE6B48" w14:textId="088E51B1" w:rsidR="00DD0F41" w:rsidRPr="00BF7D9D" w:rsidRDefault="00DD0F41" w:rsidP="00266895">
      <w:pPr>
        <w:pStyle w:val="ListParagraph"/>
        <w:numPr>
          <w:ilvl w:val="0"/>
          <w:numId w:val="5"/>
        </w:numPr>
        <w:spacing w:before="240" w:after="240" w:line="240" w:lineRule="auto"/>
        <w:ind w:right="1267"/>
        <w:contextualSpacing w:val="0"/>
        <w:jc w:val="both"/>
      </w:pPr>
      <w:r w:rsidRPr="00BF7D9D">
        <w:t>UNDP receives programmatic resources for multi-year programmes link</w:t>
      </w:r>
      <w:r w:rsidR="000C015C" w:rsidRPr="00BF7D9D">
        <w:t>ed</w:t>
      </w:r>
      <w:r w:rsidRPr="00BF7D9D">
        <w:t xml:space="preserve"> to individual programmes or projects. Hence, in any given year</w:t>
      </w:r>
      <w:r w:rsidR="00825B48" w:rsidRPr="00BF7D9D">
        <w:t>,</w:t>
      </w:r>
      <w:r w:rsidRPr="00BF7D9D">
        <w:t xml:space="preserve"> there is an excess of resources over expenditure.  This excess of resources is referred to as the accumulated surplus, which consists mainly of resources committed for future programme delivery. </w:t>
      </w:r>
    </w:p>
    <w:p w14:paraId="0DE3AA5C" w14:textId="3A900187" w:rsidR="008804E4" w:rsidRPr="008C2E10" w:rsidRDefault="005B3D6B" w:rsidP="5E7BD891">
      <w:pPr>
        <w:pStyle w:val="ListParagraph"/>
        <w:numPr>
          <w:ilvl w:val="0"/>
          <w:numId w:val="5"/>
        </w:numPr>
        <w:spacing w:before="240" w:after="240" w:line="240" w:lineRule="auto"/>
        <w:ind w:right="1267"/>
        <w:jc w:val="both"/>
      </w:pPr>
      <w:proofErr w:type="gramStart"/>
      <w:r>
        <w:t>At</w:t>
      </w:r>
      <w:proofErr w:type="gramEnd"/>
      <w:r>
        <w:t xml:space="preserve"> 31 December 20</w:t>
      </w:r>
      <w:r w:rsidR="00086A64">
        <w:t>2</w:t>
      </w:r>
      <w:r w:rsidR="00E75E84">
        <w:t>2</w:t>
      </w:r>
      <w:r>
        <w:t xml:space="preserve">, the accumulated </w:t>
      </w:r>
      <w:r w:rsidR="00E83200">
        <w:t>balance</w:t>
      </w:r>
      <w:r>
        <w:t xml:space="preserve">, excluding reserves, </w:t>
      </w:r>
      <w:r w:rsidR="00FC0E90">
        <w:t>in</w:t>
      </w:r>
      <w:r>
        <w:t xml:space="preserve">creased by </w:t>
      </w:r>
      <w:r w:rsidR="00D83720">
        <w:t>1</w:t>
      </w:r>
      <w:r>
        <w:t> per cent, to $</w:t>
      </w:r>
      <w:r w:rsidR="00FD33D9">
        <w:t>1</w:t>
      </w:r>
      <w:r w:rsidR="00445670">
        <w:t>1.</w:t>
      </w:r>
      <w:r w:rsidR="00D83720">
        <w:t>4</w:t>
      </w:r>
      <w:r w:rsidR="00492099">
        <w:t xml:space="preserve"> billion</w:t>
      </w:r>
      <w:r>
        <w:t xml:space="preserve"> (20</w:t>
      </w:r>
      <w:r w:rsidR="00362820">
        <w:t>2</w:t>
      </w:r>
      <w:r w:rsidR="00D83720">
        <w:t>1</w:t>
      </w:r>
      <w:r>
        <w:t>: $</w:t>
      </w:r>
      <w:r w:rsidR="00362820">
        <w:t>11.</w:t>
      </w:r>
      <w:r w:rsidR="00D83720">
        <w:t>3</w:t>
      </w:r>
      <w:r>
        <w:t xml:space="preserve"> </w:t>
      </w:r>
      <w:r w:rsidR="00492099">
        <w:t>b</w:t>
      </w:r>
      <w:r>
        <w:t>illion)</w:t>
      </w:r>
      <w:r w:rsidR="008804E4">
        <w:t>.</w:t>
      </w:r>
      <w:r w:rsidR="001C4341">
        <w:t xml:space="preserve"> </w:t>
      </w:r>
      <w:r w:rsidR="00D37B2F">
        <w:t xml:space="preserve">The increase in accumulated balance </w:t>
      </w:r>
      <w:r w:rsidR="008F6B53">
        <w:t xml:space="preserve">from 2017 </w:t>
      </w:r>
      <w:r w:rsidR="00D37B2F">
        <w:t>is mostly attributed to the increase in receivables as a result of the change in the revenue recognition policy</w:t>
      </w:r>
      <w:r w:rsidR="008040A9">
        <w:t xml:space="preserve"> </w:t>
      </w:r>
      <w:r w:rsidR="00DF2011">
        <w:t xml:space="preserve">due to </w:t>
      </w:r>
      <w:r w:rsidR="008040A9">
        <w:t>International Public Sector Accounting Standards. Accordingly,</w:t>
      </w:r>
      <w:r w:rsidR="00A52A89">
        <w:t xml:space="preserve"> the </w:t>
      </w:r>
      <w:r w:rsidR="008804E4">
        <w:t xml:space="preserve">accumulated surplus includes receivables from </w:t>
      </w:r>
      <w:r w:rsidR="008804E4" w:rsidRPr="00515692">
        <w:t>non-exchange transactions (net of past due) of $</w:t>
      </w:r>
      <w:r w:rsidR="008250C5">
        <w:t>5.0</w:t>
      </w:r>
      <w:r w:rsidR="00492099" w:rsidRPr="00515692">
        <w:t xml:space="preserve"> billion</w:t>
      </w:r>
      <w:r w:rsidR="008804E4" w:rsidRPr="00515692">
        <w:t xml:space="preserve"> </w:t>
      </w:r>
      <w:r w:rsidR="35CDCF35" w:rsidRPr="00515692">
        <w:t xml:space="preserve">as </w:t>
      </w:r>
      <w:proofErr w:type="gramStart"/>
      <w:r w:rsidR="008804E4" w:rsidRPr="00515692">
        <w:t>at</w:t>
      </w:r>
      <w:proofErr w:type="gramEnd"/>
      <w:r w:rsidR="008804E4" w:rsidRPr="00515692">
        <w:t xml:space="preserve"> 31 December 20</w:t>
      </w:r>
      <w:r w:rsidR="00421688" w:rsidRPr="00515692">
        <w:t>2</w:t>
      </w:r>
      <w:r w:rsidR="00515692">
        <w:t>2</w:t>
      </w:r>
      <w:r w:rsidR="008804E4" w:rsidRPr="00515692">
        <w:t xml:space="preserve"> (20</w:t>
      </w:r>
      <w:r w:rsidR="001B2B71" w:rsidRPr="00515692">
        <w:t>2</w:t>
      </w:r>
      <w:r w:rsidR="00515692" w:rsidRPr="00515692">
        <w:t>1</w:t>
      </w:r>
      <w:r w:rsidR="008804E4" w:rsidRPr="00515692">
        <w:t>: $</w:t>
      </w:r>
      <w:r w:rsidR="001B2B71" w:rsidRPr="00515692">
        <w:t>4.</w:t>
      </w:r>
      <w:r w:rsidR="00515692" w:rsidRPr="00515692">
        <w:t>7</w:t>
      </w:r>
      <w:r w:rsidR="001B2B71" w:rsidRPr="00515692">
        <w:t xml:space="preserve"> </w:t>
      </w:r>
      <w:r w:rsidR="00492099" w:rsidRPr="00515692">
        <w:t>billion</w:t>
      </w:r>
      <w:r w:rsidR="008804E4" w:rsidRPr="00515692">
        <w:t>).</w:t>
      </w:r>
      <w:r w:rsidR="008804E4">
        <w:t xml:space="preserve"> </w:t>
      </w:r>
      <w:r w:rsidR="000A5779">
        <w:t>Under U</w:t>
      </w:r>
      <w:r w:rsidR="008804E4">
        <w:t>NDP’s Financial Regulations and Rules, the organization is only permitted to spend when the cash is received</w:t>
      </w:r>
      <w:r w:rsidR="003D2590">
        <w:t xml:space="preserve">. </w:t>
      </w:r>
      <w:r w:rsidR="002306D2">
        <w:t xml:space="preserve"> i</w:t>
      </w:r>
      <w:r w:rsidR="003D2590">
        <w:t>.</w:t>
      </w:r>
      <w:r w:rsidR="002306D2">
        <w:t>e</w:t>
      </w:r>
      <w:r w:rsidR="003D2590">
        <w:t>.,</w:t>
      </w:r>
      <w:r w:rsidR="002306D2">
        <w:t xml:space="preserve"> </w:t>
      </w:r>
      <w:r w:rsidR="00296E3B">
        <w:t>t</w:t>
      </w:r>
      <w:r w:rsidR="003D2590">
        <w:t xml:space="preserve">he organization is not permitted to </w:t>
      </w:r>
      <w:r w:rsidR="002306D2">
        <w:t xml:space="preserve">spend </w:t>
      </w:r>
      <w:r w:rsidR="00CF5D9A">
        <w:t>the $</w:t>
      </w:r>
      <w:r w:rsidR="00646F3D">
        <w:t>5.0</w:t>
      </w:r>
      <w:r w:rsidR="00CF5D9A">
        <w:t xml:space="preserve"> billion</w:t>
      </w:r>
      <w:r w:rsidR="00D0208E">
        <w:t xml:space="preserve"> stated above</w:t>
      </w:r>
      <w:r w:rsidR="00CF5D9A">
        <w:t xml:space="preserve">. </w:t>
      </w:r>
      <w:r w:rsidR="00A52A89">
        <w:t xml:space="preserve">Figure </w:t>
      </w:r>
      <w:r w:rsidR="004D4DCC">
        <w:t>VIII</w:t>
      </w:r>
      <w:r w:rsidR="001943C4">
        <w:t xml:space="preserve"> (</w:t>
      </w:r>
      <w:r w:rsidR="00A52A89">
        <w:t>a</w:t>
      </w:r>
      <w:r w:rsidR="001943C4">
        <w:t>)</w:t>
      </w:r>
      <w:r w:rsidR="00A52A89">
        <w:t xml:space="preserve"> below </w:t>
      </w:r>
      <w:r w:rsidR="000F3281">
        <w:t>illustrates the trend in the accumulated balances</w:t>
      </w:r>
      <w:r w:rsidR="004129CA">
        <w:t xml:space="preserve">, and the impact of </w:t>
      </w:r>
      <w:r w:rsidR="008F6809">
        <w:t xml:space="preserve">changes in </w:t>
      </w:r>
      <w:r w:rsidR="004129CA">
        <w:t xml:space="preserve">the </w:t>
      </w:r>
      <w:r w:rsidR="00CE29A0">
        <w:t>receivables of non-exchange transactions</w:t>
      </w:r>
      <w:r w:rsidR="004129CA">
        <w:t xml:space="preserve">. </w:t>
      </w:r>
    </w:p>
    <w:p w14:paraId="13319B25" w14:textId="3140B4FC" w:rsidR="00394937" w:rsidRPr="00507534" w:rsidRDefault="005605F7" w:rsidP="000B3DF2">
      <w:pPr>
        <w:keepNext/>
        <w:tabs>
          <w:tab w:val="left" w:pos="1260"/>
          <w:tab w:val="left" w:pos="1620"/>
          <w:tab w:val="left" w:pos="2218"/>
          <w:tab w:val="left" w:pos="2693"/>
          <w:tab w:val="left" w:pos="3182"/>
          <w:tab w:val="left" w:pos="3658"/>
          <w:tab w:val="left" w:pos="4133"/>
          <w:tab w:val="left" w:pos="4622"/>
          <w:tab w:val="left" w:pos="5098"/>
          <w:tab w:val="left" w:pos="5573"/>
          <w:tab w:val="left" w:pos="6048"/>
        </w:tabs>
        <w:ind w:left="1268" w:right="1267" w:hanging="274"/>
        <w:jc w:val="center"/>
        <w:rPr>
          <w:b/>
        </w:rPr>
      </w:pPr>
      <w:r w:rsidRPr="003371B0">
        <w:rPr>
          <w:b/>
          <w:bCs/>
        </w:rPr>
        <w:lastRenderedPageBreak/>
        <w:t xml:space="preserve">Figure </w:t>
      </w:r>
      <w:r w:rsidR="004D4DCC" w:rsidRPr="003371B0">
        <w:rPr>
          <w:b/>
          <w:bCs/>
        </w:rPr>
        <w:t>VIII</w:t>
      </w:r>
      <w:r w:rsidR="001943C4" w:rsidRPr="003371B0">
        <w:rPr>
          <w:b/>
          <w:bCs/>
        </w:rPr>
        <w:t xml:space="preserve"> (</w:t>
      </w:r>
      <w:r w:rsidR="0006661B" w:rsidRPr="003371B0">
        <w:rPr>
          <w:b/>
          <w:bCs/>
        </w:rPr>
        <w:t>a</w:t>
      </w:r>
      <w:r w:rsidR="001943C4" w:rsidRPr="003371B0">
        <w:rPr>
          <w:b/>
          <w:bCs/>
        </w:rPr>
        <w:t>)</w:t>
      </w:r>
      <w:r w:rsidR="0006661B" w:rsidRPr="003371B0">
        <w:rPr>
          <w:b/>
          <w:bCs/>
        </w:rPr>
        <w:t>.</w:t>
      </w:r>
      <w:r w:rsidRPr="003371B0">
        <w:rPr>
          <w:b/>
          <w:bCs/>
        </w:rPr>
        <w:t xml:space="preserve"> </w:t>
      </w:r>
      <w:r w:rsidR="00394937" w:rsidRPr="003371B0">
        <w:rPr>
          <w:b/>
        </w:rPr>
        <w:t>Accumulated balance, regular resources and other resources</w:t>
      </w:r>
    </w:p>
    <w:p w14:paraId="78A1D564" w14:textId="299F774E" w:rsidR="00B664C6" w:rsidRDefault="00394937" w:rsidP="003371B0">
      <w:pPr>
        <w:keepNext/>
        <w:tabs>
          <w:tab w:val="left" w:pos="1260"/>
          <w:tab w:val="left" w:pos="1620"/>
          <w:tab w:val="left" w:pos="2218"/>
          <w:tab w:val="left" w:pos="2693"/>
          <w:tab w:val="left" w:pos="3182"/>
          <w:tab w:val="left" w:pos="3658"/>
          <w:tab w:val="left" w:pos="4133"/>
          <w:tab w:val="left" w:pos="4622"/>
          <w:tab w:val="left" w:pos="5098"/>
          <w:tab w:val="left" w:pos="5573"/>
          <w:tab w:val="left" w:pos="6048"/>
        </w:tabs>
        <w:spacing w:line="240" w:lineRule="auto"/>
        <w:ind w:left="1268" w:right="1267" w:hanging="274"/>
        <w:jc w:val="center"/>
        <w:rPr>
          <w:i/>
          <w:iCs/>
          <w:sz w:val="18"/>
          <w:szCs w:val="18"/>
        </w:rPr>
      </w:pPr>
      <w:r w:rsidRPr="005F17A8">
        <w:rPr>
          <w:i/>
          <w:sz w:val="18"/>
          <w:szCs w:val="18"/>
        </w:rPr>
        <w:t>(</w:t>
      </w:r>
      <w:r w:rsidR="0054048C" w:rsidRPr="005F17A8">
        <w:rPr>
          <w:i/>
          <w:sz w:val="18"/>
          <w:szCs w:val="18"/>
        </w:rPr>
        <w:t>In</w:t>
      </w:r>
      <w:r w:rsidRPr="005F17A8">
        <w:rPr>
          <w:i/>
          <w:sz w:val="18"/>
          <w:szCs w:val="18"/>
        </w:rPr>
        <w:t xml:space="preserve"> millions of United States dollars)</w:t>
      </w:r>
      <w:r w:rsidR="0D134B9E" w:rsidRPr="005F17A8">
        <w:rPr>
          <w:i/>
          <w:iCs/>
          <w:sz w:val="18"/>
          <w:szCs w:val="18"/>
        </w:rPr>
        <w:t xml:space="preserve"> </w:t>
      </w:r>
      <w:bookmarkStart w:id="424" w:name="_Hlk77098612"/>
    </w:p>
    <w:p w14:paraId="72DFBBB8" w14:textId="3964F8E7" w:rsidR="00B650FB" w:rsidRDefault="00885EE5" w:rsidP="00B650FB">
      <w:pPr>
        <w:keepNext/>
        <w:tabs>
          <w:tab w:val="left" w:pos="1260"/>
          <w:tab w:val="left" w:pos="1620"/>
          <w:tab w:val="left" w:pos="2218"/>
          <w:tab w:val="left" w:pos="2693"/>
          <w:tab w:val="left" w:pos="3182"/>
          <w:tab w:val="left" w:pos="3658"/>
          <w:tab w:val="left" w:pos="4133"/>
          <w:tab w:val="left" w:pos="4622"/>
          <w:tab w:val="left" w:pos="5098"/>
          <w:tab w:val="left" w:pos="5573"/>
          <w:tab w:val="left" w:pos="6048"/>
        </w:tabs>
        <w:spacing w:line="240" w:lineRule="auto"/>
        <w:ind w:left="1534" w:right="1267" w:hanging="274"/>
        <w:jc w:val="center"/>
        <w:rPr>
          <w:i/>
          <w:iCs/>
          <w:sz w:val="18"/>
          <w:szCs w:val="18"/>
        </w:rPr>
      </w:pPr>
      <w:r>
        <w:rPr>
          <w:noProof/>
        </w:rPr>
        <w:drawing>
          <wp:inline distT="0" distB="0" distL="0" distR="0" wp14:anchorId="201A97AC" wp14:editId="2D5F3143">
            <wp:extent cx="5118100" cy="2500745"/>
            <wp:effectExtent l="0" t="0" r="6350" b="13970"/>
            <wp:docPr id="1972607637" name="Chart 1">
              <a:extLst xmlns:a="http://schemas.openxmlformats.org/drawingml/2006/main">
                <a:ext uri="{FF2B5EF4-FFF2-40B4-BE49-F238E27FC236}">
                  <a16:creationId xmlns:a16="http://schemas.microsoft.com/office/drawing/2014/main" id="{FC9F27FA-D99D-4F2E-91EA-4A4C94E97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77AC7C" w14:textId="5007864E" w:rsidR="00B977CF" w:rsidRPr="00385223" w:rsidRDefault="004255AF" w:rsidP="00B977CF">
      <w:pPr>
        <w:pStyle w:val="ListParagraph"/>
        <w:numPr>
          <w:ilvl w:val="0"/>
          <w:numId w:val="5"/>
        </w:numPr>
        <w:spacing w:before="240" w:after="240" w:line="240" w:lineRule="auto"/>
        <w:ind w:right="1267"/>
        <w:contextualSpacing w:val="0"/>
        <w:jc w:val="both"/>
      </w:pPr>
      <w:r w:rsidRPr="00DB41AF">
        <w:t xml:space="preserve">Available </w:t>
      </w:r>
      <w:r w:rsidR="00947B59" w:rsidRPr="00DB41AF">
        <w:t xml:space="preserve">total </w:t>
      </w:r>
      <w:r w:rsidRPr="00DB41AF">
        <w:t>accumulated</w:t>
      </w:r>
      <w:r w:rsidR="00C40990">
        <w:t xml:space="preserve"> </w:t>
      </w:r>
      <w:r w:rsidRPr="003518D4">
        <w:t xml:space="preserve">resources </w:t>
      </w:r>
      <w:r w:rsidR="00DB6A09" w:rsidRPr="003518D4">
        <w:t>in</w:t>
      </w:r>
      <w:r w:rsidRPr="003518D4">
        <w:t>creased</w:t>
      </w:r>
      <w:r w:rsidRPr="004255AF">
        <w:t xml:space="preserve"> by $</w:t>
      </w:r>
      <w:r w:rsidR="00294566">
        <w:t>165</w:t>
      </w:r>
      <w:r w:rsidRPr="004255AF">
        <w:t xml:space="preserve"> million</w:t>
      </w:r>
      <w:r w:rsidR="008C3919">
        <w:t xml:space="preserve"> </w:t>
      </w:r>
      <w:r w:rsidR="008C3919" w:rsidRPr="004255AF">
        <w:t>in 202</w:t>
      </w:r>
      <w:r w:rsidR="00294566">
        <w:t>2</w:t>
      </w:r>
      <w:r w:rsidR="008C3919" w:rsidRPr="004255AF">
        <w:t xml:space="preserve"> </w:t>
      </w:r>
      <w:r w:rsidR="00514837">
        <w:t>as a result of the combined effect of the following factors: (a) deficit of $25.4 million; (b) decrease in fair value of available-for-sale investments of $186.3 million; (c) actuarial gains of $381.5 million; (d) decrease in funds with specific purposes of $46.6 million</w:t>
      </w:r>
      <w:r w:rsidR="00DB41AF">
        <w:t xml:space="preserve"> and (e) transfer between reserves and accumulated surplus of $49.7 million</w:t>
      </w:r>
      <w:r w:rsidRPr="004255AF">
        <w:t xml:space="preserve">. </w:t>
      </w:r>
      <w:r w:rsidR="00B977CF" w:rsidRPr="00385223">
        <w:t>In 202</w:t>
      </w:r>
      <w:r w:rsidR="00D54F95">
        <w:t>2</w:t>
      </w:r>
      <w:r w:rsidR="00B977CF" w:rsidRPr="00385223">
        <w:t>, $</w:t>
      </w:r>
      <w:r w:rsidR="00D54F95">
        <w:t>8</w:t>
      </w:r>
      <w:r w:rsidR="00B977CF" w:rsidRPr="00385223">
        <w:t xml:space="preserve"> million (20</w:t>
      </w:r>
      <w:r w:rsidR="00B977CF">
        <w:t>2</w:t>
      </w:r>
      <w:r w:rsidR="00D54F95">
        <w:t>1</w:t>
      </w:r>
      <w:r w:rsidR="00B977CF" w:rsidRPr="00385223">
        <w:t>: $</w:t>
      </w:r>
      <w:r w:rsidR="00D54F95">
        <w:t xml:space="preserve">0.7 </w:t>
      </w:r>
      <w:r w:rsidR="00B977CF" w:rsidRPr="00385223">
        <w:t xml:space="preserve">million) was released to the accumulated surpluses from the operational reserve, in accordance with the operational reserve formula approved by the Executive Board in decision 1999/9. </w:t>
      </w:r>
    </w:p>
    <w:p w14:paraId="0253B70F" w14:textId="2DC4C571" w:rsidR="00FF1714" w:rsidRPr="00385223" w:rsidRDefault="004255AF" w:rsidP="00266895">
      <w:pPr>
        <w:pStyle w:val="ListParagraph"/>
        <w:numPr>
          <w:ilvl w:val="0"/>
          <w:numId w:val="5"/>
        </w:numPr>
        <w:spacing w:before="240" w:after="240" w:line="240" w:lineRule="auto"/>
        <w:ind w:right="1267"/>
        <w:contextualSpacing w:val="0"/>
        <w:jc w:val="both"/>
      </w:pPr>
      <w:r w:rsidRPr="004255AF">
        <w:t xml:space="preserve">In addition, in line with Board decision 1999/9, a prudent level of liquidity for regular resources is equivalent to three to six months’ expenditures. UNDP maintained the year-end core liquidity position at </w:t>
      </w:r>
      <w:r w:rsidR="00F12DFA">
        <w:t xml:space="preserve">5.0 </w:t>
      </w:r>
      <w:r w:rsidRPr="004255AF">
        <w:t>months of working capital, above the minimum threshold (20</w:t>
      </w:r>
      <w:r w:rsidR="00B7560F">
        <w:t>2</w:t>
      </w:r>
      <w:r w:rsidR="00F12DFA">
        <w:t>1</w:t>
      </w:r>
      <w:r w:rsidRPr="004255AF">
        <w:t xml:space="preserve">: </w:t>
      </w:r>
      <w:r w:rsidR="00F12DFA">
        <w:t>6.</w:t>
      </w:r>
      <w:r w:rsidR="001D4973">
        <w:t>1</w:t>
      </w:r>
      <w:r w:rsidRPr="004255AF">
        <w:t xml:space="preserve"> months).</w:t>
      </w:r>
    </w:p>
    <w:bookmarkEnd w:id="424"/>
    <w:p w14:paraId="09BD5453" w14:textId="13DB55D4" w:rsidR="00DA1CB8" w:rsidRPr="00385223" w:rsidRDefault="000320CC" w:rsidP="00266895">
      <w:pPr>
        <w:pStyle w:val="ListParagraph"/>
        <w:numPr>
          <w:ilvl w:val="0"/>
          <w:numId w:val="5"/>
        </w:numPr>
        <w:spacing w:before="240" w:after="240" w:line="240" w:lineRule="auto"/>
        <w:ind w:right="1267"/>
        <w:contextualSpacing w:val="0"/>
        <w:jc w:val="both"/>
      </w:pPr>
      <w:r w:rsidRPr="00385223">
        <w:t xml:space="preserve">The attribution of the accumulated </w:t>
      </w:r>
      <w:r w:rsidR="004E26A8" w:rsidRPr="00385223">
        <w:t xml:space="preserve">balance </w:t>
      </w:r>
      <w:r w:rsidRPr="00385223">
        <w:t>to the various funding sources</w:t>
      </w:r>
      <w:r w:rsidR="00705947" w:rsidRPr="00385223">
        <w:t xml:space="preserve"> for future delivery </w:t>
      </w:r>
      <w:r w:rsidRPr="00385223">
        <w:t xml:space="preserve">is set out in </w:t>
      </w:r>
      <w:r w:rsidR="00F43855" w:rsidRPr="00385223">
        <w:t xml:space="preserve">figure </w:t>
      </w:r>
      <w:r w:rsidR="004D4DCC" w:rsidRPr="00385223">
        <w:t>VIII</w:t>
      </w:r>
      <w:r w:rsidR="001943C4" w:rsidRPr="00385223">
        <w:t xml:space="preserve"> (</w:t>
      </w:r>
      <w:r w:rsidR="00F43855" w:rsidRPr="00385223">
        <w:t>b</w:t>
      </w:r>
      <w:r w:rsidR="001943C4" w:rsidRPr="00385223">
        <w:t>)</w:t>
      </w:r>
      <w:r w:rsidR="00636AF8" w:rsidRPr="00385223">
        <w:t xml:space="preserve"> below</w:t>
      </w:r>
      <w:r w:rsidRPr="00385223">
        <w:t>.</w:t>
      </w:r>
      <w:r w:rsidR="007216F6" w:rsidRPr="00385223">
        <w:t xml:space="preserve"> </w:t>
      </w:r>
      <w:r w:rsidR="00194299" w:rsidRPr="00385223">
        <w:t xml:space="preserve"> This comprise</w:t>
      </w:r>
      <w:r w:rsidR="00D31C93">
        <w:t>s</w:t>
      </w:r>
      <w:r w:rsidR="00194299" w:rsidRPr="00385223">
        <w:t xml:space="preserve"> of donor cost-sharing </w:t>
      </w:r>
      <w:r w:rsidR="08051FD4" w:rsidRPr="00385223">
        <w:t xml:space="preserve">balance </w:t>
      </w:r>
      <w:r w:rsidR="000C48ED" w:rsidRPr="00385223">
        <w:t xml:space="preserve">of </w:t>
      </w:r>
      <w:r w:rsidR="004562C4" w:rsidRPr="00385223">
        <w:t>$</w:t>
      </w:r>
      <w:r w:rsidR="00F41D85" w:rsidRPr="00385223">
        <w:t>4.</w:t>
      </w:r>
      <w:r w:rsidR="00454FA6">
        <w:t>7</w:t>
      </w:r>
      <w:r w:rsidR="00FD5580" w:rsidRPr="00385223">
        <w:t xml:space="preserve"> billion</w:t>
      </w:r>
      <w:r w:rsidR="004562C4" w:rsidRPr="00385223">
        <w:t xml:space="preserve"> (20</w:t>
      </w:r>
      <w:r w:rsidR="003D40F8">
        <w:t>2</w:t>
      </w:r>
      <w:r w:rsidR="00FC2172">
        <w:t>1</w:t>
      </w:r>
      <w:r w:rsidR="00DF098A" w:rsidRPr="00385223">
        <w:t xml:space="preserve">: </w:t>
      </w:r>
      <w:r w:rsidR="00B0578E" w:rsidRPr="00385223">
        <w:t>$</w:t>
      </w:r>
      <w:r w:rsidR="00F41D85" w:rsidRPr="00385223">
        <w:t>4.</w:t>
      </w:r>
      <w:r w:rsidR="00FC2172">
        <w:t>4</w:t>
      </w:r>
      <w:r w:rsidR="00FD5580" w:rsidRPr="00385223">
        <w:t xml:space="preserve"> billion</w:t>
      </w:r>
      <w:r w:rsidR="005C440D" w:rsidRPr="00385223">
        <w:t>)</w:t>
      </w:r>
      <w:r w:rsidR="00BC6476" w:rsidRPr="00385223">
        <w:t>,</w:t>
      </w:r>
      <w:r w:rsidR="00632561" w:rsidRPr="00385223">
        <w:t xml:space="preserve"> vertical funds </w:t>
      </w:r>
      <w:r w:rsidR="61EF062E" w:rsidRPr="00385223">
        <w:t xml:space="preserve">balance </w:t>
      </w:r>
      <w:r w:rsidR="00632561" w:rsidRPr="00385223">
        <w:t>of $</w:t>
      </w:r>
      <w:r w:rsidR="00F41D85" w:rsidRPr="00385223">
        <w:t>3.</w:t>
      </w:r>
      <w:r w:rsidR="00454FA6">
        <w:t>4</w:t>
      </w:r>
      <w:r w:rsidR="00FD5580" w:rsidRPr="00385223">
        <w:t xml:space="preserve"> billion</w:t>
      </w:r>
      <w:r w:rsidR="00632561" w:rsidRPr="00385223">
        <w:t xml:space="preserve"> (20</w:t>
      </w:r>
      <w:r w:rsidR="003D40F8">
        <w:t>2</w:t>
      </w:r>
      <w:r w:rsidR="00FC2172">
        <w:t>1</w:t>
      </w:r>
      <w:r w:rsidR="00632561" w:rsidRPr="00385223">
        <w:t>: $</w:t>
      </w:r>
      <w:r w:rsidR="003D40F8">
        <w:t>3.</w:t>
      </w:r>
      <w:r w:rsidR="00FC2172">
        <w:t>8</w:t>
      </w:r>
      <w:r w:rsidR="00FD5580" w:rsidRPr="00385223">
        <w:t xml:space="preserve"> billion</w:t>
      </w:r>
      <w:r w:rsidR="00632561" w:rsidRPr="00385223">
        <w:t>),</w:t>
      </w:r>
      <w:r w:rsidR="00CB6E74" w:rsidRPr="00385223">
        <w:t xml:space="preserve"> </w:t>
      </w:r>
      <w:r w:rsidR="00D36EFD" w:rsidRPr="00385223">
        <w:t>programme cost-sharing</w:t>
      </w:r>
      <w:r w:rsidR="7636703D" w:rsidRPr="00385223">
        <w:t xml:space="preserve"> balance </w:t>
      </w:r>
      <w:r w:rsidR="006A7517" w:rsidRPr="00385223">
        <w:t>of $</w:t>
      </w:r>
      <w:r w:rsidR="0003036C" w:rsidRPr="00385223">
        <w:t>1.</w:t>
      </w:r>
      <w:r w:rsidR="003D40F8">
        <w:t>1</w:t>
      </w:r>
      <w:r w:rsidR="006A7517" w:rsidRPr="00385223">
        <w:t xml:space="preserve"> </w:t>
      </w:r>
      <w:r w:rsidR="0003036C" w:rsidRPr="00385223">
        <w:t>b</w:t>
      </w:r>
      <w:r w:rsidR="006A7517" w:rsidRPr="00385223">
        <w:t>illion (</w:t>
      </w:r>
      <w:r w:rsidR="003D40F8" w:rsidRPr="00385223">
        <w:t>20</w:t>
      </w:r>
      <w:r w:rsidR="003D40F8">
        <w:t>2</w:t>
      </w:r>
      <w:r w:rsidR="00FC2172">
        <w:t>1</w:t>
      </w:r>
      <w:r w:rsidR="003D40F8" w:rsidRPr="00385223">
        <w:t>: $</w:t>
      </w:r>
      <w:r w:rsidR="003D40F8">
        <w:t>1.</w:t>
      </w:r>
      <w:r w:rsidR="00FC2172">
        <w:t>1</w:t>
      </w:r>
      <w:r w:rsidR="003D40F8" w:rsidRPr="00385223">
        <w:t xml:space="preserve"> billion</w:t>
      </w:r>
      <w:r w:rsidR="006A7517" w:rsidRPr="00385223">
        <w:t>),</w:t>
      </w:r>
      <w:r w:rsidR="00CA3BB9" w:rsidRPr="00385223">
        <w:t xml:space="preserve"> </w:t>
      </w:r>
      <w:r w:rsidR="00693BA3" w:rsidRPr="00385223">
        <w:t>regular resources balance of $</w:t>
      </w:r>
      <w:r w:rsidR="00454FA6">
        <w:t>784</w:t>
      </w:r>
      <w:r w:rsidR="00693BA3" w:rsidRPr="00385223">
        <w:t xml:space="preserve"> million (20</w:t>
      </w:r>
      <w:r w:rsidR="00693BA3">
        <w:t>2</w:t>
      </w:r>
      <w:r w:rsidR="00FC2172">
        <w:t>1</w:t>
      </w:r>
      <w:r w:rsidR="00693BA3" w:rsidRPr="00385223">
        <w:t>: $</w:t>
      </w:r>
      <w:r w:rsidR="00FC2172">
        <w:t>873</w:t>
      </w:r>
      <w:r w:rsidR="00693BA3" w:rsidRPr="00385223">
        <w:t xml:space="preserve"> million),</w:t>
      </w:r>
      <w:r w:rsidR="00693BA3">
        <w:t xml:space="preserve"> </w:t>
      </w:r>
      <w:r w:rsidR="00CB1909" w:rsidRPr="00385223">
        <w:t>trust funds balance of $</w:t>
      </w:r>
      <w:r w:rsidR="003D40F8">
        <w:t>6</w:t>
      </w:r>
      <w:r w:rsidR="00454FA6">
        <w:t xml:space="preserve">53 </w:t>
      </w:r>
      <w:r w:rsidR="00CB1909" w:rsidRPr="00385223">
        <w:t>million (20</w:t>
      </w:r>
      <w:r w:rsidR="003D40F8">
        <w:t>2</w:t>
      </w:r>
      <w:r w:rsidR="00FC2172">
        <w:t>1</w:t>
      </w:r>
      <w:r w:rsidR="00CB1909" w:rsidRPr="00385223">
        <w:t>: $</w:t>
      </w:r>
      <w:r w:rsidR="00FC2172">
        <w:t>603</w:t>
      </w:r>
      <w:r w:rsidR="00CB1909" w:rsidRPr="00385223">
        <w:t xml:space="preserve"> million), </w:t>
      </w:r>
      <w:r w:rsidR="00AB2D7E" w:rsidRPr="00385223">
        <w:t xml:space="preserve">and </w:t>
      </w:r>
      <w:r w:rsidR="00626C31" w:rsidRPr="00385223">
        <w:t xml:space="preserve">reimbursable support services </w:t>
      </w:r>
      <w:r w:rsidR="5D29570F" w:rsidRPr="00385223">
        <w:t xml:space="preserve">balance </w:t>
      </w:r>
      <w:r w:rsidR="00626C31" w:rsidRPr="00385223">
        <w:t>of $</w:t>
      </w:r>
      <w:r w:rsidR="00454FA6">
        <w:t>774</w:t>
      </w:r>
      <w:r w:rsidR="00626C31" w:rsidRPr="00385223">
        <w:t xml:space="preserve"> million (20</w:t>
      </w:r>
      <w:r w:rsidR="003D40F8">
        <w:t>2</w:t>
      </w:r>
      <w:r w:rsidR="00FC2172">
        <w:t>1</w:t>
      </w:r>
      <w:r w:rsidR="00626C31" w:rsidRPr="00385223">
        <w:t>: $</w:t>
      </w:r>
      <w:r w:rsidR="00652C1C" w:rsidRPr="00385223">
        <w:t>5</w:t>
      </w:r>
      <w:r w:rsidR="00FC2172">
        <w:t>72</w:t>
      </w:r>
      <w:r w:rsidR="00626C31" w:rsidRPr="00385223">
        <w:t xml:space="preserve"> million)</w:t>
      </w:r>
      <w:r w:rsidR="00AB2D7E" w:rsidRPr="00385223">
        <w:t>.</w:t>
      </w:r>
      <w:r w:rsidR="00626C31" w:rsidRPr="00385223">
        <w:t xml:space="preserve"> </w:t>
      </w:r>
    </w:p>
    <w:p w14:paraId="33D36C71" w14:textId="08359899" w:rsidR="00F833DE" w:rsidRPr="00507534" w:rsidRDefault="00FA309C" w:rsidP="007A712B">
      <w:pPr>
        <w:keepNext/>
        <w:tabs>
          <w:tab w:val="left" w:pos="1267"/>
          <w:tab w:val="left" w:pos="1620"/>
          <w:tab w:val="left" w:pos="2218"/>
          <w:tab w:val="left" w:pos="2693"/>
          <w:tab w:val="left" w:pos="3182"/>
          <w:tab w:val="left" w:pos="3658"/>
          <w:tab w:val="left" w:pos="4133"/>
          <w:tab w:val="left" w:pos="4622"/>
          <w:tab w:val="left" w:pos="5098"/>
          <w:tab w:val="left" w:pos="5573"/>
          <w:tab w:val="left" w:pos="6048"/>
        </w:tabs>
        <w:ind w:left="1526" w:right="1267"/>
        <w:jc w:val="center"/>
      </w:pPr>
      <w:r w:rsidRPr="00106C4A">
        <w:rPr>
          <w:b/>
        </w:rPr>
        <w:lastRenderedPageBreak/>
        <w:t xml:space="preserve">Figure </w:t>
      </w:r>
      <w:r w:rsidR="004D4DCC" w:rsidRPr="00106C4A">
        <w:rPr>
          <w:b/>
        </w:rPr>
        <w:t>VIII</w:t>
      </w:r>
      <w:r w:rsidR="001943C4" w:rsidRPr="00106C4A">
        <w:rPr>
          <w:b/>
        </w:rPr>
        <w:t xml:space="preserve"> (</w:t>
      </w:r>
      <w:r w:rsidRPr="00106C4A">
        <w:rPr>
          <w:b/>
        </w:rPr>
        <w:t>b</w:t>
      </w:r>
      <w:r w:rsidR="001943C4" w:rsidRPr="00106C4A">
        <w:rPr>
          <w:b/>
        </w:rPr>
        <w:t>)</w:t>
      </w:r>
      <w:r w:rsidRPr="00106C4A">
        <w:rPr>
          <w:b/>
        </w:rPr>
        <w:t xml:space="preserve">. </w:t>
      </w:r>
      <w:r w:rsidR="00F833DE" w:rsidRPr="00106C4A">
        <w:rPr>
          <w:b/>
        </w:rPr>
        <w:t xml:space="preserve">Accumulated balance by funding source, </w:t>
      </w:r>
      <w:r w:rsidR="006E4D35" w:rsidRPr="00106C4A">
        <w:rPr>
          <w:b/>
        </w:rPr>
        <w:t>20</w:t>
      </w:r>
      <w:r w:rsidR="003371B0" w:rsidRPr="00106C4A">
        <w:rPr>
          <w:b/>
        </w:rPr>
        <w:t>2</w:t>
      </w:r>
      <w:r w:rsidR="00C6522E">
        <w:rPr>
          <w:b/>
        </w:rPr>
        <w:t>1</w:t>
      </w:r>
      <w:r w:rsidR="006E4D35" w:rsidRPr="00106C4A">
        <w:rPr>
          <w:b/>
        </w:rPr>
        <w:t>-202</w:t>
      </w:r>
      <w:r w:rsidR="00C6522E">
        <w:rPr>
          <w:b/>
        </w:rPr>
        <w:t>2</w:t>
      </w:r>
    </w:p>
    <w:p w14:paraId="4D22BED2" w14:textId="7B415BA0" w:rsidR="006963D6" w:rsidRDefault="00F833DE" w:rsidP="00106C4A">
      <w:pPr>
        <w:pStyle w:val="SingleTxt"/>
        <w:keepNext/>
        <w:tabs>
          <w:tab w:val="clear" w:pos="1742"/>
          <w:tab w:val="left" w:pos="1620"/>
        </w:tabs>
        <w:spacing w:after="0" w:line="240" w:lineRule="auto"/>
        <w:ind w:left="1526"/>
        <w:jc w:val="center"/>
        <w:rPr>
          <w:i/>
          <w:iCs/>
          <w:sz w:val="18"/>
          <w:szCs w:val="18"/>
        </w:rPr>
      </w:pPr>
      <w:r w:rsidRPr="008026DC">
        <w:rPr>
          <w:i/>
          <w:iCs/>
          <w:sz w:val="18"/>
          <w:szCs w:val="18"/>
        </w:rPr>
        <w:t xml:space="preserve"> </w:t>
      </w:r>
      <w:r w:rsidRPr="008026DC">
        <w:rPr>
          <w:i/>
          <w:iCs/>
          <w:sz w:val="18"/>
          <w:szCs w:val="18"/>
        </w:rPr>
        <w:tab/>
        <w:t>(</w:t>
      </w:r>
      <w:r w:rsidR="00106C4A" w:rsidRPr="008026DC">
        <w:rPr>
          <w:i/>
          <w:iCs/>
          <w:sz w:val="18"/>
          <w:szCs w:val="18"/>
        </w:rPr>
        <w:t>In</w:t>
      </w:r>
      <w:r w:rsidRPr="008026DC">
        <w:rPr>
          <w:i/>
          <w:iCs/>
          <w:sz w:val="18"/>
          <w:szCs w:val="18"/>
        </w:rPr>
        <w:t xml:space="preserve"> millions of United States dollars)</w:t>
      </w:r>
    </w:p>
    <w:p w14:paraId="24D298C2" w14:textId="77777777" w:rsidR="008D4967" w:rsidRDefault="008D4967" w:rsidP="00106C4A">
      <w:pPr>
        <w:pStyle w:val="SingleTxt"/>
        <w:keepNext/>
        <w:tabs>
          <w:tab w:val="clear" w:pos="1742"/>
          <w:tab w:val="left" w:pos="1620"/>
        </w:tabs>
        <w:spacing w:after="0" w:line="240" w:lineRule="auto"/>
        <w:ind w:left="1526"/>
        <w:jc w:val="center"/>
        <w:rPr>
          <w:i/>
          <w:iCs/>
          <w:sz w:val="18"/>
          <w:szCs w:val="18"/>
        </w:rPr>
      </w:pPr>
    </w:p>
    <w:p w14:paraId="391E8557" w14:textId="66AF2FB1" w:rsidR="00106C4A" w:rsidRDefault="008D4967" w:rsidP="008D4967">
      <w:pPr>
        <w:pStyle w:val="SingleTxt"/>
        <w:keepNext/>
        <w:tabs>
          <w:tab w:val="clear" w:pos="1742"/>
          <w:tab w:val="left" w:pos="1620"/>
        </w:tabs>
        <w:spacing w:after="0" w:line="240" w:lineRule="auto"/>
        <w:ind w:left="1526"/>
        <w:jc w:val="center"/>
        <w:rPr>
          <w:i/>
          <w:iCs/>
        </w:rPr>
      </w:pPr>
      <w:r>
        <w:rPr>
          <w:noProof/>
        </w:rPr>
        <w:drawing>
          <wp:inline distT="0" distB="0" distL="0" distR="0" wp14:anchorId="13D87C47" wp14:editId="5F36C16F">
            <wp:extent cx="4838700" cy="2001982"/>
            <wp:effectExtent l="0" t="0" r="0" b="17780"/>
            <wp:docPr id="549830281" name="Chart 1">
              <a:extLst xmlns:a="http://schemas.openxmlformats.org/drawingml/2006/main">
                <a:ext uri="{FF2B5EF4-FFF2-40B4-BE49-F238E27FC236}">
                  <a16:creationId xmlns:a16="http://schemas.microsoft.com/office/drawing/2014/main" id="{97F08FE2-E85E-4A27-B80B-662C91A9C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19A136C" w14:textId="2EF39DD3" w:rsidR="00DA1CB8" w:rsidRPr="00C353DA" w:rsidRDefault="00ED63EF" w:rsidP="00266895">
      <w:pPr>
        <w:pStyle w:val="ListParagraph"/>
        <w:numPr>
          <w:ilvl w:val="0"/>
          <w:numId w:val="5"/>
        </w:numPr>
        <w:spacing w:before="240" w:after="240" w:line="240" w:lineRule="auto"/>
        <w:ind w:right="1267"/>
        <w:contextualSpacing w:val="0"/>
        <w:jc w:val="both"/>
      </w:pPr>
      <w:bookmarkStart w:id="425" w:name="_Hlk517100525"/>
      <w:r w:rsidRPr="00C353DA">
        <w:t xml:space="preserve">Accumulated resources of vertical funds </w:t>
      </w:r>
      <w:r w:rsidR="005B21FB" w:rsidRPr="00C353DA">
        <w:t>de</w:t>
      </w:r>
      <w:r w:rsidRPr="00C353DA">
        <w:t>creased by $</w:t>
      </w:r>
      <w:r w:rsidR="001C6FE5" w:rsidRPr="00C353DA">
        <w:t>3</w:t>
      </w:r>
      <w:r w:rsidR="005B21FB" w:rsidRPr="00C353DA">
        <w:t>4</w:t>
      </w:r>
      <w:r w:rsidR="001C6FE5" w:rsidRPr="00C353DA">
        <w:t>1</w:t>
      </w:r>
      <w:r w:rsidRPr="00C353DA">
        <w:t xml:space="preserve"> million</w:t>
      </w:r>
      <w:r w:rsidR="00343B9F" w:rsidRPr="00C353DA">
        <w:t xml:space="preserve"> is mainly due to </w:t>
      </w:r>
      <w:r w:rsidR="00222F7E">
        <w:t xml:space="preserve">a combination of </w:t>
      </w:r>
      <w:r w:rsidR="001E0AD6" w:rsidRPr="00C353DA">
        <w:t>multi-year contribution agreements</w:t>
      </w:r>
      <w:r w:rsidR="00343B9F" w:rsidRPr="00C353DA">
        <w:t xml:space="preserve"> reduction</w:t>
      </w:r>
      <w:r w:rsidR="00222F7E">
        <w:t xml:space="preserve"> and expenses increase</w:t>
      </w:r>
      <w:r w:rsidR="001E0AD6" w:rsidRPr="00C353DA">
        <w:t xml:space="preserve"> from the </w:t>
      </w:r>
      <w:r w:rsidR="00C353DA" w:rsidRPr="00C353DA">
        <w:t xml:space="preserve">Global Fund and </w:t>
      </w:r>
      <w:r w:rsidR="001E0AD6" w:rsidRPr="00C353DA">
        <w:t>Green Climate Fund</w:t>
      </w:r>
      <w:r w:rsidR="00222F7E">
        <w:t xml:space="preserve"> although </w:t>
      </w:r>
      <w:r w:rsidR="002D3463">
        <w:t xml:space="preserve">Global Environment fund increased </w:t>
      </w:r>
      <w:r w:rsidR="00222F7E">
        <w:t xml:space="preserve">its </w:t>
      </w:r>
      <w:r w:rsidR="002D3463" w:rsidRPr="00C353DA">
        <w:t>multi-year contribution agreements</w:t>
      </w:r>
      <w:r w:rsidR="002D3463">
        <w:t xml:space="preserve"> of $156 million</w:t>
      </w:r>
      <w:r w:rsidR="00222F7E">
        <w:t xml:space="preserve"> in 2022</w:t>
      </w:r>
      <w:r w:rsidR="002D3463">
        <w:t xml:space="preserve">. </w:t>
      </w:r>
      <w:r w:rsidR="00DA1CB8" w:rsidRPr="00C353DA">
        <w:t xml:space="preserve">Accumulated resources </w:t>
      </w:r>
      <w:r w:rsidR="008A32D3" w:rsidRPr="00C353DA">
        <w:t xml:space="preserve">of </w:t>
      </w:r>
      <w:r w:rsidR="00DA1CB8" w:rsidRPr="00C353DA">
        <w:t xml:space="preserve">donor cost-sharing </w:t>
      </w:r>
      <w:r w:rsidR="00964681" w:rsidRPr="00C353DA">
        <w:t>in</w:t>
      </w:r>
      <w:r w:rsidR="00DA1CB8" w:rsidRPr="00C353DA">
        <w:t>creased by $</w:t>
      </w:r>
      <w:r w:rsidR="004A2BAF" w:rsidRPr="00C353DA">
        <w:t>2</w:t>
      </w:r>
      <w:r w:rsidR="006C5469" w:rsidRPr="00C353DA">
        <w:t>93</w:t>
      </w:r>
      <w:r w:rsidR="00DA1CB8" w:rsidRPr="00C353DA">
        <w:t xml:space="preserve"> million</w:t>
      </w:r>
      <w:r w:rsidR="005B3885" w:rsidRPr="00C353DA">
        <w:t xml:space="preserve">. </w:t>
      </w:r>
      <w:r w:rsidR="009578BB" w:rsidRPr="00C353DA">
        <w:t xml:space="preserve"> </w:t>
      </w:r>
    </w:p>
    <w:p w14:paraId="57C0280B" w14:textId="34931546" w:rsidR="00E605A4" w:rsidRPr="00B80473" w:rsidRDefault="00E605A4" w:rsidP="005F648C">
      <w:pPr>
        <w:pStyle w:val="HCh"/>
        <w:numPr>
          <w:ilvl w:val="0"/>
          <w:numId w:val="13"/>
        </w:numPr>
        <w:spacing w:before="360" w:after="240" w:line="240" w:lineRule="auto"/>
        <w:ind w:right="1267"/>
      </w:pPr>
      <w:bookmarkStart w:id="426" w:name="_Toc46221154"/>
      <w:bookmarkStart w:id="427" w:name="_Toc139289154"/>
      <w:bookmarkEnd w:id="426"/>
      <w:r w:rsidRPr="00B80473">
        <w:t>Others</w:t>
      </w:r>
      <w:bookmarkEnd w:id="427"/>
    </w:p>
    <w:p w14:paraId="315C324C" w14:textId="24BE0787" w:rsidR="005C7045" w:rsidRPr="000E57AE" w:rsidRDefault="005C7045" w:rsidP="009E5F63">
      <w:pPr>
        <w:pStyle w:val="H4"/>
        <w:tabs>
          <w:tab w:val="clear" w:pos="1267"/>
          <w:tab w:val="clear" w:pos="1742"/>
          <w:tab w:val="left" w:pos="1260"/>
          <w:tab w:val="left" w:pos="1440"/>
          <w:tab w:val="left" w:pos="1620"/>
        </w:tabs>
        <w:spacing w:before="240" w:after="240" w:line="240" w:lineRule="auto"/>
        <w:ind w:left="1008" w:firstLine="0"/>
        <w:outlineLvl w:val="2"/>
      </w:pPr>
      <w:bookmarkStart w:id="428" w:name="_Toc39596268"/>
      <w:bookmarkStart w:id="429" w:name="_Toc40281219"/>
      <w:bookmarkStart w:id="430" w:name="_Toc40281378"/>
      <w:bookmarkStart w:id="431" w:name="_Toc44499898"/>
      <w:bookmarkStart w:id="432" w:name="_Toc44603246"/>
      <w:bookmarkStart w:id="433" w:name="_Toc44606559"/>
      <w:bookmarkStart w:id="434" w:name="_Toc45297443"/>
      <w:bookmarkStart w:id="435" w:name="_Toc46221156"/>
      <w:bookmarkStart w:id="436" w:name="_Toc46399220"/>
      <w:bookmarkStart w:id="437" w:name="_Toc75466856"/>
      <w:bookmarkStart w:id="438" w:name="_Toc139289047"/>
      <w:bookmarkStart w:id="439" w:name="_Toc139289155"/>
      <w:r w:rsidRPr="009C3B04">
        <w:t>Management service agreements</w:t>
      </w:r>
      <w:bookmarkEnd w:id="428"/>
      <w:bookmarkEnd w:id="429"/>
      <w:bookmarkEnd w:id="430"/>
      <w:bookmarkEnd w:id="431"/>
      <w:bookmarkEnd w:id="432"/>
      <w:bookmarkEnd w:id="433"/>
      <w:bookmarkEnd w:id="434"/>
      <w:bookmarkEnd w:id="435"/>
      <w:bookmarkEnd w:id="436"/>
      <w:bookmarkEnd w:id="437"/>
      <w:bookmarkEnd w:id="438"/>
      <w:bookmarkEnd w:id="439"/>
    </w:p>
    <w:p w14:paraId="27BE43B4" w14:textId="19839331" w:rsidR="00E605A4" w:rsidRPr="000E57AE" w:rsidRDefault="00280F6F" w:rsidP="00266895">
      <w:pPr>
        <w:pStyle w:val="ListParagraph"/>
        <w:numPr>
          <w:ilvl w:val="0"/>
          <w:numId w:val="5"/>
        </w:numPr>
        <w:spacing w:before="240" w:after="240" w:line="240" w:lineRule="auto"/>
        <w:ind w:right="1267"/>
        <w:contextualSpacing w:val="0"/>
        <w:jc w:val="both"/>
      </w:pPr>
      <w:r w:rsidRPr="000E57AE">
        <w:t>Management service agreement</w:t>
      </w:r>
      <w:r w:rsidR="00E605A4" w:rsidRPr="000E57AE">
        <w:t xml:space="preserve"> </w:t>
      </w:r>
      <w:r w:rsidR="00473885" w:rsidRPr="000E57AE">
        <w:t xml:space="preserve">contributions </w:t>
      </w:r>
      <w:r w:rsidR="00D55C60" w:rsidRPr="00266895">
        <w:t xml:space="preserve">totalled </w:t>
      </w:r>
      <w:r w:rsidR="0059003A" w:rsidRPr="00266895">
        <w:t>-</w:t>
      </w:r>
      <w:r w:rsidR="00473885" w:rsidRPr="00266895">
        <w:t>$</w:t>
      </w:r>
      <w:r w:rsidR="00BB460A">
        <w:t>13</w:t>
      </w:r>
      <w:r w:rsidR="00473885" w:rsidRPr="00266895">
        <w:t xml:space="preserve"> million</w:t>
      </w:r>
      <w:r w:rsidR="00473885" w:rsidRPr="000E57AE">
        <w:t xml:space="preserve"> (20</w:t>
      </w:r>
      <w:r w:rsidR="00D32AF7">
        <w:t>2</w:t>
      </w:r>
      <w:r w:rsidR="00BB460A">
        <w:t>1</w:t>
      </w:r>
      <w:r w:rsidR="00473885" w:rsidRPr="000E57AE">
        <w:t xml:space="preserve">: </w:t>
      </w:r>
      <w:r w:rsidR="00D32AF7">
        <w:t>-</w:t>
      </w:r>
      <w:r w:rsidR="00473885" w:rsidRPr="000E57AE">
        <w:t>$</w:t>
      </w:r>
      <w:r w:rsidR="00BB460A">
        <w:t>4</w:t>
      </w:r>
      <w:r w:rsidR="00D668B8" w:rsidRPr="000E57AE">
        <w:t> </w:t>
      </w:r>
      <w:r w:rsidR="00473885" w:rsidRPr="000E57AE">
        <w:t>million)</w:t>
      </w:r>
      <w:r w:rsidR="006A2FF4">
        <w:t>, t</w:t>
      </w:r>
      <w:r w:rsidR="00EC0DD7" w:rsidRPr="000E57AE">
        <w:t>otal expenses registered $</w:t>
      </w:r>
      <w:r w:rsidR="00071734">
        <w:t>1</w:t>
      </w:r>
      <w:r w:rsidR="00EC0DD7" w:rsidRPr="000E57AE">
        <w:t xml:space="preserve"> million (</w:t>
      </w:r>
      <w:r w:rsidR="003107FC" w:rsidRPr="000E57AE">
        <w:t>20</w:t>
      </w:r>
      <w:r w:rsidR="00D32AF7">
        <w:t>2</w:t>
      </w:r>
      <w:r w:rsidR="00071734">
        <w:t>1</w:t>
      </w:r>
      <w:r w:rsidR="00EC0DD7" w:rsidRPr="000E57AE">
        <w:t>: $</w:t>
      </w:r>
      <w:r w:rsidR="00071734">
        <w:t>6</w:t>
      </w:r>
      <w:r w:rsidR="00D55C60">
        <w:t> </w:t>
      </w:r>
      <w:r w:rsidR="00EC0DD7" w:rsidRPr="000E57AE">
        <w:t>million), and t</w:t>
      </w:r>
      <w:r w:rsidR="00E605A4" w:rsidRPr="000E57AE">
        <w:t xml:space="preserve">he accumulated </w:t>
      </w:r>
      <w:r w:rsidR="006E416A">
        <w:t>balance</w:t>
      </w:r>
      <w:r w:rsidR="00CC08CF">
        <w:t xml:space="preserve"> further</w:t>
      </w:r>
      <w:r w:rsidR="00E605A4" w:rsidRPr="000E57AE">
        <w:t xml:space="preserve"> </w:t>
      </w:r>
      <w:r w:rsidR="00FA0169">
        <w:t>decreased</w:t>
      </w:r>
      <w:r w:rsidR="00F91DFA" w:rsidRPr="000E57AE">
        <w:t xml:space="preserve"> </w:t>
      </w:r>
      <w:r w:rsidR="007B1A9F" w:rsidRPr="000E57AE">
        <w:t xml:space="preserve">to </w:t>
      </w:r>
      <w:r w:rsidR="00E605A4" w:rsidRPr="000E57AE">
        <w:t>$</w:t>
      </w:r>
      <w:r w:rsidR="00A47660">
        <w:t>12</w:t>
      </w:r>
      <w:r w:rsidR="00E605A4" w:rsidRPr="000E57AE">
        <w:t xml:space="preserve"> million (</w:t>
      </w:r>
      <w:r w:rsidR="003107FC" w:rsidRPr="000E57AE">
        <w:t>20</w:t>
      </w:r>
      <w:r w:rsidR="00CC08CF">
        <w:t>2</w:t>
      </w:r>
      <w:r w:rsidR="00A47660">
        <w:t>1</w:t>
      </w:r>
      <w:r w:rsidR="00E605A4" w:rsidRPr="000E57AE">
        <w:t>: $</w:t>
      </w:r>
      <w:r w:rsidR="00A47660">
        <w:t>2</w:t>
      </w:r>
      <w:r w:rsidR="00CC08CF">
        <w:t>4</w:t>
      </w:r>
      <w:r w:rsidR="00D55C60">
        <w:t> </w:t>
      </w:r>
      <w:r w:rsidR="00E605A4" w:rsidRPr="000E57AE">
        <w:t>million).</w:t>
      </w:r>
      <w:r w:rsidR="004A42B4" w:rsidRPr="000E57AE">
        <w:t xml:space="preserve"> </w:t>
      </w:r>
      <w:r w:rsidR="00045485">
        <w:t>D</w:t>
      </w:r>
      <w:r w:rsidR="004A42B4">
        <w:t xml:space="preserve">etails </w:t>
      </w:r>
      <w:r w:rsidR="00045485">
        <w:t xml:space="preserve">are provided </w:t>
      </w:r>
      <w:r w:rsidR="004A42B4">
        <w:t xml:space="preserve">in </w:t>
      </w:r>
      <w:r w:rsidR="00D55C60">
        <w:t xml:space="preserve">document </w:t>
      </w:r>
      <w:r w:rsidR="00B02629">
        <w:t>Appendix VI</w:t>
      </w:r>
      <w:r w:rsidR="009F5294">
        <w:t>I</w:t>
      </w:r>
      <w:r w:rsidR="00B02629">
        <w:t xml:space="preserve"> to Annex I to </w:t>
      </w:r>
      <w:hyperlink r:id="rId30">
        <w:r w:rsidR="004A42B4">
          <w:t>DP/20</w:t>
        </w:r>
        <w:r w:rsidR="00C6614C">
          <w:t>2</w:t>
        </w:r>
        <w:r w:rsidR="00B313A2">
          <w:t>3</w:t>
        </w:r>
        <w:r w:rsidR="004A42B4">
          <w:t>/</w:t>
        </w:r>
        <w:r w:rsidR="00B313A2">
          <w:t>26</w:t>
        </w:r>
      </w:hyperlink>
      <w:r w:rsidR="004A42B4">
        <w:t>.</w:t>
      </w:r>
    </w:p>
    <w:p w14:paraId="493809A3" w14:textId="3162B77D" w:rsidR="00E605A4" w:rsidRPr="000E57AE" w:rsidRDefault="00E605A4" w:rsidP="009E5F63">
      <w:pPr>
        <w:pStyle w:val="H4"/>
        <w:tabs>
          <w:tab w:val="clear" w:pos="1267"/>
          <w:tab w:val="clear" w:pos="1742"/>
          <w:tab w:val="left" w:pos="1260"/>
          <w:tab w:val="left" w:pos="1440"/>
          <w:tab w:val="left" w:pos="1620"/>
        </w:tabs>
        <w:spacing w:before="240" w:after="240" w:line="240" w:lineRule="auto"/>
        <w:ind w:left="1008" w:firstLine="0"/>
        <w:outlineLvl w:val="2"/>
      </w:pPr>
      <w:bookmarkStart w:id="440" w:name="_Toc39596269"/>
      <w:bookmarkStart w:id="441" w:name="_Toc40281220"/>
      <w:bookmarkStart w:id="442" w:name="_Toc40281379"/>
      <w:bookmarkStart w:id="443" w:name="_Toc44499899"/>
      <w:bookmarkStart w:id="444" w:name="_Toc44603247"/>
      <w:bookmarkStart w:id="445" w:name="_Toc44606560"/>
      <w:bookmarkStart w:id="446" w:name="_Toc45297444"/>
      <w:bookmarkStart w:id="447" w:name="_Toc46221157"/>
      <w:bookmarkStart w:id="448" w:name="_Toc46399221"/>
      <w:bookmarkStart w:id="449" w:name="_Toc75466857"/>
      <w:bookmarkStart w:id="450" w:name="_Toc139289048"/>
      <w:bookmarkStart w:id="451" w:name="_Toc139289156"/>
      <w:bookmarkEnd w:id="425"/>
      <w:r w:rsidRPr="000E57AE">
        <w:t>United Nations Volunteers</w:t>
      </w:r>
      <w:bookmarkEnd w:id="440"/>
      <w:bookmarkEnd w:id="441"/>
      <w:bookmarkEnd w:id="442"/>
      <w:bookmarkEnd w:id="443"/>
      <w:bookmarkEnd w:id="444"/>
      <w:bookmarkEnd w:id="445"/>
      <w:bookmarkEnd w:id="446"/>
      <w:bookmarkEnd w:id="447"/>
      <w:bookmarkEnd w:id="448"/>
      <w:bookmarkEnd w:id="449"/>
      <w:bookmarkEnd w:id="450"/>
      <w:bookmarkEnd w:id="451"/>
    </w:p>
    <w:p w14:paraId="5C7A076B" w14:textId="01B802A1" w:rsidR="00FD27DB" w:rsidRPr="00ED422C" w:rsidRDefault="00FD27DB" w:rsidP="00FD27DB">
      <w:pPr>
        <w:pStyle w:val="ListParagraph"/>
        <w:numPr>
          <w:ilvl w:val="0"/>
          <w:numId w:val="5"/>
        </w:numPr>
        <w:spacing w:before="240" w:after="240" w:line="240" w:lineRule="auto"/>
        <w:ind w:right="1267"/>
        <w:contextualSpacing w:val="0"/>
        <w:jc w:val="both"/>
      </w:pPr>
      <w:r w:rsidRPr="00ED422C">
        <w:t xml:space="preserve">In 2022, the financial value of UNV activities totalled $287.6 million, an increase of $17.6 million, or </w:t>
      </w:r>
      <w:r>
        <w:t>7</w:t>
      </w:r>
      <w:r w:rsidRPr="00ED422C">
        <w:t xml:space="preserve"> per cent, from $270 million in 2021, mainly reflecting an increase in volunteer mobilization by </w:t>
      </w:r>
      <w:r>
        <w:t>UN</w:t>
      </w:r>
      <w:r w:rsidRPr="00ED422C">
        <w:t xml:space="preserve"> agencies, funds and programmes. </w:t>
      </w:r>
    </w:p>
    <w:p w14:paraId="507B8310" w14:textId="4F4684E0" w:rsidR="00FD27DB" w:rsidRPr="00ED422C" w:rsidRDefault="00FD27DB" w:rsidP="00FD27DB">
      <w:pPr>
        <w:pStyle w:val="ListParagraph"/>
        <w:numPr>
          <w:ilvl w:val="0"/>
          <w:numId w:val="5"/>
        </w:numPr>
        <w:spacing w:before="240" w:after="240" w:line="240" w:lineRule="auto"/>
        <w:ind w:right="1267"/>
        <w:contextualSpacing w:val="0"/>
        <w:jc w:val="both"/>
      </w:pPr>
      <w:r w:rsidRPr="00ED422C">
        <w:t>Thanks to its focus on operational efficiencies</w:t>
      </w:r>
      <w:r>
        <w:t xml:space="preserve"> and </w:t>
      </w:r>
      <w:r w:rsidRPr="00ED422C">
        <w:t>customiz</w:t>
      </w:r>
      <w:r>
        <w:t>ation of</w:t>
      </w:r>
      <w:r w:rsidRPr="00ED422C">
        <w:t xml:space="preserve"> UNV services to specific partner and country contexts</w:t>
      </w:r>
      <w:r w:rsidR="00A63551">
        <w:t>,</w:t>
      </w:r>
      <w:r>
        <w:t xml:space="preserve"> </w:t>
      </w:r>
      <w:r w:rsidRPr="00ED422C">
        <w:t xml:space="preserve">UNV managed to maintain the recurring cost-recovery rate at 13 per cent. In line with the Strategic Framework target for achieving improved operational results, UNV will continue to focus on streamlining its services and procedures, with a view to improving the experiences of volunteers and partner entities, while achieving further efficiency gains by the end of 2025. </w:t>
      </w:r>
    </w:p>
    <w:p w14:paraId="2D5FEBEF" w14:textId="5F44790A" w:rsidR="00FD27DB" w:rsidRPr="00ED422C" w:rsidRDefault="00FD27DB" w:rsidP="00FD27DB">
      <w:pPr>
        <w:pStyle w:val="ListParagraph"/>
        <w:numPr>
          <w:ilvl w:val="0"/>
          <w:numId w:val="5"/>
        </w:numPr>
        <w:spacing w:before="240" w:after="240" w:line="240" w:lineRule="auto"/>
        <w:ind w:right="1267"/>
        <w:contextualSpacing w:val="0"/>
        <w:jc w:val="both"/>
      </w:pPr>
      <w:r w:rsidRPr="00ED422C">
        <w:t>In 2022, Member States contributed regular resources amounting to $8.8 million to UNV through UNDP.</w:t>
      </w:r>
    </w:p>
    <w:p w14:paraId="53EAF19C" w14:textId="60C791BA" w:rsidR="00FD27DB" w:rsidRPr="00ED422C" w:rsidRDefault="00FD27DB" w:rsidP="00FD27DB">
      <w:pPr>
        <w:pStyle w:val="ListParagraph"/>
        <w:numPr>
          <w:ilvl w:val="0"/>
          <w:numId w:val="5"/>
        </w:numPr>
        <w:spacing w:before="240" w:after="240" w:line="240" w:lineRule="auto"/>
        <w:ind w:right="1267"/>
        <w:contextualSpacing w:val="0"/>
        <w:jc w:val="both"/>
      </w:pPr>
      <w:r w:rsidRPr="00ED422C">
        <w:t xml:space="preserve">UNV continues to rely on the Special Voluntary Fund for research and promotion of volunteerism, emergency and crisis response and innovative solutions. In 2022, contributions to the fund totalled $5.2 million from ten </w:t>
      </w:r>
      <w:r w:rsidR="00C5713B" w:rsidRPr="00ED422C">
        <w:t>donors</w:t>
      </w:r>
      <w:r w:rsidR="00C5713B">
        <w:t>:</w:t>
      </w:r>
      <w:r>
        <w:t xml:space="preserve"> </w:t>
      </w:r>
      <w:r w:rsidRPr="00ED422C">
        <w:t xml:space="preserve">China, Czechia, France, Germany, India, Ireland, Kazakhstan, Sweden, Switzerland and Thailand – as well as from individual donations through the Digital Giving platform. </w:t>
      </w:r>
    </w:p>
    <w:p w14:paraId="7743D9F1" w14:textId="14506DB0" w:rsidR="00FD27DB" w:rsidRPr="00ED422C" w:rsidRDefault="00FD27DB" w:rsidP="00FD27DB">
      <w:pPr>
        <w:pStyle w:val="ListParagraph"/>
        <w:numPr>
          <w:ilvl w:val="0"/>
          <w:numId w:val="5"/>
        </w:numPr>
        <w:spacing w:before="240" w:after="240" w:line="240" w:lineRule="auto"/>
        <w:ind w:right="1267"/>
        <w:contextualSpacing w:val="0"/>
        <w:jc w:val="both"/>
      </w:pPr>
      <w:r w:rsidRPr="00ED422C">
        <w:lastRenderedPageBreak/>
        <w:t xml:space="preserve">Contributions to the UNV full funding programme in 2022 amounted to $18.7 million, a decrease of 26 per cent </w:t>
      </w:r>
      <w:r>
        <w:t>from,</w:t>
      </w:r>
      <w:r w:rsidRPr="00ED422C">
        <w:t xml:space="preserve"> 2021. This was mainly due to multi-year contributions from several partners received in 2021, changes in priorities of some funding partners, </w:t>
      </w:r>
      <w:r w:rsidR="00755C09">
        <w:t>and</w:t>
      </w:r>
      <w:r w:rsidRPr="00ED422C">
        <w:t xml:space="preserve"> exchange rate losses between the Euro and the US Dollar.</w:t>
      </w:r>
    </w:p>
    <w:p w14:paraId="35D12479" w14:textId="77777777" w:rsidR="00897599" w:rsidRPr="00CD5F7C" w:rsidRDefault="00897599" w:rsidP="009E5F63">
      <w:pPr>
        <w:pStyle w:val="H4"/>
        <w:tabs>
          <w:tab w:val="clear" w:pos="1742"/>
          <w:tab w:val="left" w:pos="1440"/>
          <w:tab w:val="left" w:pos="1620"/>
        </w:tabs>
        <w:spacing w:before="240" w:after="240" w:line="240" w:lineRule="auto"/>
        <w:ind w:left="1008" w:firstLine="0"/>
        <w:outlineLvl w:val="2"/>
      </w:pPr>
      <w:bookmarkStart w:id="452" w:name="_Toc39596270"/>
      <w:bookmarkStart w:id="453" w:name="_Toc40281221"/>
      <w:bookmarkStart w:id="454" w:name="_Toc40281380"/>
      <w:bookmarkStart w:id="455" w:name="_Toc44499900"/>
      <w:bookmarkStart w:id="456" w:name="_Toc44603248"/>
      <w:bookmarkStart w:id="457" w:name="_Toc44606561"/>
      <w:bookmarkStart w:id="458" w:name="_Toc45297445"/>
      <w:bookmarkStart w:id="459" w:name="_Toc46221158"/>
      <w:bookmarkStart w:id="460" w:name="_Toc46399222"/>
      <w:bookmarkStart w:id="461" w:name="_Toc75466858"/>
      <w:bookmarkStart w:id="462" w:name="_Toc139289049"/>
      <w:bookmarkStart w:id="463" w:name="_Toc139289157"/>
      <w:r w:rsidRPr="00CD5F7C">
        <w:t>United Nations Office of South-South Co</w:t>
      </w:r>
      <w:r w:rsidR="00632307" w:rsidRPr="00CD5F7C">
        <w:t>operation</w:t>
      </w:r>
      <w:bookmarkEnd w:id="452"/>
      <w:bookmarkEnd w:id="453"/>
      <w:bookmarkEnd w:id="454"/>
      <w:bookmarkEnd w:id="455"/>
      <w:bookmarkEnd w:id="456"/>
      <w:bookmarkEnd w:id="457"/>
      <w:bookmarkEnd w:id="458"/>
      <w:bookmarkEnd w:id="459"/>
      <w:bookmarkEnd w:id="460"/>
      <w:bookmarkEnd w:id="461"/>
      <w:bookmarkEnd w:id="462"/>
      <w:bookmarkEnd w:id="463"/>
    </w:p>
    <w:p w14:paraId="292E4AF7" w14:textId="6988C434" w:rsidR="006C2854" w:rsidRPr="00655010" w:rsidRDefault="006C2854" w:rsidP="006C2854">
      <w:pPr>
        <w:pStyle w:val="ListParagraph"/>
        <w:numPr>
          <w:ilvl w:val="0"/>
          <w:numId w:val="5"/>
        </w:numPr>
        <w:spacing w:before="240" w:after="240" w:line="240" w:lineRule="auto"/>
        <w:ind w:right="1267"/>
        <w:contextualSpacing w:val="0"/>
        <w:jc w:val="both"/>
      </w:pPr>
      <w:r w:rsidRPr="00655010">
        <w:t xml:space="preserve">The United Nations Office for South-South Cooperation implemented its strategic framework through an allocation of $2.3 million (2021: $2.3 million) from the UNDP institutional budget and $3.6 million (2021: $3.4 million) in regular resources. </w:t>
      </w:r>
    </w:p>
    <w:p w14:paraId="6FFEA5B7" w14:textId="0D947C9B" w:rsidR="006C2854" w:rsidRPr="00655010" w:rsidRDefault="00800E5C" w:rsidP="006C2854">
      <w:pPr>
        <w:pStyle w:val="ListParagraph"/>
        <w:numPr>
          <w:ilvl w:val="0"/>
          <w:numId w:val="5"/>
        </w:numPr>
        <w:spacing w:before="240" w:after="240" w:line="240" w:lineRule="auto"/>
        <w:ind w:right="1267"/>
        <w:contextualSpacing w:val="0"/>
        <w:jc w:val="both"/>
      </w:pPr>
      <w:r>
        <w:t>The</w:t>
      </w:r>
      <w:r w:rsidR="006C2854" w:rsidRPr="00655010">
        <w:t xml:space="preserve"> office received $19.1 million in contributions through its trust funds: $15.0 million from the India-UN Development Partnership Fund; $3.1 million from the </w:t>
      </w:r>
      <w:r w:rsidR="006C2854">
        <w:t>UN</w:t>
      </w:r>
      <w:r w:rsidR="006C2854" w:rsidRPr="00655010">
        <w:t xml:space="preserve"> Fund for South-South Cooperation; $1.0 million from </w:t>
      </w:r>
      <w:proofErr w:type="gramStart"/>
      <w:r w:rsidR="006C2854" w:rsidRPr="00655010">
        <w:t>the India</w:t>
      </w:r>
      <w:proofErr w:type="gramEnd"/>
      <w:r w:rsidR="006C2854" w:rsidRPr="00655010">
        <w:t>, Brazil and South Africa Facility for Poverty and Hunger Alleviation</w:t>
      </w:r>
      <w:r w:rsidR="00C5713B">
        <w:t xml:space="preserve"> Fund</w:t>
      </w:r>
      <w:r w:rsidR="006C2854" w:rsidRPr="00655010">
        <w:t xml:space="preserve">; and $160,000 from the Pérez-Guerrero Trust Fund for South-South Cooperation. </w:t>
      </w:r>
    </w:p>
    <w:p w14:paraId="17286255" w14:textId="555ECF94" w:rsidR="006C2854" w:rsidRPr="00655010" w:rsidRDefault="006C2854" w:rsidP="006C2854">
      <w:pPr>
        <w:pStyle w:val="ListParagraph"/>
        <w:numPr>
          <w:ilvl w:val="0"/>
          <w:numId w:val="5"/>
        </w:numPr>
        <w:spacing w:before="240" w:after="240" w:line="240" w:lineRule="auto"/>
        <w:ind w:right="1267"/>
        <w:contextualSpacing w:val="0"/>
        <w:jc w:val="both"/>
      </w:pPr>
      <w:r w:rsidRPr="00655010">
        <w:t>In 2022, the office achieved 152 per cent ($19.1 million) of its other resources mobilization target ($12.5 million). Implementation of South-South trust fund resources exceeded $17.7 million, bringing total delivery by the office to $23.3 million.</w:t>
      </w:r>
    </w:p>
    <w:p w14:paraId="5EC5B1EF" w14:textId="77777777" w:rsidR="00E605A4" w:rsidRPr="00990843" w:rsidRDefault="00E605A4" w:rsidP="005F648C">
      <w:pPr>
        <w:pStyle w:val="HCh"/>
        <w:numPr>
          <w:ilvl w:val="0"/>
          <w:numId w:val="13"/>
        </w:numPr>
        <w:spacing w:before="360" w:after="240" w:line="240" w:lineRule="auto"/>
        <w:ind w:right="1267"/>
      </w:pPr>
      <w:bookmarkStart w:id="464" w:name="_Toc139289050"/>
      <w:bookmarkStart w:id="465" w:name="_Toc139289158"/>
      <w:bookmarkStart w:id="466" w:name="_Toc139289051"/>
      <w:bookmarkStart w:id="467" w:name="_Toc139289159"/>
      <w:bookmarkStart w:id="468" w:name="_Toc139289052"/>
      <w:bookmarkStart w:id="469" w:name="_Toc139289160"/>
      <w:bookmarkStart w:id="470" w:name="_Toc46221159"/>
      <w:bookmarkStart w:id="471" w:name="_Toc46399223"/>
      <w:bookmarkStart w:id="472" w:name="_Toc46221160"/>
      <w:bookmarkStart w:id="473" w:name="_Toc46399224"/>
      <w:bookmarkStart w:id="474" w:name="_Toc46221161"/>
      <w:bookmarkStart w:id="475" w:name="_Toc46399225"/>
      <w:bookmarkStart w:id="476" w:name="_Toc139289161"/>
      <w:bookmarkEnd w:id="464"/>
      <w:bookmarkEnd w:id="465"/>
      <w:bookmarkEnd w:id="466"/>
      <w:bookmarkEnd w:id="467"/>
      <w:bookmarkEnd w:id="468"/>
      <w:bookmarkEnd w:id="469"/>
      <w:bookmarkEnd w:id="470"/>
      <w:bookmarkEnd w:id="471"/>
      <w:bookmarkEnd w:id="472"/>
      <w:bookmarkEnd w:id="473"/>
      <w:bookmarkEnd w:id="474"/>
      <w:bookmarkEnd w:id="475"/>
      <w:r w:rsidRPr="00990843">
        <w:t>United Nations reform and support to United Nations organizations</w:t>
      </w:r>
      <w:bookmarkEnd w:id="476"/>
    </w:p>
    <w:p w14:paraId="6C3AC3A6" w14:textId="6AA79A34" w:rsidR="00E605A4" w:rsidRPr="000E57AE" w:rsidRDefault="00E605A4" w:rsidP="00266895">
      <w:pPr>
        <w:pStyle w:val="ListParagraph"/>
        <w:numPr>
          <w:ilvl w:val="0"/>
          <w:numId w:val="5"/>
        </w:numPr>
        <w:spacing w:before="240" w:after="240" w:line="240" w:lineRule="auto"/>
        <w:ind w:right="1267"/>
        <w:contextualSpacing w:val="0"/>
        <w:jc w:val="both"/>
      </w:pPr>
      <w:r w:rsidRPr="000E57AE">
        <w:t xml:space="preserve">UNDP </w:t>
      </w:r>
      <w:r w:rsidR="008E51E4" w:rsidRPr="000E57AE">
        <w:t xml:space="preserve">undertakes many </w:t>
      </w:r>
      <w:r w:rsidR="00472159" w:rsidRPr="000E57AE">
        <w:t xml:space="preserve">activities in </w:t>
      </w:r>
      <w:r w:rsidR="008E51E4" w:rsidRPr="000E57AE">
        <w:t xml:space="preserve">partnership with and </w:t>
      </w:r>
      <w:r w:rsidR="00472159" w:rsidRPr="000E57AE">
        <w:t xml:space="preserve">support to </w:t>
      </w:r>
      <w:r w:rsidR="00801BEA">
        <w:t xml:space="preserve">the </w:t>
      </w:r>
      <w:r w:rsidR="00472159" w:rsidRPr="000E57AE">
        <w:t>U</w:t>
      </w:r>
      <w:r w:rsidR="00801BEA">
        <w:t xml:space="preserve">nited </w:t>
      </w:r>
      <w:r w:rsidR="00472159" w:rsidRPr="000E57AE">
        <w:t>N</w:t>
      </w:r>
      <w:r w:rsidR="00801BEA">
        <w:t>ations</w:t>
      </w:r>
      <w:r w:rsidR="00472159" w:rsidRPr="000E57AE">
        <w:t xml:space="preserve"> system at large. </w:t>
      </w:r>
    </w:p>
    <w:p w14:paraId="6E3D1EFE" w14:textId="0A888438" w:rsidR="00E605A4" w:rsidRPr="004821D6" w:rsidRDefault="00E605A4" w:rsidP="005F648C">
      <w:pPr>
        <w:pStyle w:val="H1"/>
        <w:numPr>
          <w:ilvl w:val="1"/>
          <w:numId w:val="8"/>
        </w:numPr>
        <w:tabs>
          <w:tab w:val="clear" w:pos="1022"/>
          <w:tab w:val="clear" w:pos="1742"/>
          <w:tab w:val="right" w:pos="1440"/>
          <w:tab w:val="left" w:pos="1800"/>
        </w:tabs>
        <w:spacing w:before="240" w:after="240" w:line="240" w:lineRule="auto"/>
        <w:ind w:left="1152" w:right="0"/>
        <w:outlineLvl w:val="1"/>
      </w:pPr>
      <w:bookmarkStart w:id="477" w:name="_Toc139289054"/>
      <w:bookmarkStart w:id="478" w:name="_Toc139289162"/>
      <w:r w:rsidRPr="004821D6">
        <w:t>UNDP administrative agent function</w:t>
      </w:r>
      <w:bookmarkStart w:id="479" w:name="_Toc46221163"/>
      <w:bookmarkEnd w:id="477"/>
      <w:bookmarkEnd w:id="478"/>
      <w:bookmarkEnd w:id="479"/>
    </w:p>
    <w:p w14:paraId="3E7813D7" w14:textId="58EED964" w:rsidR="00D8331D" w:rsidRDefault="00D8331D" w:rsidP="00D8331D">
      <w:pPr>
        <w:pStyle w:val="ListParagraph"/>
        <w:numPr>
          <w:ilvl w:val="0"/>
          <w:numId w:val="5"/>
        </w:numPr>
        <w:spacing w:before="240" w:after="240" w:line="240" w:lineRule="auto"/>
        <w:ind w:right="1267"/>
        <w:contextualSpacing w:val="0"/>
        <w:jc w:val="both"/>
      </w:pPr>
      <w:r w:rsidRPr="00506548">
        <w:t xml:space="preserve">UNDP supports joint programming through its role in fund design and administration of joint programmes and multi-partner trust funds on behalf of the </w:t>
      </w:r>
      <w:r w:rsidR="00124ED5">
        <w:t>United Nations</w:t>
      </w:r>
      <w:r w:rsidRPr="00506548">
        <w:t xml:space="preserve"> system, in addition to its implementation role as a participating </w:t>
      </w:r>
      <w:r>
        <w:t>UN</w:t>
      </w:r>
      <w:r w:rsidRPr="00506548">
        <w:t xml:space="preserve"> organization in multi-partner trust funds and joint programmes. In 2022, the net value of funds transferred to all participating organisations by the Multi-Partner Trust Fund Office increased to $1.7 billion (2021: $1.4 billion), marking the highest volume of administrative service provision to the </w:t>
      </w:r>
      <w:r w:rsidR="00124ED5">
        <w:t>United Nations</w:t>
      </w:r>
      <w:r w:rsidRPr="00506548">
        <w:t xml:space="preserve"> system since the Office’s creation.</w:t>
      </w:r>
    </w:p>
    <w:p w14:paraId="1F9DE40B" w14:textId="29D14707" w:rsidR="00D8331D" w:rsidRDefault="00D8331D" w:rsidP="00D8331D">
      <w:pPr>
        <w:pStyle w:val="ListParagraph"/>
        <w:numPr>
          <w:ilvl w:val="0"/>
          <w:numId w:val="5"/>
        </w:numPr>
        <w:spacing w:before="240" w:after="240" w:line="240" w:lineRule="auto"/>
        <w:ind w:right="1267"/>
        <w:contextualSpacing w:val="0"/>
        <w:jc w:val="both"/>
      </w:pPr>
      <w:r w:rsidRPr="00506548">
        <w:t>New contributions received for multi-partner trust funds and joint programmes decrease</w:t>
      </w:r>
      <w:r>
        <w:t>d</w:t>
      </w:r>
      <w:r w:rsidRPr="00506548">
        <w:t xml:space="preserve"> to $1.5 billion (2021</w:t>
      </w:r>
      <w:r>
        <w:t xml:space="preserve">: </w:t>
      </w:r>
      <w:r w:rsidRPr="00506548">
        <w:t>$1.8 billion). However, particular climate related pooled funds and new generation country</w:t>
      </w:r>
      <w:r>
        <w:t xml:space="preserve"> </w:t>
      </w:r>
      <w:r w:rsidRPr="00506548">
        <w:t>level pooled funds supporting UNSDCF implementation, together with the majority of country</w:t>
      </w:r>
      <w:r>
        <w:t xml:space="preserve"> </w:t>
      </w:r>
      <w:r w:rsidRPr="00506548">
        <w:t xml:space="preserve">based humanitarian funds experienced a growth in contributions. </w:t>
      </w:r>
    </w:p>
    <w:p w14:paraId="614801ED" w14:textId="77777777" w:rsidR="00E605A4" w:rsidRPr="008C2E10" w:rsidRDefault="00E605A4" w:rsidP="005F648C">
      <w:pPr>
        <w:pStyle w:val="H1"/>
        <w:numPr>
          <w:ilvl w:val="1"/>
          <w:numId w:val="8"/>
        </w:numPr>
        <w:tabs>
          <w:tab w:val="clear" w:pos="1022"/>
          <w:tab w:val="clear" w:pos="1742"/>
          <w:tab w:val="right" w:pos="1440"/>
          <w:tab w:val="left" w:pos="1800"/>
        </w:tabs>
        <w:spacing w:before="240" w:after="240" w:line="240" w:lineRule="auto"/>
        <w:ind w:left="1152" w:right="0"/>
        <w:outlineLvl w:val="1"/>
      </w:pPr>
      <w:bookmarkStart w:id="480" w:name="_Toc139289055"/>
      <w:bookmarkStart w:id="481" w:name="_Toc139289163"/>
      <w:bookmarkStart w:id="482" w:name="_Toc46221164"/>
      <w:bookmarkStart w:id="483" w:name="_Toc139289056"/>
      <w:bookmarkStart w:id="484" w:name="_Toc139289164"/>
      <w:bookmarkEnd w:id="480"/>
      <w:bookmarkEnd w:id="481"/>
      <w:bookmarkEnd w:id="482"/>
      <w:r w:rsidRPr="008C2E10">
        <w:t>Support to United Nations organizations</w:t>
      </w:r>
      <w:bookmarkEnd w:id="483"/>
      <w:bookmarkEnd w:id="484"/>
    </w:p>
    <w:p w14:paraId="02D7581B" w14:textId="68D3E606" w:rsidR="00562CB5" w:rsidRDefault="00562CB5" w:rsidP="00562CB5">
      <w:pPr>
        <w:pStyle w:val="ListParagraph"/>
        <w:numPr>
          <w:ilvl w:val="0"/>
          <w:numId w:val="5"/>
        </w:numPr>
        <w:spacing w:before="240" w:after="240" w:line="240" w:lineRule="auto"/>
        <w:ind w:right="1267"/>
        <w:contextualSpacing w:val="0"/>
        <w:jc w:val="both"/>
      </w:pPr>
      <w:r w:rsidRPr="00647182">
        <w:t xml:space="preserve">UNDP continued to be the operational backbone of the </w:t>
      </w:r>
      <w:r>
        <w:t>U</w:t>
      </w:r>
      <w:r w:rsidR="00D02236">
        <w:t xml:space="preserve">nited </w:t>
      </w:r>
      <w:r>
        <w:t>N</w:t>
      </w:r>
      <w:r w:rsidR="00D02236">
        <w:t>ations</w:t>
      </w:r>
      <w:r w:rsidRPr="00647182">
        <w:t xml:space="preserve"> system in 2022. It disbursed $1.9 billion in 114 </w:t>
      </w:r>
      <w:r w:rsidRPr="00562CB5">
        <w:t xml:space="preserve">currencies through </w:t>
      </w:r>
      <w:r w:rsidRPr="00647182">
        <w:t xml:space="preserve">its </w:t>
      </w:r>
      <w:r w:rsidRPr="00562CB5">
        <w:t xml:space="preserve">payroll system, more </w:t>
      </w:r>
      <w:r w:rsidRPr="00AE24C9">
        <w:t xml:space="preserve">than half (53 per cent) </w:t>
      </w:r>
      <w:r w:rsidRPr="00562CB5">
        <w:t xml:space="preserve">of which </w:t>
      </w:r>
      <w:r w:rsidRPr="00AE24C9">
        <w:t xml:space="preserve">was on </w:t>
      </w:r>
      <w:r w:rsidRPr="00562CB5">
        <w:t xml:space="preserve">behalf of partner organizations. UNDP supported $3.1 billion (2021: </w:t>
      </w:r>
      <w:r w:rsidRPr="00AE24C9">
        <w:t xml:space="preserve">$2.8 billion) in </w:t>
      </w:r>
      <w:r w:rsidRPr="00562CB5">
        <w:t xml:space="preserve">financial transactions </w:t>
      </w:r>
      <w:r w:rsidRPr="00AE24C9">
        <w:t xml:space="preserve">for </w:t>
      </w:r>
      <w:r w:rsidRPr="00562CB5">
        <w:t xml:space="preserve">approximately 118 </w:t>
      </w:r>
      <w:r w:rsidR="00D02236">
        <w:t>United Nations</w:t>
      </w:r>
      <w:r w:rsidRPr="00562CB5">
        <w:t xml:space="preserve"> entities </w:t>
      </w:r>
      <w:r w:rsidRPr="00AE24C9">
        <w:t xml:space="preserve">and </w:t>
      </w:r>
      <w:r w:rsidRPr="00562CB5">
        <w:t xml:space="preserve">other agencies </w:t>
      </w:r>
      <w:r w:rsidRPr="00AE24C9">
        <w:t xml:space="preserve">in over 170 </w:t>
      </w:r>
      <w:r w:rsidRPr="00562CB5">
        <w:t xml:space="preserve">countries. </w:t>
      </w:r>
      <w:r w:rsidRPr="00AE24C9">
        <w:t xml:space="preserve">This </w:t>
      </w:r>
      <w:r w:rsidRPr="00562CB5">
        <w:t xml:space="preserve">included $46.2 million (2021: $57.9 </w:t>
      </w:r>
      <w:r w:rsidRPr="00AE24C9">
        <w:t xml:space="preserve">million) </w:t>
      </w:r>
      <w:r w:rsidRPr="00562CB5">
        <w:t xml:space="preserve">of expenses related to services provided </w:t>
      </w:r>
      <w:r w:rsidRPr="00AE24C9">
        <w:t xml:space="preserve">to the </w:t>
      </w:r>
      <w:r w:rsidRPr="00562CB5">
        <w:t>resident coordinator system</w:t>
      </w:r>
      <w:r w:rsidRPr="00AE24C9">
        <w:t xml:space="preserve">. </w:t>
      </w:r>
    </w:p>
    <w:p w14:paraId="1A5BBA6F" w14:textId="3ADEBF0B" w:rsidR="00562CB5" w:rsidRPr="00BB6082" w:rsidRDefault="00562CB5" w:rsidP="00562CB5">
      <w:pPr>
        <w:pStyle w:val="ListParagraph"/>
        <w:numPr>
          <w:ilvl w:val="0"/>
          <w:numId w:val="5"/>
        </w:numPr>
        <w:spacing w:before="240" w:after="240" w:line="240" w:lineRule="auto"/>
        <w:ind w:right="1267"/>
        <w:contextualSpacing w:val="0"/>
        <w:jc w:val="both"/>
      </w:pPr>
      <w:r w:rsidRPr="00C846D4">
        <w:lastRenderedPageBreak/>
        <w:t xml:space="preserve">In 2022, </w:t>
      </w:r>
      <w:r w:rsidRPr="00AE24C9">
        <w:t>UNDP also provided common premises for other agencies in at least 126 countries, where they could avail of common services, including travel management.</w:t>
      </w:r>
    </w:p>
    <w:p w14:paraId="5306CDB3" w14:textId="30E81017" w:rsidR="00E605A4" w:rsidRDefault="00A21157" w:rsidP="00A21157">
      <w:pPr>
        <w:pStyle w:val="H1"/>
        <w:numPr>
          <w:ilvl w:val="1"/>
          <w:numId w:val="8"/>
        </w:numPr>
        <w:tabs>
          <w:tab w:val="clear" w:pos="1022"/>
          <w:tab w:val="clear" w:pos="1742"/>
          <w:tab w:val="right" w:pos="1440"/>
          <w:tab w:val="left" w:pos="1800"/>
        </w:tabs>
        <w:spacing w:before="240" w:after="240" w:line="240" w:lineRule="auto"/>
        <w:ind w:left="1152" w:right="0"/>
        <w:outlineLvl w:val="1"/>
      </w:pPr>
      <w:bookmarkStart w:id="485" w:name="_Toc139289057"/>
      <w:bookmarkStart w:id="486" w:name="_Toc139289165"/>
      <w:bookmarkStart w:id="487" w:name="_Toc139289058"/>
      <w:bookmarkStart w:id="488" w:name="_Toc139289166"/>
      <w:bookmarkStart w:id="489" w:name="_Toc139289059"/>
      <w:bookmarkStart w:id="490" w:name="_Toc139289167"/>
      <w:bookmarkEnd w:id="485"/>
      <w:bookmarkEnd w:id="486"/>
      <w:bookmarkEnd w:id="487"/>
      <w:bookmarkEnd w:id="488"/>
      <w:bookmarkEnd w:id="489"/>
      <w:bookmarkEnd w:id="490"/>
      <w:r w:rsidRPr="00B273D6">
        <w:t> </w:t>
      </w:r>
      <w:bookmarkStart w:id="491" w:name="_Toc75466863"/>
      <w:bookmarkStart w:id="492" w:name="_Toc139289060"/>
      <w:bookmarkStart w:id="493" w:name="_Toc139289168"/>
      <w:bookmarkEnd w:id="491"/>
      <w:r w:rsidR="00E605A4" w:rsidRPr="000E57AE">
        <w:t>United Nations-mandated security costs</w:t>
      </w:r>
      <w:bookmarkStart w:id="494" w:name="_Hlk72229853"/>
      <w:bookmarkEnd w:id="492"/>
      <w:bookmarkEnd w:id="493"/>
    </w:p>
    <w:p w14:paraId="09CEF384" w14:textId="6C916DBD" w:rsidR="00926525" w:rsidRPr="00BC0ADF" w:rsidRDefault="00926525" w:rsidP="00926525">
      <w:pPr>
        <w:pStyle w:val="ListParagraph"/>
        <w:numPr>
          <w:ilvl w:val="0"/>
          <w:numId w:val="5"/>
        </w:numPr>
        <w:spacing w:before="240" w:after="240" w:line="240" w:lineRule="auto"/>
        <w:ind w:right="1267"/>
        <w:contextualSpacing w:val="0"/>
        <w:jc w:val="both"/>
      </w:pPr>
      <w:r w:rsidRPr="00BC0ADF">
        <w:t xml:space="preserve">In 2022, UNDP spent $29.2 million (2021: $28.4 million) for security costs, of which $18.7 million (2021: $18.7 million) was associated with its share of the </w:t>
      </w:r>
      <w:r>
        <w:t>U</w:t>
      </w:r>
      <w:r w:rsidR="00311059">
        <w:t>nited Nations</w:t>
      </w:r>
      <w:r w:rsidRPr="00BC0ADF">
        <w:t xml:space="preserve"> field security coordination programme; and $10.5 million (2021: $9.7 million) with security advisory services and investments to ensure compliance with minimum operating security standards.</w:t>
      </w:r>
    </w:p>
    <w:p w14:paraId="0525C372" w14:textId="77777777" w:rsidR="00E605A4" w:rsidRPr="002A35EA" w:rsidRDefault="006A4015" w:rsidP="005F648C">
      <w:pPr>
        <w:pStyle w:val="HCh"/>
        <w:numPr>
          <w:ilvl w:val="0"/>
          <w:numId w:val="13"/>
        </w:numPr>
        <w:spacing w:before="360" w:after="240" w:line="240" w:lineRule="auto"/>
        <w:ind w:right="1267"/>
      </w:pPr>
      <w:bookmarkStart w:id="495" w:name="_Toc139289061"/>
      <w:bookmarkStart w:id="496" w:name="_Toc139289169"/>
      <w:bookmarkEnd w:id="494"/>
      <w:bookmarkEnd w:id="495"/>
      <w:bookmarkEnd w:id="496"/>
      <w:r w:rsidRPr="00EC2242">
        <w:tab/>
      </w:r>
      <w:bookmarkStart w:id="497" w:name="_Toc139289170"/>
      <w:r w:rsidR="001C6268" w:rsidRPr="00926525">
        <w:t>‘</w:t>
      </w:r>
      <w:r w:rsidR="00E605A4" w:rsidRPr="00926525">
        <w:t>Greening</w:t>
      </w:r>
      <w:r w:rsidR="001C6268" w:rsidRPr="00926525">
        <w:t>’</w:t>
      </w:r>
      <w:r w:rsidR="00AF1535" w:rsidRPr="00926525">
        <w:t xml:space="preserve"> </w:t>
      </w:r>
      <w:r w:rsidR="00E605A4" w:rsidRPr="00926525">
        <w:t>UNDP</w:t>
      </w:r>
      <w:bookmarkEnd w:id="497"/>
    </w:p>
    <w:p w14:paraId="343CBFC1" w14:textId="77777777" w:rsidR="002A35EA" w:rsidRPr="002A35EA" w:rsidRDefault="002A35EA" w:rsidP="002A35EA">
      <w:pPr>
        <w:pStyle w:val="ListParagraph"/>
        <w:numPr>
          <w:ilvl w:val="0"/>
          <w:numId w:val="5"/>
        </w:numPr>
        <w:spacing w:before="240" w:after="240" w:line="240" w:lineRule="auto"/>
        <w:ind w:right="1267"/>
        <w:contextualSpacing w:val="0"/>
        <w:jc w:val="both"/>
      </w:pPr>
      <w:r w:rsidRPr="002A35EA">
        <w:t>In 2022, UNDP continued to make substantial progress towards its ambitious ‘Greening Moonshot’ targets, committing to reduce Greenhouse Gas (GHG) emissions from global operations by 25 per cent by 2025 and 50 per cent by 2030. Between the corporate Moonshot Facility, Regional Bureau and Country Office funding, another 21 solar energy and energy efficiency projects and 26 Electric Vehicles were funded with a total investment of $2,983,200 in 2022. With this, the first three years of Moonshot Facility funding have resulted in annual avoidance of 2,170 tCO2e, which reduces UNDP’s annual energy carbon footprint by 10.5% while saving the organization $900,000 in energy/fuel costs every year. In addition, secondary cost savings from improved business continuity, reduced loss of assets, improved security and staff well-being are expected. Over an average project lifetime of 15 years, this investment is projected to avoid 32,564 tCO2e– the equivalent of carbon absorbed by 538,000 trees – and to save the organization a minimum of $13.5 million in energy costs.   </w:t>
      </w:r>
    </w:p>
    <w:p w14:paraId="199527FB" w14:textId="77777777" w:rsidR="002A35EA" w:rsidRPr="002A35EA" w:rsidRDefault="002A35EA" w:rsidP="002A35EA">
      <w:pPr>
        <w:pStyle w:val="ListParagraph"/>
        <w:numPr>
          <w:ilvl w:val="0"/>
          <w:numId w:val="5"/>
        </w:numPr>
        <w:spacing w:before="240" w:after="240" w:line="240" w:lineRule="auto"/>
        <w:ind w:right="1267"/>
        <w:contextualSpacing w:val="0"/>
        <w:jc w:val="both"/>
      </w:pPr>
      <w:r w:rsidRPr="002A35EA">
        <w:t>For the first time, in 2022 UNDP achieved 100% reporting compliance in its Environmental Management Tool (EMT) for its Moonshot baseline data (2018). Reported data includes carbon footprint, waste and water data from around 300 UNDP-managed facilities worldwide. This comprehensive data generates Business Intelligence to focus investments to where they make greatest, cost-effective impact and allows to detect areas of concern quickly.   </w:t>
      </w:r>
    </w:p>
    <w:p w14:paraId="0A2B8BFF" w14:textId="77777777" w:rsidR="002A35EA" w:rsidRPr="002A35EA" w:rsidRDefault="002A35EA" w:rsidP="002A35EA">
      <w:pPr>
        <w:pStyle w:val="ListParagraph"/>
        <w:numPr>
          <w:ilvl w:val="0"/>
          <w:numId w:val="5"/>
        </w:numPr>
        <w:spacing w:before="240" w:after="240" w:line="240" w:lineRule="auto"/>
        <w:ind w:right="1267"/>
        <w:contextualSpacing w:val="0"/>
        <w:jc w:val="both"/>
      </w:pPr>
      <w:r w:rsidRPr="002A35EA">
        <w:t>UNDP continued to maintain climate neutrality in its global operations: The organization-wide 2021 carbon footprint of 37,961 tCO2e was offset with Certified Emission Reductions (CERs) from the Adaptation Fund established under the Kyoto Protocol of the United Nations Framework Convention on Climate Change. Similarly, 2022 GHG emission data are collected during 2023 and UNDP’s 2022 Carbon Footprint is expected to be assessed, reported and offset by end of 2023. </w:t>
      </w:r>
    </w:p>
    <w:p w14:paraId="20A303BD" w14:textId="2190ED62" w:rsidR="00926525" w:rsidRDefault="002A35EA" w:rsidP="00926525">
      <w:pPr>
        <w:pStyle w:val="ListParagraph"/>
        <w:numPr>
          <w:ilvl w:val="0"/>
          <w:numId w:val="5"/>
        </w:numPr>
        <w:spacing w:before="240" w:after="240" w:line="240" w:lineRule="auto"/>
        <w:ind w:right="1267"/>
        <w:contextualSpacing w:val="0"/>
        <w:jc w:val="both"/>
      </w:pPr>
      <w:r w:rsidRPr="002A35EA">
        <w:t>Responding to the challenge of increased contribution of cooling assets to global Greenhouse Gas emissions, UNDP developed and published a methodology for monitoring the carbon footprint of cooling assets including facility cooling, vehicle cooling and refrigeration. The methodology was programmed into the EMT software and UNDP offices will start reporting on these impacts in 2023. UNDP also developed procurement and management guidance to minimize the carbon footprint of UNDP cooling assets in the future.  </w:t>
      </w:r>
    </w:p>
    <w:p w14:paraId="09C1057B" w14:textId="77777777" w:rsidR="00DF20B3" w:rsidRPr="002A35EA" w:rsidRDefault="00DF20B3" w:rsidP="00926525">
      <w:pPr>
        <w:spacing w:before="240" w:after="240" w:line="240" w:lineRule="auto"/>
        <w:ind w:right="1267"/>
        <w:jc w:val="both"/>
      </w:pPr>
    </w:p>
    <w:p w14:paraId="15B6C803" w14:textId="1E009211" w:rsidR="00122E90" w:rsidRPr="007F402D" w:rsidRDefault="007F402D" w:rsidP="005F648C">
      <w:pPr>
        <w:pStyle w:val="HCh"/>
        <w:numPr>
          <w:ilvl w:val="0"/>
          <w:numId w:val="13"/>
        </w:numPr>
        <w:spacing w:before="360" w:after="240" w:line="240" w:lineRule="auto"/>
        <w:ind w:right="1267"/>
        <w:rPr>
          <w:b w:val="0"/>
          <w:bCs/>
        </w:rPr>
      </w:pPr>
      <w:bookmarkStart w:id="498" w:name="_Toc139289063"/>
      <w:bookmarkStart w:id="499" w:name="_Toc139289171"/>
      <w:bookmarkStart w:id="500" w:name="_Toc139289064"/>
      <w:bookmarkStart w:id="501" w:name="_Toc139289172"/>
      <w:bookmarkStart w:id="502" w:name="_Toc139289065"/>
      <w:bookmarkStart w:id="503" w:name="_Toc139289173"/>
      <w:bookmarkStart w:id="504" w:name="_Toc139289066"/>
      <w:bookmarkStart w:id="505" w:name="_Toc139289174"/>
      <w:bookmarkStart w:id="506" w:name="_Toc139289067"/>
      <w:bookmarkStart w:id="507" w:name="_Toc139289175"/>
      <w:bookmarkStart w:id="508" w:name="_Toc139289068"/>
      <w:bookmarkStart w:id="509" w:name="_Toc139289176"/>
      <w:bookmarkStart w:id="510" w:name="_Toc139289069"/>
      <w:bookmarkStart w:id="511" w:name="_Toc139289177"/>
      <w:bookmarkStart w:id="512" w:name="_Toc139289070"/>
      <w:bookmarkStart w:id="513" w:name="_Toc139289178"/>
      <w:bookmarkStart w:id="514" w:name="_Toc139289071"/>
      <w:bookmarkStart w:id="515" w:name="_Toc139289179"/>
      <w:bookmarkStart w:id="516" w:name="_Toc139289180"/>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t xml:space="preserve">Appendices </w:t>
      </w:r>
      <w:r w:rsidR="00122E90" w:rsidRPr="007F402D">
        <w:rPr>
          <w:b w:val="0"/>
          <w:bCs/>
        </w:rPr>
        <w:t>(available on the UNDP Executive Board web page)</w:t>
      </w:r>
      <w:bookmarkEnd w:id="516"/>
    </w:p>
    <w:p w14:paraId="1F8D0F5D" w14:textId="18E7BDB5" w:rsidR="00DC38D5" w:rsidRPr="00DC38D5" w:rsidRDefault="00DC38D5" w:rsidP="008264C8">
      <w:pPr>
        <w:tabs>
          <w:tab w:val="right" w:pos="1080"/>
          <w:tab w:val="right" w:pos="1714"/>
          <w:tab w:val="left" w:pos="2160"/>
          <w:tab w:val="left" w:pos="2592"/>
          <w:tab w:val="left" w:pos="3024"/>
          <w:tab w:val="left" w:pos="3456"/>
          <w:tab w:val="right" w:leader="dot" w:pos="9360"/>
        </w:tabs>
        <w:spacing w:before="240" w:after="240" w:line="240" w:lineRule="auto"/>
        <w:ind w:left="360"/>
        <w:rPr>
          <w:sz w:val="24"/>
          <w:szCs w:val="24"/>
        </w:rPr>
      </w:pPr>
      <w:r w:rsidRPr="00DC38D5">
        <w:rPr>
          <w:sz w:val="24"/>
          <w:szCs w:val="24"/>
        </w:rPr>
        <w:t>Contents</w:t>
      </w:r>
    </w:p>
    <w:p w14:paraId="2802D9F9" w14:textId="21178D1B" w:rsidR="00122E90" w:rsidRPr="00E45F33" w:rsidRDefault="00122E90" w:rsidP="005F648C">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rsidRPr="00E45F33">
        <w:lastRenderedPageBreak/>
        <w:t>UNDP overview</w:t>
      </w:r>
    </w:p>
    <w:p w14:paraId="1070E599" w14:textId="5379A41F" w:rsidR="00122E90" w:rsidRPr="00E45F33" w:rsidRDefault="00122E90" w:rsidP="005F648C">
      <w:pPr>
        <w:pStyle w:val="ListParagraph"/>
        <w:numPr>
          <w:ilvl w:val="1"/>
          <w:numId w:val="9"/>
        </w:numPr>
        <w:tabs>
          <w:tab w:val="right" w:pos="1080"/>
          <w:tab w:val="right" w:pos="1714"/>
          <w:tab w:val="left" w:pos="2160"/>
          <w:tab w:val="left" w:pos="2592"/>
          <w:tab w:val="left" w:pos="3024"/>
          <w:tab w:val="left" w:pos="3456"/>
          <w:tab w:val="right" w:leader="dot" w:pos="9360"/>
        </w:tabs>
        <w:spacing w:before="240" w:after="240" w:line="240" w:lineRule="auto"/>
        <w:ind w:left="1800"/>
        <w:contextualSpacing w:val="0"/>
      </w:pPr>
      <w:r w:rsidRPr="00E45F33">
        <w:t>Statement of financial performance for the year ended 31 December 20</w:t>
      </w:r>
      <w:r w:rsidR="007525AD">
        <w:t>2</w:t>
      </w:r>
      <w:r w:rsidR="009345D8">
        <w:t>2</w:t>
      </w:r>
    </w:p>
    <w:p w14:paraId="5624E4A4" w14:textId="7C9A1964" w:rsidR="00122E90" w:rsidRDefault="00122E90" w:rsidP="5E7BD891">
      <w:pPr>
        <w:pStyle w:val="ListParagraph"/>
        <w:numPr>
          <w:ilvl w:val="1"/>
          <w:numId w:val="9"/>
        </w:numPr>
        <w:tabs>
          <w:tab w:val="right" w:pos="1080"/>
          <w:tab w:val="right" w:pos="1714"/>
          <w:tab w:val="left" w:pos="2160"/>
          <w:tab w:val="left" w:pos="2592"/>
          <w:tab w:val="left" w:pos="3024"/>
          <w:tab w:val="left" w:pos="3456"/>
          <w:tab w:val="right" w:leader="dot" w:pos="9360"/>
        </w:tabs>
        <w:spacing w:before="240" w:after="240" w:line="240" w:lineRule="auto"/>
        <w:ind w:left="1800"/>
      </w:pPr>
      <w:r w:rsidRPr="00E45F33">
        <w:t xml:space="preserve">Statement of financial position as </w:t>
      </w:r>
      <w:proofErr w:type="gramStart"/>
      <w:r w:rsidRPr="00E45F33">
        <w:t>at</w:t>
      </w:r>
      <w:proofErr w:type="gramEnd"/>
      <w:r w:rsidRPr="00E45F33">
        <w:t xml:space="preserve"> 31 December 20</w:t>
      </w:r>
      <w:r w:rsidR="007525AD">
        <w:t>2</w:t>
      </w:r>
      <w:r w:rsidR="009345D8">
        <w:t>2</w:t>
      </w:r>
    </w:p>
    <w:p w14:paraId="6192D604" w14:textId="77777777" w:rsidR="00CD6503" w:rsidRPr="00E45F33" w:rsidRDefault="00CD6503" w:rsidP="00CD6503">
      <w:pPr>
        <w:pStyle w:val="ListParagraph"/>
        <w:tabs>
          <w:tab w:val="right" w:pos="1080"/>
          <w:tab w:val="right" w:pos="1714"/>
          <w:tab w:val="left" w:pos="2160"/>
          <w:tab w:val="left" w:pos="2592"/>
          <w:tab w:val="left" w:pos="3024"/>
          <w:tab w:val="left" w:pos="3456"/>
          <w:tab w:val="right" w:leader="dot" w:pos="9360"/>
        </w:tabs>
        <w:spacing w:before="240" w:after="240" w:line="240" w:lineRule="auto"/>
        <w:ind w:left="1800"/>
      </w:pPr>
    </w:p>
    <w:p w14:paraId="0DF72664" w14:textId="77777777" w:rsidR="004930EE" w:rsidRDefault="00122E90" w:rsidP="005F648C">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rsidRPr="00E45F33">
        <w:t xml:space="preserve">Regular resources </w:t>
      </w:r>
    </w:p>
    <w:p w14:paraId="60643B0C" w14:textId="3ECD1341" w:rsidR="00122E90" w:rsidRDefault="004930EE" w:rsidP="004930EE">
      <w:pPr>
        <w:pStyle w:val="ListParagraph"/>
        <w:tabs>
          <w:tab w:val="right" w:pos="1080"/>
          <w:tab w:val="right" w:pos="1714"/>
          <w:tab w:val="left" w:pos="2160"/>
          <w:tab w:val="left" w:pos="2592"/>
          <w:tab w:val="left" w:pos="3024"/>
          <w:tab w:val="left" w:pos="3456"/>
          <w:tab w:val="right" w:leader="dot" w:pos="9360"/>
        </w:tabs>
        <w:spacing w:before="240" w:after="240" w:line="240" w:lineRule="auto"/>
        <w:ind w:left="1428"/>
        <w:contextualSpacing w:val="0"/>
      </w:pPr>
      <w:r>
        <w:t xml:space="preserve">A. </w:t>
      </w:r>
      <w:r w:rsidR="00122E90" w:rsidRPr="00E45F33">
        <w:t xml:space="preserve"> </w:t>
      </w:r>
      <w:r>
        <w:t>C</w:t>
      </w:r>
      <w:r w:rsidR="00122E90" w:rsidRPr="00E45F33">
        <w:t>omparison of budget to actual, 20</w:t>
      </w:r>
      <w:r w:rsidR="007525AD">
        <w:t>2</w:t>
      </w:r>
      <w:r w:rsidR="009345D8">
        <w:t>2</w:t>
      </w:r>
    </w:p>
    <w:p w14:paraId="465612DE" w14:textId="695F17AE" w:rsidR="00BA688E" w:rsidRDefault="00BA688E" w:rsidP="005F648C">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t>Integrated Resources</w:t>
      </w:r>
    </w:p>
    <w:p w14:paraId="003A228A" w14:textId="6522ED9D" w:rsidR="00122E90" w:rsidRPr="00AD52A4" w:rsidRDefault="00122E90" w:rsidP="00BA688E">
      <w:pPr>
        <w:pStyle w:val="ListParagraph"/>
        <w:numPr>
          <w:ilvl w:val="0"/>
          <w:numId w:val="29"/>
        </w:numPr>
        <w:tabs>
          <w:tab w:val="right" w:pos="1080"/>
          <w:tab w:val="right" w:pos="1714"/>
          <w:tab w:val="left" w:pos="2160"/>
          <w:tab w:val="left" w:pos="2592"/>
          <w:tab w:val="left" w:pos="3024"/>
          <w:tab w:val="left" w:pos="3456"/>
          <w:tab w:val="right" w:leader="dot" w:pos="9360"/>
        </w:tabs>
        <w:spacing w:before="240" w:after="240" w:line="240" w:lineRule="auto"/>
        <w:contextualSpacing w:val="0"/>
      </w:pPr>
      <w:r w:rsidRPr="00AD52A4">
        <w:t>Integrated resources plan, 20</w:t>
      </w:r>
      <w:r w:rsidR="00182A9E">
        <w:t>22</w:t>
      </w:r>
      <w:r w:rsidRPr="00AD52A4">
        <w:t>-202</w:t>
      </w:r>
      <w:r w:rsidR="00182A9E">
        <w:t>5</w:t>
      </w:r>
      <w:r w:rsidRPr="00AD52A4">
        <w:t xml:space="preserve"> estimates compared to 20</w:t>
      </w:r>
      <w:r w:rsidR="007525AD">
        <w:t>2</w:t>
      </w:r>
      <w:r w:rsidR="009345D8">
        <w:t>2</w:t>
      </w:r>
      <w:r w:rsidRPr="00AD52A4">
        <w:t xml:space="preserve"> actuals </w:t>
      </w:r>
    </w:p>
    <w:p w14:paraId="514BC02E" w14:textId="50E73322" w:rsidR="00122E90" w:rsidRPr="00291886" w:rsidRDefault="00122E90" w:rsidP="00BA688E">
      <w:pPr>
        <w:pStyle w:val="ListParagraph"/>
        <w:numPr>
          <w:ilvl w:val="0"/>
          <w:numId w:val="29"/>
        </w:numPr>
        <w:tabs>
          <w:tab w:val="right" w:pos="1080"/>
          <w:tab w:val="right" w:pos="1714"/>
          <w:tab w:val="left" w:pos="2160"/>
          <w:tab w:val="left" w:pos="2592"/>
          <w:tab w:val="left" w:pos="3024"/>
          <w:tab w:val="left" w:pos="3456"/>
          <w:tab w:val="right" w:leader="dot" w:pos="9360"/>
        </w:tabs>
        <w:spacing w:before="240" w:after="240" w:line="240" w:lineRule="auto"/>
        <w:contextualSpacing w:val="0"/>
      </w:pPr>
      <w:r w:rsidRPr="00AD52A4">
        <w:t>Summary of institutional component of the integrated budget by category of expenditures:</w:t>
      </w:r>
      <w:r w:rsidR="00BA688E">
        <w:t xml:space="preserve"> </w:t>
      </w:r>
      <w:r w:rsidR="009345D8" w:rsidRPr="00AD52A4">
        <w:t>20</w:t>
      </w:r>
      <w:r w:rsidR="00182A9E">
        <w:t>22</w:t>
      </w:r>
      <w:r w:rsidR="009345D8" w:rsidRPr="00AD52A4">
        <w:t>-202</w:t>
      </w:r>
      <w:r w:rsidR="00182A9E">
        <w:t>5</w:t>
      </w:r>
      <w:r w:rsidR="009345D8" w:rsidRPr="00AD52A4">
        <w:t xml:space="preserve"> </w:t>
      </w:r>
      <w:r w:rsidR="00182A9E">
        <w:t>budget</w:t>
      </w:r>
      <w:r w:rsidRPr="00291886">
        <w:t xml:space="preserve"> estimates versus </w:t>
      </w:r>
      <w:r w:rsidR="009345D8" w:rsidRPr="00AD52A4">
        <w:t>202</w:t>
      </w:r>
      <w:r w:rsidR="009345D8">
        <w:t>2</w:t>
      </w:r>
      <w:r w:rsidR="009345D8" w:rsidRPr="00AD52A4">
        <w:t xml:space="preserve"> </w:t>
      </w:r>
      <w:r w:rsidRPr="00291886">
        <w:t xml:space="preserve">actual expenditures </w:t>
      </w:r>
    </w:p>
    <w:p w14:paraId="62187974" w14:textId="50A17BD0" w:rsidR="00122E90" w:rsidRPr="00291886" w:rsidRDefault="00122E90" w:rsidP="00BA688E">
      <w:pPr>
        <w:pStyle w:val="ListParagraph"/>
        <w:numPr>
          <w:ilvl w:val="0"/>
          <w:numId w:val="29"/>
        </w:numPr>
        <w:tabs>
          <w:tab w:val="right" w:pos="1080"/>
          <w:tab w:val="right" w:pos="1714"/>
          <w:tab w:val="left" w:pos="2160"/>
          <w:tab w:val="left" w:pos="2592"/>
          <w:tab w:val="left" w:pos="3024"/>
          <w:tab w:val="left" w:pos="3456"/>
          <w:tab w:val="right" w:leader="dot" w:pos="9360"/>
        </w:tabs>
        <w:spacing w:before="240" w:after="240" w:line="240" w:lineRule="auto"/>
        <w:contextualSpacing w:val="0"/>
      </w:pPr>
      <w:r w:rsidRPr="00291886">
        <w:t>Resources allocated to posts by location, 20</w:t>
      </w:r>
      <w:r w:rsidR="007525AD" w:rsidRPr="00291886">
        <w:t>2</w:t>
      </w:r>
      <w:r w:rsidR="009345D8">
        <w:t>2</w:t>
      </w:r>
    </w:p>
    <w:p w14:paraId="3B490305" w14:textId="4F455B85" w:rsidR="00AD52A4" w:rsidRPr="00291886" w:rsidRDefault="00122E90" w:rsidP="005F648C">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rsidRPr="00291886">
        <w:t xml:space="preserve">Regular resources – </w:t>
      </w:r>
      <w:r w:rsidR="003A0517" w:rsidRPr="00291886">
        <w:t xml:space="preserve">annual </w:t>
      </w:r>
      <w:r w:rsidRPr="00291886">
        <w:t>contributions from top 10 donors, 20</w:t>
      </w:r>
      <w:r w:rsidR="00DF3FD3">
        <w:t>2</w:t>
      </w:r>
      <w:r w:rsidR="009345D8">
        <w:t>1</w:t>
      </w:r>
      <w:r w:rsidRPr="00291886">
        <w:t>-20</w:t>
      </w:r>
      <w:r w:rsidR="007525AD" w:rsidRPr="00291886">
        <w:t>2</w:t>
      </w:r>
      <w:r w:rsidR="009345D8">
        <w:t>2</w:t>
      </w:r>
    </w:p>
    <w:p w14:paraId="6A764B8D" w14:textId="78C0D18D" w:rsidR="00951246" w:rsidRPr="00291886" w:rsidRDefault="00D262AC" w:rsidP="005F648C">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rsidRPr="00291886">
        <w:t>Update on g</w:t>
      </w:r>
      <w:r w:rsidR="00951246" w:rsidRPr="00291886">
        <w:t xml:space="preserve">eneral </w:t>
      </w:r>
      <w:r w:rsidRPr="00291886">
        <w:t>m</w:t>
      </w:r>
      <w:r w:rsidR="00951246" w:rsidRPr="00291886">
        <w:t xml:space="preserve">anagement </w:t>
      </w:r>
      <w:r w:rsidRPr="00291886">
        <w:t>services cost-recovery w</w:t>
      </w:r>
      <w:r w:rsidR="00951246" w:rsidRPr="00291886">
        <w:t>aivers</w:t>
      </w:r>
    </w:p>
    <w:p w14:paraId="14E15ED9" w14:textId="2A88689E" w:rsidR="00AD52A4" w:rsidRPr="00291886" w:rsidRDefault="00122E90" w:rsidP="005F648C">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rsidRPr="00291886">
        <w:t xml:space="preserve">Explanation of terms used in </w:t>
      </w:r>
      <w:r w:rsidR="003C118A" w:rsidRPr="00291886">
        <w:t xml:space="preserve">Annex </w:t>
      </w:r>
      <w:r w:rsidR="007F402D" w:rsidRPr="00291886">
        <w:t xml:space="preserve">I </w:t>
      </w:r>
      <w:r w:rsidR="003C118A" w:rsidRPr="00291886">
        <w:t xml:space="preserve">to </w:t>
      </w:r>
      <w:r w:rsidRPr="007F4D38">
        <w:t>DP/20</w:t>
      </w:r>
      <w:r w:rsidR="00606FEC" w:rsidRPr="007F4D38">
        <w:t>2</w:t>
      </w:r>
      <w:r w:rsidR="009345D8">
        <w:t>3</w:t>
      </w:r>
      <w:r w:rsidRPr="007F4D38">
        <w:t>/</w:t>
      </w:r>
      <w:r w:rsidR="007F4D38" w:rsidRPr="007F4D38">
        <w:t>2</w:t>
      </w:r>
      <w:r w:rsidR="009345D8">
        <w:t>6</w:t>
      </w:r>
    </w:p>
    <w:p w14:paraId="1BBD9F90" w14:textId="4E224918" w:rsidR="00FC4398" w:rsidRPr="000E57AE" w:rsidRDefault="00CB7133" w:rsidP="00261950">
      <w:pPr>
        <w:pStyle w:val="ListParagraph"/>
        <w:numPr>
          <w:ilvl w:val="0"/>
          <w:numId w:val="12"/>
        </w:numPr>
        <w:tabs>
          <w:tab w:val="right" w:pos="1080"/>
          <w:tab w:val="right" w:pos="1714"/>
          <w:tab w:val="left" w:pos="2160"/>
          <w:tab w:val="left" w:pos="2592"/>
          <w:tab w:val="left" w:pos="3024"/>
          <w:tab w:val="left" w:pos="3456"/>
          <w:tab w:val="right" w:leader="dot" w:pos="9360"/>
        </w:tabs>
        <w:spacing w:before="240" w:after="240" w:line="240" w:lineRule="auto"/>
        <w:ind w:left="1080"/>
        <w:contextualSpacing w:val="0"/>
      </w:pPr>
      <w:r w:rsidRPr="00291886">
        <w:t xml:space="preserve">Supporting </w:t>
      </w:r>
      <w:r w:rsidR="007F402D" w:rsidRPr="00291886">
        <w:t>information</w:t>
      </w:r>
      <w:r w:rsidR="000617F1" w:rsidRPr="00291886">
        <w:t xml:space="preserve"> relating</w:t>
      </w:r>
      <w:r w:rsidR="007F402D" w:rsidRPr="00291886">
        <w:t xml:space="preserve"> to the</w:t>
      </w:r>
      <w:r w:rsidRPr="00291886">
        <w:t xml:space="preserve"> detailed</w:t>
      </w:r>
      <w:r w:rsidR="007F402D" w:rsidRPr="00291886">
        <w:t xml:space="preserve"> annual review of the financial situation, 20</w:t>
      </w:r>
      <w:r w:rsidR="00606FEC" w:rsidRPr="00291886">
        <w:t>2</w:t>
      </w:r>
      <w:r w:rsidR="009345D8">
        <w:t>2</w:t>
      </w:r>
    </w:p>
    <w:sectPr w:rsidR="00FC4398" w:rsidRPr="000E57AE" w:rsidSect="00A93A87">
      <w:endnotePr>
        <w:numFmt w:val="decimal"/>
      </w:endnotePr>
      <w:type w:val="continuous"/>
      <w:pgSz w:w="12240" w:h="15840" w:code="1"/>
      <w:pgMar w:top="1710" w:right="1195" w:bottom="1267" w:left="990" w:header="576" w:footer="864" w:gutter="0"/>
      <w:pgNumType w:start="1"/>
      <w:cols w:space="720"/>
      <w:noEndnote/>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CB8C" w14:textId="77777777" w:rsidR="00FC3B8B" w:rsidRDefault="00FC3B8B">
      <w:r>
        <w:separator/>
      </w:r>
    </w:p>
    <w:p w14:paraId="0D1682C5" w14:textId="77777777" w:rsidR="00FC3B8B" w:rsidRDefault="00FC3B8B"/>
  </w:endnote>
  <w:endnote w:type="continuationSeparator" w:id="0">
    <w:p w14:paraId="1EFD3021" w14:textId="77777777" w:rsidR="00FC3B8B" w:rsidRDefault="00FC3B8B">
      <w:r>
        <w:continuationSeparator/>
      </w:r>
    </w:p>
    <w:p w14:paraId="722C2845" w14:textId="77777777" w:rsidR="00FC3B8B" w:rsidRDefault="00FC3B8B"/>
  </w:endnote>
  <w:endnote w:type="continuationNotice" w:id="1">
    <w:p w14:paraId="7C1D14EF" w14:textId="77777777" w:rsidR="00FC3B8B" w:rsidRDefault="00FC3B8B">
      <w:pPr>
        <w:spacing w:line="240" w:lineRule="auto"/>
      </w:pPr>
    </w:p>
    <w:p w14:paraId="02B921B2" w14:textId="77777777" w:rsidR="00FC3B8B" w:rsidRDefault="00FC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Britannic Bold"/>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000" w:firstRow="0" w:lastRow="0" w:firstColumn="0" w:lastColumn="0" w:noHBand="0" w:noVBand="0"/>
    </w:tblPr>
    <w:tblGrid>
      <w:gridCol w:w="5028"/>
      <w:gridCol w:w="5028"/>
    </w:tblGrid>
    <w:tr w:rsidR="00381AB7" w14:paraId="3326ABB6" w14:textId="77777777" w:rsidTr="00943B33">
      <w:tc>
        <w:tcPr>
          <w:tcW w:w="5028" w:type="dxa"/>
          <w:shd w:val="clear" w:color="auto" w:fill="auto"/>
        </w:tcPr>
        <w:p w14:paraId="78B33A15" w14:textId="77777777" w:rsidR="00381AB7" w:rsidRPr="00943B33" w:rsidRDefault="00381AB7" w:rsidP="007820E2">
          <w:pPr>
            <w:pStyle w:val="Footer"/>
            <w:jc w:val="right"/>
            <w:rPr>
              <w:b w:val="0"/>
              <w:w w:val="103"/>
              <w:sz w:val="14"/>
            </w:rPr>
          </w:pPr>
        </w:p>
      </w:tc>
      <w:tc>
        <w:tcPr>
          <w:tcW w:w="5028" w:type="dxa"/>
          <w:shd w:val="clear" w:color="auto" w:fill="auto"/>
        </w:tcPr>
        <w:p w14:paraId="0EC83F07" w14:textId="77777777" w:rsidR="00381AB7" w:rsidRPr="00943B33" w:rsidRDefault="00381AB7" w:rsidP="00D4624A">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10</w:t>
          </w:r>
          <w:r>
            <w:rPr>
              <w:w w:val="103"/>
            </w:rPr>
            <w:fldChar w:fldCharType="end"/>
          </w:r>
        </w:p>
      </w:tc>
    </w:tr>
  </w:tbl>
  <w:p w14:paraId="6D96397C" w14:textId="77777777" w:rsidR="00381AB7" w:rsidRPr="00943B33" w:rsidRDefault="00381AB7" w:rsidP="0094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000" w:firstRow="0" w:lastRow="0" w:firstColumn="0" w:lastColumn="0" w:noHBand="0" w:noVBand="0"/>
    </w:tblPr>
    <w:tblGrid>
      <w:gridCol w:w="5028"/>
      <w:gridCol w:w="5028"/>
    </w:tblGrid>
    <w:tr w:rsidR="00381AB7" w14:paraId="66DB47AB" w14:textId="77777777" w:rsidTr="00D81914">
      <w:trPr>
        <w:trHeight w:val="80"/>
      </w:trPr>
      <w:tc>
        <w:tcPr>
          <w:tcW w:w="5028" w:type="dxa"/>
          <w:shd w:val="clear" w:color="auto" w:fill="auto"/>
        </w:tcPr>
        <w:p w14:paraId="1CFDAA4C" w14:textId="77777777" w:rsidR="00381AB7" w:rsidRPr="00943B33" w:rsidRDefault="00381AB7" w:rsidP="00D4624A">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9</w:t>
          </w:r>
          <w:r>
            <w:rPr>
              <w:w w:val="103"/>
            </w:rPr>
            <w:fldChar w:fldCharType="end"/>
          </w:r>
        </w:p>
      </w:tc>
      <w:tc>
        <w:tcPr>
          <w:tcW w:w="5028" w:type="dxa"/>
          <w:shd w:val="clear" w:color="auto" w:fill="auto"/>
        </w:tcPr>
        <w:p w14:paraId="4A7ADF74" w14:textId="77777777" w:rsidR="00381AB7" w:rsidRPr="00943B33" w:rsidRDefault="00381AB7" w:rsidP="00943B33">
          <w:pPr>
            <w:pStyle w:val="Footer"/>
            <w:rPr>
              <w:b w:val="0"/>
              <w:w w:val="103"/>
              <w:sz w:val="14"/>
            </w:rPr>
          </w:pPr>
        </w:p>
      </w:tc>
    </w:tr>
  </w:tbl>
  <w:p w14:paraId="055965DC" w14:textId="77777777" w:rsidR="00381AB7" w:rsidRPr="00943B33" w:rsidRDefault="00381AB7" w:rsidP="00943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4920"/>
    </w:tblGrid>
    <w:tr w:rsidR="00381AB7" w14:paraId="30FDBF18" w14:textId="77777777" w:rsidTr="5D788B90">
      <w:tc>
        <w:tcPr>
          <w:tcW w:w="3700" w:type="dxa"/>
          <w:shd w:val="clear" w:color="auto" w:fill="auto"/>
        </w:tcPr>
        <w:p w14:paraId="6B9F6A2F" w14:textId="3E32F62D" w:rsidR="00381AB7" w:rsidRPr="00BB1219" w:rsidRDefault="00381AB7">
          <w:pPr>
            <w:pStyle w:val="Footer"/>
            <w:rPr>
              <w:rFonts w:ascii="Barcode 3 of 9 by request" w:hAnsi="Barcode 3 of 9 by request"/>
              <w:b w:val="0"/>
              <w:sz w:val="24"/>
            </w:rPr>
          </w:pPr>
        </w:p>
      </w:tc>
      <w:tc>
        <w:tcPr>
          <w:tcW w:w="4920" w:type="dxa"/>
          <w:shd w:val="clear" w:color="auto" w:fill="auto"/>
        </w:tcPr>
        <w:p w14:paraId="5DB983AF" w14:textId="441B04CC" w:rsidR="00381AB7" w:rsidRDefault="00381AB7" w:rsidP="00BB1219">
          <w:pPr>
            <w:pStyle w:val="Footer"/>
            <w:spacing w:line="240" w:lineRule="atLeast"/>
            <w:jc w:val="right"/>
            <w:rPr>
              <w:b w:val="0"/>
              <w:sz w:val="20"/>
            </w:rPr>
          </w:pPr>
        </w:p>
      </w:tc>
    </w:tr>
  </w:tbl>
  <w:p w14:paraId="57FFDB2E" w14:textId="77777777" w:rsidR="00381AB7" w:rsidRPr="00BB1219" w:rsidRDefault="00381AB7">
    <w:pPr>
      <w:pStyle w:val="Footer"/>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0628" w14:textId="77777777" w:rsidR="00FC3B8B" w:rsidRDefault="00FC3B8B">
      <w:r>
        <w:separator/>
      </w:r>
    </w:p>
    <w:p w14:paraId="3D7CE52D" w14:textId="77777777" w:rsidR="00FC3B8B" w:rsidRDefault="00FC3B8B"/>
  </w:footnote>
  <w:footnote w:type="continuationSeparator" w:id="0">
    <w:p w14:paraId="32BA72E7" w14:textId="77777777" w:rsidR="00FC3B8B" w:rsidRDefault="00FC3B8B">
      <w:r>
        <w:continuationSeparator/>
      </w:r>
    </w:p>
    <w:p w14:paraId="35D6C9C8" w14:textId="77777777" w:rsidR="00FC3B8B" w:rsidRDefault="00FC3B8B"/>
  </w:footnote>
  <w:footnote w:type="continuationNotice" w:id="1">
    <w:p w14:paraId="21F1AB2F" w14:textId="77777777" w:rsidR="00FC3B8B" w:rsidRDefault="00FC3B8B">
      <w:pPr>
        <w:spacing w:line="240" w:lineRule="auto"/>
      </w:pPr>
    </w:p>
    <w:p w14:paraId="4F40F381" w14:textId="77777777" w:rsidR="00FC3B8B" w:rsidRDefault="00FC3B8B"/>
  </w:footnote>
  <w:footnote w:id="2">
    <w:p w14:paraId="64DA2F61" w14:textId="04143ED0" w:rsidR="000A2AF7" w:rsidRPr="006F67F1" w:rsidRDefault="000A2AF7" w:rsidP="00152D26">
      <w:pPr>
        <w:pStyle w:val="FootnoteText"/>
        <w:ind w:left="418" w:firstLine="0"/>
        <w:jc w:val="both"/>
        <w:rPr>
          <w:szCs w:val="17"/>
        </w:rPr>
      </w:pPr>
      <w:r w:rsidRPr="006F67F1">
        <w:rPr>
          <w:rStyle w:val="FootnoteReference"/>
          <w:sz w:val="16"/>
          <w:szCs w:val="16"/>
        </w:rPr>
        <w:footnoteRef/>
      </w:r>
      <w:r w:rsidRPr="006F67F1">
        <w:rPr>
          <w:sz w:val="16"/>
          <w:szCs w:val="16"/>
        </w:rPr>
        <w:t xml:space="preserve"> On calculating the operational reserves for 202</w:t>
      </w:r>
      <w:r w:rsidR="009E482C">
        <w:rPr>
          <w:sz w:val="16"/>
          <w:szCs w:val="16"/>
        </w:rPr>
        <w:t>2</w:t>
      </w:r>
      <w:r w:rsidRPr="006F67F1">
        <w:rPr>
          <w:sz w:val="16"/>
          <w:szCs w:val="16"/>
        </w:rPr>
        <w:t>, a net transfer of $</w:t>
      </w:r>
      <w:r w:rsidR="009E482C">
        <w:rPr>
          <w:sz w:val="16"/>
          <w:szCs w:val="16"/>
        </w:rPr>
        <w:t>8.0</w:t>
      </w:r>
      <w:r w:rsidRPr="006F67F1">
        <w:rPr>
          <w:sz w:val="16"/>
          <w:szCs w:val="16"/>
        </w:rPr>
        <w:t xml:space="preserve"> million was made from accumulated surpluses</w:t>
      </w:r>
      <w:r>
        <w:rPr>
          <w:sz w:val="16"/>
          <w:szCs w:val="16"/>
        </w:rPr>
        <w:t xml:space="preserve"> </w:t>
      </w:r>
      <w:r w:rsidRPr="00A427E7">
        <w:rPr>
          <w:sz w:val="16"/>
          <w:szCs w:val="16"/>
        </w:rPr>
        <w:t xml:space="preserve">which </w:t>
      </w:r>
      <w:r w:rsidR="00D46389">
        <w:rPr>
          <w:sz w:val="16"/>
          <w:szCs w:val="16"/>
        </w:rPr>
        <w:t>is shown as $7.0 million</w:t>
      </w:r>
      <w:r w:rsidRPr="00A427E7">
        <w:rPr>
          <w:sz w:val="16"/>
          <w:szCs w:val="16"/>
        </w:rPr>
        <w:t xml:space="preserve"> above due to rounding. </w:t>
      </w:r>
      <w:r w:rsidRPr="006F67F1">
        <w:rPr>
          <w:sz w:val="16"/>
          <w:szCs w:val="16"/>
        </w:rPr>
        <w:t>The operational reserve was established in 1979 by the Governing Council (now the Executive Board) of UNDP to ensure adequate liquidity of UNDP by funding such reserve through a defined formula that is calculated yearly.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381AB7" w14:paraId="34D17D8C" w14:textId="77777777" w:rsidTr="00943B33">
      <w:trPr>
        <w:trHeight w:hRule="exact" w:val="864"/>
      </w:trPr>
      <w:tc>
        <w:tcPr>
          <w:tcW w:w="4838" w:type="dxa"/>
          <w:shd w:val="clear" w:color="auto" w:fill="auto"/>
          <w:vAlign w:val="bottom"/>
        </w:tcPr>
        <w:p w14:paraId="14B97FDB" w14:textId="56D38E3E" w:rsidR="00241C1D" w:rsidRPr="00943B33" w:rsidRDefault="00381AB7" w:rsidP="00FC022F">
          <w:pPr>
            <w:pStyle w:val="Header"/>
            <w:spacing w:after="80"/>
            <w:rPr>
              <w:b/>
            </w:rPr>
          </w:pPr>
          <w:r>
            <w:rPr>
              <w:b/>
            </w:rPr>
            <w:t>Annex I to DP/202</w:t>
          </w:r>
          <w:r w:rsidR="00241C1D">
            <w:rPr>
              <w:b/>
            </w:rPr>
            <w:t>3</w:t>
          </w:r>
          <w:r>
            <w:rPr>
              <w:b/>
            </w:rPr>
            <w:t>/</w:t>
          </w:r>
          <w:r w:rsidR="007F4D38" w:rsidRPr="007F4D38">
            <w:rPr>
              <w:b/>
            </w:rPr>
            <w:t>2</w:t>
          </w:r>
          <w:r w:rsidR="00241C1D">
            <w:rPr>
              <w:b/>
            </w:rPr>
            <w:t>6</w:t>
          </w:r>
        </w:p>
      </w:tc>
      <w:tc>
        <w:tcPr>
          <w:tcW w:w="5028" w:type="dxa"/>
          <w:shd w:val="clear" w:color="auto" w:fill="auto"/>
          <w:vAlign w:val="bottom"/>
        </w:tcPr>
        <w:p w14:paraId="2B6AA1E4" w14:textId="77777777" w:rsidR="00381AB7" w:rsidRDefault="00381AB7" w:rsidP="00943B33">
          <w:pPr>
            <w:pStyle w:val="Header"/>
          </w:pPr>
        </w:p>
      </w:tc>
    </w:tr>
  </w:tbl>
  <w:p w14:paraId="63CA35E7" w14:textId="77777777" w:rsidR="00381AB7" w:rsidRPr="00943B33" w:rsidRDefault="00381AB7" w:rsidP="007A6D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381AB7" w14:paraId="1DCC3476" w14:textId="77777777" w:rsidTr="00943B33">
      <w:trPr>
        <w:trHeight w:hRule="exact" w:val="864"/>
      </w:trPr>
      <w:tc>
        <w:tcPr>
          <w:tcW w:w="4838" w:type="dxa"/>
          <w:shd w:val="clear" w:color="auto" w:fill="auto"/>
          <w:vAlign w:val="bottom"/>
        </w:tcPr>
        <w:p w14:paraId="3A1E20CA" w14:textId="77777777" w:rsidR="00381AB7" w:rsidRDefault="00381AB7" w:rsidP="00943B33">
          <w:pPr>
            <w:pStyle w:val="Header"/>
          </w:pPr>
        </w:p>
      </w:tc>
      <w:tc>
        <w:tcPr>
          <w:tcW w:w="5028" w:type="dxa"/>
          <w:shd w:val="clear" w:color="auto" w:fill="auto"/>
          <w:vAlign w:val="bottom"/>
        </w:tcPr>
        <w:p w14:paraId="30DCB303" w14:textId="09C1AFB6" w:rsidR="00381AB7" w:rsidRPr="00943B33" w:rsidRDefault="00381AB7" w:rsidP="00FC022F">
          <w:pPr>
            <w:pStyle w:val="Header"/>
            <w:spacing w:after="80"/>
            <w:jc w:val="right"/>
            <w:rPr>
              <w:b/>
            </w:rPr>
          </w:pPr>
          <w:r>
            <w:rPr>
              <w:b/>
            </w:rPr>
            <w:t>Annex I to DP/202</w:t>
          </w:r>
          <w:r w:rsidR="008D6E8E">
            <w:rPr>
              <w:b/>
            </w:rPr>
            <w:t>3</w:t>
          </w:r>
          <w:r>
            <w:rPr>
              <w:b/>
            </w:rPr>
            <w:t>/</w:t>
          </w:r>
          <w:r w:rsidR="008D6E8E">
            <w:rPr>
              <w:b/>
            </w:rPr>
            <w:t>26</w:t>
          </w:r>
        </w:p>
      </w:tc>
    </w:tr>
  </w:tbl>
  <w:p w14:paraId="3E055973" w14:textId="77777777" w:rsidR="00381AB7" w:rsidRPr="00943B33" w:rsidRDefault="00381AB7" w:rsidP="0094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59D"/>
    <w:multiLevelType w:val="multilevel"/>
    <w:tmpl w:val="A1B8C13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021C11D8"/>
    <w:multiLevelType w:val="hybridMultilevel"/>
    <w:tmpl w:val="1B6E8C20"/>
    <w:lvl w:ilvl="0" w:tplc="3E9C76D6">
      <w:start w:val="1"/>
      <w:numFmt w:val="decimal"/>
      <w:lvlText w:val="%1."/>
      <w:lvlJc w:val="left"/>
      <w:pPr>
        <w:ind w:left="1343" w:hanging="360"/>
      </w:pPr>
      <w:rPr>
        <w:rFonts w:ascii="Times New Roman" w:hAnsi="Times New Roman" w:cs="Times New Roman" w:hint="default"/>
        <w:b w:val="0"/>
        <w:bCs/>
        <w:strike w:val="0"/>
      </w:rPr>
    </w:lvl>
    <w:lvl w:ilvl="1" w:tplc="04090019">
      <w:start w:val="1"/>
      <w:numFmt w:val="lowerLetter"/>
      <w:lvlText w:val="%2."/>
      <w:lvlJc w:val="left"/>
      <w:pPr>
        <w:ind w:left="2520" w:hanging="360"/>
      </w:pPr>
    </w:lvl>
    <w:lvl w:ilvl="2" w:tplc="E5442810">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120B0"/>
    <w:multiLevelType w:val="hybridMultilevel"/>
    <w:tmpl w:val="4C8E35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05A52"/>
    <w:multiLevelType w:val="hybridMultilevel"/>
    <w:tmpl w:val="C4BAC26C"/>
    <w:lvl w:ilvl="0" w:tplc="AC76A948">
      <w:start w:val="1"/>
      <w:numFmt w:val="decimal"/>
      <w:lvlText w:val="%1."/>
      <w:lvlJc w:val="left"/>
      <w:pPr>
        <w:ind w:left="1343" w:hanging="360"/>
      </w:pPr>
      <w:rPr>
        <w:b w:val="0"/>
        <w:bCs/>
      </w:rPr>
    </w:lvl>
    <w:lvl w:ilvl="1" w:tplc="04090019">
      <w:start w:val="1"/>
      <w:numFmt w:val="lowerLetter"/>
      <w:lvlText w:val="%2."/>
      <w:lvlJc w:val="left"/>
      <w:pPr>
        <w:ind w:left="2520" w:hanging="360"/>
      </w:pPr>
    </w:lvl>
    <w:lvl w:ilvl="2" w:tplc="E5442810">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3346BB"/>
    <w:multiLevelType w:val="hybridMultilevel"/>
    <w:tmpl w:val="FBB29332"/>
    <w:lvl w:ilvl="0" w:tplc="0409000F">
      <w:start w:val="1"/>
      <w:numFmt w:val="decimal"/>
      <w:lvlText w:val="%1."/>
      <w:lvlJc w:val="left"/>
      <w:pPr>
        <w:ind w:left="820" w:hanging="360"/>
      </w:pPr>
    </w:lvl>
    <w:lvl w:ilvl="1" w:tplc="059EC110">
      <w:start w:val="1"/>
      <w:numFmt w:val="lowerLetter"/>
      <w:lvlText w:val="%2."/>
      <w:lvlJc w:val="left"/>
      <w:pPr>
        <w:ind w:left="1540" w:hanging="360"/>
      </w:pPr>
      <w:rPr>
        <w:rFonts w:ascii="Times New Roman" w:hAnsi="Times New Roman"/>
        <w:b w:val="0"/>
        <w:bCs w:val="0"/>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4366C42"/>
    <w:multiLevelType w:val="hybridMultilevel"/>
    <w:tmpl w:val="1CBEF6FC"/>
    <w:lvl w:ilvl="0" w:tplc="C8DEA626">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81324"/>
    <w:multiLevelType w:val="multilevel"/>
    <w:tmpl w:val="D5907FDA"/>
    <w:lvl w:ilvl="0">
      <w:start w:val="1"/>
      <w:numFmt w:val="upperRoman"/>
      <w:lvlText w:val="%1."/>
      <w:lvlJc w:val="right"/>
      <w:pPr>
        <w:tabs>
          <w:tab w:val="num" w:pos="1296"/>
        </w:tabs>
        <w:ind w:left="1296" w:hanging="216"/>
      </w:pPr>
    </w:lvl>
    <w:lvl w:ilvl="1">
      <w:start w:val="1"/>
      <w:numFmt w:val="upperLetter"/>
      <w:lvlText w:val="%2."/>
      <w:lvlJc w:val="left"/>
      <w:pPr>
        <w:tabs>
          <w:tab w:val="num" w:pos="1692"/>
        </w:tabs>
        <w:ind w:left="1692"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2E7C068E"/>
    <w:multiLevelType w:val="multilevel"/>
    <w:tmpl w:val="3B3CEE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76842"/>
    <w:multiLevelType w:val="hybridMultilevel"/>
    <w:tmpl w:val="B1FEE444"/>
    <w:lvl w:ilvl="0" w:tplc="CA3A9AEA">
      <w:start w:val="5"/>
      <w:numFmt w:val="bullet"/>
      <w:lvlText w:val=""/>
      <w:lvlJc w:val="left"/>
      <w:pPr>
        <w:ind w:left="1627" w:hanging="360"/>
      </w:pPr>
      <w:rPr>
        <w:rFonts w:ascii="Symbol" w:eastAsia="MS Mincho" w:hAnsi="Symbol"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9" w15:restartNumberingAfterBreak="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1" w15:restartNumberingAfterBreak="0">
    <w:nsid w:val="45C00C0D"/>
    <w:multiLevelType w:val="multilevel"/>
    <w:tmpl w:val="1D080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73877"/>
    <w:multiLevelType w:val="multilevel"/>
    <w:tmpl w:val="B3204B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743FD"/>
    <w:multiLevelType w:val="hybridMultilevel"/>
    <w:tmpl w:val="E88E3C7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A03EA"/>
    <w:multiLevelType w:val="hybridMultilevel"/>
    <w:tmpl w:val="624EAE3E"/>
    <w:lvl w:ilvl="0" w:tplc="34760170">
      <w:start w:val="5"/>
      <w:numFmt w:val="bullet"/>
      <w:lvlText w:val=""/>
      <w:lvlJc w:val="left"/>
      <w:pPr>
        <w:ind w:left="1890" w:hanging="360"/>
      </w:pPr>
      <w:rPr>
        <w:rFonts w:ascii="Symbol" w:eastAsia="MS Mincho"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BCC17B9"/>
    <w:multiLevelType w:val="multilevel"/>
    <w:tmpl w:val="792869F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6" w15:restartNumberingAfterBreak="0">
    <w:nsid w:val="51416116"/>
    <w:multiLevelType w:val="hybridMultilevel"/>
    <w:tmpl w:val="EC24C67C"/>
    <w:lvl w:ilvl="0" w:tplc="44090003">
      <w:start w:val="1"/>
      <w:numFmt w:val="bullet"/>
      <w:lvlText w:val="o"/>
      <w:lvlJc w:val="left"/>
      <w:pPr>
        <w:ind w:left="1860" w:hanging="360"/>
      </w:pPr>
      <w:rPr>
        <w:rFonts w:ascii="Courier New" w:hAnsi="Courier New" w:cs="Courier New" w:hint="default"/>
      </w:rPr>
    </w:lvl>
    <w:lvl w:ilvl="1" w:tplc="04090001">
      <w:start w:val="1"/>
      <w:numFmt w:val="bullet"/>
      <w:lvlText w:val=""/>
      <w:lvlJc w:val="left"/>
      <w:pPr>
        <w:ind w:left="2580" w:hanging="360"/>
      </w:pPr>
      <w:rPr>
        <w:rFonts w:ascii="Symbol" w:hAnsi="Symbol"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7" w15:restartNumberingAfterBreak="0">
    <w:nsid w:val="55003274"/>
    <w:multiLevelType w:val="hybridMultilevel"/>
    <w:tmpl w:val="887EB836"/>
    <w:lvl w:ilvl="0" w:tplc="659EBCA2">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708F9"/>
    <w:multiLevelType w:val="multilevel"/>
    <w:tmpl w:val="C8D2AE3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9" w15:restartNumberingAfterBreak="0">
    <w:nsid w:val="5E35591A"/>
    <w:multiLevelType w:val="hybridMultilevel"/>
    <w:tmpl w:val="E14E112E"/>
    <w:lvl w:ilvl="0" w:tplc="04090015">
      <w:start w:val="1"/>
      <w:numFmt w:val="upperLetter"/>
      <w:lvlText w:val="%1."/>
      <w:lvlJc w:val="left"/>
      <w:pPr>
        <w:ind w:left="1788" w:hanging="360"/>
      </w:pPr>
    </w:lvl>
    <w:lvl w:ilvl="1" w:tplc="04090019">
      <w:start w:val="1"/>
      <w:numFmt w:val="lowerLetter"/>
      <w:lvlText w:val="%2."/>
      <w:lvlJc w:val="left"/>
      <w:pPr>
        <w:ind w:left="2508" w:hanging="360"/>
      </w:pPr>
    </w:lvl>
    <w:lvl w:ilvl="2" w:tplc="0409001B">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0" w15:restartNumberingAfterBreak="0">
    <w:nsid w:val="6025260A"/>
    <w:multiLevelType w:val="hybridMultilevel"/>
    <w:tmpl w:val="66F435E8"/>
    <w:lvl w:ilvl="0" w:tplc="80A6E366">
      <w:numFmt w:val="bullet"/>
      <w:lvlText w:val="-"/>
      <w:lvlJc w:val="left"/>
      <w:pPr>
        <w:ind w:left="1380" w:hanging="10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45B2F"/>
    <w:multiLevelType w:val="hybridMultilevel"/>
    <w:tmpl w:val="FFFFFFFF"/>
    <w:lvl w:ilvl="0" w:tplc="BFE079BE">
      <w:start w:val="1"/>
      <w:numFmt w:val="decimal"/>
      <w:lvlText w:val="%1."/>
      <w:lvlJc w:val="left"/>
      <w:pPr>
        <w:ind w:left="720" w:hanging="360"/>
      </w:pPr>
    </w:lvl>
    <w:lvl w:ilvl="1" w:tplc="CE02C9C2">
      <w:start w:val="1"/>
      <w:numFmt w:val="lowerLetter"/>
      <w:lvlText w:val="%2."/>
      <w:lvlJc w:val="left"/>
      <w:pPr>
        <w:ind w:left="1440" w:hanging="360"/>
      </w:pPr>
    </w:lvl>
    <w:lvl w:ilvl="2" w:tplc="B7F01822">
      <w:start w:val="1"/>
      <w:numFmt w:val="lowerLetter"/>
      <w:lvlText w:val="(%3)"/>
      <w:lvlJc w:val="left"/>
      <w:pPr>
        <w:ind w:left="2160" w:hanging="180"/>
      </w:pPr>
    </w:lvl>
    <w:lvl w:ilvl="3" w:tplc="2E7816C6">
      <w:start w:val="1"/>
      <w:numFmt w:val="decimal"/>
      <w:lvlText w:val="%4."/>
      <w:lvlJc w:val="left"/>
      <w:pPr>
        <w:ind w:left="2880" w:hanging="360"/>
      </w:pPr>
    </w:lvl>
    <w:lvl w:ilvl="4" w:tplc="239A13D8">
      <w:start w:val="1"/>
      <w:numFmt w:val="lowerLetter"/>
      <w:lvlText w:val="%5."/>
      <w:lvlJc w:val="left"/>
      <w:pPr>
        <w:ind w:left="3600" w:hanging="360"/>
      </w:pPr>
    </w:lvl>
    <w:lvl w:ilvl="5" w:tplc="AFD89634">
      <w:start w:val="1"/>
      <w:numFmt w:val="lowerRoman"/>
      <w:lvlText w:val="%6."/>
      <w:lvlJc w:val="right"/>
      <w:pPr>
        <w:ind w:left="4320" w:hanging="180"/>
      </w:pPr>
    </w:lvl>
    <w:lvl w:ilvl="6" w:tplc="C14E40EA">
      <w:start w:val="1"/>
      <w:numFmt w:val="decimal"/>
      <w:lvlText w:val="%7."/>
      <w:lvlJc w:val="left"/>
      <w:pPr>
        <w:ind w:left="5040" w:hanging="360"/>
      </w:pPr>
    </w:lvl>
    <w:lvl w:ilvl="7" w:tplc="DC00762E">
      <w:start w:val="1"/>
      <w:numFmt w:val="lowerLetter"/>
      <w:lvlText w:val="%8."/>
      <w:lvlJc w:val="left"/>
      <w:pPr>
        <w:ind w:left="5760" w:hanging="360"/>
      </w:pPr>
    </w:lvl>
    <w:lvl w:ilvl="8" w:tplc="40429AD8">
      <w:start w:val="1"/>
      <w:numFmt w:val="lowerRoman"/>
      <w:lvlText w:val="%9."/>
      <w:lvlJc w:val="right"/>
      <w:pPr>
        <w:ind w:left="6480" w:hanging="180"/>
      </w:pPr>
    </w:lvl>
  </w:abstractNum>
  <w:abstractNum w:abstractNumId="22"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3" w15:restartNumberingAfterBreak="0">
    <w:nsid w:val="68350C7C"/>
    <w:multiLevelType w:val="hybridMultilevel"/>
    <w:tmpl w:val="454000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C1B48BC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72E66"/>
    <w:multiLevelType w:val="hybridMultilevel"/>
    <w:tmpl w:val="4084799C"/>
    <w:lvl w:ilvl="0" w:tplc="B08C55E2">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6DC8572C"/>
    <w:multiLevelType w:val="hybridMultilevel"/>
    <w:tmpl w:val="1B8AD5CC"/>
    <w:lvl w:ilvl="0" w:tplc="04090017">
      <w:start w:val="1"/>
      <w:numFmt w:val="lowerLetter"/>
      <w:lvlText w:val="%1)"/>
      <w:lvlJc w:val="left"/>
      <w:pPr>
        <w:ind w:left="2063" w:hanging="360"/>
      </w:pPr>
      <w:rPr>
        <w:rFonts w:hint="default"/>
      </w:r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26" w15:restartNumberingAfterBreak="0">
    <w:nsid w:val="724871BB"/>
    <w:multiLevelType w:val="multilevel"/>
    <w:tmpl w:val="C176570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7" w15:restartNumberingAfterBreak="0">
    <w:nsid w:val="7D701788"/>
    <w:multiLevelType w:val="hybridMultilevel"/>
    <w:tmpl w:val="2F02B066"/>
    <w:lvl w:ilvl="0" w:tplc="AC76A948">
      <w:start w:val="1"/>
      <w:numFmt w:val="decimal"/>
      <w:lvlText w:val="%1."/>
      <w:lvlJc w:val="left"/>
      <w:pPr>
        <w:ind w:left="1343" w:hanging="360"/>
      </w:pPr>
      <w:rPr>
        <w:b w:val="0"/>
        <w:bCs/>
      </w:rPr>
    </w:lvl>
    <w:lvl w:ilvl="1" w:tplc="04090019">
      <w:start w:val="1"/>
      <w:numFmt w:val="lowerLetter"/>
      <w:lvlText w:val="%2."/>
      <w:lvlJc w:val="left"/>
      <w:pPr>
        <w:ind w:left="2520" w:hanging="360"/>
      </w:pPr>
    </w:lvl>
    <w:lvl w:ilvl="2" w:tplc="E5442810">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0204045">
    <w:abstractNumId w:val="9"/>
  </w:num>
  <w:num w:numId="2" w16cid:durableId="1570310729">
    <w:abstractNumId w:val="22"/>
  </w:num>
  <w:num w:numId="3" w16cid:durableId="333534364">
    <w:abstractNumId w:val="10"/>
  </w:num>
  <w:num w:numId="4" w16cid:durableId="976835313">
    <w:abstractNumId w:val="6"/>
  </w:num>
  <w:num w:numId="5" w16cid:durableId="865753711">
    <w:abstractNumId w:val="1"/>
  </w:num>
  <w:num w:numId="6" w16cid:durableId="367340904">
    <w:abstractNumId w:val="6"/>
    <w:lvlOverride w:ilvl="0">
      <w:startOverride w:val="5"/>
    </w:lvlOverride>
  </w:num>
  <w:num w:numId="7" w16cid:durableId="1063528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354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2487446">
    <w:abstractNumId w:val="13"/>
  </w:num>
  <w:num w:numId="10" w16cid:durableId="63527709">
    <w:abstractNumId w:val="2"/>
  </w:num>
  <w:num w:numId="11" w16cid:durableId="1552691308">
    <w:abstractNumId w:val="25"/>
  </w:num>
  <w:num w:numId="12" w16cid:durableId="107821491">
    <w:abstractNumId w:val="23"/>
  </w:num>
  <w:num w:numId="13" w16cid:durableId="921989185">
    <w:abstractNumId w:val="17"/>
  </w:num>
  <w:num w:numId="14" w16cid:durableId="1822387208">
    <w:abstractNumId w:val="21"/>
  </w:num>
  <w:num w:numId="15" w16cid:durableId="1870138400">
    <w:abstractNumId w:val="3"/>
  </w:num>
  <w:num w:numId="16" w16cid:durableId="726032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240616">
    <w:abstractNumId w:val="27"/>
  </w:num>
  <w:num w:numId="18" w16cid:durableId="1870870670">
    <w:abstractNumId w:val="5"/>
  </w:num>
  <w:num w:numId="19" w16cid:durableId="245306439">
    <w:abstractNumId w:val="24"/>
  </w:num>
  <w:num w:numId="20" w16cid:durableId="1661735318">
    <w:abstractNumId w:val="20"/>
  </w:num>
  <w:num w:numId="21" w16cid:durableId="560098584">
    <w:abstractNumId w:val="15"/>
  </w:num>
  <w:num w:numId="22" w16cid:durableId="1958176401">
    <w:abstractNumId w:val="26"/>
  </w:num>
  <w:num w:numId="23" w16cid:durableId="137386590">
    <w:abstractNumId w:val="0"/>
  </w:num>
  <w:num w:numId="24" w16cid:durableId="1986691010">
    <w:abstractNumId w:val="18"/>
  </w:num>
  <w:num w:numId="25" w16cid:durableId="1030565526">
    <w:abstractNumId w:val="4"/>
  </w:num>
  <w:num w:numId="26" w16cid:durableId="961496717">
    <w:abstractNumId w:val="16"/>
  </w:num>
  <w:num w:numId="27" w16cid:durableId="1800146999">
    <w:abstractNumId w:val="12"/>
  </w:num>
  <w:num w:numId="28" w16cid:durableId="1750273880">
    <w:abstractNumId w:val="7"/>
  </w:num>
  <w:num w:numId="29" w16cid:durableId="1111513758">
    <w:abstractNumId w:val="19"/>
  </w:num>
  <w:num w:numId="30" w16cid:durableId="744378661">
    <w:abstractNumId w:val="11"/>
  </w:num>
  <w:num w:numId="31" w16cid:durableId="1618873561">
    <w:abstractNumId w:val="14"/>
  </w:num>
  <w:num w:numId="32" w16cid:durableId="5447531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76"/>
  <w:hyphenationZone w:val="20"/>
  <w:doNotHyphenateCaps/>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2420*"/>
    <w:docVar w:name="jobn" w:val="19-12420 (E)"/>
    <w:docVar w:name="JobNo" w:val="1912420E"/>
    <w:docVar w:name="ODSRefJobNo" w:val="1922504E"/>
    <w:docVar w:name="sss1" w:val="DP/2019/26"/>
    <w:docVar w:name="sss2" w:val="-"/>
  </w:docVars>
  <w:rsids>
    <w:rsidRoot w:val="009D2BFA"/>
    <w:rsid w:val="0000002B"/>
    <w:rsid w:val="00000369"/>
    <w:rsid w:val="000003A1"/>
    <w:rsid w:val="00000438"/>
    <w:rsid w:val="000004A0"/>
    <w:rsid w:val="0000061B"/>
    <w:rsid w:val="00000639"/>
    <w:rsid w:val="000007B6"/>
    <w:rsid w:val="00000847"/>
    <w:rsid w:val="0000085F"/>
    <w:rsid w:val="00000A30"/>
    <w:rsid w:val="0000107D"/>
    <w:rsid w:val="00001904"/>
    <w:rsid w:val="00001B39"/>
    <w:rsid w:val="00001C99"/>
    <w:rsid w:val="00001DE3"/>
    <w:rsid w:val="00001DE9"/>
    <w:rsid w:val="000022CC"/>
    <w:rsid w:val="00002852"/>
    <w:rsid w:val="00002A41"/>
    <w:rsid w:val="00002D8C"/>
    <w:rsid w:val="00002F18"/>
    <w:rsid w:val="0000301C"/>
    <w:rsid w:val="00003350"/>
    <w:rsid w:val="00003369"/>
    <w:rsid w:val="00004121"/>
    <w:rsid w:val="000044BD"/>
    <w:rsid w:val="000045F2"/>
    <w:rsid w:val="00004AB8"/>
    <w:rsid w:val="00004B02"/>
    <w:rsid w:val="00005127"/>
    <w:rsid w:val="000052BC"/>
    <w:rsid w:val="00005746"/>
    <w:rsid w:val="00005769"/>
    <w:rsid w:val="00005AFF"/>
    <w:rsid w:val="00006536"/>
    <w:rsid w:val="0000658D"/>
    <w:rsid w:val="00006821"/>
    <w:rsid w:val="0000687F"/>
    <w:rsid w:val="00006964"/>
    <w:rsid w:val="00006A7F"/>
    <w:rsid w:val="00006D53"/>
    <w:rsid w:val="000073E4"/>
    <w:rsid w:val="000074D8"/>
    <w:rsid w:val="00007608"/>
    <w:rsid w:val="00007823"/>
    <w:rsid w:val="00007947"/>
    <w:rsid w:val="00007A02"/>
    <w:rsid w:val="00007DDE"/>
    <w:rsid w:val="00010121"/>
    <w:rsid w:val="0001033D"/>
    <w:rsid w:val="00010409"/>
    <w:rsid w:val="00010779"/>
    <w:rsid w:val="00010CB2"/>
    <w:rsid w:val="00010EAD"/>
    <w:rsid w:val="00010FBD"/>
    <w:rsid w:val="000111D8"/>
    <w:rsid w:val="0001175B"/>
    <w:rsid w:val="00011833"/>
    <w:rsid w:val="00011910"/>
    <w:rsid w:val="000119DF"/>
    <w:rsid w:val="00011BAF"/>
    <w:rsid w:val="00011C6E"/>
    <w:rsid w:val="00011E94"/>
    <w:rsid w:val="00011F66"/>
    <w:rsid w:val="000120FF"/>
    <w:rsid w:val="00012694"/>
    <w:rsid w:val="00012950"/>
    <w:rsid w:val="00012A18"/>
    <w:rsid w:val="00012A44"/>
    <w:rsid w:val="00012B9B"/>
    <w:rsid w:val="000130E7"/>
    <w:rsid w:val="000137C9"/>
    <w:rsid w:val="000137FE"/>
    <w:rsid w:val="00013912"/>
    <w:rsid w:val="00013955"/>
    <w:rsid w:val="00013C9F"/>
    <w:rsid w:val="00013E04"/>
    <w:rsid w:val="00013E64"/>
    <w:rsid w:val="00013E71"/>
    <w:rsid w:val="00014135"/>
    <w:rsid w:val="00014243"/>
    <w:rsid w:val="0001436B"/>
    <w:rsid w:val="00014716"/>
    <w:rsid w:val="00014941"/>
    <w:rsid w:val="00014B74"/>
    <w:rsid w:val="000151E8"/>
    <w:rsid w:val="000151E9"/>
    <w:rsid w:val="00015596"/>
    <w:rsid w:val="0001584F"/>
    <w:rsid w:val="00015AEF"/>
    <w:rsid w:val="00015EE0"/>
    <w:rsid w:val="00015F6F"/>
    <w:rsid w:val="000162F6"/>
    <w:rsid w:val="00016327"/>
    <w:rsid w:val="00016378"/>
    <w:rsid w:val="00016641"/>
    <w:rsid w:val="00016776"/>
    <w:rsid w:val="0001700A"/>
    <w:rsid w:val="00017279"/>
    <w:rsid w:val="0001755B"/>
    <w:rsid w:val="0001793F"/>
    <w:rsid w:val="00017D95"/>
    <w:rsid w:val="00020466"/>
    <w:rsid w:val="00020A4C"/>
    <w:rsid w:val="00020C67"/>
    <w:rsid w:val="00020F14"/>
    <w:rsid w:val="00021298"/>
    <w:rsid w:val="00021387"/>
    <w:rsid w:val="00021540"/>
    <w:rsid w:val="0002179A"/>
    <w:rsid w:val="00021891"/>
    <w:rsid w:val="00021ACF"/>
    <w:rsid w:val="000224DC"/>
    <w:rsid w:val="000225EA"/>
    <w:rsid w:val="00022990"/>
    <w:rsid w:val="00022C10"/>
    <w:rsid w:val="00022C1E"/>
    <w:rsid w:val="00022D86"/>
    <w:rsid w:val="00022F37"/>
    <w:rsid w:val="00022F7B"/>
    <w:rsid w:val="000233A6"/>
    <w:rsid w:val="000237E6"/>
    <w:rsid w:val="000237EF"/>
    <w:rsid w:val="0002383E"/>
    <w:rsid w:val="00023AE6"/>
    <w:rsid w:val="00023BDE"/>
    <w:rsid w:val="00023D73"/>
    <w:rsid w:val="00024269"/>
    <w:rsid w:val="000243C1"/>
    <w:rsid w:val="00024499"/>
    <w:rsid w:val="0002455F"/>
    <w:rsid w:val="000245E1"/>
    <w:rsid w:val="000246DA"/>
    <w:rsid w:val="000246F1"/>
    <w:rsid w:val="00024894"/>
    <w:rsid w:val="000249DC"/>
    <w:rsid w:val="00024B08"/>
    <w:rsid w:val="00024B62"/>
    <w:rsid w:val="00024C41"/>
    <w:rsid w:val="00024E5A"/>
    <w:rsid w:val="00024FC7"/>
    <w:rsid w:val="00025297"/>
    <w:rsid w:val="000257D0"/>
    <w:rsid w:val="00025848"/>
    <w:rsid w:val="00025B83"/>
    <w:rsid w:val="00025C58"/>
    <w:rsid w:val="00025C6B"/>
    <w:rsid w:val="00025E8C"/>
    <w:rsid w:val="00026167"/>
    <w:rsid w:val="0002623E"/>
    <w:rsid w:val="00026310"/>
    <w:rsid w:val="00026391"/>
    <w:rsid w:val="000263E8"/>
    <w:rsid w:val="000269E1"/>
    <w:rsid w:val="00026CE8"/>
    <w:rsid w:val="00026D4C"/>
    <w:rsid w:val="00027488"/>
    <w:rsid w:val="0002782B"/>
    <w:rsid w:val="00027A02"/>
    <w:rsid w:val="00027C60"/>
    <w:rsid w:val="00027D58"/>
    <w:rsid w:val="00030166"/>
    <w:rsid w:val="0003036C"/>
    <w:rsid w:val="0003042B"/>
    <w:rsid w:val="000306CC"/>
    <w:rsid w:val="000308AA"/>
    <w:rsid w:val="00030947"/>
    <w:rsid w:val="00030A7E"/>
    <w:rsid w:val="00030AD1"/>
    <w:rsid w:val="00030E76"/>
    <w:rsid w:val="00031115"/>
    <w:rsid w:val="00031B62"/>
    <w:rsid w:val="00031CA3"/>
    <w:rsid w:val="00031F2D"/>
    <w:rsid w:val="00031FF6"/>
    <w:rsid w:val="0003205E"/>
    <w:rsid w:val="000320CC"/>
    <w:rsid w:val="00032100"/>
    <w:rsid w:val="0003226B"/>
    <w:rsid w:val="000323B2"/>
    <w:rsid w:val="0003242E"/>
    <w:rsid w:val="000324A5"/>
    <w:rsid w:val="00032594"/>
    <w:rsid w:val="0003271B"/>
    <w:rsid w:val="0003276E"/>
    <w:rsid w:val="00032940"/>
    <w:rsid w:val="00032B75"/>
    <w:rsid w:val="00032D69"/>
    <w:rsid w:val="00033019"/>
    <w:rsid w:val="00033164"/>
    <w:rsid w:val="00033316"/>
    <w:rsid w:val="000334FB"/>
    <w:rsid w:val="00033527"/>
    <w:rsid w:val="0003355C"/>
    <w:rsid w:val="0003371A"/>
    <w:rsid w:val="000338F0"/>
    <w:rsid w:val="000339C7"/>
    <w:rsid w:val="00033ACD"/>
    <w:rsid w:val="00033B7C"/>
    <w:rsid w:val="0003402B"/>
    <w:rsid w:val="000341F1"/>
    <w:rsid w:val="000342F2"/>
    <w:rsid w:val="00034346"/>
    <w:rsid w:val="000343CE"/>
    <w:rsid w:val="000346CB"/>
    <w:rsid w:val="000348A3"/>
    <w:rsid w:val="00034D7D"/>
    <w:rsid w:val="00034E97"/>
    <w:rsid w:val="00034F69"/>
    <w:rsid w:val="00034FDB"/>
    <w:rsid w:val="000355B9"/>
    <w:rsid w:val="00035661"/>
    <w:rsid w:val="0003584D"/>
    <w:rsid w:val="00035C34"/>
    <w:rsid w:val="00035EBA"/>
    <w:rsid w:val="000360BA"/>
    <w:rsid w:val="00036B97"/>
    <w:rsid w:val="00036DF5"/>
    <w:rsid w:val="00036EF9"/>
    <w:rsid w:val="00037358"/>
    <w:rsid w:val="0003738C"/>
    <w:rsid w:val="00037435"/>
    <w:rsid w:val="00037E4B"/>
    <w:rsid w:val="00040257"/>
    <w:rsid w:val="000409FA"/>
    <w:rsid w:val="00040B07"/>
    <w:rsid w:val="00040B25"/>
    <w:rsid w:val="00040FE2"/>
    <w:rsid w:val="00041196"/>
    <w:rsid w:val="000411CE"/>
    <w:rsid w:val="000413BF"/>
    <w:rsid w:val="00041429"/>
    <w:rsid w:val="00041520"/>
    <w:rsid w:val="00041766"/>
    <w:rsid w:val="000417F2"/>
    <w:rsid w:val="00041B6B"/>
    <w:rsid w:val="00041CAB"/>
    <w:rsid w:val="00041E49"/>
    <w:rsid w:val="00042064"/>
    <w:rsid w:val="0004233E"/>
    <w:rsid w:val="00042578"/>
    <w:rsid w:val="00042A96"/>
    <w:rsid w:val="0004311B"/>
    <w:rsid w:val="0004316C"/>
    <w:rsid w:val="00043228"/>
    <w:rsid w:val="00043343"/>
    <w:rsid w:val="00043410"/>
    <w:rsid w:val="0004353F"/>
    <w:rsid w:val="00043620"/>
    <w:rsid w:val="00044A03"/>
    <w:rsid w:val="00044A42"/>
    <w:rsid w:val="00044A8C"/>
    <w:rsid w:val="00045266"/>
    <w:rsid w:val="00045485"/>
    <w:rsid w:val="00045658"/>
    <w:rsid w:val="00045847"/>
    <w:rsid w:val="00045D22"/>
    <w:rsid w:val="00046337"/>
    <w:rsid w:val="000467FA"/>
    <w:rsid w:val="000469EA"/>
    <w:rsid w:val="00046A06"/>
    <w:rsid w:val="00046B0C"/>
    <w:rsid w:val="0004725E"/>
    <w:rsid w:val="000473E6"/>
    <w:rsid w:val="0004775D"/>
    <w:rsid w:val="0004781B"/>
    <w:rsid w:val="0004782E"/>
    <w:rsid w:val="00047D11"/>
    <w:rsid w:val="00047D1A"/>
    <w:rsid w:val="00050445"/>
    <w:rsid w:val="000505AE"/>
    <w:rsid w:val="000509B8"/>
    <w:rsid w:val="00050A88"/>
    <w:rsid w:val="00050E3D"/>
    <w:rsid w:val="000511E4"/>
    <w:rsid w:val="0005142E"/>
    <w:rsid w:val="00051981"/>
    <w:rsid w:val="00051B43"/>
    <w:rsid w:val="00051D6F"/>
    <w:rsid w:val="00051DBD"/>
    <w:rsid w:val="00051EA9"/>
    <w:rsid w:val="000524A5"/>
    <w:rsid w:val="00052712"/>
    <w:rsid w:val="000527DC"/>
    <w:rsid w:val="00053056"/>
    <w:rsid w:val="00053147"/>
    <w:rsid w:val="000531A6"/>
    <w:rsid w:val="000531BF"/>
    <w:rsid w:val="00053358"/>
    <w:rsid w:val="00053446"/>
    <w:rsid w:val="000536C3"/>
    <w:rsid w:val="00053A0C"/>
    <w:rsid w:val="00053D83"/>
    <w:rsid w:val="00053E24"/>
    <w:rsid w:val="00053FCB"/>
    <w:rsid w:val="00054195"/>
    <w:rsid w:val="000542B1"/>
    <w:rsid w:val="0005459F"/>
    <w:rsid w:val="00054796"/>
    <w:rsid w:val="00054828"/>
    <w:rsid w:val="00054852"/>
    <w:rsid w:val="00054A6B"/>
    <w:rsid w:val="00054D22"/>
    <w:rsid w:val="00054DC7"/>
    <w:rsid w:val="00054F54"/>
    <w:rsid w:val="000550F6"/>
    <w:rsid w:val="00055332"/>
    <w:rsid w:val="000554D6"/>
    <w:rsid w:val="00055742"/>
    <w:rsid w:val="00055A70"/>
    <w:rsid w:val="00055BDA"/>
    <w:rsid w:val="00055D1D"/>
    <w:rsid w:val="00055D6B"/>
    <w:rsid w:val="00055DB3"/>
    <w:rsid w:val="0005657F"/>
    <w:rsid w:val="000566C0"/>
    <w:rsid w:val="00056CE4"/>
    <w:rsid w:val="0005710F"/>
    <w:rsid w:val="000572F6"/>
    <w:rsid w:val="000573C7"/>
    <w:rsid w:val="000578BE"/>
    <w:rsid w:val="00057B87"/>
    <w:rsid w:val="00057EEA"/>
    <w:rsid w:val="00057F15"/>
    <w:rsid w:val="00057FD3"/>
    <w:rsid w:val="00060138"/>
    <w:rsid w:val="000604DB"/>
    <w:rsid w:val="000609E6"/>
    <w:rsid w:val="00060B08"/>
    <w:rsid w:val="00060FB4"/>
    <w:rsid w:val="00061003"/>
    <w:rsid w:val="00061088"/>
    <w:rsid w:val="0006167E"/>
    <w:rsid w:val="0006171E"/>
    <w:rsid w:val="0006172E"/>
    <w:rsid w:val="000617B1"/>
    <w:rsid w:val="000617C7"/>
    <w:rsid w:val="000617F1"/>
    <w:rsid w:val="00061855"/>
    <w:rsid w:val="000618AF"/>
    <w:rsid w:val="00061A53"/>
    <w:rsid w:val="00061BF3"/>
    <w:rsid w:val="00061D4D"/>
    <w:rsid w:val="000625AA"/>
    <w:rsid w:val="000627E9"/>
    <w:rsid w:val="00062D30"/>
    <w:rsid w:val="00062E0F"/>
    <w:rsid w:val="00062E5D"/>
    <w:rsid w:val="000636B0"/>
    <w:rsid w:val="000639CF"/>
    <w:rsid w:val="00063E69"/>
    <w:rsid w:val="00064554"/>
    <w:rsid w:val="000647EE"/>
    <w:rsid w:val="000648EF"/>
    <w:rsid w:val="00064C0F"/>
    <w:rsid w:val="00065220"/>
    <w:rsid w:val="000654B8"/>
    <w:rsid w:val="000655A3"/>
    <w:rsid w:val="00065AF4"/>
    <w:rsid w:val="00065C14"/>
    <w:rsid w:val="00065F8F"/>
    <w:rsid w:val="000660F0"/>
    <w:rsid w:val="000660FF"/>
    <w:rsid w:val="0006613C"/>
    <w:rsid w:val="000662D9"/>
    <w:rsid w:val="000662E5"/>
    <w:rsid w:val="00066352"/>
    <w:rsid w:val="00066453"/>
    <w:rsid w:val="000664AA"/>
    <w:rsid w:val="00066558"/>
    <w:rsid w:val="0006661B"/>
    <w:rsid w:val="000666BD"/>
    <w:rsid w:val="00066787"/>
    <w:rsid w:val="000667D5"/>
    <w:rsid w:val="00066849"/>
    <w:rsid w:val="000668BF"/>
    <w:rsid w:val="00066969"/>
    <w:rsid w:val="000669A7"/>
    <w:rsid w:val="00066AEB"/>
    <w:rsid w:val="00066AEF"/>
    <w:rsid w:val="00066C22"/>
    <w:rsid w:val="00066D2A"/>
    <w:rsid w:val="000673A8"/>
    <w:rsid w:val="00067814"/>
    <w:rsid w:val="00067ECC"/>
    <w:rsid w:val="00070280"/>
    <w:rsid w:val="000707EB"/>
    <w:rsid w:val="0007089B"/>
    <w:rsid w:val="00070B07"/>
    <w:rsid w:val="00070C87"/>
    <w:rsid w:val="00070D06"/>
    <w:rsid w:val="00070D3E"/>
    <w:rsid w:val="00070DCC"/>
    <w:rsid w:val="0007141D"/>
    <w:rsid w:val="00071734"/>
    <w:rsid w:val="00071735"/>
    <w:rsid w:val="00071794"/>
    <w:rsid w:val="0007210E"/>
    <w:rsid w:val="0007243B"/>
    <w:rsid w:val="0007273D"/>
    <w:rsid w:val="000728F9"/>
    <w:rsid w:val="00072902"/>
    <w:rsid w:val="000729DF"/>
    <w:rsid w:val="00072A0F"/>
    <w:rsid w:val="00072A32"/>
    <w:rsid w:val="00072C7F"/>
    <w:rsid w:val="00072DC5"/>
    <w:rsid w:val="00072EB4"/>
    <w:rsid w:val="00072F33"/>
    <w:rsid w:val="00073122"/>
    <w:rsid w:val="000733C4"/>
    <w:rsid w:val="00073B00"/>
    <w:rsid w:val="00073E2C"/>
    <w:rsid w:val="00073F5F"/>
    <w:rsid w:val="00074028"/>
    <w:rsid w:val="00074132"/>
    <w:rsid w:val="00074A80"/>
    <w:rsid w:val="00074AAB"/>
    <w:rsid w:val="00074EE8"/>
    <w:rsid w:val="00074FF8"/>
    <w:rsid w:val="000750F3"/>
    <w:rsid w:val="000753A8"/>
    <w:rsid w:val="00075784"/>
    <w:rsid w:val="0007593C"/>
    <w:rsid w:val="0007599C"/>
    <w:rsid w:val="00075A11"/>
    <w:rsid w:val="00075CAF"/>
    <w:rsid w:val="00075D57"/>
    <w:rsid w:val="000761ED"/>
    <w:rsid w:val="000762EC"/>
    <w:rsid w:val="000762EF"/>
    <w:rsid w:val="000763BF"/>
    <w:rsid w:val="00076459"/>
    <w:rsid w:val="00076A11"/>
    <w:rsid w:val="00076A7D"/>
    <w:rsid w:val="00076C8E"/>
    <w:rsid w:val="00076D75"/>
    <w:rsid w:val="00076E40"/>
    <w:rsid w:val="00076F02"/>
    <w:rsid w:val="00076FB8"/>
    <w:rsid w:val="00076FCA"/>
    <w:rsid w:val="000770AE"/>
    <w:rsid w:val="000771C2"/>
    <w:rsid w:val="00077343"/>
    <w:rsid w:val="0007753A"/>
    <w:rsid w:val="00077953"/>
    <w:rsid w:val="00077C68"/>
    <w:rsid w:val="00077DB0"/>
    <w:rsid w:val="00077E3B"/>
    <w:rsid w:val="0008012E"/>
    <w:rsid w:val="00080229"/>
    <w:rsid w:val="000805B5"/>
    <w:rsid w:val="000806E4"/>
    <w:rsid w:val="00080849"/>
    <w:rsid w:val="000808F2"/>
    <w:rsid w:val="00080902"/>
    <w:rsid w:val="00080953"/>
    <w:rsid w:val="00080AA8"/>
    <w:rsid w:val="00080FC4"/>
    <w:rsid w:val="0008145A"/>
    <w:rsid w:val="0008166D"/>
    <w:rsid w:val="000816CC"/>
    <w:rsid w:val="0008171D"/>
    <w:rsid w:val="00081743"/>
    <w:rsid w:val="0008184F"/>
    <w:rsid w:val="00081AF5"/>
    <w:rsid w:val="00081B25"/>
    <w:rsid w:val="00081C64"/>
    <w:rsid w:val="00081CC0"/>
    <w:rsid w:val="00081F63"/>
    <w:rsid w:val="000820E1"/>
    <w:rsid w:val="00082639"/>
    <w:rsid w:val="000827AD"/>
    <w:rsid w:val="00082AE7"/>
    <w:rsid w:val="00082C4E"/>
    <w:rsid w:val="00082D34"/>
    <w:rsid w:val="00082F75"/>
    <w:rsid w:val="00082FBF"/>
    <w:rsid w:val="0008355C"/>
    <w:rsid w:val="000837C1"/>
    <w:rsid w:val="0008393B"/>
    <w:rsid w:val="00083A6E"/>
    <w:rsid w:val="00083A6F"/>
    <w:rsid w:val="00083F10"/>
    <w:rsid w:val="0008421B"/>
    <w:rsid w:val="00084D31"/>
    <w:rsid w:val="00084DF8"/>
    <w:rsid w:val="000850CA"/>
    <w:rsid w:val="00085290"/>
    <w:rsid w:val="00085498"/>
    <w:rsid w:val="00085853"/>
    <w:rsid w:val="0008592E"/>
    <w:rsid w:val="00085BFD"/>
    <w:rsid w:val="00085C33"/>
    <w:rsid w:val="00086219"/>
    <w:rsid w:val="00086524"/>
    <w:rsid w:val="000866F6"/>
    <w:rsid w:val="00086705"/>
    <w:rsid w:val="00086847"/>
    <w:rsid w:val="00086A64"/>
    <w:rsid w:val="00086FD8"/>
    <w:rsid w:val="000872AC"/>
    <w:rsid w:val="0008735F"/>
    <w:rsid w:val="000873DA"/>
    <w:rsid w:val="00087B2A"/>
    <w:rsid w:val="00087DFD"/>
    <w:rsid w:val="00087FDE"/>
    <w:rsid w:val="0009008A"/>
    <w:rsid w:val="00090194"/>
    <w:rsid w:val="00090434"/>
    <w:rsid w:val="0009062D"/>
    <w:rsid w:val="0009064F"/>
    <w:rsid w:val="000906A7"/>
    <w:rsid w:val="0009084E"/>
    <w:rsid w:val="00090850"/>
    <w:rsid w:val="00090D22"/>
    <w:rsid w:val="00090F2D"/>
    <w:rsid w:val="00091399"/>
    <w:rsid w:val="0009142F"/>
    <w:rsid w:val="000916BC"/>
    <w:rsid w:val="00091700"/>
    <w:rsid w:val="0009211C"/>
    <w:rsid w:val="000921C3"/>
    <w:rsid w:val="00092242"/>
    <w:rsid w:val="0009237A"/>
    <w:rsid w:val="000923B7"/>
    <w:rsid w:val="0009256F"/>
    <w:rsid w:val="000925EB"/>
    <w:rsid w:val="00092646"/>
    <w:rsid w:val="00092931"/>
    <w:rsid w:val="00092C51"/>
    <w:rsid w:val="000930EA"/>
    <w:rsid w:val="00093162"/>
    <w:rsid w:val="000932F4"/>
    <w:rsid w:val="00093300"/>
    <w:rsid w:val="00093A67"/>
    <w:rsid w:val="00093B85"/>
    <w:rsid w:val="00093CEE"/>
    <w:rsid w:val="000940B2"/>
    <w:rsid w:val="000941C1"/>
    <w:rsid w:val="0009479A"/>
    <w:rsid w:val="00094996"/>
    <w:rsid w:val="00094B11"/>
    <w:rsid w:val="00094B59"/>
    <w:rsid w:val="00094C84"/>
    <w:rsid w:val="00094FCC"/>
    <w:rsid w:val="00095223"/>
    <w:rsid w:val="000955F0"/>
    <w:rsid w:val="00095653"/>
    <w:rsid w:val="00095CAC"/>
    <w:rsid w:val="00096089"/>
    <w:rsid w:val="000961CF"/>
    <w:rsid w:val="00096408"/>
    <w:rsid w:val="000964CE"/>
    <w:rsid w:val="0009659F"/>
    <w:rsid w:val="00096611"/>
    <w:rsid w:val="00096ACE"/>
    <w:rsid w:val="00096B83"/>
    <w:rsid w:val="00096C2F"/>
    <w:rsid w:val="00096D59"/>
    <w:rsid w:val="00097240"/>
    <w:rsid w:val="00097376"/>
    <w:rsid w:val="000979B9"/>
    <w:rsid w:val="000979DD"/>
    <w:rsid w:val="00097A60"/>
    <w:rsid w:val="00097A8B"/>
    <w:rsid w:val="00097BA0"/>
    <w:rsid w:val="00097E8C"/>
    <w:rsid w:val="000A01E2"/>
    <w:rsid w:val="000A0263"/>
    <w:rsid w:val="000A03DE"/>
    <w:rsid w:val="000A0BB5"/>
    <w:rsid w:val="000A0E39"/>
    <w:rsid w:val="000A1401"/>
    <w:rsid w:val="000A14E3"/>
    <w:rsid w:val="000A16B4"/>
    <w:rsid w:val="000A189F"/>
    <w:rsid w:val="000A19BF"/>
    <w:rsid w:val="000A1FC9"/>
    <w:rsid w:val="000A210E"/>
    <w:rsid w:val="000A21C4"/>
    <w:rsid w:val="000A2510"/>
    <w:rsid w:val="000A2923"/>
    <w:rsid w:val="000A2A7B"/>
    <w:rsid w:val="000A2A7C"/>
    <w:rsid w:val="000A2AF7"/>
    <w:rsid w:val="000A2F21"/>
    <w:rsid w:val="000A2F43"/>
    <w:rsid w:val="000A30F8"/>
    <w:rsid w:val="000A333D"/>
    <w:rsid w:val="000A3668"/>
    <w:rsid w:val="000A37DF"/>
    <w:rsid w:val="000A396D"/>
    <w:rsid w:val="000A3A85"/>
    <w:rsid w:val="000A3BA5"/>
    <w:rsid w:val="000A3DFD"/>
    <w:rsid w:val="000A3E74"/>
    <w:rsid w:val="000A3EE6"/>
    <w:rsid w:val="000A3FBD"/>
    <w:rsid w:val="000A4013"/>
    <w:rsid w:val="000A41C8"/>
    <w:rsid w:val="000A4299"/>
    <w:rsid w:val="000A4444"/>
    <w:rsid w:val="000A4539"/>
    <w:rsid w:val="000A4ABB"/>
    <w:rsid w:val="000A4BB4"/>
    <w:rsid w:val="000A4DB3"/>
    <w:rsid w:val="000A4DF0"/>
    <w:rsid w:val="000A4FBF"/>
    <w:rsid w:val="000A529C"/>
    <w:rsid w:val="000A52BE"/>
    <w:rsid w:val="000A5524"/>
    <w:rsid w:val="000A5779"/>
    <w:rsid w:val="000A57BD"/>
    <w:rsid w:val="000A5948"/>
    <w:rsid w:val="000A5E98"/>
    <w:rsid w:val="000A6005"/>
    <w:rsid w:val="000A6045"/>
    <w:rsid w:val="000A6294"/>
    <w:rsid w:val="000A63C6"/>
    <w:rsid w:val="000A6526"/>
    <w:rsid w:val="000A67D3"/>
    <w:rsid w:val="000A6B39"/>
    <w:rsid w:val="000A6BF6"/>
    <w:rsid w:val="000A7433"/>
    <w:rsid w:val="000A7625"/>
    <w:rsid w:val="000A7848"/>
    <w:rsid w:val="000A7938"/>
    <w:rsid w:val="000A7FEC"/>
    <w:rsid w:val="000B0EE7"/>
    <w:rsid w:val="000B0F0F"/>
    <w:rsid w:val="000B0FEF"/>
    <w:rsid w:val="000B162A"/>
    <w:rsid w:val="000B18D3"/>
    <w:rsid w:val="000B19F7"/>
    <w:rsid w:val="000B1B17"/>
    <w:rsid w:val="000B1BE4"/>
    <w:rsid w:val="000B1F9D"/>
    <w:rsid w:val="000B22A7"/>
    <w:rsid w:val="000B23F1"/>
    <w:rsid w:val="000B2743"/>
    <w:rsid w:val="000B298B"/>
    <w:rsid w:val="000B2AB1"/>
    <w:rsid w:val="000B2BBB"/>
    <w:rsid w:val="000B2F3C"/>
    <w:rsid w:val="000B3404"/>
    <w:rsid w:val="000B38B7"/>
    <w:rsid w:val="000B38D2"/>
    <w:rsid w:val="000B3CC9"/>
    <w:rsid w:val="000B3DF2"/>
    <w:rsid w:val="000B4095"/>
    <w:rsid w:val="000B4141"/>
    <w:rsid w:val="000B44A9"/>
    <w:rsid w:val="000B4547"/>
    <w:rsid w:val="000B454D"/>
    <w:rsid w:val="000B5407"/>
    <w:rsid w:val="000B552C"/>
    <w:rsid w:val="000B5621"/>
    <w:rsid w:val="000B5761"/>
    <w:rsid w:val="000B5832"/>
    <w:rsid w:val="000B5906"/>
    <w:rsid w:val="000B5F8C"/>
    <w:rsid w:val="000B5FAC"/>
    <w:rsid w:val="000B605D"/>
    <w:rsid w:val="000B6404"/>
    <w:rsid w:val="000B64B5"/>
    <w:rsid w:val="000B6960"/>
    <w:rsid w:val="000B6F32"/>
    <w:rsid w:val="000B70F0"/>
    <w:rsid w:val="000B7495"/>
    <w:rsid w:val="000B7508"/>
    <w:rsid w:val="000B751B"/>
    <w:rsid w:val="000B75BB"/>
    <w:rsid w:val="000B7BE7"/>
    <w:rsid w:val="000B7C70"/>
    <w:rsid w:val="000B7C83"/>
    <w:rsid w:val="000B7CB9"/>
    <w:rsid w:val="000B7DFA"/>
    <w:rsid w:val="000B7F17"/>
    <w:rsid w:val="000C0040"/>
    <w:rsid w:val="000C015C"/>
    <w:rsid w:val="000C02F7"/>
    <w:rsid w:val="000C04AC"/>
    <w:rsid w:val="000C0693"/>
    <w:rsid w:val="000C085D"/>
    <w:rsid w:val="000C1013"/>
    <w:rsid w:val="000C124D"/>
    <w:rsid w:val="000C1866"/>
    <w:rsid w:val="000C1ABB"/>
    <w:rsid w:val="000C1B94"/>
    <w:rsid w:val="000C1EDD"/>
    <w:rsid w:val="000C1EE5"/>
    <w:rsid w:val="000C1F2E"/>
    <w:rsid w:val="000C20C4"/>
    <w:rsid w:val="000C21DC"/>
    <w:rsid w:val="000C2888"/>
    <w:rsid w:val="000C294D"/>
    <w:rsid w:val="000C2A63"/>
    <w:rsid w:val="000C2F9A"/>
    <w:rsid w:val="000C30BC"/>
    <w:rsid w:val="000C3158"/>
    <w:rsid w:val="000C3294"/>
    <w:rsid w:val="000C3311"/>
    <w:rsid w:val="000C3345"/>
    <w:rsid w:val="000C33CC"/>
    <w:rsid w:val="000C3493"/>
    <w:rsid w:val="000C3522"/>
    <w:rsid w:val="000C37E0"/>
    <w:rsid w:val="000C390A"/>
    <w:rsid w:val="000C39B4"/>
    <w:rsid w:val="000C3B41"/>
    <w:rsid w:val="000C3F67"/>
    <w:rsid w:val="000C3FD4"/>
    <w:rsid w:val="000C46F1"/>
    <w:rsid w:val="000C48ED"/>
    <w:rsid w:val="000C4B71"/>
    <w:rsid w:val="000C4BB6"/>
    <w:rsid w:val="000C4D7F"/>
    <w:rsid w:val="000C4DE4"/>
    <w:rsid w:val="000C4E85"/>
    <w:rsid w:val="000C5264"/>
    <w:rsid w:val="000C536C"/>
    <w:rsid w:val="000C5858"/>
    <w:rsid w:val="000C58AF"/>
    <w:rsid w:val="000C5AB1"/>
    <w:rsid w:val="000C5F29"/>
    <w:rsid w:val="000C61C5"/>
    <w:rsid w:val="000C637B"/>
    <w:rsid w:val="000C6510"/>
    <w:rsid w:val="000C676D"/>
    <w:rsid w:val="000C6A6F"/>
    <w:rsid w:val="000C6C71"/>
    <w:rsid w:val="000C7443"/>
    <w:rsid w:val="000C7638"/>
    <w:rsid w:val="000C7A4A"/>
    <w:rsid w:val="000C7C15"/>
    <w:rsid w:val="000C7C50"/>
    <w:rsid w:val="000C7F6D"/>
    <w:rsid w:val="000D00B3"/>
    <w:rsid w:val="000D0145"/>
    <w:rsid w:val="000D07A5"/>
    <w:rsid w:val="000D0B0A"/>
    <w:rsid w:val="000D0D50"/>
    <w:rsid w:val="000D0EC5"/>
    <w:rsid w:val="000D0ED1"/>
    <w:rsid w:val="000D120D"/>
    <w:rsid w:val="000D1593"/>
    <w:rsid w:val="000D15C4"/>
    <w:rsid w:val="000D191D"/>
    <w:rsid w:val="000D19CA"/>
    <w:rsid w:val="000D1B02"/>
    <w:rsid w:val="000D1D67"/>
    <w:rsid w:val="000D1DFF"/>
    <w:rsid w:val="000D1FE1"/>
    <w:rsid w:val="000D214C"/>
    <w:rsid w:val="000D2324"/>
    <w:rsid w:val="000D233C"/>
    <w:rsid w:val="000D23F2"/>
    <w:rsid w:val="000D2458"/>
    <w:rsid w:val="000D2786"/>
    <w:rsid w:val="000D27C8"/>
    <w:rsid w:val="000D2C6E"/>
    <w:rsid w:val="000D2CDB"/>
    <w:rsid w:val="000D2E3F"/>
    <w:rsid w:val="000D3002"/>
    <w:rsid w:val="000D3117"/>
    <w:rsid w:val="000D36D5"/>
    <w:rsid w:val="000D3C42"/>
    <w:rsid w:val="000D406B"/>
    <w:rsid w:val="000D40DE"/>
    <w:rsid w:val="000D4E24"/>
    <w:rsid w:val="000D50F3"/>
    <w:rsid w:val="000D529C"/>
    <w:rsid w:val="000D52B0"/>
    <w:rsid w:val="000D54B8"/>
    <w:rsid w:val="000D551D"/>
    <w:rsid w:val="000D5A99"/>
    <w:rsid w:val="000D5AD2"/>
    <w:rsid w:val="000D5EC3"/>
    <w:rsid w:val="000D61AD"/>
    <w:rsid w:val="000D63C9"/>
    <w:rsid w:val="000D681C"/>
    <w:rsid w:val="000D6C37"/>
    <w:rsid w:val="000D6D91"/>
    <w:rsid w:val="000D7319"/>
    <w:rsid w:val="000D74C8"/>
    <w:rsid w:val="000D758D"/>
    <w:rsid w:val="000D75CA"/>
    <w:rsid w:val="000D7EA3"/>
    <w:rsid w:val="000E000A"/>
    <w:rsid w:val="000E001C"/>
    <w:rsid w:val="000E0758"/>
    <w:rsid w:val="000E07BA"/>
    <w:rsid w:val="000E0A68"/>
    <w:rsid w:val="000E0F77"/>
    <w:rsid w:val="000E10C3"/>
    <w:rsid w:val="000E1251"/>
    <w:rsid w:val="000E13F5"/>
    <w:rsid w:val="000E1514"/>
    <w:rsid w:val="000E1560"/>
    <w:rsid w:val="000E1667"/>
    <w:rsid w:val="000E16F4"/>
    <w:rsid w:val="000E1A17"/>
    <w:rsid w:val="000E1F0E"/>
    <w:rsid w:val="000E1F1E"/>
    <w:rsid w:val="000E2023"/>
    <w:rsid w:val="000E20C6"/>
    <w:rsid w:val="000E28F8"/>
    <w:rsid w:val="000E2BB5"/>
    <w:rsid w:val="000E2CF7"/>
    <w:rsid w:val="000E2D3F"/>
    <w:rsid w:val="000E2FF6"/>
    <w:rsid w:val="000E3393"/>
    <w:rsid w:val="000E363B"/>
    <w:rsid w:val="000E3AE5"/>
    <w:rsid w:val="000E3B8A"/>
    <w:rsid w:val="000E3CAA"/>
    <w:rsid w:val="000E3E97"/>
    <w:rsid w:val="000E4445"/>
    <w:rsid w:val="000E4547"/>
    <w:rsid w:val="000E4670"/>
    <w:rsid w:val="000E46CA"/>
    <w:rsid w:val="000E4B3E"/>
    <w:rsid w:val="000E4BE9"/>
    <w:rsid w:val="000E4D3F"/>
    <w:rsid w:val="000E4DB4"/>
    <w:rsid w:val="000E4E73"/>
    <w:rsid w:val="000E4F84"/>
    <w:rsid w:val="000E506F"/>
    <w:rsid w:val="000E51D3"/>
    <w:rsid w:val="000E51D9"/>
    <w:rsid w:val="000E5445"/>
    <w:rsid w:val="000E578F"/>
    <w:rsid w:val="000E57AE"/>
    <w:rsid w:val="000E5947"/>
    <w:rsid w:val="000E5A90"/>
    <w:rsid w:val="000E5B58"/>
    <w:rsid w:val="000E5CD8"/>
    <w:rsid w:val="000E5E7E"/>
    <w:rsid w:val="000E615C"/>
    <w:rsid w:val="000E6236"/>
    <w:rsid w:val="000E6346"/>
    <w:rsid w:val="000E6351"/>
    <w:rsid w:val="000E645C"/>
    <w:rsid w:val="000E6547"/>
    <w:rsid w:val="000E657A"/>
    <w:rsid w:val="000E6736"/>
    <w:rsid w:val="000E68CE"/>
    <w:rsid w:val="000E6F03"/>
    <w:rsid w:val="000E6F3B"/>
    <w:rsid w:val="000E6F49"/>
    <w:rsid w:val="000E7157"/>
    <w:rsid w:val="000E7174"/>
    <w:rsid w:val="000E71A9"/>
    <w:rsid w:val="000E71D0"/>
    <w:rsid w:val="000E757C"/>
    <w:rsid w:val="000E786C"/>
    <w:rsid w:val="000E7902"/>
    <w:rsid w:val="000F02EC"/>
    <w:rsid w:val="000F0465"/>
    <w:rsid w:val="000F0681"/>
    <w:rsid w:val="000F0B1A"/>
    <w:rsid w:val="000F0BDC"/>
    <w:rsid w:val="000F1018"/>
    <w:rsid w:val="000F17B6"/>
    <w:rsid w:val="000F1902"/>
    <w:rsid w:val="000F1A33"/>
    <w:rsid w:val="000F1AB0"/>
    <w:rsid w:val="000F1D96"/>
    <w:rsid w:val="000F1FFA"/>
    <w:rsid w:val="000F255C"/>
    <w:rsid w:val="000F271C"/>
    <w:rsid w:val="000F2EA7"/>
    <w:rsid w:val="000F3281"/>
    <w:rsid w:val="000F345E"/>
    <w:rsid w:val="000F34B9"/>
    <w:rsid w:val="000F34D3"/>
    <w:rsid w:val="000F3975"/>
    <w:rsid w:val="000F3A41"/>
    <w:rsid w:val="000F3DCB"/>
    <w:rsid w:val="000F3DDA"/>
    <w:rsid w:val="000F3E54"/>
    <w:rsid w:val="000F4880"/>
    <w:rsid w:val="000F488E"/>
    <w:rsid w:val="000F4AD0"/>
    <w:rsid w:val="000F4E2D"/>
    <w:rsid w:val="000F52C3"/>
    <w:rsid w:val="000F5752"/>
    <w:rsid w:val="000F57F5"/>
    <w:rsid w:val="000F5853"/>
    <w:rsid w:val="000F5D03"/>
    <w:rsid w:val="000F5D36"/>
    <w:rsid w:val="000F5D83"/>
    <w:rsid w:val="000F5DDA"/>
    <w:rsid w:val="000F5E50"/>
    <w:rsid w:val="000F600D"/>
    <w:rsid w:val="000F604F"/>
    <w:rsid w:val="000F612E"/>
    <w:rsid w:val="000F63A5"/>
    <w:rsid w:val="000F690E"/>
    <w:rsid w:val="000F6915"/>
    <w:rsid w:val="000F6DFF"/>
    <w:rsid w:val="000F6E1A"/>
    <w:rsid w:val="000F6E8B"/>
    <w:rsid w:val="000F703A"/>
    <w:rsid w:val="000F70C3"/>
    <w:rsid w:val="000F7119"/>
    <w:rsid w:val="000F75F6"/>
    <w:rsid w:val="000F774C"/>
    <w:rsid w:val="000F7AD0"/>
    <w:rsid w:val="000F7D7F"/>
    <w:rsid w:val="000F7DCA"/>
    <w:rsid w:val="00100179"/>
    <w:rsid w:val="001005C3"/>
    <w:rsid w:val="001006D0"/>
    <w:rsid w:val="0010084B"/>
    <w:rsid w:val="00100B22"/>
    <w:rsid w:val="00100E6E"/>
    <w:rsid w:val="00100F56"/>
    <w:rsid w:val="0010103E"/>
    <w:rsid w:val="0010114E"/>
    <w:rsid w:val="00101414"/>
    <w:rsid w:val="001015D7"/>
    <w:rsid w:val="0010179B"/>
    <w:rsid w:val="00101CA3"/>
    <w:rsid w:val="00101DA3"/>
    <w:rsid w:val="00102031"/>
    <w:rsid w:val="001020B8"/>
    <w:rsid w:val="001023CD"/>
    <w:rsid w:val="00102888"/>
    <w:rsid w:val="001029DA"/>
    <w:rsid w:val="00102AFE"/>
    <w:rsid w:val="00102C44"/>
    <w:rsid w:val="00102C83"/>
    <w:rsid w:val="00102F9F"/>
    <w:rsid w:val="00103038"/>
    <w:rsid w:val="00103308"/>
    <w:rsid w:val="001036E7"/>
    <w:rsid w:val="00103886"/>
    <w:rsid w:val="00103B33"/>
    <w:rsid w:val="00103E37"/>
    <w:rsid w:val="001041BB"/>
    <w:rsid w:val="0010433A"/>
    <w:rsid w:val="0010458A"/>
    <w:rsid w:val="001045A5"/>
    <w:rsid w:val="001045C5"/>
    <w:rsid w:val="0010497A"/>
    <w:rsid w:val="00104983"/>
    <w:rsid w:val="00104A41"/>
    <w:rsid w:val="00104C2F"/>
    <w:rsid w:val="00104EF7"/>
    <w:rsid w:val="001051BE"/>
    <w:rsid w:val="0010530C"/>
    <w:rsid w:val="00105314"/>
    <w:rsid w:val="00105683"/>
    <w:rsid w:val="001059A7"/>
    <w:rsid w:val="00105A7D"/>
    <w:rsid w:val="00105B18"/>
    <w:rsid w:val="00105C9B"/>
    <w:rsid w:val="00105FBD"/>
    <w:rsid w:val="001060B8"/>
    <w:rsid w:val="001064B8"/>
    <w:rsid w:val="001067D8"/>
    <w:rsid w:val="00106C4A"/>
    <w:rsid w:val="00106FA1"/>
    <w:rsid w:val="001070A9"/>
    <w:rsid w:val="001078A3"/>
    <w:rsid w:val="00107996"/>
    <w:rsid w:val="00107C14"/>
    <w:rsid w:val="00107C91"/>
    <w:rsid w:val="00107D5F"/>
    <w:rsid w:val="00107EE4"/>
    <w:rsid w:val="001104C3"/>
    <w:rsid w:val="0011068A"/>
    <w:rsid w:val="001106D7"/>
    <w:rsid w:val="001113C7"/>
    <w:rsid w:val="00111813"/>
    <w:rsid w:val="00111AA7"/>
    <w:rsid w:val="00111E6C"/>
    <w:rsid w:val="001123F8"/>
    <w:rsid w:val="0011241F"/>
    <w:rsid w:val="00112421"/>
    <w:rsid w:val="00112559"/>
    <w:rsid w:val="001127BD"/>
    <w:rsid w:val="00112D17"/>
    <w:rsid w:val="00112E5F"/>
    <w:rsid w:val="00113635"/>
    <w:rsid w:val="00113764"/>
    <w:rsid w:val="001138AF"/>
    <w:rsid w:val="00113C31"/>
    <w:rsid w:val="00113CBB"/>
    <w:rsid w:val="00113D96"/>
    <w:rsid w:val="00113F3A"/>
    <w:rsid w:val="00113F79"/>
    <w:rsid w:val="001140EB"/>
    <w:rsid w:val="001141C3"/>
    <w:rsid w:val="0011497F"/>
    <w:rsid w:val="001149F4"/>
    <w:rsid w:val="00114A50"/>
    <w:rsid w:val="00114C29"/>
    <w:rsid w:val="00114C79"/>
    <w:rsid w:val="00114CF9"/>
    <w:rsid w:val="00114F02"/>
    <w:rsid w:val="00114F96"/>
    <w:rsid w:val="00114F9E"/>
    <w:rsid w:val="001154D5"/>
    <w:rsid w:val="00115646"/>
    <w:rsid w:val="0011565A"/>
    <w:rsid w:val="001159A7"/>
    <w:rsid w:val="00115F65"/>
    <w:rsid w:val="001162C1"/>
    <w:rsid w:val="00116505"/>
    <w:rsid w:val="00116D56"/>
    <w:rsid w:val="00116FCC"/>
    <w:rsid w:val="001171B6"/>
    <w:rsid w:val="00117786"/>
    <w:rsid w:val="001177AF"/>
    <w:rsid w:val="001177B6"/>
    <w:rsid w:val="0011784E"/>
    <w:rsid w:val="00117E3F"/>
    <w:rsid w:val="00117E6D"/>
    <w:rsid w:val="0012032E"/>
    <w:rsid w:val="00120387"/>
    <w:rsid w:val="0012042C"/>
    <w:rsid w:val="00120576"/>
    <w:rsid w:val="001207A9"/>
    <w:rsid w:val="001208CF"/>
    <w:rsid w:val="001209AC"/>
    <w:rsid w:val="00120C01"/>
    <w:rsid w:val="00120DB8"/>
    <w:rsid w:val="00121132"/>
    <w:rsid w:val="001221AC"/>
    <w:rsid w:val="00122279"/>
    <w:rsid w:val="0012229F"/>
    <w:rsid w:val="001224F9"/>
    <w:rsid w:val="001226A4"/>
    <w:rsid w:val="00122C80"/>
    <w:rsid w:val="00122D1F"/>
    <w:rsid w:val="00122E90"/>
    <w:rsid w:val="001230A2"/>
    <w:rsid w:val="001231CF"/>
    <w:rsid w:val="001233CC"/>
    <w:rsid w:val="001234D6"/>
    <w:rsid w:val="00123918"/>
    <w:rsid w:val="00123A4B"/>
    <w:rsid w:val="00123BB3"/>
    <w:rsid w:val="00123D31"/>
    <w:rsid w:val="00123DD1"/>
    <w:rsid w:val="00123DF1"/>
    <w:rsid w:val="00123DFF"/>
    <w:rsid w:val="001241D4"/>
    <w:rsid w:val="00124566"/>
    <w:rsid w:val="00124995"/>
    <w:rsid w:val="00124C0E"/>
    <w:rsid w:val="00124ED5"/>
    <w:rsid w:val="00124EEA"/>
    <w:rsid w:val="00124F9C"/>
    <w:rsid w:val="001252B5"/>
    <w:rsid w:val="00125469"/>
    <w:rsid w:val="001255D1"/>
    <w:rsid w:val="0012628C"/>
    <w:rsid w:val="001263EF"/>
    <w:rsid w:val="0012652C"/>
    <w:rsid w:val="001265D3"/>
    <w:rsid w:val="0012687C"/>
    <w:rsid w:val="001268C7"/>
    <w:rsid w:val="001269AB"/>
    <w:rsid w:val="00126AC3"/>
    <w:rsid w:val="00126B47"/>
    <w:rsid w:val="00126E9B"/>
    <w:rsid w:val="001271BD"/>
    <w:rsid w:val="00127480"/>
    <w:rsid w:val="001277C3"/>
    <w:rsid w:val="001277C8"/>
    <w:rsid w:val="001278F0"/>
    <w:rsid w:val="00127B6E"/>
    <w:rsid w:val="00127BF2"/>
    <w:rsid w:val="00127D5D"/>
    <w:rsid w:val="00130502"/>
    <w:rsid w:val="001306EB"/>
    <w:rsid w:val="00130846"/>
    <w:rsid w:val="001314D9"/>
    <w:rsid w:val="001314EB"/>
    <w:rsid w:val="001317F0"/>
    <w:rsid w:val="001319A0"/>
    <w:rsid w:val="00131BE6"/>
    <w:rsid w:val="00131CCD"/>
    <w:rsid w:val="00131CDF"/>
    <w:rsid w:val="00132268"/>
    <w:rsid w:val="001324A5"/>
    <w:rsid w:val="001326F4"/>
    <w:rsid w:val="001327DC"/>
    <w:rsid w:val="001329B0"/>
    <w:rsid w:val="001329C3"/>
    <w:rsid w:val="00132A59"/>
    <w:rsid w:val="00132B6F"/>
    <w:rsid w:val="00132C6A"/>
    <w:rsid w:val="00132CC5"/>
    <w:rsid w:val="00132DEC"/>
    <w:rsid w:val="00132DEF"/>
    <w:rsid w:val="00132ECD"/>
    <w:rsid w:val="00132F77"/>
    <w:rsid w:val="001333ED"/>
    <w:rsid w:val="00133AD2"/>
    <w:rsid w:val="00133AF6"/>
    <w:rsid w:val="00133EDE"/>
    <w:rsid w:val="00133EFF"/>
    <w:rsid w:val="00133F5E"/>
    <w:rsid w:val="00133FAF"/>
    <w:rsid w:val="0013404D"/>
    <w:rsid w:val="00134168"/>
    <w:rsid w:val="001341F8"/>
    <w:rsid w:val="001342DA"/>
    <w:rsid w:val="001342F1"/>
    <w:rsid w:val="00134382"/>
    <w:rsid w:val="0013446E"/>
    <w:rsid w:val="001344FA"/>
    <w:rsid w:val="0013471B"/>
    <w:rsid w:val="0013485C"/>
    <w:rsid w:val="00134A8E"/>
    <w:rsid w:val="00134AC7"/>
    <w:rsid w:val="00134CA6"/>
    <w:rsid w:val="00134ECE"/>
    <w:rsid w:val="00135007"/>
    <w:rsid w:val="00135380"/>
    <w:rsid w:val="001354AC"/>
    <w:rsid w:val="00135AA5"/>
    <w:rsid w:val="00135DA1"/>
    <w:rsid w:val="00135E51"/>
    <w:rsid w:val="00135FDA"/>
    <w:rsid w:val="00136092"/>
    <w:rsid w:val="0013624E"/>
    <w:rsid w:val="00136410"/>
    <w:rsid w:val="0013658E"/>
    <w:rsid w:val="001365D4"/>
    <w:rsid w:val="0013664E"/>
    <w:rsid w:val="00136699"/>
    <w:rsid w:val="00136879"/>
    <w:rsid w:val="00136B1B"/>
    <w:rsid w:val="00136E5A"/>
    <w:rsid w:val="00136ECF"/>
    <w:rsid w:val="00136F88"/>
    <w:rsid w:val="001371C9"/>
    <w:rsid w:val="001373FD"/>
    <w:rsid w:val="0013755A"/>
    <w:rsid w:val="001375B1"/>
    <w:rsid w:val="001376AA"/>
    <w:rsid w:val="00137B07"/>
    <w:rsid w:val="00137E4C"/>
    <w:rsid w:val="00137E64"/>
    <w:rsid w:val="00137F08"/>
    <w:rsid w:val="00137F26"/>
    <w:rsid w:val="0014051E"/>
    <w:rsid w:val="00140C64"/>
    <w:rsid w:val="001410F8"/>
    <w:rsid w:val="00141133"/>
    <w:rsid w:val="00141665"/>
    <w:rsid w:val="00141CFE"/>
    <w:rsid w:val="00141DFA"/>
    <w:rsid w:val="001424F9"/>
    <w:rsid w:val="00142661"/>
    <w:rsid w:val="001428B2"/>
    <w:rsid w:val="00142C8D"/>
    <w:rsid w:val="001434CE"/>
    <w:rsid w:val="00143789"/>
    <w:rsid w:val="00143927"/>
    <w:rsid w:val="00143B40"/>
    <w:rsid w:val="001445A0"/>
    <w:rsid w:val="00144748"/>
    <w:rsid w:val="001448B4"/>
    <w:rsid w:val="00144C04"/>
    <w:rsid w:val="00144C75"/>
    <w:rsid w:val="00144CB8"/>
    <w:rsid w:val="00144EDC"/>
    <w:rsid w:val="00145070"/>
    <w:rsid w:val="001450DA"/>
    <w:rsid w:val="00145156"/>
    <w:rsid w:val="001458A8"/>
    <w:rsid w:val="00145A70"/>
    <w:rsid w:val="00145AC3"/>
    <w:rsid w:val="00145BE7"/>
    <w:rsid w:val="00145C4D"/>
    <w:rsid w:val="00145D85"/>
    <w:rsid w:val="001460CD"/>
    <w:rsid w:val="001466F1"/>
    <w:rsid w:val="00146ADF"/>
    <w:rsid w:val="00146E4B"/>
    <w:rsid w:val="0014712B"/>
    <w:rsid w:val="0014785B"/>
    <w:rsid w:val="00147AFF"/>
    <w:rsid w:val="00147D10"/>
    <w:rsid w:val="00147D8D"/>
    <w:rsid w:val="0015002F"/>
    <w:rsid w:val="001500B4"/>
    <w:rsid w:val="00150200"/>
    <w:rsid w:val="001503FD"/>
    <w:rsid w:val="001505B6"/>
    <w:rsid w:val="00150868"/>
    <w:rsid w:val="001509E0"/>
    <w:rsid w:val="00150EF8"/>
    <w:rsid w:val="00151588"/>
    <w:rsid w:val="00151607"/>
    <w:rsid w:val="001517D9"/>
    <w:rsid w:val="001517E7"/>
    <w:rsid w:val="00151836"/>
    <w:rsid w:val="001518E2"/>
    <w:rsid w:val="00151962"/>
    <w:rsid w:val="00151980"/>
    <w:rsid w:val="00151C13"/>
    <w:rsid w:val="00151D55"/>
    <w:rsid w:val="001520E9"/>
    <w:rsid w:val="001522BC"/>
    <w:rsid w:val="001523A2"/>
    <w:rsid w:val="001528A2"/>
    <w:rsid w:val="001529EB"/>
    <w:rsid w:val="00152BD4"/>
    <w:rsid w:val="00152BE7"/>
    <w:rsid w:val="00152C08"/>
    <w:rsid w:val="00152C51"/>
    <w:rsid w:val="00152C69"/>
    <w:rsid w:val="00152CCA"/>
    <w:rsid w:val="00152CE7"/>
    <w:rsid w:val="00152D26"/>
    <w:rsid w:val="00152D29"/>
    <w:rsid w:val="00152E71"/>
    <w:rsid w:val="00152F1F"/>
    <w:rsid w:val="00153013"/>
    <w:rsid w:val="001531AF"/>
    <w:rsid w:val="00153482"/>
    <w:rsid w:val="001535C4"/>
    <w:rsid w:val="001536CA"/>
    <w:rsid w:val="00153AE7"/>
    <w:rsid w:val="00153DED"/>
    <w:rsid w:val="00153EE1"/>
    <w:rsid w:val="00153FE1"/>
    <w:rsid w:val="0015405E"/>
    <w:rsid w:val="001540FF"/>
    <w:rsid w:val="0015411B"/>
    <w:rsid w:val="0015419F"/>
    <w:rsid w:val="00154624"/>
    <w:rsid w:val="00154A4A"/>
    <w:rsid w:val="00154A7D"/>
    <w:rsid w:val="00154F1C"/>
    <w:rsid w:val="001552F8"/>
    <w:rsid w:val="001554AE"/>
    <w:rsid w:val="001559A3"/>
    <w:rsid w:val="00155A7B"/>
    <w:rsid w:val="00155D97"/>
    <w:rsid w:val="00155DFF"/>
    <w:rsid w:val="00155E75"/>
    <w:rsid w:val="0015617F"/>
    <w:rsid w:val="0015620D"/>
    <w:rsid w:val="001562A4"/>
    <w:rsid w:val="00156650"/>
    <w:rsid w:val="001567DA"/>
    <w:rsid w:val="00156824"/>
    <w:rsid w:val="0015682B"/>
    <w:rsid w:val="00156AE3"/>
    <w:rsid w:val="00156F3B"/>
    <w:rsid w:val="0015701C"/>
    <w:rsid w:val="00157178"/>
    <w:rsid w:val="001573F2"/>
    <w:rsid w:val="00157889"/>
    <w:rsid w:val="001578CC"/>
    <w:rsid w:val="00157A9D"/>
    <w:rsid w:val="00157A9F"/>
    <w:rsid w:val="00157AEA"/>
    <w:rsid w:val="0016044B"/>
    <w:rsid w:val="0016049C"/>
    <w:rsid w:val="00160ADD"/>
    <w:rsid w:val="00160BFA"/>
    <w:rsid w:val="0016123D"/>
    <w:rsid w:val="001616FD"/>
    <w:rsid w:val="0016184E"/>
    <w:rsid w:val="00161C5A"/>
    <w:rsid w:val="001620FC"/>
    <w:rsid w:val="0016226F"/>
    <w:rsid w:val="0016231E"/>
    <w:rsid w:val="00162628"/>
    <w:rsid w:val="00162634"/>
    <w:rsid w:val="001626F2"/>
    <w:rsid w:val="00162A79"/>
    <w:rsid w:val="001633CF"/>
    <w:rsid w:val="0016342F"/>
    <w:rsid w:val="00163673"/>
    <w:rsid w:val="001636B9"/>
    <w:rsid w:val="00163BC2"/>
    <w:rsid w:val="00163C93"/>
    <w:rsid w:val="00163D9A"/>
    <w:rsid w:val="001640DF"/>
    <w:rsid w:val="001641AC"/>
    <w:rsid w:val="00164364"/>
    <w:rsid w:val="00164710"/>
    <w:rsid w:val="001648A9"/>
    <w:rsid w:val="00164A62"/>
    <w:rsid w:val="00164BCE"/>
    <w:rsid w:val="00164D53"/>
    <w:rsid w:val="00164EE9"/>
    <w:rsid w:val="0016516B"/>
    <w:rsid w:val="00165251"/>
    <w:rsid w:val="001652E9"/>
    <w:rsid w:val="0016534E"/>
    <w:rsid w:val="001653FB"/>
    <w:rsid w:val="0016554F"/>
    <w:rsid w:val="00165A08"/>
    <w:rsid w:val="00165A0C"/>
    <w:rsid w:val="00166460"/>
    <w:rsid w:val="00166A71"/>
    <w:rsid w:val="00166B70"/>
    <w:rsid w:val="00166CA3"/>
    <w:rsid w:val="00167027"/>
    <w:rsid w:val="0016703D"/>
    <w:rsid w:val="001703E6"/>
    <w:rsid w:val="001703FB"/>
    <w:rsid w:val="00170578"/>
    <w:rsid w:val="0017083C"/>
    <w:rsid w:val="00170858"/>
    <w:rsid w:val="001710FF"/>
    <w:rsid w:val="001712A9"/>
    <w:rsid w:val="00172249"/>
    <w:rsid w:val="001722E0"/>
    <w:rsid w:val="0017243B"/>
    <w:rsid w:val="00172677"/>
    <w:rsid w:val="00172C65"/>
    <w:rsid w:val="001731FE"/>
    <w:rsid w:val="001733B8"/>
    <w:rsid w:val="00173793"/>
    <w:rsid w:val="0017380E"/>
    <w:rsid w:val="00173A24"/>
    <w:rsid w:val="00173D86"/>
    <w:rsid w:val="00173F4A"/>
    <w:rsid w:val="0017419B"/>
    <w:rsid w:val="001742B7"/>
    <w:rsid w:val="0017457B"/>
    <w:rsid w:val="001745C0"/>
    <w:rsid w:val="0017493B"/>
    <w:rsid w:val="0017495C"/>
    <w:rsid w:val="00174B26"/>
    <w:rsid w:val="00174B2D"/>
    <w:rsid w:val="00174DEA"/>
    <w:rsid w:val="00174E14"/>
    <w:rsid w:val="00174F31"/>
    <w:rsid w:val="001750A0"/>
    <w:rsid w:val="0017513D"/>
    <w:rsid w:val="001754AF"/>
    <w:rsid w:val="00175666"/>
    <w:rsid w:val="001756A3"/>
    <w:rsid w:val="001756FF"/>
    <w:rsid w:val="00175D11"/>
    <w:rsid w:val="00176008"/>
    <w:rsid w:val="001761A0"/>
    <w:rsid w:val="00176508"/>
    <w:rsid w:val="001768CB"/>
    <w:rsid w:val="001768E5"/>
    <w:rsid w:val="00176F3A"/>
    <w:rsid w:val="0017709E"/>
    <w:rsid w:val="001777C5"/>
    <w:rsid w:val="0017783D"/>
    <w:rsid w:val="001779AC"/>
    <w:rsid w:val="00177B89"/>
    <w:rsid w:val="00177C49"/>
    <w:rsid w:val="00177E20"/>
    <w:rsid w:val="0017F3DD"/>
    <w:rsid w:val="001801DD"/>
    <w:rsid w:val="001801E4"/>
    <w:rsid w:val="0018041E"/>
    <w:rsid w:val="001804F0"/>
    <w:rsid w:val="001809B5"/>
    <w:rsid w:val="00180E79"/>
    <w:rsid w:val="001810C7"/>
    <w:rsid w:val="001810DB"/>
    <w:rsid w:val="00181756"/>
    <w:rsid w:val="0018179B"/>
    <w:rsid w:val="0018180C"/>
    <w:rsid w:val="001818CB"/>
    <w:rsid w:val="00181A41"/>
    <w:rsid w:val="00181C90"/>
    <w:rsid w:val="00181DFB"/>
    <w:rsid w:val="00181E70"/>
    <w:rsid w:val="00181F57"/>
    <w:rsid w:val="00182010"/>
    <w:rsid w:val="0018249E"/>
    <w:rsid w:val="00182A9E"/>
    <w:rsid w:val="00182B15"/>
    <w:rsid w:val="00182B23"/>
    <w:rsid w:val="00182C5A"/>
    <w:rsid w:val="00182C72"/>
    <w:rsid w:val="00182CB5"/>
    <w:rsid w:val="00182DA9"/>
    <w:rsid w:val="00183129"/>
    <w:rsid w:val="00183132"/>
    <w:rsid w:val="00183303"/>
    <w:rsid w:val="00183476"/>
    <w:rsid w:val="00183835"/>
    <w:rsid w:val="00183AF4"/>
    <w:rsid w:val="00183E02"/>
    <w:rsid w:val="00183E0C"/>
    <w:rsid w:val="00184053"/>
    <w:rsid w:val="00184193"/>
    <w:rsid w:val="00184757"/>
    <w:rsid w:val="001852B8"/>
    <w:rsid w:val="001852BB"/>
    <w:rsid w:val="001854B5"/>
    <w:rsid w:val="00185588"/>
    <w:rsid w:val="001857C2"/>
    <w:rsid w:val="001859A9"/>
    <w:rsid w:val="00185BBA"/>
    <w:rsid w:val="00185D22"/>
    <w:rsid w:val="00185F29"/>
    <w:rsid w:val="00186210"/>
    <w:rsid w:val="001862D7"/>
    <w:rsid w:val="00186318"/>
    <w:rsid w:val="00186392"/>
    <w:rsid w:val="001863B5"/>
    <w:rsid w:val="001866D5"/>
    <w:rsid w:val="0018698F"/>
    <w:rsid w:val="00186D40"/>
    <w:rsid w:val="00186FFC"/>
    <w:rsid w:val="00187150"/>
    <w:rsid w:val="00187292"/>
    <w:rsid w:val="00187732"/>
    <w:rsid w:val="00187834"/>
    <w:rsid w:val="00187E52"/>
    <w:rsid w:val="001900AC"/>
    <w:rsid w:val="001906C0"/>
    <w:rsid w:val="00190898"/>
    <w:rsid w:val="00190982"/>
    <w:rsid w:val="00190CA7"/>
    <w:rsid w:val="00191499"/>
    <w:rsid w:val="0019175E"/>
    <w:rsid w:val="001917A6"/>
    <w:rsid w:val="001918C5"/>
    <w:rsid w:val="00191F0A"/>
    <w:rsid w:val="0019245C"/>
    <w:rsid w:val="00192608"/>
    <w:rsid w:val="00192845"/>
    <w:rsid w:val="00192883"/>
    <w:rsid w:val="00192913"/>
    <w:rsid w:val="00192B63"/>
    <w:rsid w:val="00192F17"/>
    <w:rsid w:val="00193080"/>
    <w:rsid w:val="0019308E"/>
    <w:rsid w:val="001930D9"/>
    <w:rsid w:val="00193329"/>
    <w:rsid w:val="001933BE"/>
    <w:rsid w:val="001936F0"/>
    <w:rsid w:val="001937BE"/>
    <w:rsid w:val="00194299"/>
    <w:rsid w:val="001942FB"/>
    <w:rsid w:val="001943C4"/>
    <w:rsid w:val="001943FC"/>
    <w:rsid w:val="0019474F"/>
    <w:rsid w:val="001947AD"/>
    <w:rsid w:val="00194B79"/>
    <w:rsid w:val="00194BC9"/>
    <w:rsid w:val="00194F3F"/>
    <w:rsid w:val="00195118"/>
    <w:rsid w:val="001955C8"/>
    <w:rsid w:val="00195975"/>
    <w:rsid w:val="00195D54"/>
    <w:rsid w:val="00195EE7"/>
    <w:rsid w:val="00196031"/>
    <w:rsid w:val="001961B6"/>
    <w:rsid w:val="001961E9"/>
    <w:rsid w:val="001962EA"/>
    <w:rsid w:val="00196397"/>
    <w:rsid w:val="001968F1"/>
    <w:rsid w:val="001969FC"/>
    <w:rsid w:val="00196A9E"/>
    <w:rsid w:val="00196BD3"/>
    <w:rsid w:val="00196D70"/>
    <w:rsid w:val="00196DCD"/>
    <w:rsid w:val="00196ECB"/>
    <w:rsid w:val="0019710E"/>
    <w:rsid w:val="001972E0"/>
    <w:rsid w:val="00197302"/>
    <w:rsid w:val="00197346"/>
    <w:rsid w:val="0019738D"/>
    <w:rsid w:val="00197431"/>
    <w:rsid w:val="00197A0C"/>
    <w:rsid w:val="001A05AD"/>
    <w:rsid w:val="001A077F"/>
    <w:rsid w:val="001A0D6C"/>
    <w:rsid w:val="001A1048"/>
    <w:rsid w:val="001A10C0"/>
    <w:rsid w:val="001A18BA"/>
    <w:rsid w:val="001A18C1"/>
    <w:rsid w:val="001A1954"/>
    <w:rsid w:val="001A1968"/>
    <w:rsid w:val="001A1B17"/>
    <w:rsid w:val="001A1DC8"/>
    <w:rsid w:val="001A1FDF"/>
    <w:rsid w:val="001A20B2"/>
    <w:rsid w:val="001A228F"/>
    <w:rsid w:val="001A2316"/>
    <w:rsid w:val="001A24B6"/>
    <w:rsid w:val="001A2948"/>
    <w:rsid w:val="001A3996"/>
    <w:rsid w:val="001A3A63"/>
    <w:rsid w:val="001A3BDE"/>
    <w:rsid w:val="001A3C4D"/>
    <w:rsid w:val="001A3ED4"/>
    <w:rsid w:val="001A3F5A"/>
    <w:rsid w:val="001A3FF8"/>
    <w:rsid w:val="001A40FA"/>
    <w:rsid w:val="001A423B"/>
    <w:rsid w:val="001A43B8"/>
    <w:rsid w:val="001A4495"/>
    <w:rsid w:val="001A472B"/>
    <w:rsid w:val="001A4BDE"/>
    <w:rsid w:val="001A51AB"/>
    <w:rsid w:val="001A5D2D"/>
    <w:rsid w:val="001A5D69"/>
    <w:rsid w:val="001A5DF0"/>
    <w:rsid w:val="001A5E95"/>
    <w:rsid w:val="001A605E"/>
    <w:rsid w:val="001A61B7"/>
    <w:rsid w:val="001A6551"/>
    <w:rsid w:val="001A6842"/>
    <w:rsid w:val="001A69FA"/>
    <w:rsid w:val="001A6BBE"/>
    <w:rsid w:val="001A7108"/>
    <w:rsid w:val="001A710F"/>
    <w:rsid w:val="001A7174"/>
    <w:rsid w:val="001A7745"/>
    <w:rsid w:val="001A7BE0"/>
    <w:rsid w:val="001A7E27"/>
    <w:rsid w:val="001B0081"/>
    <w:rsid w:val="001B0358"/>
    <w:rsid w:val="001B043A"/>
    <w:rsid w:val="001B0576"/>
    <w:rsid w:val="001B071E"/>
    <w:rsid w:val="001B07EF"/>
    <w:rsid w:val="001B0B41"/>
    <w:rsid w:val="001B0B8B"/>
    <w:rsid w:val="001B0BCF"/>
    <w:rsid w:val="001B122F"/>
    <w:rsid w:val="001B13AC"/>
    <w:rsid w:val="001B1758"/>
    <w:rsid w:val="001B1777"/>
    <w:rsid w:val="001B1914"/>
    <w:rsid w:val="001B1926"/>
    <w:rsid w:val="001B1D30"/>
    <w:rsid w:val="001B1DBD"/>
    <w:rsid w:val="001B1E87"/>
    <w:rsid w:val="001B1ED3"/>
    <w:rsid w:val="001B1FD5"/>
    <w:rsid w:val="001B242C"/>
    <w:rsid w:val="001B25B9"/>
    <w:rsid w:val="001B2613"/>
    <w:rsid w:val="001B2670"/>
    <w:rsid w:val="001B2771"/>
    <w:rsid w:val="001B298E"/>
    <w:rsid w:val="001B2A74"/>
    <w:rsid w:val="001B2AEA"/>
    <w:rsid w:val="001B2B71"/>
    <w:rsid w:val="001B2BB5"/>
    <w:rsid w:val="001B31CC"/>
    <w:rsid w:val="001B3551"/>
    <w:rsid w:val="001B35C0"/>
    <w:rsid w:val="001B3651"/>
    <w:rsid w:val="001B3751"/>
    <w:rsid w:val="001B3F3B"/>
    <w:rsid w:val="001B417D"/>
    <w:rsid w:val="001B438D"/>
    <w:rsid w:val="001B47E8"/>
    <w:rsid w:val="001B47FE"/>
    <w:rsid w:val="001B4828"/>
    <w:rsid w:val="001B48E3"/>
    <w:rsid w:val="001B48EC"/>
    <w:rsid w:val="001B4A29"/>
    <w:rsid w:val="001B50A2"/>
    <w:rsid w:val="001B552E"/>
    <w:rsid w:val="001B55DE"/>
    <w:rsid w:val="001B591F"/>
    <w:rsid w:val="001B59C9"/>
    <w:rsid w:val="001B5A36"/>
    <w:rsid w:val="001B5B00"/>
    <w:rsid w:val="001B5B4C"/>
    <w:rsid w:val="001B5BBA"/>
    <w:rsid w:val="001B5BE8"/>
    <w:rsid w:val="001B5D54"/>
    <w:rsid w:val="001B61E7"/>
    <w:rsid w:val="001B62D6"/>
    <w:rsid w:val="001B6958"/>
    <w:rsid w:val="001B6CFE"/>
    <w:rsid w:val="001B6D8F"/>
    <w:rsid w:val="001B74D4"/>
    <w:rsid w:val="001B7617"/>
    <w:rsid w:val="001B7C42"/>
    <w:rsid w:val="001C0012"/>
    <w:rsid w:val="001C01C1"/>
    <w:rsid w:val="001C0325"/>
    <w:rsid w:val="001C03BE"/>
    <w:rsid w:val="001C0484"/>
    <w:rsid w:val="001C08DC"/>
    <w:rsid w:val="001C0DA3"/>
    <w:rsid w:val="001C0DCD"/>
    <w:rsid w:val="001C0E4D"/>
    <w:rsid w:val="001C128C"/>
    <w:rsid w:val="001C1979"/>
    <w:rsid w:val="001C1B92"/>
    <w:rsid w:val="001C1D4F"/>
    <w:rsid w:val="001C2189"/>
    <w:rsid w:val="001C2271"/>
    <w:rsid w:val="001C22D7"/>
    <w:rsid w:val="001C242C"/>
    <w:rsid w:val="001C266D"/>
    <w:rsid w:val="001C26F7"/>
    <w:rsid w:val="001C27B2"/>
    <w:rsid w:val="001C2CBC"/>
    <w:rsid w:val="001C2EB0"/>
    <w:rsid w:val="001C30B1"/>
    <w:rsid w:val="001C3124"/>
    <w:rsid w:val="001C3303"/>
    <w:rsid w:val="001C33BC"/>
    <w:rsid w:val="001C37E4"/>
    <w:rsid w:val="001C3E22"/>
    <w:rsid w:val="001C40B2"/>
    <w:rsid w:val="001C41FB"/>
    <w:rsid w:val="001C4341"/>
    <w:rsid w:val="001C4DB2"/>
    <w:rsid w:val="001C4F8D"/>
    <w:rsid w:val="001C51B8"/>
    <w:rsid w:val="001C5327"/>
    <w:rsid w:val="001C54EA"/>
    <w:rsid w:val="001C557B"/>
    <w:rsid w:val="001C55CB"/>
    <w:rsid w:val="001C5608"/>
    <w:rsid w:val="001C5625"/>
    <w:rsid w:val="001C5F1F"/>
    <w:rsid w:val="001C6268"/>
    <w:rsid w:val="001C65BE"/>
    <w:rsid w:val="001C65CC"/>
    <w:rsid w:val="001C66A3"/>
    <w:rsid w:val="001C67D0"/>
    <w:rsid w:val="001C6D1F"/>
    <w:rsid w:val="001C6FE5"/>
    <w:rsid w:val="001C71A1"/>
    <w:rsid w:val="001C7296"/>
    <w:rsid w:val="001C72C6"/>
    <w:rsid w:val="001C74FE"/>
    <w:rsid w:val="001C7579"/>
    <w:rsid w:val="001C77C9"/>
    <w:rsid w:val="001C7CFF"/>
    <w:rsid w:val="001C7DA7"/>
    <w:rsid w:val="001C7E54"/>
    <w:rsid w:val="001C7F7C"/>
    <w:rsid w:val="001C7FF8"/>
    <w:rsid w:val="001D04CF"/>
    <w:rsid w:val="001D0A51"/>
    <w:rsid w:val="001D0ADD"/>
    <w:rsid w:val="001D0B2F"/>
    <w:rsid w:val="001D0D83"/>
    <w:rsid w:val="001D0E4B"/>
    <w:rsid w:val="001D0EFB"/>
    <w:rsid w:val="001D172B"/>
    <w:rsid w:val="001D19AE"/>
    <w:rsid w:val="001D1A57"/>
    <w:rsid w:val="001D1AAC"/>
    <w:rsid w:val="001D1BEF"/>
    <w:rsid w:val="001D1C83"/>
    <w:rsid w:val="001D1CC3"/>
    <w:rsid w:val="001D1F73"/>
    <w:rsid w:val="001D1F8D"/>
    <w:rsid w:val="001D2173"/>
    <w:rsid w:val="001D235C"/>
    <w:rsid w:val="001D241F"/>
    <w:rsid w:val="001D26A3"/>
    <w:rsid w:val="001D2969"/>
    <w:rsid w:val="001D2A1D"/>
    <w:rsid w:val="001D2C2F"/>
    <w:rsid w:val="001D2CF9"/>
    <w:rsid w:val="001D30F7"/>
    <w:rsid w:val="001D3338"/>
    <w:rsid w:val="001D348D"/>
    <w:rsid w:val="001D394B"/>
    <w:rsid w:val="001D39EB"/>
    <w:rsid w:val="001D3CB2"/>
    <w:rsid w:val="001D3D8E"/>
    <w:rsid w:val="001D3F49"/>
    <w:rsid w:val="001D4067"/>
    <w:rsid w:val="001D4205"/>
    <w:rsid w:val="001D448E"/>
    <w:rsid w:val="001D46F0"/>
    <w:rsid w:val="001D4790"/>
    <w:rsid w:val="001D4836"/>
    <w:rsid w:val="001D4973"/>
    <w:rsid w:val="001D49E9"/>
    <w:rsid w:val="001D4A4F"/>
    <w:rsid w:val="001D4BDF"/>
    <w:rsid w:val="001D4BE9"/>
    <w:rsid w:val="001D4C85"/>
    <w:rsid w:val="001D4CA6"/>
    <w:rsid w:val="001D4E3C"/>
    <w:rsid w:val="001D5006"/>
    <w:rsid w:val="001D5046"/>
    <w:rsid w:val="001D5108"/>
    <w:rsid w:val="001D535E"/>
    <w:rsid w:val="001D56E0"/>
    <w:rsid w:val="001D57BA"/>
    <w:rsid w:val="001D589B"/>
    <w:rsid w:val="001D5BD9"/>
    <w:rsid w:val="001D5E4C"/>
    <w:rsid w:val="001D61B7"/>
    <w:rsid w:val="001D621D"/>
    <w:rsid w:val="001D6273"/>
    <w:rsid w:val="001D65D7"/>
    <w:rsid w:val="001D6AF9"/>
    <w:rsid w:val="001D6E30"/>
    <w:rsid w:val="001D6F27"/>
    <w:rsid w:val="001D7074"/>
    <w:rsid w:val="001D7216"/>
    <w:rsid w:val="001D730B"/>
    <w:rsid w:val="001D791C"/>
    <w:rsid w:val="001D79DB"/>
    <w:rsid w:val="001D7BCF"/>
    <w:rsid w:val="001D7D17"/>
    <w:rsid w:val="001E00F8"/>
    <w:rsid w:val="001E05F1"/>
    <w:rsid w:val="001E06EC"/>
    <w:rsid w:val="001E077C"/>
    <w:rsid w:val="001E09B5"/>
    <w:rsid w:val="001E0AD6"/>
    <w:rsid w:val="001E0B55"/>
    <w:rsid w:val="001E0D1D"/>
    <w:rsid w:val="001E0E25"/>
    <w:rsid w:val="001E0EB4"/>
    <w:rsid w:val="001E0EFB"/>
    <w:rsid w:val="001E0FF3"/>
    <w:rsid w:val="001E1094"/>
    <w:rsid w:val="001E11B0"/>
    <w:rsid w:val="001E1219"/>
    <w:rsid w:val="001E1610"/>
    <w:rsid w:val="001E1668"/>
    <w:rsid w:val="001E1B34"/>
    <w:rsid w:val="001E1C2D"/>
    <w:rsid w:val="001E1DF4"/>
    <w:rsid w:val="001E2106"/>
    <w:rsid w:val="001E23F3"/>
    <w:rsid w:val="001E252B"/>
    <w:rsid w:val="001E271C"/>
    <w:rsid w:val="001E29EE"/>
    <w:rsid w:val="001E29FB"/>
    <w:rsid w:val="001E2BC9"/>
    <w:rsid w:val="001E2DA0"/>
    <w:rsid w:val="001E2DD0"/>
    <w:rsid w:val="001E2FD0"/>
    <w:rsid w:val="001E31A6"/>
    <w:rsid w:val="001E323C"/>
    <w:rsid w:val="001E3435"/>
    <w:rsid w:val="001E3520"/>
    <w:rsid w:val="001E37A8"/>
    <w:rsid w:val="001E3A81"/>
    <w:rsid w:val="001E3B4F"/>
    <w:rsid w:val="001E3D69"/>
    <w:rsid w:val="001E411D"/>
    <w:rsid w:val="001E44FC"/>
    <w:rsid w:val="001E4692"/>
    <w:rsid w:val="001E476E"/>
    <w:rsid w:val="001E4B50"/>
    <w:rsid w:val="001E4B63"/>
    <w:rsid w:val="001E4D56"/>
    <w:rsid w:val="001E4ED5"/>
    <w:rsid w:val="001E4F33"/>
    <w:rsid w:val="001E4FAF"/>
    <w:rsid w:val="001E5906"/>
    <w:rsid w:val="001E5AE9"/>
    <w:rsid w:val="001E5BF4"/>
    <w:rsid w:val="001E6009"/>
    <w:rsid w:val="001E6247"/>
    <w:rsid w:val="001E6351"/>
    <w:rsid w:val="001E6432"/>
    <w:rsid w:val="001E653B"/>
    <w:rsid w:val="001E6CDB"/>
    <w:rsid w:val="001E724A"/>
    <w:rsid w:val="001E728B"/>
    <w:rsid w:val="001E729A"/>
    <w:rsid w:val="001E752A"/>
    <w:rsid w:val="001E78E7"/>
    <w:rsid w:val="001E7B95"/>
    <w:rsid w:val="001E7FD3"/>
    <w:rsid w:val="001F01E2"/>
    <w:rsid w:val="001F024C"/>
    <w:rsid w:val="001F0415"/>
    <w:rsid w:val="001F0442"/>
    <w:rsid w:val="001F070F"/>
    <w:rsid w:val="001F084C"/>
    <w:rsid w:val="001F08AB"/>
    <w:rsid w:val="001F090F"/>
    <w:rsid w:val="001F098D"/>
    <w:rsid w:val="001F0F3B"/>
    <w:rsid w:val="001F10E4"/>
    <w:rsid w:val="001F1170"/>
    <w:rsid w:val="001F11BD"/>
    <w:rsid w:val="001F15E5"/>
    <w:rsid w:val="001F25CB"/>
    <w:rsid w:val="001F289F"/>
    <w:rsid w:val="001F2BDA"/>
    <w:rsid w:val="001F2F53"/>
    <w:rsid w:val="001F3353"/>
    <w:rsid w:val="001F33F9"/>
    <w:rsid w:val="001F3D44"/>
    <w:rsid w:val="001F4062"/>
    <w:rsid w:val="001F4633"/>
    <w:rsid w:val="001F46BD"/>
    <w:rsid w:val="001F4BBB"/>
    <w:rsid w:val="001F4E73"/>
    <w:rsid w:val="001F4F57"/>
    <w:rsid w:val="001F5199"/>
    <w:rsid w:val="001F53EC"/>
    <w:rsid w:val="001F5806"/>
    <w:rsid w:val="001F5923"/>
    <w:rsid w:val="001F59FC"/>
    <w:rsid w:val="001F5D4A"/>
    <w:rsid w:val="001F5D81"/>
    <w:rsid w:val="001F5E62"/>
    <w:rsid w:val="001F5EE6"/>
    <w:rsid w:val="001F5FE7"/>
    <w:rsid w:val="001F622C"/>
    <w:rsid w:val="001F64CD"/>
    <w:rsid w:val="001F670D"/>
    <w:rsid w:val="001F680F"/>
    <w:rsid w:val="001F6818"/>
    <w:rsid w:val="001F6A38"/>
    <w:rsid w:val="001F6A76"/>
    <w:rsid w:val="001F6E66"/>
    <w:rsid w:val="001F76C5"/>
    <w:rsid w:val="001F78BC"/>
    <w:rsid w:val="001F7C50"/>
    <w:rsid w:val="001F7CCF"/>
    <w:rsid w:val="001F7D50"/>
    <w:rsid w:val="001F7F92"/>
    <w:rsid w:val="00200351"/>
    <w:rsid w:val="0020058A"/>
    <w:rsid w:val="00200591"/>
    <w:rsid w:val="002006FB"/>
    <w:rsid w:val="0020080E"/>
    <w:rsid w:val="00200861"/>
    <w:rsid w:val="00200918"/>
    <w:rsid w:val="00200B19"/>
    <w:rsid w:val="00200B45"/>
    <w:rsid w:val="00200F19"/>
    <w:rsid w:val="00201274"/>
    <w:rsid w:val="0020127D"/>
    <w:rsid w:val="00202533"/>
    <w:rsid w:val="00202660"/>
    <w:rsid w:val="00202B21"/>
    <w:rsid w:val="00203867"/>
    <w:rsid w:val="00203A1A"/>
    <w:rsid w:val="00203D9C"/>
    <w:rsid w:val="00203F28"/>
    <w:rsid w:val="00204499"/>
    <w:rsid w:val="00204796"/>
    <w:rsid w:val="00204BDD"/>
    <w:rsid w:val="00204C66"/>
    <w:rsid w:val="002050F9"/>
    <w:rsid w:val="002051BB"/>
    <w:rsid w:val="002053D2"/>
    <w:rsid w:val="0020553D"/>
    <w:rsid w:val="00205B45"/>
    <w:rsid w:val="00205C0D"/>
    <w:rsid w:val="00205E96"/>
    <w:rsid w:val="0020660C"/>
    <w:rsid w:val="00206A6B"/>
    <w:rsid w:val="00206BAE"/>
    <w:rsid w:val="00206DF9"/>
    <w:rsid w:val="00206FB2"/>
    <w:rsid w:val="002076B9"/>
    <w:rsid w:val="00207889"/>
    <w:rsid w:val="00207AF3"/>
    <w:rsid w:val="00207C19"/>
    <w:rsid w:val="00207FC3"/>
    <w:rsid w:val="0021008B"/>
    <w:rsid w:val="0021011A"/>
    <w:rsid w:val="0021014E"/>
    <w:rsid w:val="0021030B"/>
    <w:rsid w:val="00210936"/>
    <w:rsid w:val="002109F3"/>
    <w:rsid w:val="00210BA3"/>
    <w:rsid w:val="00210C46"/>
    <w:rsid w:val="00210D7F"/>
    <w:rsid w:val="00210F8B"/>
    <w:rsid w:val="0021127C"/>
    <w:rsid w:val="002112C2"/>
    <w:rsid w:val="0021138B"/>
    <w:rsid w:val="00211A39"/>
    <w:rsid w:val="00211E75"/>
    <w:rsid w:val="00211F3F"/>
    <w:rsid w:val="0021215C"/>
    <w:rsid w:val="002124CF"/>
    <w:rsid w:val="002124E5"/>
    <w:rsid w:val="002126E8"/>
    <w:rsid w:val="00212702"/>
    <w:rsid w:val="00212D6A"/>
    <w:rsid w:val="00213104"/>
    <w:rsid w:val="0021310B"/>
    <w:rsid w:val="00213433"/>
    <w:rsid w:val="0021349A"/>
    <w:rsid w:val="002135B1"/>
    <w:rsid w:val="00213C82"/>
    <w:rsid w:val="00213EB4"/>
    <w:rsid w:val="00214058"/>
    <w:rsid w:val="002141E3"/>
    <w:rsid w:val="002144C4"/>
    <w:rsid w:val="00214677"/>
    <w:rsid w:val="00214B92"/>
    <w:rsid w:val="00214C9C"/>
    <w:rsid w:val="00214D33"/>
    <w:rsid w:val="00215006"/>
    <w:rsid w:val="002150AE"/>
    <w:rsid w:val="0021515B"/>
    <w:rsid w:val="002157ED"/>
    <w:rsid w:val="00215FA7"/>
    <w:rsid w:val="00216024"/>
    <w:rsid w:val="002161C6"/>
    <w:rsid w:val="00216270"/>
    <w:rsid w:val="00216969"/>
    <w:rsid w:val="00216A57"/>
    <w:rsid w:val="00216DB5"/>
    <w:rsid w:val="00216E76"/>
    <w:rsid w:val="00216F25"/>
    <w:rsid w:val="00217101"/>
    <w:rsid w:val="002172FA"/>
    <w:rsid w:val="002177BB"/>
    <w:rsid w:val="00217834"/>
    <w:rsid w:val="00217C4D"/>
    <w:rsid w:val="00217D13"/>
    <w:rsid w:val="00217D97"/>
    <w:rsid w:val="00217EF1"/>
    <w:rsid w:val="00220429"/>
    <w:rsid w:val="00220597"/>
    <w:rsid w:val="00220698"/>
    <w:rsid w:val="00220D0F"/>
    <w:rsid w:val="00220D90"/>
    <w:rsid w:val="00220DE4"/>
    <w:rsid w:val="002212B9"/>
    <w:rsid w:val="00221573"/>
    <w:rsid w:val="00221632"/>
    <w:rsid w:val="00221876"/>
    <w:rsid w:val="0022196E"/>
    <w:rsid w:val="00221E2B"/>
    <w:rsid w:val="00221E32"/>
    <w:rsid w:val="00221E96"/>
    <w:rsid w:val="002220F3"/>
    <w:rsid w:val="00222344"/>
    <w:rsid w:val="0022278B"/>
    <w:rsid w:val="00222963"/>
    <w:rsid w:val="002229C3"/>
    <w:rsid w:val="002229DE"/>
    <w:rsid w:val="00222C22"/>
    <w:rsid w:val="00222C78"/>
    <w:rsid w:val="00222D1B"/>
    <w:rsid w:val="00222D9B"/>
    <w:rsid w:val="00222E49"/>
    <w:rsid w:val="00222EE6"/>
    <w:rsid w:val="00222F7E"/>
    <w:rsid w:val="00223160"/>
    <w:rsid w:val="00223393"/>
    <w:rsid w:val="00223553"/>
    <w:rsid w:val="002239CC"/>
    <w:rsid w:val="00223B50"/>
    <w:rsid w:val="00223BCA"/>
    <w:rsid w:val="00223DC6"/>
    <w:rsid w:val="00223E81"/>
    <w:rsid w:val="002240EC"/>
    <w:rsid w:val="00224183"/>
    <w:rsid w:val="002245D3"/>
    <w:rsid w:val="002247E4"/>
    <w:rsid w:val="002248C8"/>
    <w:rsid w:val="0022490B"/>
    <w:rsid w:val="0022494D"/>
    <w:rsid w:val="00224A8B"/>
    <w:rsid w:val="00225171"/>
    <w:rsid w:val="0022533F"/>
    <w:rsid w:val="0022539D"/>
    <w:rsid w:val="002253C4"/>
    <w:rsid w:val="002257C8"/>
    <w:rsid w:val="00225809"/>
    <w:rsid w:val="00225B63"/>
    <w:rsid w:val="00225BFB"/>
    <w:rsid w:val="00225EF9"/>
    <w:rsid w:val="002260FB"/>
    <w:rsid w:val="00226115"/>
    <w:rsid w:val="00226285"/>
    <w:rsid w:val="0022640A"/>
    <w:rsid w:val="0022680B"/>
    <w:rsid w:val="002268FB"/>
    <w:rsid w:val="00226B54"/>
    <w:rsid w:val="00226BC5"/>
    <w:rsid w:val="00226C3D"/>
    <w:rsid w:val="00226D77"/>
    <w:rsid w:val="00227257"/>
    <w:rsid w:val="0022728F"/>
    <w:rsid w:val="0022759A"/>
    <w:rsid w:val="002276F7"/>
    <w:rsid w:val="00227B91"/>
    <w:rsid w:val="00227E63"/>
    <w:rsid w:val="00227F34"/>
    <w:rsid w:val="00227FDB"/>
    <w:rsid w:val="0023004B"/>
    <w:rsid w:val="002301D6"/>
    <w:rsid w:val="002306D2"/>
    <w:rsid w:val="002308F7"/>
    <w:rsid w:val="00230BC5"/>
    <w:rsid w:val="00230C61"/>
    <w:rsid w:val="00230CB7"/>
    <w:rsid w:val="00230E6E"/>
    <w:rsid w:val="00230F1C"/>
    <w:rsid w:val="0023101C"/>
    <w:rsid w:val="002311E9"/>
    <w:rsid w:val="0023196D"/>
    <w:rsid w:val="00231EBC"/>
    <w:rsid w:val="00232249"/>
    <w:rsid w:val="0023230D"/>
    <w:rsid w:val="00232696"/>
    <w:rsid w:val="00232779"/>
    <w:rsid w:val="00232B96"/>
    <w:rsid w:val="00232E5E"/>
    <w:rsid w:val="00232F19"/>
    <w:rsid w:val="00233256"/>
    <w:rsid w:val="00233983"/>
    <w:rsid w:val="00233990"/>
    <w:rsid w:val="002339B7"/>
    <w:rsid w:val="00233C68"/>
    <w:rsid w:val="00233ECE"/>
    <w:rsid w:val="00233FB9"/>
    <w:rsid w:val="00234012"/>
    <w:rsid w:val="002343DB"/>
    <w:rsid w:val="002344BA"/>
    <w:rsid w:val="002345DC"/>
    <w:rsid w:val="0023465B"/>
    <w:rsid w:val="002346A6"/>
    <w:rsid w:val="00234755"/>
    <w:rsid w:val="00234C5B"/>
    <w:rsid w:val="00234F12"/>
    <w:rsid w:val="00235051"/>
    <w:rsid w:val="0023507D"/>
    <w:rsid w:val="002358BB"/>
    <w:rsid w:val="00235B6E"/>
    <w:rsid w:val="00235BDE"/>
    <w:rsid w:val="0023605A"/>
    <w:rsid w:val="00236150"/>
    <w:rsid w:val="00236498"/>
    <w:rsid w:val="002364E2"/>
    <w:rsid w:val="002365D3"/>
    <w:rsid w:val="002368DA"/>
    <w:rsid w:val="00236A3E"/>
    <w:rsid w:val="00236BDA"/>
    <w:rsid w:val="00236C1E"/>
    <w:rsid w:val="00236C99"/>
    <w:rsid w:val="00236DA6"/>
    <w:rsid w:val="00236DAB"/>
    <w:rsid w:val="00236E6D"/>
    <w:rsid w:val="00236EDD"/>
    <w:rsid w:val="00236EF6"/>
    <w:rsid w:val="00236EFF"/>
    <w:rsid w:val="00236F3E"/>
    <w:rsid w:val="002372E9"/>
    <w:rsid w:val="0023741B"/>
    <w:rsid w:val="0023745E"/>
    <w:rsid w:val="002378CA"/>
    <w:rsid w:val="00237D49"/>
    <w:rsid w:val="00237DB7"/>
    <w:rsid w:val="00240245"/>
    <w:rsid w:val="00240384"/>
    <w:rsid w:val="002404B4"/>
    <w:rsid w:val="002405D9"/>
    <w:rsid w:val="00240647"/>
    <w:rsid w:val="00240AB1"/>
    <w:rsid w:val="00240B5E"/>
    <w:rsid w:val="00240FCE"/>
    <w:rsid w:val="00241037"/>
    <w:rsid w:val="00241405"/>
    <w:rsid w:val="002416C3"/>
    <w:rsid w:val="00241A23"/>
    <w:rsid w:val="00241B72"/>
    <w:rsid w:val="00241C1D"/>
    <w:rsid w:val="00241D43"/>
    <w:rsid w:val="00241F88"/>
    <w:rsid w:val="00242415"/>
    <w:rsid w:val="002427EC"/>
    <w:rsid w:val="00242853"/>
    <w:rsid w:val="0024288A"/>
    <w:rsid w:val="00242904"/>
    <w:rsid w:val="00242A0B"/>
    <w:rsid w:val="00242AB7"/>
    <w:rsid w:val="00242C69"/>
    <w:rsid w:val="00243438"/>
    <w:rsid w:val="00243531"/>
    <w:rsid w:val="002435FF"/>
    <w:rsid w:val="00243655"/>
    <w:rsid w:val="002436EC"/>
    <w:rsid w:val="00243D14"/>
    <w:rsid w:val="00243E5C"/>
    <w:rsid w:val="0024406D"/>
    <w:rsid w:val="002441AE"/>
    <w:rsid w:val="00244467"/>
    <w:rsid w:val="002444E2"/>
    <w:rsid w:val="00244508"/>
    <w:rsid w:val="00244698"/>
    <w:rsid w:val="002446BD"/>
    <w:rsid w:val="00245004"/>
    <w:rsid w:val="002452E5"/>
    <w:rsid w:val="002453F5"/>
    <w:rsid w:val="00245672"/>
    <w:rsid w:val="00245AA3"/>
    <w:rsid w:val="00245DD0"/>
    <w:rsid w:val="00245E63"/>
    <w:rsid w:val="00245FB2"/>
    <w:rsid w:val="0024608F"/>
    <w:rsid w:val="00246131"/>
    <w:rsid w:val="002461EB"/>
    <w:rsid w:val="00246506"/>
    <w:rsid w:val="00246797"/>
    <w:rsid w:val="00246875"/>
    <w:rsid w:val="00246EE6"/>
    <w:rsid w:val="00246EEF"/>
    <w:rsid w:val="00246FC6"/>
    <w:rsid w:val="00247068"/>
    <w:rsid w:val="002473D1"/>
    <w:rsid w:val="0024781C"/>
    <w:rsid w:val="00247A98"/>
    <w:rsid w:val="00247CED"/>
    <w:rsid w:val="00247E83"/>
    <w:rsid w:val="0025005B"/>
    <w:rsid w:val="002502A5"/>
    <w:rsid w:val="002507A5"/>
    <w:rsid w:val="002507BB"/>
    <w:rsid w:val="002508E9"/>
    <w:rsid w:val="00250D2B"/>
    <w:rsid w:val="00250DC1"/>
    <w:rsid w:val="00250E20"/>
    <w:rsid w:val="00251665"/>
    <w:rsid w:val="002516E7"/>
    <w:rsid w:val="002517FB"/>
    <w:rsid w:val="00251A44"/>
    <w:rsid w:val="00251AEC"/>
    <w:rsid w:val="00251F96"/>
    <w:rsid w:val="00252408"/>
    <w:rsid w:val="00252473"/>
    <w:rsid w:val="00252627"/>
    <w:rsid w:val="002527FF"/>
    <w:rsid w:val="00252C72"/>
    <w:rsid w:val="00252C8A"/>
    <w:rsid w:val="00252D09"/>
    <w:rsid w:val="002536BB"/>
    <w:rsid w:val="00253954"/>
    <w:rsid w:val="002539A0"/>
    <w:rsid w:val="00253D26"/>
    <w:rsid w:val="00253E1C"/>
    <w:rsid w:val="00253F5F"/>
    <w:rsid w:val="00254277"/>
    <w:rsid w:val="002544A5"/>
    <w:rsid w:val="00254502"/>
    <w:rsid w:val="0025462E"/>
    <w:rsid w:val="00254B81"/>
    <w:rsid w:val="00255027"/>
    <w:rsid w:val="0025503D"/>
    <w:rsid w:val="00255264"/>
    <w:rsid w:val="0025547A"/>
    <w:rsid w:val="00255494"/>
    <w:rsid w:val="0025566E"/>
    <w:rsid w:val="00255671"/>
    <w:rsid w:val="002557FE"/>
    <w:rsid w:val="0025581C"/>
    <w:rsid w:val="00255B15"/>
    <w:rsid w:val="00255B92"/>
    <w:rsid w:val="00255DB0"/>
    <w:rsid w:val="00255DEB"/>
    <w:rsid w:val="00255E3A"/>
    <w:rsid w:val="00255F5E"/>
    <w:rsid w:val="002562DB"/>
    <w:rsid w:val="00256932"/>
    <w:rsid w:val="002569C6"/>
    <w:rsid w:val="00256A49"/>
    <w:rsid w:val="00256C0B"/>
    <w:rsid w:val="00256DC1"/>
    <w:rsid w:val="00256EDC"/>
    <w:rsid w:val="00256FA7"/>
    <w:rsid w:val="002573D7"/>
    <w:rsid w:val="0025759D"/>
    <w:rsid w:val="00257653"/>
    <w:rsid w:val="00257C0B"/>
    <w:rsid w:val="00257C45"/>
    <w:rsid w:val="00257DDF"/>
    <w:rsid w:val="00257E99"/>
    <w:rsid w:val="00257FF1"/>
    <w:rsid w:val="00260345"/>
    <w:rsid w:val="002606DA"/>
    <w:rsid w:val="0026081A"/>
    <w:rsid w:val="00260836"/>
    <w:rsid w:val="002609B0"/>
    <w:rsid w:val="00260A12"/>
    <w:rsid w:val="002610E6"/>
    <w:rsid w:val="00261128"/>
    <w:rsid w:val="00261265"/>
    <w:rsid w:val="0026143A"/>
    <w:rsid w:val="0026143F"/>
    <w:rsid w:val="0026176E"/>
    <w:rsid w:val="0026184E"/>
    <w:rsid w:val="00261907"/>
    <w:rsid w:val="00261950"/>
    <w:rsid w:val="00261BD7"/>
    <w:rsid w:val="00261DC1"/>
    <w:rsid w:val="00261F17"/>
    <w:rsid w:val="00261FDB"/>
    <w:rsid w:val="002622FA"/>
    <w:rsid w:val="00262BE4"/>
    <w:rsid w:val="00262EC6"/>
    <w:rsid w:val="002634BB"/>
    <w:rsid w:val="002636D6"/>
    <w:rsid w:val="00264068"/>
    <w:rsid w:val="00264182"/>
    <w:rsid w:val="00264279"/>
    <w:rsid w:val="0026429F"/>
    <w:rsid w:val="002646AD"/>
    <w:rsid w:val="002646B0"/>
    <w:rsid w:val="002647B8"/>
    <w:rsid w:val="002648CE"/>
    <w:rsid w:val="00264A0E"/>
    <w:rsid w:val="00264A73"/>
    <w:rsid w:val="00264F97"/>
    <w:rsid w:val="00265134"/>
    <w:rsid w:val="002652F6"/>
    <w:rsid w:val="00265F09"/>
    <w:rsid w:val="00266250"/>
    <w:rsid w:val="002665CB"/>
    <w:rsid w:val="00266895"/>
    <w:rsid w:val="0026697C"/>
    <w:rsid w:val="00266B04"/>
    <w:rsid w:val="00266C68"/>
    <w:rsid w:val="00266D02"/>
    <w:rsid w:val="00266DEF"/>
    <w:rsid w:val="002671F4"/>
    <w:rsid w:val="00267CA6"/>
    <w:rsid w:val="00267F19"/>
    <w:rsid w:val="00270113"/>
    <w:rsid w:val="0027056A"/>
    <w:rsid w:val="00270661"/>
    <w:rsid w:val="0027077B"/>
    <w:rsid w:val="00270791"/>
    <w:rsid w:val="0027126C"/>
    <w:rsid w:val="002713B7"/>
    <w:rsid w:val="00271608"/>
    <w:rsid w:val="0027192E"/>
    <w:rsid w:val="00271991"/>
    <w:rsid w:val="00271D70"/>
    <w:rsid w:val="00271DDC"/>
    <w:rsid w:val="0027203B"/>
    <w:rsid w:val="00272195"/>
    <w:rsid w:val="002721EA"/>
    <w:rsid w:val="002722D0"/>
    <w:rsid w:val="002722EF"/>
    <w:rsid w:val="00272320"/>
    <w:rsid w:val="002726A6"/>
    <w:rsid w:val="00272739"/>
    <w:rsid w:val="0027290F"/>
    <w:rsid w:val="00273237"/>
    <w:rsid w:val="00273721"/>
    <w:rsid w:val="00273A11"/>
    <w:rsid w:val="00273C64"/>
    <w:rsid w:val="002741C3"/>
    <w:rsid w:val="002745EB"/>
    <w:rsid w:val="0027481F"/>
    <w:rsid w:val="002748F8"/>
    <w:rsid w:val="00274B66"/>
    <w:rsid w:val="00275106"/>
    <w:rsid w:val="00275323"/>
    <w:rsid w:val="0027545A"/>
    <w:rsid w:val="002754EF"/>
    <w:rsid w:val="00275598"/>
    <w:rsid w:val="0027567F"/>
    <w:rsid w:val="002756B1"/>
    <w:rsid w:val="00275A23"/>
    <w:rsid w:val="00275D73"/>
    <w:rsid w:val="00275D7B"/>
    <w:rsid w:val="00276016"/>
    <w:rsid w:val="002765AA"/>
    <w:rsid w:val="00276AB3"/>
    <w:rsid w:val="00276B79"/>
    <w:rsid w:val="00276D59"/>
    <w:rsid w:val="00276E13"/>
    <w:rsid w:val="00276EC0"/>
    <w:rsid w:val="00276F80"/>
    <w:rsid w:val="00276F94"/>
    <w:rsid w:val="002770CB"/>
    <w:rsid w:val="002772B3"/>
    <w:rsid w:val="00277448"/>
    <w:rsid w:val="0027757F"/>
    <w:rsid w:val="002779D4"/>
    <w:rsid w:val="00277FA6"/>
    <w:rsid w:val="002801E4"/>
    <w:rsid w:val="002804D4"/>
    <w:rsid w:val="0028056F"/>
    <w:rsid w:val="0028084A"/>
    <w:rsid w:val="00280C0D"/>
    <w:rsid w:val="00280F6F"/>
    <w:rsid w:val="0028115B"/>
    <w:rsid w:val="00281179"/>
    <w:rsid w:val="002811AF"/>
    <w:rsid w:val="0028171C"/>
    <w:rsid w:val="00281885"/>
    <w:rsid w:val="00281B34"/>
    <w:rsid w:val="00281C96"/>
    <w:rsid w:val="00281EFF"/>
    <w:rsid w:val="00281F8C"/>
    <w:rsid w:val="002820AB"/>
    <w:rsid w:val="0028214B"/>
    <w:rsid w:val="002823D7"/>
    <w:rsid w:val="00282494"/>
    <w:rsid w:val="002826EB"/>
    <w:rsid w:val="002827E3"/>
    <w:rsid w:val="00282806"/>
    <w:rsid w:val="00282D7B"/>
    <w:rsid w:val="00282F43"/>
    <w:rsid w:val="00282FCF"/>
    <w:rsid w:val="002830CE"/>
    <w:rsid w:val="00283566"/>
    <w:rsid w:val="002835D2"/>
    <w:rsid w:val="00283E94"/>
    <w:rsid w:val="0028403E"/>
    <w:rsid w:val="00284100"/>
    <w:rsid w:val="002843CD"/>
    <w:rsid w:val="002843EB"/>
    <w:rsid w:val="002846CA"/>
    <w:rsid w:val="00284835"/>
    <w:rsid w:val="00284AF2"/>
    <w:rsid w:val="00284E16"/>
    <w:rsid w:val="00284F79"/>
    <w:rsid w:val="002850CB"/>
    <w:rsid w:val="002850FD"/>
    <w:rsid w:val="0028514F"/>
    <w:rsid w:val="00285208"/>
    <w:rsid w:val="002853A6"/>
    <w:rsid w:val="002855CC"/>
    <w:rsid w:val="002861BE"/>
    <w:rsid w:val="00286287"/>
    <w:rsid w:val="002863F0"/>
    <w:rsid w:val="002864BD"/>
    <w:rsid w:val="00286500"/>
    <w:rsid w:val="002865CE"/>
    <w:rsid w:val="00286984"/>
    <w:rsid w:val="00286ABD"/>
    <w:rsid w:val="00286AED"/>
    <w:rsid w:val="0028715D"/>
    <w:rsid w:val="00287409"/>
    <w:rsid w:val="002877DA"/>
    <w:rsid w:val="00287B89"/>
    <w:rsid w:val="00287D43"/>
    <w:rsid w:val="002901C3"/>
    <w:rsid w:val="002901CD"/>
    <w:rsid w:val="00290672"/>
    <w:rsid w:val="00290799"/>
    <w:rsid w:val="0029091F"/>
    <w:rsid w:val="00290B98"/>
    <w:rsid w:val="00290C42"/>
    <w:rsid w:val="00290CA6"/>
    <w:rsid w:val="002910BF"/>
    <w:rsid w:val="002910F9"/>
    <w:rsid w:val="00291392"/>
    <w:rsid w:val="00291448"/>
    <w:rsid w:val="00291574"/>
    <w:rsid w:val="0029159A"/>
    <w:rsid w:val="00291886"/>
    <w:rsid w:val="0029191C"/>
    <w:rsid w:val="00291B8D"/>
    <w:rsid w:val="00291FCD"/>
    <w:rsid w:val="002923EE"/>
    <w:rsid w:val="0029269D"/>
    <w:rsid w:val="002927C2"/>
    <w:rsid w:val="00292A56"/>
    <w:rsid w:val="00292C67"/>
    <w:rsid w:val="00292E3A"/>
    <w:rsid w:val="00293119"/>
    <w:rsid w:val="00293165"/>
    <w:rsid w:val="00293374"/>
    <w:rsid w:val="00293747"/>
    <w:rsid w:val="00293920"/>
    <w:rsid w:val="00293988"/>
    <w:rsid w:val="002939C9"/>
    <w:rsid w:val="00293F07"/>
    <w:rsid w:val="0029404D"/>
    <w:rsid w:val="00294566"/>
    <w:rsid w:val="00294569"/>
    <w:rsid w:val="002945BD"/>
    <w:rsid w:val="0029465C"/>
    <w:rsid w:val="00294980"/>
    <w:rsid w:val="00294B0E"/>
    <w:rsid w:val="00294BA5"/>
    <w:rsid w:val="00294FD5"/>
    <w:rsid w:val="002950F2"/>
    <w:rsid w:val="00295468"/>
    <w:rsid w:val="0029547F"/>
    <w:rsid w:val="00295623"/>
    <w:rsid w:val="00295923"/>
    <w:rsid w:val="00295995"/>
    <w:rsid w:val="002959F2"/>
    <w:rsid w:val="00295AF8"/>
    <w:rsid w:val="00295EC1"/>
    <w:rsid w:val="00295FDF"/>
    <w:rsid w:val="002966C3"/>
    <w:rsid w:val="002967DF"/>
    <w:rsid w:val="0029698A"/>
    <w:rsid w:val="00296C8E"/>
    <w:rsid w:val="00296C94"/>
    <w:rsid w:val="00296D11"/>
    <w:rsid w:val="00296D76"/>
    <w:rsid w:val="00296E3B"/>
    <w:rsid w:val="00296E6C"/>
    <w:rsid w:val="00297354"/>
    <w:rsid w:val="0029738B"/>
    <w:rsid w:val="00297579"/>
    <w:rsid w:val="002975EA"/>
    <w:rsid w:val="0029774F"/>
    <w:rsid w:val="002978EA"/>
    <w:rsid w:val="00297A57"/>
    <w:rsid w:val="002A0054"/>
    <w:rsid w:val="002A026A"/>
    <w:rsid w:val="002A0877"/>
    <w:rsid w:val="002A0A34"/>
    <w:rsid w:val="002A0A46"/>
    <w:rsid w:val="002A0C66"/>
    <w:rsid w:val="002A0CD4"/>
    <w:rsid w:val="002A0E72"/>
    <w:rsid w:val="002A0EDD"/>
    <w:rsid w:val="002A0FCD"/>
    <w:rsid w:val="002A15E7"/>
    <w:rsid w:val="002A16F4"/>
    <w:rsid w:val="002A176A"/>
    <w:rsid w:val="002A1BE7"/>
    <w:rsid w:val="002A1E3A"/>
    <w:rsid w:val="002A2074"/>
    <w:rsid w:val="002A244C"/>
    <w:rsid w:val="002A247C"/>
    <w:rsid w:val="002A2489"/>
    <w:rsid w:val="002A24B3"/>
    <w:rsid w:val="002A2861"/>
    <w:rsid w:val="002A28F1"/>
    <w:rsid w:val="002A2A24"/>
    <w:rsid w:val="002A2C2A"/>
    <w:rsid w:val="002A3591"/>
    <w:rsid w:val="002A35EA"/>
    <w:rsid w:val="002A36A9"/>
    <w:rsid w:val="002A460C"/>
    <w:rsid w:val="002A46E2"/>
    <w:rsid w:val="002A4A80"/>
    <w:rsid w:val="002A4C87"/>
    <w:rsid w:val="002A502F"/>
    <w:rsid w:val="002A5061"/>
    <w:rsid w:val="002A5106"/>
    <w:rsid w:val="002A53EE"/>
    <w:rsid w:val="002A5453"/>
    <w:rsid w:val="002A548E"/>
    <w:rsid w:val="002A54B4"/>
    <w:rsid w:val="002A5507"/>
    <w:rsid w:val="002A5569"/>
    <w:rsid w:val="002A56A0"/>
    <w:rsid w:val="002A5739"/>
    <w:rsid w:val="002A57C1"/>
    <w:rsid w:val="002A58E7"/>
    <w:rsid w:val="002A58FF"/>
    <w:rsid w:val="002A5B0B"/>
    <w:rsid w:val="002A5DBE"/>
    <w:rsid w:val="002A5E25"/>
    <w:rsid w:val="002A5F6E"/>
    <w:rsid w:val="002A5FED"/>
    <w:rsid w:val="002A6025"/>
    <w:rsid w:val="002A6267"/>
    <w:rsid w:val="002A637B"/>
    <w:rsid w:val="002A6492"/>
    <w:rsid w:val="002A66E4"/>
    <w:rsid w:val="002A6730"/>
    <w:rsid w:val="002A69FA"/>
    <w:rsid w:val="002A6C2A"/>
    <w:rsid w:val="002A6EBA"/>
    <w:rsid w:val="002A6FCA"/>
    <w:rsid w:val="002A700B"/>
    <w:rsid w:val="002A71B5"/>
    <w:rsid w:val="002A7337"/>
    <w:rsid w:val="002A787B"/>
    <w:rsid w:val="002A7885"/>
    <w:rsid w:val="002A7C2A"/>
    <w:rsid w:val="002A7C53"/>
    <w:rsid w:val="002B017B"/>
    <w:rsid w:val="002B07F4"/>
    <w:rsid w:val="002B0C09"/>
    <w:rsid w:val="002B0DB6"/>
    <w:rsid w:val="002B0DEC"/>
    <w:rsid w:val="002B1014"/>
    <w:rsid w:val="002B137C"/>
    <w:rsid w:val="002B1803"/>
    <w:rsid w:val="002B1896"/>
    <w:rsid w:val="002B1AB4"/>
    <w:rsid w:val="002B1BB5"/>
    <w:rsid w:val="002B1F4E"/>
    <w:rsid w:val="002B2712"/>
    <w:rsid w:val="002B2BC9"/>
    <w:rsid w:val="002B2E4D"/>
    <w:rsid w:val="002B31B0"/>
    <w:rsid w:val="002B34AB"/>
    <w:rsid w:val="002B3D56"/>
    <w:rsid w:val="002B3E07"/>
    <w:rsid w:val="002B3F35"/>
    <w:rsid w:val="002B3F57"/>
    <w:rsid w:val="002B3FD3"/>
    <w:rsid w:val="002B448D"/>
    <w:rsid w:val="002B47BD"/>
    <w:rsid w:val="002B4B8E"/>
    <w:rsid w:val="002B4D67"/>
    <w:rsid w:val="002B4E8F"/>
    <w:rsid w:val="002B4EEB"/>
    <w:rsid w:val="002B50CC"/>
    <w:rsid w:val="002B5116"/>
    <w:rsid w:val="002B5419"/>
    <w:rsid w:val="002B5673"/>
    <w:rsid w:val="002B57D0"/>
    <w:rsid w:val="002B5970"/>
    <w:rsid w:val="002B5BA2"/>
    <w:rsid w:val="002B5C62"/>
    <w:rsid w:val="002B5D1E"/>
    <w:rsid w:val="002B5F7F"/>
    <w:rsid w:val="002B640E"/>
    <w:rsid w:val="002B649C"/>
    <w:rsid w:val="002B671B"/>
    <w:rsid w:val="002B67EC"/>
    <w:rsid w:val="002B68F1"/>
    <w:rsid w:val="002B69BA"/>
    <w:rsid w:val="002B6BB0"/>
    <w:rsid w:val="002B6C98"/>
    <w:rsid w:val="002B70DC"/>
    <w:rsid w:val="002B71E4"/>
    <w:rsid w:val="002B7325"/>
    <w:rsid w:val="002B7405"/>
    <w:rsid w:val="002B77DF"/>
    <w:rsid w:val="002B7B8E"/>
    <w:rsid w:val="002B7CB9"/>
    <w:rsid w:val="002B7E96"/>
    <w:rsid w:val="002C0552"/>
    <w:rsid w:val="002C09A1"/>
    <w:rsid w:val="002C0EF4"/>
    <w:rsid w:val="002C1049"/>
    <w:rsid w:val="002C12A1"/>
    <w:rsid w:val="002C154C"/>
    <w:rsid w:val="002C171C"/>
    <w:rsid w:val="002C2001"/>
    <w:rsid w:val="002C252E"/>
    <w:rsid w:val="002C2576"/>
    <w:rsid w:val="002C26F2"/>
    <w:rsid w:val="002C27E7"/>
    <w:rsid w:val="002C283C"/>
    <w:rsid w:val="002C2C20"/>
    <w:rsid w:val="002C2C98"/>
    <w:rsid w:val="002C3015"/>
    <w:rsid w:val="002C3071"/>
    <w:rsid w:val="002C3134"/>
    <w:rsid w:val="002C3424"/>
    <w:rsid w:val="002C3518"/>
    <w:rsid w:val="002C3524"/>
    <w:rsid w:val="002C391A"/>
    <w:rsid w:val="002C3A5E"/>
    <w:rsid w:val="002C3AE0"/>
    <w:rsid w:val="002C3AE4"/>
    <w:rsid w:val="002C3AF8"/>
    <w:rsid w:val="002C3D92"/>
    <w:rsid w:val="002C3ED8"/>
    <w:rsid w:val="002C462E"/>
    <w:rsid w:val="002C472D"/>
    <w:rsid w:val="002C4987"/>
    <w:rsid w:val="002C49A1"/>
    <w:rsid w:val="002C4B79"/>
    <w:rsid w:val="002C4C61"/>
    <w:rsid w:val="002C54B1"/>
    <w:rsid w:val="002C54D3"/>
    <w:rsid w:val="002C5640"/>
    <w:rsid w:val="002C5691"/>
    <w:rsid w:val="002C5785"/>
    <w:rsid w:val="002C5D9B"/>
    <w:rsid w:val="002C5E20"/>
    <w:rsid w:val="002C636D"/>
    <w:rsid w:val="002C641D"/>
    <w:rsid w:val="002C67AD"/>
    <w:rsid w:val="002C685F"/>
    <w:rsid w:val="002C69A3"/>
    <w:rsid w:val="002C69A4"/>
    <w:rsid w:val="002C6DD0"/>
    <w:rsid w:val="002C711E"/>
    <w:rsid w:val="002C717B"/>
    <w:rsid w:val="002C71C7"/>
    <w:rsid w:val="002C7263"/>
    <w:rsid w:val="002C72CC"/>
    <w:rsid w:val="002C738A"/>
    <w:rsid w:val="002C74C2"/>
    <w:rsid w:val="002C7585"/>
    <w:rsid w:val="002C7679"/>
    <w:rsid w:val="002C7684"/>
    <w:rsid w:val="002C7900"/>
    <w:rsid w:val="002C7961"/>
    <w:rsid w:val="002C7D2B"/>
    <w:rsid w:val="002C7DB6"/>
    <w:rsid w:val="002C7DF1"/>
    <w:rsid w:val="002D06ED"/>
    <w:rsid w:val="002D0769"/>
    <w:rsid w:val="002D0A3F"/>
    <w:rsid w:val="002D0BB3"/>
    <w:rsid w:val="002D0D77"/>
    <w:rsid w:val="002D0D84"/>
    <w:rsid w:val="002D157B"/>
    <w:rsid w:val="002D163E"/>
    <w:rsid w:val="002D1888"/>
    <w:rsid w:val="002D18B1"/>
    <w:rsid w:val="002D19F8"/>
    <w:rsid w:val="002D1B95"/>
    <w:rsid w:val="002D1E61"/>
    <w:rsid w:val="002D20E0"/>
    <w:rsid w:val="002D2111"/>
    <w:rsid w:val="002D213A"/>
    <w:rsid w:val="002D2290"/>
    <w:rsid w:val="002D2303"/>
    <w:rsid w:val="002D24BA"/>
    <w:rsid w:val="002D25CC"/>
    <w:rsid w:val="002D2B38"/>
    <w:rsid w:val="002D2D56"/>
    <w:rsid w:val="002D2E6F"/>
    <w:rsid w:val="002D2E9D"/>
    <w:rsid w:val="002D3370"/>
    <w:rsid w:val="002D3463"/>
    <w:rsid w:val="002D35CF"/>
    <w:rsid w:val="002D366F"/>
    <w:rsid w:val="002D36A0"/>
    <w:rsid w:val="002D36DE"/>
    <w:rsid w:val="002D3BD1"/>
    <w:rsid w:val="002D3C77"/>
    <w:rsid w:val="002D3CBB"/>
    <w:rsid w:val="002D3F3A"/>
    <w:rsid w:val="002D4228"/>
    <w:rsid w:val="002D457C"/>
    <w:rsid w:val="002D4776"/>
    <w:rsid w:val="002D4787"/>
    <w:rsid w:val="002D4BA8"/>
    <w:rsid w:val="002D4BC0"/>
    <w:rsid w:val="002D4DA0"/>
    <w:rsid w:val="002D4DC9"/>
    <w:rsid w:val="002D4E29"/>
    <w:rsid w:val="002D4E3A"/>
    <w:rsid w:val="002D551F"/>
    <w:rsid w:val="002D553E"/>
    <w:rsid w:val="002D597D"/>
    <w:rsid w:val="002D629C"/>
    <w:rsid w:val="002D6382"/>
    <w:rsid w:val="002D669A"/>
    <w:rsid w:val="002D66A8"/>
    <w:rsid w:val="002D66DE"/>
    <w:rsid w:val="002D679D"/>
    <w:rsid w:val="002D688A"/>
    <w:rsid w:val="002D6B4E"/>
    <w:rsid w:val="002D6D2C"/>
    <w:rsid w:val="002D721D"/>
    <w:rsid w:val="002D7681"/>
    <w:rsid w:val="002D7D52"/>
    <w:rsid w:val="002D7EFF"/>
    <w:rsid w:val="002D7FC5"/>
    <w:rsid w:val="002E02CF"/>
    <w:rsid w:val="002E03A9"/>
    <w:rsid w:val="002E0452"/>
    <w:rsid w:val="002E0EAD"/>
    <w:rsid w:val="002E0EEE"/>
    <w:rsid w:val="002E10B5"/>
    <w:rsid w:val="002E11C3"/>
    <w:rsid w:val="002E11CC"/>
    <w:rsid w:val="002E1329"/>
    <w:rsid w:val="002E14FC"/>
    <w:rsid w:val="002E150E"/>
    <w:rsid w:val="002E1A74"/>
    <w:rsid w:val="002E1C17"/>
    <w:rsid w:val="002E1DC7"/>
    <w:rsid w:val="002E1F91"/>
    <w:rsid w:val="002E23E0"/>
    <w:rsid w:val="002E25B7"/>
    <w:rsid w:val="002E29C9"/>
    <w:rsid w:val="002E2BF7"/>
    <w:rsid w:val="002E2C56"/>
    <w:rsid w:val="002E2D4A"/>
    <w:rsid w:val="002E2D4D"/>
    <w:rsid w:val="002E3023"/>
    <w:rsid w:val="002E3093"/>
    <w:rsid w:val="002E3294"/>
    <w:rsid w:val="002E3581"/>
    <w:rsid w:val="002E35F9"/>
    <w:rsid w:val="002E3957"/>
    <w:rsid w:val="002E3B4B"/>
    <w:rsid w:val="002E446D"/>
    <w:rsid w:val="002E46B4"/>
    <w:rsid w:val="002E4BB1"/>
    <w:rsid w:val="002E4BFA"/>
    <w:rsid w:val="002E4C33"/>
    <w:rsid w:val="002E4FF4"/>
    <w:rsid w:val="002E5291"/>
    <w:rsid w:val="002E53A9"/>
    <w:rsid w:val="002E54E5"/>
    <w:rsid w:val="002E57A1"/>
    <w:rsid w:val="002E5AB0"/>
    <w:rsid w:val="002E6815"/>
    <w:rsid w:val="002E6848"/>
    <w:rsid w:val="002E6DDC"/>
    <w:rsid w:val="002E6DE7"/>
    <w:rsid w:val="002E6FA7"/>
    <w:rsid w:val="002E6FC1"/>
    <w:rsid w:val="002E739E"/>
    <w:rsid w:val="002E783B"/>
    <w:rsid w:val="002E7A3B"/>
    <w:rsid w:val="002E7CD7"/>
    <w:rsid w:val="002E7E91"/>
    <w:rsid w:val="002F0397"/>
    <w:rsid w:val="002F0430"/>
    <w:rsid w:val="002F0531"/>
    <w:rsid w:val="002F0A7B"/>
    <w:rsid w:val="002F0B08"/>
    <w:rsid w:val="002F0B53"/>
    <w:rsid w:val="002F12A1"/>
    <w:rsid w:val="002F1429"/>
    <w:rsid w:val="002F16D4"/>
    <w:rsid w:val="002F1823"/>
    <w:rsid w:val="002F1AE4"/>
    <w:rsid w:val="002F21C8"/>
    <w:rsid w:val="002F26DE"/>
    <w:rsid w:val="002F27CC"/>
    <w:rsid w:val="002F29A9"/>
    <w:rsid w:val="002F2BB0"/>
    <w:rsid w:val="002F2E71"/>
    <w:rsid w:val="002F3051"/>
    <w:rsid w:val="002F3266"/>
    <w:rsid w:val="002F3298"/>
    <w:rsid w:val="002F32D6"/>
    <w:rsid w:val="002F32D8"/>
    <w:rsid w:val="002F3864"/>
    <w:rsid w:val="002F3CC9"/>
    <w:rsid w:val="002F3F0E"/>
    <w:rsid w:val="002F3F7A"/>
    <w:rsid w:val="002F4105"/>
    <w:rsid w:val="002F4495"/>
    <w:rsid w:val="002F46D7"/>
    <w:rsid w:val="002F4A68"/>
    <w:rsid w:val="002F4C85"/>
    <w:rsid w:val="002F4D67"/>
    <w:rsid w:val="002F4E47"/>
    <w:rsid w:val="002F50E4"/>
    <w:rsid w:val="002F5143"/>
    <w:rsid w:val="002F53C5"/>
    <w:rsid w:val="002F55A9"/>
    <w:rsid w:val="002F5C9D"/>
    <w:rsid w:val="002F5DEE"/>
    <w:rsid w:val="002F5E51"/>
    <w:rsid w:val="002F5E68"/>
    <w:rsid w:val="002F5FA4"/>
    <w:rsid w:val="002F5FAC"/>
    <w:rsid w:val="002F63D1"/>
    <w:rsid w:val="002F663F"/>
    <w:rsid w:val="002F6B97"/>
    <w:rsid w:val="002F6DEB"/>
    <w:rsid w:val="002F6E7B"/>
    <w:rsid w:val="002F7293"/>
    <w:rsid w:val="002F79C9"/>
    <w:rsid w:val="002F7BC6"/>
    <w:rsid w:val="002F7C0A"/>
    <w:rsid w:val="002F7FC5"/>
    <w:rsid w:val="0030004B"/>
    <w:rsid w:val="00300297"/>
    <w:rsid w:val="003002E5"/>
    <w:rsid w:val="0030052F"/>
    <w:rsid w:val="0030054C"/>
    <w:rsid w:val="0030054E"/>
    <w:rsid w:val="00300576"/>
    <w:rsid w:val="00300BEB"/>
    <w:rsid w:val="0030146F"/>
    <w:rsid w:val="003015F5"/>
    <w:rsid w:val="00301726"/>
    <w:rsid w:val="00302102"/>
    <w:rsid w:val="003023EE"/>
    <w:rsid w:val="003025C7"/>
    <w:rsid w:val="0030270A"/>
    <w:rsid w:val="00302EBA"/>
    <w:rsid w:val="00302ED2"/>
    <w:rsid w:val="00302FC7"/>
    <w:rsid w:val="0030310D"/>
    <w:rsid w:val="00303242"/>
    <w:rsid w:val="00303281"/>
    <w:rsid w:val="00303452"/>
    <w:rsid w:val="00303586"/>
    <w:rsid w:val="00303607"/>
    <w:rsid w:val="00303625"/>
    <w:rsid w:val="00303743"/>
    <w:rsid w:val="00303B21"/>
    <w:rsid w:val="00303CAF"/>
    <w:rsid w:val="00303CB9"/>
    <w:rsid w:val="00304266"/>
    <w:rsid w:val="003045AC"/>
    <w:rsid w:val="00304882"/>
    <w:rsid w:val="00304A7F"/>
    <w:rsid w:val="00304B36"/>
    <w:rsid w:val="00304CD3"/>
    <w:rsid w:val="00304E65"/>
    <w:rsid w:val="00304F2D"/>
    <w:rsid w:val="0030524B"/>
    <w:rsid w:val="00305304"/>
    <w:rsid w:val="0030554C"/>
    <w:rsid w:val="0030584B"/>
    <w:rsid w:val="00305D19"/>
    <w:rsid w:val="00305D6F"/>
    <w:rsid w:val="0030652C"/>
    <w:rsid w:val="003068BB"/>
    <w:rsid w:val="00306C9B"/>
    <w:rsid w:val="00306CA3"/>
    <w:rsid w:val="0030715C"/>
    <w:rsid w:val="003071FF"/>
    <w:rsid w:val="0030773E"/>
    <w:rsid w:val="003078EE"/>
    <w:rsid w:val="00307D0A"/>
    <w:rsid w:val="00307FF8"/>
    <w:rsid w:val="00310368"/>
    <w:rsid w:val="003106F8"/>
    <w:rsid w:val="003107FC"/>
    <w:rsid w:val="00310832"/>
    <w:rsid w:val="0031084E"/>
    <w:rsid w:val="003108B5"/>
    <w:rsid w:val="00310A6B"/>
    <w:rsid w:val="00310D1B"/>
    <w:rsid w:val="00311059"/>
    <w:rsid w:val="003113CE"/>
    <w:rsid w:val="00311756"/>
    <w:rsid w:val="00311A42"/>
    <w:rsid w:val="00311AFC"/>
    <w:rsid w:val="00311C4B"/>
    <w:rsid w:val="00311CF2"/>
    <w:rsid w:val="00311E79"/>
    <w:rsid w:val="00311FB9"/>
    <w:rsid w:val="0031210B"/>
    <w:rsid w:val="0031223C"/>
    <w:rsid w:val="0031288D"/>
    <w:rsid w:val="003128E6"/>
    <w:rsid w:val="00312D4B"/>
    <w:rsid w:val="00313069"/>
    <w:rsid w:val="003131EF"/>
    <w:rsid w:val="003131F2"/>
    <w:rsid w:val="00313294"/>
    <w:rsid w:val="00313647"/>
    <w:rsid w:val="00313F50"/>
    <w:rsid w:val="0031443F"/>
    <w:rsid w:val="0031446D"/>
    <w:rsid w:val="0031481C"/>
    <w:rsid w:val="003148A7"/>
    <w:rsid w:val="003148CB"/>
    <w:rsid w:val="00314EB2"/>
    <w:rsid w:val="00314F83"/>
    <w:rsid w:val="00314FBA"/>
    <w:rsid w:val="00315628"/>
    <w:rsid w:val="0031587D"/>
    <w:rsid w:val="00315AA9"/>
    <w:rsid w:val="003164B5"/>
    <w:rsid w:val="0031655F"/>
    <w:rsid w:val="00316594"/>
    <w:rsid w:val="00316C23"/>
    <w:rsid w:val="00316EC7"/>
    <w:rsid w:val="003171C1"/>
    <w:rsid w:val="00317258"/>
    <w:rsid w:val="0031736C"/>
    <w:rsid w:val="003173C0"/>
    <w:rsid w:val="00317494"/>
    <w:rsid w:val="003176AA"/>
    <w:rsid w:val="0031773D"/>
    <w:rsid w:val="00317FE6"/>
    <w:rsid w:val="003200E1"/>
    <w:rsid w:val="003204B6"/>
    <w:rsid w:val="003205C1"/>
    <w:rsid w:val="003207F8"/>
    <w:rsid w:val="00320E1B"/>
    <w:rsid w:val="00320E31"/>
    <w:rsid w:val="00320E67"/>
    <w:rsid w:val="00320F28"/>
    <w:rsid w:val="003216A9"/>
    <w:rsid w:val="00321A47"/>
    <w:rsid w:val="00321BC6"/>
    <w:rsid w:val="00321C36"/>
    <w:rsid w:val="00321CFC"/>
    <w:rsid w:val="00321D8B"/>
    <w:rsid w:val="00321E55"/>
    <w:rsid w:val="003220C7"/>
    <w:rsid w:val="003220F6"/>
    <w:rsid w:val="00322379"/>
    <w:rsid w:val="003223C9"/>
    <w:rsid w:val="00322412"/>
    <w:rsid w:val="0032253F"/>
    <w:rsid w:val="00322635"/>
    <w:rsid w:val="00322888"/>
    <w:rsid w:val="0032292C"/>
    <w:rsid w:val="00322D29"/>
    <w:rsid w:val="00322D31"/>
    <w:rsid w:val="00322E87"/>
    <w:rsid w:val="00322E8F"/>
    <w:rsid w:val="00323412"/>
    <w:rsid w:val="003236F0"/>
    <w:rsid w:val="00323986"/>
    <w:rsid w:val="00323B53"/>
    <w:rsid w:val="00323D7E"/>
    <w:rsid w:val="003245CB"/>
    <w:rsid w:val="00324BC3"/>
    <w:rsid w:val="0032505F"/>
    <w:rsid w:val="0032515B"/>
    <w:rsid w:val="0032550E"/>
    <w:rsid w:val="0032551C"/>
    <w:rsid w:val="0032591C"/>
    <w:rsid w:val="003259DF"/>
    <w:rsid w:val="00325A83"/>
    <w:rsid w:val="00326118"/>
    <w:rsid w:val="00326132"/>
    <w:rsid w:val="00326850"/>
    <w:rsid w:val="003268E2"/>
    <w:rsid w:val="00326A29"/>
    <w:rsid w:val="00326B8B"/>
    <w:rsid w:val="00326D00"/>
    <w:rsid w:val="0032710C"/>
    <w:rsid w:val="0032749A"/>
    <w:rsid w:val="0032786F"/>
    <w:rsid w:val="00327883"/>
    <w:rsid w:val="003278F9"/>
    <w:rsid w:val="00327EBA"/>
    <w:rsid w:val="003302D1"/>
    <w:rsid w:val="0033056F"/>
    <w:rsid w:val="00330570"/>
    <w:rsid w:val="003309A9"/>
    <w:rsid w:val="00330AEB"/>
    <w:rsid w:val="00330DE2"/>
    <w:rsid w:val="00330F7A"/>
    <w:rsid w:val="0033104F"/>
    <w:rsid w:val="003310B3"/>
    <w:rsid w:val="003310E8"/>
    <w:rsid w:val="00331241"/>
    <w:rsid w:val="0033170A"/>
    <w:rsid w:val="00331A71"/>
    <w:rsid w:val="00331C78"/>
    <w:rsid w:val="00331DBC"/>
    <w:rsid w:val="00331E23"/>
    <w:rsid w:val="0033200E"/>
    <w:rsid w:val="00332088"/>
    <w:rsid w:val="003327B1"/>
    <w:rsid w:val="00332BCB"/>
    <w:rsid w:val="00332E5F"/>
    <w:rsid w:val="00332FB0"/>
    <w:rsid w:val="00333531"/>
    <w:rsid w:val="00333716"/>
    <w:rsid w:val="003337BF"/>
    <w:rsid w:val="003337F4"/>
    <w:rsid w:val="00333CC6"/>
    <w:rsid w:val="00333ED0"/>
    <w:rsid w:val="00333FB4"/>
    <w:rsid w:val="003342B6"/>
    <w:rsid w:val="003345CC"/>
    <w:rsid w:val="00334A3E"/>
    <w:rsid w:val="00335021"/>
    <w:rsid w:val="00335152"/>
    <w:rsid w:val="003351CB"/>
    <w:rsid w:val="00335350"/>
    <w:rsid w:val="003353B3"/>
    <w:rsid w:val="00335C02"/>
    <w:rsid w:val="00335CAD"/>
    <w:rsid w:val="00335D64"/>
    <w:rsid w:val="0033600E"/>
    <w:rsid w:val="0033639C"/>
    <w:rsid w:val="003366A9"/>
    <w:rsid w:val="003367B9"/>
    <w:rsid w:val="003369BE"/>
    <w:rsid w:val="00336AE0"/>
    <w:rsid w:val="00337060"/>
    <w:rsid w:val="003371B0"/>
    <w:rsid w:val="00337215"/>
    <w:rsid w:val="003379FB"/>
    <w:rsid w:val="0034005F"/>
    <w:rsid w:val="003407DF"/>
    <w:rsid w:val="00340801"/>
    <w:rsid w:val="00340A19"/>
    <w:rsid w:val="00340BE8"/>
    <w:rsid w:val="00340CFA"/>
    <w:rsid w:val="00340EDC"/>
    <w:rsid w:val="00340F49"/>
    <w:rsid w:val="003410E8"/>
    <w:rsid w:val="00341311"/>
    <w:rsid w:val="00341A59"/>
    <w:rsid w:val="00341AF8"/>
    <w:rsid w:val="00341C8F"/>
    <w:rsid w:val="00341F2F"/>
    <w:rsid w:val="003423BA"/>
    <w:rsid w:val="003426F8"/>
    <w:rsid w:val="003429B9"/>
    <w:rsid w:val="00342F8D"/>
    <w:rsid w:val="003430A7"/>
    <w:rsid w:val="0034363C"/>
    <w:rsid w:val="00343902"/>
    <w:rsid w:val="00343A30"/>
    <w:rsid w:val="00343B9F"/>
    <w:rsid w:val="00343CB3"/>
    <w:rsid w:val="00343E6C"/>
    <w:rsid w:val="00343E74"/>
    <w:rsid w:val="003441ED"/>
    <w:rsid w:val="00344215"/>
    <w:rsid w:val="00344248"/>
    <w:rsid w:val="00344303"/>
    <w:rsid w:val="00344A99"/>
    <w:rsid w:val="00344B8F"/>
    <w:rsid w:val="00344BE4"/>
    <w:rsid w:val="00344F6A"/>
    <w:rsid w:val="0034500F"/>
    <w:rsid w:val="003450F2"/>
    <w:rsid w:val="0034528D"/>
    <w:rsid w:val="003454EF"/>
    <w:rsid w:val="00345978"/>
    <w:rsid w:val="003459B6"/>
    <w:rsid w:val="003459B8"/>
    <w:rsid w:val="00345A06"/>
    <w:rsid w:val="00345C15"/>
    <w:rsid w:val="00345C57"/>
    <w:rsid w:val="00345C96"/>
    <w:rsid w:val="00345D4F"/>
    <w:rsid w:val="00345FA7"/>
    <w:rsid w:val="003461FB"/>
    <w:rsid w:val="00346205"/>
    <w:rsid w:val="003466DC"/>
    <w:rsid w:val="00346705"/>
    <w:rsid w:val="00346937"/>
    <w:rsid w:val="00346A36"/>
    <w:rsid w:val="00346C4D"/>
    <w:rsid w:val="00347172"/>
    <w:rsid w:val="0034718D"/>
    <w:rsid w:val="003471DC"/>
    <w:rsid w:val="003479DB"/>
    <w:rsid w:val="00347B19"/>
    <w:rsid w:val="00347DCB"/>
    <w:rsid w:val="00347DD3"/>
    <w:rsid w:val="00347F19"/>
    <w:rsid w:val="003500AD"/>
    <w:rsid w:val="00350242"/>
    <w:rsid w:val="0035050F"/>
    <w:rsid w:val="003505AE"/>
    <w:rsid w:val="003506ED"/>
    <w:rsid w:val="0035081E"/>
    <w:rsid w:val="00350876"/>
    <w:rsid w:val="003508D3"/>
    <w:rsid w:val="00350BF8"/>
    <w:rsid w:val="00350BFB"/>
    <w:rsid w:val="00350C23"/>
    <w:rsid w:val="00350DC6"/>
    <w:rsid w:val="003518D4"/>
    <w:rsid w:val="00351A6C"/>
    <w:rsid w:val="00351A74"/>
    <w:rsid w:val="00351B1A"/>
    <w:rsid w:val="00351BBA"/>
    <w:rsid w:val="00351E19"/>
    <w:rsid w:val="00351E78"/>
    <w:rsid w:val="00352240"/>
    <w:rsid w:val="0035242E"/>
    <w:rsid w:val="00352538"/>
    <w:rsid w:val="003525AA"/>
    <w:rsid w:val="003526D5"/>
    <w:rsid w:val="00352700"/>
    <w:rsid w:val="00352747"/>
    <w:rsid w:val="003529A9"/>
    <w:rsid w:val="00352BA6"/>
    <w:rsid w:val="003530AF"/>
    <w:rsid w:val="003530C9"/>
    <w:rsid w:val="0035351F"/>
    <w:rsid w:val="00353722"/>
    <w:rsid w:val="00353803"/>
    <w:rsid w:val="0035393C"/>
    <w:rsid w:val="00353C55"/>
    <w:rsid w:val="00353CCF"/>
    <w:rsid w:val="00353F8A"/>
    <w:rsid w:val="003545B8"/>
    <w:rsid w:val="003547B2"/>
    <w:rsid w:val="0035495C"/>
    <w:rsid w:val="003549C9"/>
    <w:rsid w:val="00354A06"/>
    <w:rsid w:val="00354B01"/>
    <w:rsid w:val="00354C2E"/>
    <w:rsid w:val="00354C3A"/>
    <w:rsid w:val="00354CF1"/>
    <w:rsid w:val="003554A0"/>
    <w:rsid w:val="00355504"/>
    <w:rsid w:val="003557CC"/>
    <w:rsid w:val="00355BC3"/>
    <w:rsid w:val="00355D6A"/>
    <w:rsid w:val="00355EFE"/>
    <w:rsid w:val="00355F5C"/>
    <w:rsid w:val="0035669B"/>
    <w:rsid w:val="003566A5"/>
    <w:rsid w:val="003569A5"/>
    <w:rsid w:val="00356E3A"/>
    <w:rsid w:val="00357183"/>
    <w:rsid w:val="003573C5"/>
    <w:rsid w:val="0035778F"/>
    <w:rsid w:val="003578D1"/>
    <w:rsid w:val="00357911"/>
    <w:rsid w:val="00357AA1"/>
    <w:rsid w:val="00357D59"/>
    <w:rsid w:val="00357D8F"/>
    <w:rsid w:val="00357DCC"/>
    <w:rsid w:val="00357EF8"/>
    <w:rsid w:val="00360082"/>
    <w:rsid w:val="003602D7"/>
    <w:rsid w:val="0036060E"/>
    <w:rsid w:val="00360846"/>
    <w:rsid w:val="00360B92"/>
    <w:rsid w:val="00360F92"/>
    <w:rsid w:val="0036107E"/>
    <w:rsid w:val="003611B7"/>
    <w:rsid w:val="0036173C"/>
    <w:rsid w:val="00361A35"/>
    <w:rsid w:val="00361E07"/>
    <w:rsid w:val="003622C4"/>
    <w:rsid w:val="003622D3"/>
    <w:rsid w:val="0036246B"/>
    <w:rsid w:val="00362820"/>
    <w:rsid w:val="003632AA"/>
    <w:rsid w:val="00363664"/>
    <w:rsid w:val="003636A0"/>
    <w:rsid w:val="00363A37"/>
    <w:rsid w:val="00363C23"/>
    <w:rsid w:val="00363C69"/>
    <w:rsid w:val="00363CBF"/>
    <w:rsid w:val="00363FC4"/>
    <w:rsid w:val="003644AE"/>
    <w:rsid w:val="00364A9A"/>
    <w:rsid w:val="00364B61"/>
    <w:rsid w:val="00364E48"/>
    <w:rsid w:val="00365017"/>
    <w:rsid w:val="003652BF"/>
    <w:rsid w:val="00365484"/>
    <w:rsid w:val="003655EF"/>
    <w:rsid w:val="00365602"/>
    <w:rsid w:val="003659B2"/>
    <w:rsid w:val="00365A87"/>
    <w:rsid w:val="00365D0A"/>
    <w:rsid w:val="00366396"/>
    <w:rsid w:val="0036649C"/>
    <w:rsid w:val="0036655C"/>
    <w:rsid w:val="00366D08"/>
    <w:rsid w:val="00366E6D"/>
    <w:rsid w:val="00366FF7"/>
    <w:rsid w:val="0036748F"/>
    <w:rsid w:val="003675CF"/>
    <w:rsid w:val="00367937"/>
    <w:rsid w:val="00367953"/>
    <w:rsid w:val="00367DC3"/>
    <w:rsid w:val="00367FDD"/>
    <w:rsid w:val="00370113"/>
    <w:rsid w:val="00370377"/>
    <w:rsid w:val="00370406"/>
    <w:rsid w:val="00370578"/>
    <w:rsid w:val="00370B8D"/>
    <w:rsid w:val="00370FB8"/>
    <w:rsid w:val="0037102B"/>
    <w:rsid w:val="003710B5"/>
    <w:rsid w:val="003711E9"/>
    <w:rsid w:val="00371425"/>
    <w:rsid w:val="003717D6"/>
    <w:rsid w:val="00371813"/>
    <w:rsid w:val="00371830"/>
    <w:rsid w:val="003718BF"/>
    <w:rsid w:val="00371B48"/>
    <w:rsid w:val="00371FE1"/>
    <w:rsid w:val="003724FA"/>
    <w:rsid w:val="003725EB"/>
    <w:rsid w:val="003727BD"/>
    <w:rsid w:val="003727F8"/>
    <w:rsid w:val="00372888"/>
    <w:rsid w:val="00372A6C"/>
    <w:rsid w:val="00372AF4"/>
    <w:rsid w:val="00372C9D"/>
    <w:rsid w:val="003732ED"/>
    <w:rsid w:val="003734EB"/>
    <w:rsid w:val="00373521"/>
    <w:rsid w:val="00373574"/>
    <w:rsid w:val="0037366F"/>
    <w:rsid w:val="00373A2F"/>
    <w:rsid w:val="00373B4B"/>
    <w:rsid w:val="00373C42"/>
    <w:rsid w:val="00373E3E"/>
    <w:rsid w:val="003741C1"/>
    <w:rsid w:val="003744D8"/>
    <w:rsid w:val="003745A8"/>
    <w:rsid w:val="00374B62"/>
    <w:rsid w:val="00374DFE"/>
    <w:rsid w:val="003751BF"/>
    <w:rsid w:val="003751CD"/>
    <w:rsid w:val="003755D7"/>
    <w:rsid w:val="00375611"/>
    <w:rsid w:val="00375841"/>
    <w:rsid w:val="00375980"/>
    <w:rsid w:val="0037620B"/>
    <w:rsid w:val="0037637D"/>
    <w:rsid w:val="0037639A"/>
    <w:rsid w:val="003769DF"/>
    <w:rsid w:val="00376C96"/>
    <w:rsid w:val="00376E40"/>
    <w:rsid w:val="00376E54"/>
    <w:rsid w:val="00376F07"/>
    <w:rsid w:val="003772CE"/>
    <w:rsid w:val="0037786A"/>
    <w:rsid w:val="00377996"/>
    <w:rsid w:val="00377A02"/>
    <w:rsid w:val="00377D3F"/>
    <w:rsid w:val="00377E92"/>
    <w:rsid w:val="00380061"/>
    <w:rsid w:val="0038012F"/>
    <w:rsid w:val="003803D4"/>
    <w:rsid w:val="00380507"/>
    <w:rsid w:val="00380B22"/>
    <w:rsid w:val="00380C17"/>
    <w:rsid w:val="00381414"/>
    <w:rsid w:val="003815BB"/>
    <w:rsid w:val="00381805"/>
    <w:rsid w:val="0038188B"/>
    <w:rsid w:val="003819BD"/>
    <w:rsid w:val="00381AB7"/>
    <w:rsid w:val="00381E7B"/>
    <w:rsid w:val="00381F73"/>
    <w:rsid w:val="003821B1"/>
    <w:rsid w:val="003821D6"/>
    <w:rsid w:val="003824E5"/>
    <w:rsid w:val="0038263C"/>
    <w:rsid w:val="0038298F"/>
    <w:rsid w:val="00382D64"/>
    <w:rsid w:val="00382D76"/>
    <w:rsid w:val="00382DB3"/>
    <w:rsid w:val="00382E74"/>
    <w:rsid w:val="003830A8"/>
    <w:rsid w:val="003830ED"/>
    <w:rsid w:val="00383292"/>
    <w:rsid w:val="003832D1"/>
    <w:rsid w:val="00383398"/>
    <w:rsid w:val="0038347A"/>
    <w:rsid w:val="003834A4"/>
    <w:rsid w:val="00383514"/>
    <w:rsid w:val="00383532"/>
    <w:rsid w:val="00383704"/>
    <w:rsid w:val="00383781"/>
    <w:rsid w:val="00383922"/>
    <w:rsid w:val="00383A3B"/>
    <w:rsid w:val="00383B1A"/>
    <w:rsid w:val="00383B29"/>
    <w:rsid w:val="00383C24"/>
    <w:rsid w:val="00383CF6"/>
    <w:rsid w:val="00384173"/>
    <w:rsid w:val="0038447B"/>
    <w:rsid w:val="00384602"/>
    <w:rsid w:val="00384695"/>
    <w:rsid w:val="00384BD7"/>
    <w:rsid w:val="00384C81"/>
    <w:rsid w:val="00385223"/>
    <w:rsid w:val="00385362"/>
    <w:rsid w:val="00385988"/>
    <w:rsid w:val="00385D1D"/>
    <w:rsid w:val="00385E0F"/>
    <w:rsid w:val="00385F42"/>
    <w:rsid w:val="00386114"/>
    <w:rsid w:val="003865CE"/>
    <w:rsid w:val="00386758"/>
    <w:rsid w:val="00386C42"/>
    <w:rsid w:val="00386F43"/>
    <w:rsid w:val="00387462"/>
    <w:rsid w:val="00387ABA"/>
    <w:rsid w:val="00387FE0"/>
    <w:rsid w:val="003900E7"/>
    <w:rsid w:val="00390152"/>
    <w:rsid w:val="0039024C"/>
    <w:rsid w:val="00390382"/>
    <w:rsid w:val="003903C9"/>
    <w:rsid w:val="00390506"/>
    <w:rsid w:val="00390984"/>
    <w:rsid w:val="00390A04"/>
    <w:rsid w:val="00390C51"/>
    <w:rsid w:val="00390F8F"/>
    <w:rsid w:val="00391191"/>
    <w:rsid w:val="003915D6"/>
    <w:rsid w:val="00391853"/>
    <w:rsid w:val="003918C5"/>
    <w:rsid w:val="00391DD7"/>
    <w:rsid w:val="00391F00"/>
    <w:rsid w:val="00392146"/>
    <w:rsid w:val="00392269"/>
    <w:rsid w:val="00392640"/>
    <w:rsid w:val="003928D1"/>
    <w:rsid w:val="00392BC6"/>
    <w:rsid w:val="00393062"/>
    <w:rsid w:val="00393235"/>
    <w:rsid w:val="00393808"/>
    <w:rsid w:val="00393B8E"/>
    <w:rsid w:val="00393C93"/>
    <w:rsid w:val="003941FC"/>
    <w:rsid w:val="00394277"/>
    <w:rsid w:val="00394444"/>
    <w:rsid w:val="0039452A"/>
    <w:rsid w:val="00394565"/>
    <w:rsid w:val="00394619"/>
    <w:rsid w:val="00394912"/>
    <w:rsid w:val="00394937"/>
    <w:rsid w:val="00394EAE"/>
    <w:rsid w:val="00394F1A"/>
    <w:rsid w:val="00395009"/>
    <w:rsid w:val="00395270"/>
    <w:rsid w:val="003954A0"/>
    <w:rsid w:val="003954C7"/>
    <w:rsid w:val="0039556B"/>
    <w:rsid w:val="0039563F"/>
    <w:rsid w:val="0039591B"/>
    <w:rsid w:val="00395991"/>
    <w:rsid w:val="00395DFD"/>
    <w:rsid w:val="00396564"/>
    <w:rsid w:val="00396628"/>
    <w:rsid w:val="00396711"/>
    <w:rsid w:val="00396809"/>
    <w:rsid w:val="003968C3"/>
    <w:rsid w:val="0039698D"/>
    <w:rsid w:val="00396DE9"/>
    <w:rsid w:val="00397295"/>
    <w:rsid w:val="003974D6"/>
    <w:rsid w:val="00397575"/>
    <w:rsid w:val="003977AF"/>
    <w:rsid w:val="00397983"/>
    <w:rsid w:val="00397992"/>
    <w:rsid w:val="003979D2"/>
    <w:rsid w:val="00397CB7"/>
    <w:rsid w:val="00397DC7"/>
    <w:rsid w:val="003A00B7"/>
    <w:rsid w:val="003A012D"/>
    <w:rsid w:val="003A0148"/>
    <w:rsid w:val="003A01B8"/>
    <w:rsid w:val="003A01F7"/>
    <w:rsid w:val="003A0517"/>
    <w:rsid w:val="003A05CF"/>
    <w:rsid w:val="003A07F4"/>
    <w:rsid w:val="003A0923"/>
    <w:rsid w:val="003A09C3"/>
    <w:rsid w:val="003A0CDC"/>
    <w:rsid w:val="003A0E36"/>
    <w:rsid w:val="003A15FC"/>
    <w:rsid w:val="003A16C7"/>
    <w:rsid w:val="003A1745"/>
    <w:rsid w:val="003A1AC2"/>
    <w:rsid w:val="003A1CB2"/>
    <w:rsid w:val="003A1D73"/>
    <w:rsid w:val="003A2047"/>
    <w:rsid w:val="003A218B"/>
    <w:rsid w:val="003A25CA"/>
    <w:rsid w:val="003A26A4"/>
    <w:rsid w:val="003A275F"/>
    <w:rsid w:val="003A29C7"/>
    <w:rsid w:val="003A2A41"/>
    <w:rsid w:val="003A2C3A"/>
    <w:rsid w:val="003A2C62"/>
    <w:rsid w:val="003A2D6F"/>
    <w:rsid w:val="003A2DAF"/>
    <w:rsid w:val="003A314C"/>
    <w:rsid w:val="003A3164"/>
    <w:rsid w:val="003A323F"/>
    <w:rsid w:val="003A32A3"/>
    <w:rsid w:val="003A3571"/>
    <w:rsid w:val="003A3579"/>
    <w:rsid w:val="003A3593"/>
    <w:rsid w:val="003A3721"/>
    <w:rsid w:val="003A3742"/>
    <w:rsid w:val="003A37D2"/>
    <w:rsid w:val="003A389A"/>
    <w:rsid w:val="003A3949"/>
    <w:rsid w:val="003A3A78"/>
    <w:rsid w:val="003A3AAF"/>
    <w:rsid w:val="003A3D2C"/>
    <w:rsid w:val="003A4359"/>
    <w:rsid w:val="003A4566"/>
    <w:rsid w:val="003A460A"/>
    <w:rsid w:val="003A4B22"/>
    <w:rsid w:val="003A4E24"/>
    <w:rsid w:val="003A4E71"/>
    <w:rsid w:val="003A4F0A"/>
    <w:rsid w:val="003A5087"/>
    <w:rsid w:val="003A5102"/>
    <w:rsid w:val="003A58F0"/>
    <w:rsid w:val="003A5BE7"/>
    <w:rsid w:val="003A5E15"/>
    <w:rsid w:val="003A6082"/>
    <w:rsid w:val="003A609D"/>
    <w:rsid w:val="003A6267"/>
    <w:rsid w:val="003A6676"/>
    <w:rsid w:val="003A68B7"/>
    <w:rsid w:val="003A69CE"/>
    <w:rsid w:val="003A69F8"/>
    <w:rsid w:val="003A6A32"/>
    <w:rsid w:val="003A6C0F"/>
    <w:rsid w:val="003A7213"/>
    <w:rsid w:val="003A724F"/>
    <w:rsid w:val="003A74EF"/>
    <w:rsid w:val="003A7957"/>
    <w:rsid w:val="003A79EF"/>
    <w:rsid w:val="003A7ABE"/>
    <w:rsid w:val="003A7C26"/>
    <w:rsid w:val="003A7D67"/>
    <w:rsid w:val="003A7F40"/>
    <w:rsid w:val="003A7F48"/>
    <w:rsid w:val="003A7FF7"/>
    <w:rsid w:val="003B00DC"/>
    <w:rsid w:val="003B025B"/>
    <w:rsid w:val="003B041E"/>
    <w:rsid w:val="003B05B9"/>
    <w:rsid w:val="003B06F0"/>
    <w:rsid w:val="003B0BF1"/>
    <w:rsid w:val="003B0DE7"/>
    <w:rsid w:val="003B102B"/>
    <w:rsid w:val="003B118D"/>
    <w:rsid w:val="003B1353"/>
    <w:rsid w:val="003B1542"/>
    <w:rsid w:val="003B1608"/>
    <w:rsid w:val="003B1762"/>
    <w:rsid w:val="003B19B0"/>
    <w:rsid w:val="003B1C8D"/>
    <w:rsid w:val="003B1F49"/>
    <w:rsid w:val="003B2742"/>
    <w:rsid w:val="003B2C7D"/>
    <w:rsid w:val="003B322E"/>
    <w:rsid w:val="003B3271"/>
    <w:rsid w:val="003B32E9"/>
    <w:rsid w:val="003B3330"/>
    <w:rsid w:val="003B355D"/>
    <w:rsid w:val="003B35E3"/>
    <w:rsid w:val="003B35E6"/>
    <w:rsid w:val="003B360D"/>
    <w:rsid w:val="003B3A4B"/>
    <w:rsid w:val="003B3B91"/>
    <w:rsid w:val="003B3BAD"/>
    <w:rsid w:val="003B3F1F"/>
    <w:rsid w:val="003B40A4"/>
    <w:rsid w:val="003B40BE"/>
    <w:rsid w:val="003B4296"/>
    <w:rsid w:val="003B42CC"/>
    <w:rsid w:val="003B43CE"/>
    <w:rsid w:val="003B4400"/>
    <w:rsid w:val="003B4481"/>
    <w:rsid w:val="003B44D5"/>
    <w:rsid w:val="003B49BC"/>
    <w:rsid w:val="003B4AA1"/>
    <w:rsid w:val="003B4BA9"/>
    <w:rsid w:val="003B4CCA"/>
    <w:rsid w:val="003B5414"/>
    <w:rsid w:val="003B562B"/>
    <w:rsid w:val="003B5860"/>
    <w:rsid w:val="003B5A9E"/>
    <w:rsid w:val="003B630C"/>
    <w:rsid w:val="003B6469"/>
    <w:rsid w:val="003B69D6"/>
    <w:rsid w:val="003B6A9C"/>
    <w:rsid w:val="003B6C04"/>
    <w:rsid w:val="003B6CD1"/>
    <w:rsid w:val="003B6D34"/>
    <w:rsid w:val="003B6DA4"/>
    <w:rsid w:val="003B6DE6"/>
    <w:rsid w:val="003B7482"/>
    <w:rsid w:val="003B7574"/>
    <w:rsid w:val="003B7C81"/>
    <w:rsid w:val="003B7D54"/>
    <w:rsid w:val="003B7E2A"/>
    <w:rsid w:val="003B7E5B"/>
    <w:rsid w:val="003B7E79"/>
    <w:rsid w:val="003B7EC8"/>
    <w:rsid w:val="003C01E3"/>
    <w:rsid w:val="003C0582"/>
    <w:rsid w:val="003C05E2"/>
    <w:rsid w:val="003C0C35"/>
    <w:rsid w:val="003C0D55"/>
    <w:rsid w:val="003C0E1A"/>
    <w:rsid w:val="003C118A"/>
    <w:rsid w:val="003C1562"/>
    <w:rsid w:val="003C1D1D"/>
    <w:rsid w:val="003C20DA"/>
    <w:rsid w:val="003C21DA"/>
    <w:rsid w:val="003C295A"/>
    <w:rsid w:val="003C2C64"/>
    <w:rsid w:val="003C31AA"/>
    <w:rsid w:val="003C381F"/>
    <w:rsid w:val="003C39AE"/>
    <w:rsid w:val="003C3A66"/>
    <w:rsid w:val="003C3A7D"/>
    <w:rsid w:val="003C3C02"/>
    <w:rsid w:val="003C3D49"/>
    <w:rsid w:val="003C3E9E"/>
    <w:rsid w:val="003C41E2"/>
    <w:rsid w:val="003C43F7"/>
    <w:rsid w:val="003C4B32"/>
    <w:rsid w:val="003C4F4D"/>
    <w:rsid w:val="003C5015"/>
    <w:rsid w:val="003C5724"/>
    <w:rsid w:val="003C5AAB"/>
    <w:rsid w:val="003C5C64"/>
    <w:rsid w:val="003C5CFC"/>
    <w:rsid w:val="003C5D0E"/>
    <w:rsid w:val="003C5F5D"/>
    <w:rsid w:val="003C6518"/>
    <w:rsid w:val="003C6668"/>
    <w:rsid w:val="003C678B"/>
    <w:rsid w:val="003C67B7"/>
    <w:rsid w:val="003C6B99"/>
    <w:rsid w:val="003C6D51"/>
    <w:rsid w:val="003C6D9F"/>
    <w:rsid w:val="003C6FC9"/>
    <w:rsid w:val="003C7101"/>
    <w:rsid w:val="003C7128"/>
    <w:rsid w:val="003C71C1"/>
    <w:rsid w:val="003C73DF"/>
    <w:rsid w:val="003C789C"/>
    <w:rsid w:val="003C78AD"/>
    <w:rsid w:val="003C79E5"/>
    <w:rsid w:val="003C7A7F"/>
    <w:rsid w:val="003C7F38"/>
    <w:rsid w:val="003D04FF"/>
    <w:rsid w:val="003D05B8"/>
    <w:rsid w:val="003D06DC"/>
    <w:rsid w:val="003D08F2"/>
    <w:rsid w:val="003D1C36"/>
    <w:rsid w:val="003D1C5F"/>
    <w:rsid w:val="003D1EAD"/>
    <w:rsid w:val="003D2521"/>
    <w:rsid w:val="003D2590"/>
    <w:rsid w:val="003D263C"/>
    <w:rsid w:val="003D27D3"/>
    <w:rsid w:val="003D2C74"/>
    <w:rsid w:val="003D2CFB"/>
    <w:rsid w:val="003D3248"/>
    <w:rsid w:val="003D33FC"/>
    <w:rsid w:val="003D3585"/>
    <w:rsid w:val="003D3B1E"/>
    <w:rsid w:val="003D3D69"/>
    <w:rsid w:val="003D3DA1"/>
    <w:rsid w:val="003D3DAD"/>
    <w:rsid w:val="003D4007"/>
    <w:rsid w:val="003D40F8"/>
    <w:rsid w:val="003D41E1"/>
    <w:rsid w:val="003D42C7"/>
    <w:rsid w:val="003D43C2"/>
    <w:rsid w:val="003D459E"/>
    <w:rsid w:val="003D46F0"/>
    <w:rsid w:val="003D4792"/>
    <w:rsid w:val="003D5178"/>
    <w:rsid w:val="003D5644"/>
    <w:rsid w:val="003D5797"/>
    <w:rsid w:val="003D5A9C"/>
    <w:rsid w:val="003D5BC0"/>
    <w:rsid w:val="003D5D09"/>
    <w:rsid w:val="003D5DA8"/>
    <w:rsid w:val="003D601D"/>
    <w:rsid w:val="003D63AA"/>
    <w:rsid w:val="003D6478"/>
    <w:rsid w:val="003D6650"/>
    <w:rsid w:val="003D6711"/>
    <w:rsid w:val="003D67D0"/>
    <w:rsid w:val="003D6BA0"/>
    <w:rsid w:val="003D6DBF"/>
    <w:rsid w:val="003D74F0"/>
    <w:rsid w:val="003D75DD"/>
    <w:rsid w:val="003D76F7"/>
    <w:rsid w:val="003D79BF"/>
    <w:rsid w:val="003D7ACD"/>
    <w:rsid w:val="003D7C24"/>
    <w:rsid w:val="003D7CF0"/>
    <w:rsid w:val="003D7ED9"/>
    <w:rsid w:val="003D7F08"/>
    <w:rsid w:val="003E00F1"/>
    <w:rsid w:val="003E01BC"/>
    <w:rsid w:val="003E025F"/>
    <w:rsid w:val="003E04E6"/>
    <w:rsid w:val="003E07CE"/>
    <w:rsid w:val="003E0A6F"/>
    <w:rsid w:val="003E0D98"/>
    <w:rsid w:val="003E104E"/>
    <w:rsid w:val="003E1191"/>
    <w:rsid w:val="003E1305"/>
    <w:rsid w:val="003E138A"/>
    <w:rsid w:val="003E14D9"/>
    <w:rsid w:val="003E1713"/>
    <w:rsid w:val="003E17AD"/>
    <w:rsid w:val="003E18FC"/>
    <w:rsid w:val="003E1B7A"/>
    <w:rsid w:val="003E1EFE"/>
    <w:rsid w:val="003E2000"/>
    <w:rsid w:val="003E2063"/>
    <w:rsid w:val="003E2572"/>
    <w:rsid w:val="003E27D9"/>
    <w:rsid w:val="003E2877"/>
    <w:rsid w:val="003E2B33"/>
    <w:rsid w:val="003E2C17"/>
    <w:rsid w:val="003E2F73"/>
    <w:rsid w:val="003E363B"/>
    <w:rsid w:val="003E3643"/>
    <w:rsid w:val="003E4052"/>
    <w:rsid w:val="003E4077"/>
    <w:rsid w:val="003E48CE"/>
    <w:rsid w:val="003E48F4"/>
    <w:rsid w:val="003E4C68"/>
    <w:rsid w:val="003E4D7B"/>
    <w:rsid w:val="003E505C"/>
    <w:rsid w:val="003E53AE"/>
    <w:rsid w:val="003E540D"/>
    <w:rsid w:val="003E5C3C"/>
    <w:rsid w:val="003E5C3F"/>
    <w:rsid w:val="003E5F4A"/>
    <w:rsid w:val="003E60A5"/>
    <w:rsid w:val="003E61E2"/>
    <w:rsid w:val="003E632F"/>
    <w:rsid w:val="003E6354"/>
    <w:rsid w:val="003E662B"/>
    <w:rsid w:val="003E6773"/>
    <w:rsid w:val="003E6BD8"/>
    <w:rsid w:val="003E6BEB"/>
    <w:rsid w:val="003E6D92"/>
    <w:rsid w:val="003E7000"/>
    <w:rsid w:val="003E7208"/>
    <w:rsid w:val="003E72BD"/>
    <w:rsid w:val="003E77D3"/>
    <w:rsid w:val="003E78BF"/>
    <w:rsid w:val="003E7C41"/>
    <w:rsid w:val="003E7EDD"/>
    <w:rsid w:val="003E7F51"/>
    <w:rsid w:val="003F010C"/>
    <w:rsid w:val="003F02CF"/>
    <w:rsid w:val="003F06C2"/>
    <w:rsid w:val="003F082A"/>
    <w:rsid w:val="003F0A46"/>
    <w:rsid w:val="003F0C38"/>
    <w:rsid w:val="003F150B"/>
    <w:rsid w:val="003F16E2"/>
    <w:rsid w:val="003F16F7"/>
    <w:rsid w:val="003F1762"/>
    <w:rsid w:val="003F196D"/>
    <w:rsid w:val="003F19D6"/>
    <w:rsid w:val="003F1A65"/>
    <w:rsid w:val="003F1AD3"/>
    <w:rsid w:val="003F1B1D"/>
    <w:rsid w:val="003F1E2B"/>
    <w:rsid w:val="003F1EBA"/>
    <w:rsid w:val="003F20BD"/>
    <w:rsid w:val="003F2525"/>
    <w:rsid w:val="003F2826"/>
    <w:rsid w:val="003F2899"/>
    <w:rsid w:val="003F2B18"/>
    <w:rsid w:val="003F331D"/>
    <w:rsid w:val="003F351B"/>
    <w:rsid w:val="003F352A"/>
    <w:rsid w:val="003F3806"/>
    <w:rsid w:val="003F3A35"/>
    <w:rsid w:val="003F3C44"/>
    <w:rsid w:val="003F3C5C"/>
    <w:rsid w:val="003F3DCA"/>
    <w:rsid w:val="003F405C"/>
    <w:rsid w:val="003F40FC"/>
    <w:rsid w:val="003F41BD"/>
    <w:rsid w:val="003F41C2"/>
    <w:rsid w:val="003F440B"/>
    <w:rsid w:val="003F4567"/>
    <w:rsid w:val="003F49AB"/>
    <w:rsid w:val="003F4A48"/>
    <w:rsid w:val="003F4EDB"/>
    <w:rsid w:val="003F5702"/>
    <w:rsid w:val="003F57E5"/>
    <w:rsid w:val="003F5807"/>
    <w:rsid w:val="003F5B7E"/>
    <w:rsid w:val="003F5CB8"/>
    <w:rsid w:val="003F5CBC"/>
    <w:rsid w:val="003F5F37"/>
    <w:rsid w:val="003F6113"/>
    <w:rsid w:val="003F63AB"/>
    <w:rsid w:val="003F6498"/>
    <w:rsid w:val="003F690C"/>
    <w:rsid w:val="003F6C7C"/>
    <w:rsid w:val="003F6D2C"/>
    <w:rsid w:val="003F72E8"/>
    <w:rsid w:val="003F7991"/>
    <w:rsid w:val="003F7A62"/>
    <w:rsid w:val="003F7EC3"/>
    <w:rsid w:val="003F7EF5"/>
    <w:rsid w:val="003F7F11"/>
    <w:rsid w:val="003F7F83"/>
    <w:rsid w:val="00400685"/>
    <w:rsid w:val="00400B79"/>
    <w:rsid w:val="00400E65"/>
    <w:rsid w:val="00400F17"/>
    <w:rsid w:val="00400F54"/>
    <w:rsid w:val="00401038"/>
    <w:rsid w:val="0040138F"/>
    <w:rsid w:val="00401592"/>
    <w:rsid w:val="00401672"/>
    <w:rsid w:val="00401A28"/>
    <w:rsid w:val="00401AD7"/>
    <w:rsid w:val="00401AF7"/>
    <w:rsid w:val="00401C29"/>
    <w:rsid w:val="00401C2A"/>
    <w:rsid w:val="00401D86"/>
    <w:rsid w:val="00401E19"/>
    <w:rsid w:val="0040200C"/>
    <w:rsid w:val="004022B1"/>
    <w:rsid w:val="0040247B"/>
    <w:rsid w:val="0040254E"/>
    <w:rsid w:val="0040273F"/>
    <w:rsid w:val="00402ADC"/>
    <w:rsid w:val="00402AEE"/>
    <w:rsid w:val="0040335F"/>
    <w:rsid w:val="0040364B"/>
    <w:rsid w:val="004037FB"/>
    <w:rsid w:val="00403860"/>
    <w:rsid w:val="004038F3"/>
    <w:rsid w:val="00403DCA"/>
    <w:rsid w:val="0040445D"/>
    <w:rsid w:val="00404528"/>
    <w:rsid w:val="00404B16"/>
    <w:rsid w:val="00404C1E"/>
    <w:rsid w:val="00404D8B"/>
    <w:rsid w:val="00404E0C"/>
    <w:rsid w:val="0040510A"/>
    <w:rsid w:val="0040560E"/>
    <w:rsid w:val="00405629"/>
    <w:rsid w:val="00405669"/>
    <w:rsid w:val="00405868"/>
    <w:rsid w:val="00405914"/>
    <w:rsid w:val="0040595A"/>
    <w:rsid w:val="004059A5"/>
    <w:rsid w:val="00405BAF"/>
    <w:rsid w:val="00405C24"/>
    <w:rsid w:val="00405F73"/>
    <w:rsid w:val="0040605C"/>
    <w:rsid w:val="0040605F"/>
    <w:rsid w:val="00406168"/>
    <w:rsid w:val="0040629C"/>
    <w:rsid w:val="00406608"/>
    <w:rsid w:val="0040685F"/>
    <w:rsid w:val="00406A1B"/>
    <w:rsid w:val="00406A6A"/>
    <w:rsid w:val="00406B29"/>
    <w:rsid w:val="0040719E"/>
    <w:rsid w:val="0040725B"/>
    <w:rsid w:val="00407301"/>
    <w:rsid w:val="004074CF"/>
    <w:rsid w:val="00407625"/>
    <w:rsid w:val="0040797A"/>
    <w:rsid w:val="00407A27"/>
    <w:rsid w:val="0041001B"/>
    <w:rsid w:val="0041077A"/>
    <w:rsid w:val="00410972"/>
    <w:rsid w:val="00410A02"/>
    <w:rsid w:val="00410A6A"/>
    <w:rsid w:val="00410D20"/>
    <w:rsid w:val="00410DFC"/>
    <w:rsid w:val="00410E6D"/>
    <w:rsid w:val="00411435"/>
    <w:rsid w:val="00411896"/>
    <w:rsid w:val="00411DA8"/>
    <w:rsid w:val="00411DDD"/>
    <w:rsid w:val="00412247"/>
    <w:rsid w:val="00412341"/>
    <w:rsid w:val="004123AD"/>
    <w:rsid w:val="00412597"/>
    <w:rsid w:val="004125C5"/>
    <w:rsid w:val="004128B5"/>
    <w:rsid w:val="00412937"/>
    <w:rsid w:val="004129CA"/>
    <w:rsid w:val="004129FA"/>
    <w:rsid w:val="00412ACF"/>
    <w:rsid w:val="00412C77"/>
    <w:rsid w:val="00412D28"/>
    <w:rsid w:val="00412D99"/>
    <w:rsid w:val="00412F33"/>
    <w:rsid w:val="00412F86"/>
    <w:rsid w:val="0041349E"/>
    <w:rsid w:val="00413525"/>
    <w:rsid w:val="004136F9"/>
    <w:rsid w:val="004137F9"/>
    <w:rsid w:val="004139CB"/>
    <w:rsid w:val="00413D2B"/>
    <w:rsid w:val="00413FD6"/>
    <w:rsid w:val="00414338"/>
    <w:rsid w:val="004146A5"/>
    <w:rsid w:val="00414717"/>
    <w:rsid w:val="00414907"/>
    <w:rsid w:val="0041494A"/>
    <w:rsid w:val="00414C63"/>
    <w:rsid w:val="00414CFF"/>
    <w:rsid w:val="00414E11"/>
    <w:rsid w:val="00414EDC"/>
    <w:rsid w:val="00414F44"/>
    <w:rsid w:val="0041500E"/>
    <w:rsid w:val="00415029"/>
    <w:rsid w:val="0041524E"/>
    <w:rsid w:val="004152C1"/>
    <w:rsid w:val="0041556C"/>
    <w:rsid w:val="00415962"/>
    <w:rsid w:val="00415A4C"/>
    <w:rsid w:val="00415A59"/>
    <w:rsid w:val="00415BC9"/>
    <w:rsid w:val="00415D99"/>
    <w:rsid w:val="00415E55"/>
    <w:rsid w:val="00415E70"/>
    <w:rsid w:val="00416012"/>
    <w:rsid w:val="004164EC"/>
    <w:rsid w:val="00416702"/>
    <w:rsid w:val="00416828"/>
    <w:rsid w:val="00416D50"/>
    <w:rsid w:val="00416FA6"/>
    <w:rsid w:val="00417188"/>
    <w:rsid w:val="00417309"/>
    <w:rsid w:val="0041735C"/>
    <w:rsid w:val="0041748F"/>
    <w:rsid w:val="00417520"/>
    <w:rsid w:val="00417540"/>
    <w:rsid w:val="00417715"/>
    <w:rsid w:val="004177BB"/>
    <w:rsid w:val="0041782C"/>
    <w:rsid w:val="00417888"/>
    <w:rsid w:val="00420388"/>
    <w:rsid w:val="00420435"/>
    <w:rsid w:val="004204F7"/>
    <w:rsid w:val="00420A0C"/>
    <w:rsid w:val="00420B41"/>
    <w:rsid w:val="00420B4D"/>
    <w:rsid w:val="00420C1B"/>
    <w:rsid w:val="00420CE8"/>
    <w:rsid w:val="00420D38"/>
    <w:rsid w:val="00421104"/>
    <w:rsid w:val="00421253"/>
    <w:rsid w:val="0042136D"/>
    <w:rsid w:val="00421688"/>
    <w:rsid w:val="00421B87"/>
    <w:rsid w:val="00421D09"/>
    <w:rsid w:val="0042210E"/>
    <w:rsid w:val="00422198"/>
    <w:rsid w:val="0042238C"/>
    <w:rsid w:val="00422634"/>
    <w:rsid w:val="004226D2"/>
    <w:rsid w:val="004228C2"/>
    <w:rsid w:val="00422945"/>
    <w:rsid w:val="00422B4D"/>
    <w:rsid w:val="004232F3"/>
    <w:rsid w:val="0042331E"/>
    <w:rsid w:val="0042346C"/>
    <w:rsid w:val="00423597"/>
    <w:rsid w:val="00423822"/>
    <w:rsid w:val="00423871"/>
    <w:rsid w:val="004239A4"/>
    <w:rsid w:val="00423A42"/>
    <w:rsid w:val="00423A9D"/>
    <w:rsid w:val="00423ABD"/>
    <w:rsid w:val="00423CFC"/>
    <w:rsid w:val="00423D3C"/>
    <w:rsid w:val="00423E3E"/>
    <w:rsid w:val="00423EF0"/>
    <w:rsid w:val="00423EFB"/>
    <w:rsid w:val="004244D8"/>
    <w:rsid w:val="004245CA"/>
    <w:rsid w:val="0042477E"/>
    <w:rsid w:val="00425053"/>
    <w:rsid w:val="004250AD"/>
    <w:rsid w:val="004250B2"/>
    <w:rsid w:val="00425327"/>
    <w:rsid w:val="00425367"/>
    <w:rsid w:val="0042541A"/>
    <w:rsid w:val="004254DD"/>
    <w:rsid w:val="004255AF"/>
    <w:rsid w:val="0042572F"/>
    <w:rsid w:val="00425741"/>
    <w:rsid w:val="0042587D"/>
    <w:rsid w:val="0042599C"/>
    <w:rsid w:val="00425AD3"/>
    <w:rsid w:val="00425B65"/>
    <w:rsid w:val="00425C97"/>
    <w:rsid w:val="0042638E"/>
    <w:rsid w:val="0042656D"/>
    <w:rsid w:val="004267DC"/>
    <w:rsid w:val="004268AA"/>
    <w:rsid w:val="00426932"/>
    <w:rsid w:val="00426987"/>
    <w:rsid w:val="00426A75"/>
    <w:rsid w:val="00426BA6"/>
    <w:rsid w:val="00426C76"/>
    <w:rsid w:val="004277BD"/>
    <w:rsid w:val="00427864"/>
    <w:rsid w:val="00427E04"/>
    <w:rsid w:val="004304CD"/>
    <w:rsid w:val="00430563"/>
    <w:rsid w:val="0043075B"/>
    <w:rsid w:val="004308F0"/>
    <w:rsid w:val="00430A7A"/>
    <w:rsid w:val="00430A94"/>
    <w:rsid w:val="00430AA9"/>
    <w:rsid w:val="0043111B"/>
    <w:rsid w:val="004313E7"/>
    <w:rsid w:val="00431755"/>
    <w:rsid w:val="00431807"/>
    <w:rsid w:val="00431A72"/>
    <w:rsid w:val="00431A88"/>
    <w:rsid w:val="004321A5"/>
    <w:rsid w:val="0043274A"/>
    <w:rsid w:val="004327A9"/>
    <w:rsid w:val="004327EE"/>
    <w:rsid w:val="0043290B"/>
    <w:rsid w:val="00432D22"/>
    <w:rsid w:val="00432D66"/>
    <w:rsid w:val="00432E5C"/>
    <w:rsid w:val="00432F02"/>
    <w:rsid w:val="00433068"/>
    <w:rsid w:val="004334BC"/>
    <w:rsid w:val="0043360F"/>
    <w:rsid w:val="004339AF"/>
    <w:rsid w:val="00433C6F"/>
    <w:rsid w:val="00433DF7"/>
    <w:rsid w:val="00433FBF"/>
    <w:rsid w:val="00434183"/>
    <w:rsid w:val="004345AD"/>
    <w:rsid w:val="00434615"/>
    <w:rsid w:val="00434AB0"/>
    <w:rsid w:val="00434B3B"/>
    <w:rsid w:val="00434BCA"/>
    <w:rsid w:val="00434DC7"/>
    <w:rsid w:val="00434EDD"/>
    <w:rsid w:val="004352AF"/>
    <w:rsid w:val="00435C5B"/>
    <w:rsid w:val="00435DE2"/>
    <w:rsid w:val="00435ECD"/>
    <w:rsid w:val="00436040"/>
    <w:rsid w:val="00436046"/>
    <w:rsid w:val="0043624F"/>
    <w:rsid w:val="004362EE"/>
    <w:rsid w:val="004364BD"/>
    <w:rsid w:val="00436664"/>
    <w:rsid w:val="0043687A"/>
    <w:rsid w:val="00436979"/>
    <w:rsid w:val="004369F5"/>
    <w:rsid w:val="00436BBC"/>
    <w:rsid w:val="00436FEA"/>
    <w:rsid w:val="00437129"/>
    <w:rsid w:val="00437151"/>
    <w:rsid w:val="00437549"/>
    <w:rsid w:val="004378FE"/>
    <w:rsid w:val="00437939"/>
    <w:rsid w:val="00437AF2"/>
    <w:rsid w:val="00437FC2"/>
    <w:rsid w:val="0044008F"/>
    <w:rsid w:val="0044021B"/>
    <w:rsid w:val="004402EC"/>
    <w:rsid w:val="004409DE"/>
    <w:rsid w:val="00440C2A"/>
    <w:rsid w:val="00440D9F"/>
    <w:rsid w:val="004411C5"/>
    <w:rsid w:val="00441212"/>
    <w:rsid w:val="0044122F"/>
    <w:rsid w:val="004412B3"/>
    <w:rsid w:val="004414FE"/>
    <w:rsid w:val="0044151A"/>
    <w:rsid w:val="00441580"/>
    <w:rsid w:val="00441A18"/>
    <w:rsid w:val="00441B62"/>
    <w:rsid w:val="00441C04"/>
    <w:rsid w:val="00441E5A"/>
    <w:rsid w:val="00441EF4"/>
    <w:rsid w:val="00442030"/>
    <w:rsid w:val="00442374"/>
    <w:rsid w:val="004423AB"/>
    <w:rsid w:val="004425D2"/>
    <w:rsid w:val="00442647"/>
    <w:rsid w:val="00442A77"/>
    <w:rsid w:val="00442F5A"/>
    <w:rsid w:val="00443097"/>
    <w:rsid w:val="00443472"/>
    <w:rsid w:val="00443474"/>
    <w:rsid w:val="00443795"/>
    <w:rsid w:val="00443844"/>
    <w:rsid w:val="00443A4A"/>
    <w:rsid w:val="00443E02"/>
    <w:rsid w:val="00443F91"/>
    <w:rsid w:val="0044443B"/>
    <w:rsid w:val="00444472"/>
    <w:rsid w:val="00444509"/>
    <w:rsid w:val="004445AE"/>
    <w:rsid w:val="004445BD"/>
    <w:rsid w:val="00444725"/>
    <w:rsid w:val="00444BA6"/>
    <w:rsid w:val="00444E3F"/>
    <w:rsid w:val="00445127"/>
    <w:rsid w:val="004451DE"/>
    <w:rsid w:val="00445210"/>
    <w:rsid w:val="0044552A"/>
    <w:rsid w:val="00445670"/>
    <w:rsid w:val="004458BC"/>
    <w:rsid w:val="00445C37"/>
    <w:rsid w:val="00445D0C"/>
    <w:rsid w:val="00445E89"/>
    <w:rsid w:val="00445EF6"/>
    <w:rsid w:val="0044645C"/>
    <w:rsid w:val="004465DD"/>
    <w:rsid w:val="00446698"/>
    <w:rsid w:val="00446760"/>
    <w:rsid w:val="00446BC4"/>
    <w:rsid w:val="00446BDA"/>
    <w:rsid w:val="00446C1F"/>
    <w:rsid w:val="004472AD"/>
    <w:rsid w:val="0044734B"/>
    <w:rsid w:val="004478FF"/>
    <w:rsid w:val="00447B97"/>
    <w:rsid w:val="00447E59"/>
    <w:rsid w:val="00447EBD"/>
    <w:rsid w:val="004500B5"/>
    <w:rsid w:val="0045017C"/>
    <w:rsid w:val="0045018C"/>
    <w:rsid w:val="00450353"/>
    <w:rsid w:val="00450547"/>
    <w:rsid w:val="0045066F"/>
    <w:rsid w:val="004506D2"/>
    <w:rsid w:val="00450875"/>
    <w:rsid w:val="00450AEE"/>
    <w:rsid w:val="00450DB9"/>
    <w:rsid w:val="00451179"/>
    <w:rsid w:val="0045134F"/>
    <w:rsid w:val="004513F7"/>
    <w:rsid w:val="00451534"/>
    <w:rsid w:val="00451825"/>
    <w:rsid w:val="00451CB9"/>
    <w:rsid w:val="00451DD2"/>
    <w:rsid w:val="00452A2D"/>
    <w:rsid w:val="00452A5D"/>
    <w:rsid w:val="00452B64"/>
    <w:rsid w:val="00452CAA"/>
    <w:rsid w:val="00452EFC"/>
    <w:rsid w:val="004536D9"/>
    <w:rsid w:val="0045397A"/>
    <w:rsid w:val="00453E64"/>
    <w:rsid w:val="004546BB"/>
    <w:rsid w:val="00454919"/>
    <w:rsid w:val="00454C87"/>
    <w:rsid w:val="00454FA6"/>
    <w:rsid w:val="004551F2"/>
    <w:rsid w:val="00455297"/>
    <w:rsid w:val="00455729"/>
    <w:rsid w:val="00455CD0"/>
    <w:rsid w:val="004560D0"/>
    <w:rsid w:val="00456245"/>
    <w:rsid w:val="004562C4"/>
    <w:rsid w:val="004563C7"/>
    <w:rsid w:val="00456408"/>
    <w:rsid w:val="0045660D"/>
    <w:rsid w:val="00456CB6"/>
    <w:rsid w:val="004577B8"/>
    <w:rsid w:val="00457ADA"/>
    <w:rsid w:val="00457E22"/>
    <w:rsid w:val="004601BF"/>
    <w:rsid w:val="00460224"/>
    <w:rsid w:val="00460378"/>
    <w:rsid w:val="004604EE"/>
    <w:rsid w:val="0046078C"/>
    <w:rsid w:val="0046096F"/>
    <w:rsid w:val="00460AE9"/>
    <w:rsid w:val="00460C80"/>
    <w:rsid w:val="00460CE5"/>
    <w:rsid w:val="00460D86"/>
    <w:rsid w:val="00460F5D"/>
    <w:rsid w:val="0046130E"/>
    <w:rsid w:val="00461358"/>
    <w:rsid w:val="00461438"/>
    <w:rsid w:val="004615C9"/>
    <w:rsid w:val="00461FF8"/>
    <w:rsid w:val="004620E3"/>
    <w:rsid w:val="0046250A"/>
    <w:rsid w:val="00463031"/>
    <w:rsid w:val="0046344E"/>
    <w:rsid w:val="00463530"/>
    <w:rsid w:val="0046358E"/>
    <w:rsid w:val="004635F4"/>
    <w:rsid w:val="00463DA9"/>
    <w:rsid w:val="00463F24"/>
    <w:rsid w:val="004645B8"/>
    <w:rsid w:val="00464B30"/>
    <w:rsid w:val="00464E88"/>
    <w:rsid w:val="004651F7"/>
    <w:rsid w:val="00465750"/>
    <w:rsid w:val="00465994"/>
    <w:rsid w:val="00465F25"/>
    <w:rsid w:val="004660A9"/>
    <w:rsid w:val="00466228"/>
    <w:rsid w:val="00466855"/>
    <w:rsid w:val="0046693A"/>
    <w:rsid w:val="00466D88"/>
    <w:rsid w:val="00466ED9"/>
    <w:rsid w:val="004670B9"/>
    <w:rsid w:val="004670FA"/>
    <w:rsid w:val="00467606"/>
    <w:rsid w:val="004677E2"/>
    <w:rsid w:val="00467C2F"/>
    <w:rsid w:val="00467F5A"/>
    <w:rsid w:val="004701E4"/>
    <w:rsid w:val="004701F2"/>
    <w:rsid w:val="004702A2"/>
    <w:rsid w:val="004703EA"/>
    <w:rsid w:val="0047046F"/>
    <w:rsid w:val="004704C0"/>
    <w:rsid w:val="0047054F"/>
    <w:rsid w:val="00470675"/>
    <w:rsid w:val="00470711"/>
    <w:rsid w:val="004709C3"/>
    <w:rsid w:val="004709E9"/>
    <w:rsid w:val="00470AD9"/>
    <w:rsid w:val="00470EC4"/>
    <w:rsid w:val="00470EE0"/>
    <w:rsid w:val="00470F21"/>
    <w:rsid w:val="004710ED"/>
    <w:rsid w:val="00471780"/>
    <w:rsid w:val="0047198A"/>
    <w:rsid w:val="004719F9"/>
    <w:rsid w:val="00471C88"/>
    <w:rsid w:val="00471F87"/>
    <w:rsid w:val="00472159"/>
    <w:rsid w:val="00472161"/>
    <w:rsid w:val="004723B4"/>
    <w:rsid w:val="004723E4"/>
    <w:rsid w:val="004723F8"/>
    <w:rsid w:val="00472559"/>
    <w:rsid w:val="00472613"/>
    <w:rsid w:val="00472754"/>
    <w:rsid w:val="0047279E"/>
    <w:rsid w:val="00472981"/>
    <w:rsid w:val="00472A10"/>
    <w:rsid w:val="00472B26"/>
    <w:rsid w:val="00472C2B"/>
    <w:rsid w:val="0047345D"/>
    <w:rsid w:val="0047364B"/>
    <w:rsid w:val="00473885"/>
    <w:rsid w:val="004739AF"/>
    <w:rsid w:val="00473CC0"/>
    <w:rsid w:val="004742AA"/>
    <w:rsid w:val="004747C4"/>
    <w:rsid w:val="00474AB7"/>
    <w:rsid w:val="00474D38"/>
    <w:rsid w:val="00474D4E"/>
    <w:rsid w:val="00474FDC"/>
    <w:rsid w:val="0047537C"/>
    <w:rsid w:val="00475672"/>
    <w:rsid w:val="0047572C"/>
    <w:rsid w:val="00475A0F"/>
    <w:rsid w:val="00475A1A"/>
    <w:rsid w:val="00475EA4"/>
    <w:rsid w:val="00476064"/>
    <w:rsid w:val="004760F0"/>
    <w:rsid w:val="0047610F"/>
    <w:rsid w:val="004762AC"/>
    <w:rsid w:val="004762FF"/>
    <w:rsid w:val="0047648E"/>
    <w:rsid w:val="0047651F"/>
    <w:rsid w:val="00476736"/>
    <w:rsid w:val="0047673A"/>
    <w:rsid w:val="0047686D"/>
    <w:rsid w:val="004768C1"/>
    <w:rsid w:val="0047695D"/>
    <w:rsid w:val="00476D2D"/>
    <w:rsid w:val="00476FCB"/>
    <w:rsid w:val="004770E3"/>
    <w:rsid w:val="0047727B"/>
    <w:rsid w:val="00477320"/>
    <w:rsid w:val="00477385"/>
    <w:rsid w:val="004774B3"/>
    <w:rsid w:val="004775CA"/>
    <w:rsid w:val="00477884"/>
    <w:rsid w:val="00477F9F"/>
    <w:rsid w:val="00477FE9"/>
    <w:rsid w:val="0048004F"/>
    <w:rsid w:val="004800C2"/>
    <w:rsid w:val="0048035D"/>
    <w:rsid w:val="004805C3"/>
    <w:rsid w:val="00480639"/>
    <w:rsid w:val="00480E7C"/>
    <w:rsid w:val="00480FE5"/>
    <w:rsid w:val="00480FED"/>
    <w:rsid w:val="004810FF"/>
    <w:rsid w:val="00481217"/>
    <w:rsid w:val="0048124C"/>
    <w:rsid w:val="0048136C"/>
    <w:rsid w:val="004813DA"/>
    <w:rsid w:val="00481516"/>
    <w:rsid w:val="00481531"/>
    <w:rsid w:val="004818A0"/>
    <w:rsid w:val="00482131"/>
    <w:rsid w:val="0048218E"/>
    <w:rsid w:val="004821D6"/>
    <w:rsid w:val="004823CF"/>
    <w:rsid w:val="0048252D"/>
    <w:rsid w:val="00482D8C"/>
    <w:rsid w:val="00482E58"/>
    <w:rsid w:val="00482F79"/>
    <w:rsid w:val="004831A5"/>
    <w:rsid w:val="0048346D"/>
    <w:rsid w:val="00483913"/>
    <w:rsid w:val="00483915"/>
    <w:rsid w:val="004839A9"/>
    <w:rsid w:val="00483ABE"/>
    <w:rsid w:val="00483AE4"/>
    <w:rsid w:val="00483E2E"/>
    <w:rsid w:val="00483F6E"/>
    <w:rsid w:val="00484286"/>
    <w:rsid w:val="00484308"/>
    <w:rsid w:val="0048484A"/>
    <w:rsid w:val="00484B4E"/>
    <w:rsid w:val="00484C2E"/>
    <w:rsid w:val="00484CB8"/>
    <w:rsid w:val="00484D46"/>
    <w:rsid w:val="00485029"/>
    <w:rsid w:val="004851D8"/>
    <w:rsid w:val="00485B77"/>
    <w:rsid w:val="00485D32"/>
    <w:rsid w:val="00485EF4"/>
    <w:rsid w:val="004862DA"/>
    <w:rsid w:val="004863ED"/>
    <w:rsid w:val="0048648B"/>
    <w:rsid w:val="00486760"/>
    <w:rsid w:val="00486A80"/>
    <w:rsid w:val="004870A3"/>
    <w:rsid w:val="004871BD"/>
    <w:rsid w:val="0048738F"/>
    <w:rsid w:val="004876F7"/>
    <w:rsid w:val="00487C9A"/>
    <w:rsid w:val="00487D0A"/>
    <w:rsid w:val="00487E17"/>
    <w:rsid w:val="00487EA6"/>
    <w:rsid w:val="00487F44"/>
    <w:rsid w:val="0049019F"/>
    <w:rsid w:val="00490681"/>
    <w:rsid w:val="00490688"/>
    <w:rsid w:val="0049069A"/>
    <w:rsid w:val="00490744"/>
    <w:rsid w:val="004907C3"/>
    <w:rsid w:val="00491141"/>
    <w:rsid w:val="00491428"/>
    <w:rsid w:val="00491555"/>
    <w:rsid w:val="0049162A"/>
    <w:rsid w:val="004919BC"/>
    <w:rsid w:val="00491AC1"/>
    <w:rsid w:val="00491D40"/>
    <w:rsid w:val="00491D7A"/>
    <w:rsid w:val="00491FDC"/>
    <w:rsid w:val="00492087"/>
    <w:rsid w:val="00492099"/>
    <w:rsid w:val="00492118"/>
    <w:rsid w:val="004922D4"/>
    <w:rsid w:val="004923AC"/>
    <w:rsid w:val="004923FE"/>
    <w:rsid w:val="00492648"/>
    <w:rsid w:val="0049268A"/>
    <w:rsid w:val="00492AFD"/>
    <w:rsid w:val="00492E84"/>
    <w:rsid w:val="00492EEC"/>
    <w:rsid w:val="00492F67"/>
    <w:rsid w:val="004930EE"/>
    <w:rsid w:val="0049310E"/>
    <w:rsid w:val="004931EF"/>
    <w:rsid w:val="00493B43"/>
    <w:rsid w:val="00494C70"/>
    <w:rsid w:val="00494CBC"/>
    <w:rsid w:val="00494E10"/>
    <w:rsid w:val="00494F8D"/>
    <w:rsid w:val="00495143"/>
    <w:rsid w:val="00495AA6"/>
    <w:rsid w:val="00495B64"/>
    <w:rsid w:val="00495BF4"/>
    <w:rsid w:val="00495FCA"/>
    <w:rsid w:val="00496460"/>
    <w:rsid w:val="004965E7"/>
    <w:rsid w:val="0049670C"/>
    <w:rsid w:val="0049695A"/>
    <w:rsid w:val="00496A3E"/>
    <w:rsid w:val="00496A80"/>
    <w:rsid w:val="00496B26"/>
    <w:rsid w:val="0049734D"/>
    <w:rsid w:val="0049735A"/>
    <w:rsid w:val="004974A6"/>
    <w:rsid w:val="00497915"/>
    <w:rsid w:val="00497953"/>
    <w:rsid w:val="00497BF5"/>
    <w:rsid w:val="00497CB9"/>
    <w:rsid w:val="00497D1C"/>
    <w:rsid w:val="004A016A"/>
    <w:rsid w:val="004A038F"/>
    <w:rsid w:val="004A05FF"/>
    <w:rsid w:val="004A06AE"/>
    <w:rsid w:val="004A091D"/>
    <w:rsid w:val="004A09AB"/>
    <w:rsid w:val="004A0A61"/>
    <w:rsid w:val="004A0AF2"/>
    <w:rsid w:val="004A0B55"/>
    <w:rsid w:val="004A0D8F"/>
    <w:rsid w:val="004A1006"/>
    <w:rsid w:val="004A10B9"/>
    <w:rsid w:val="004A1615"/>
    <w:rsid w:val="004A1ADA"/>
    <w:rsid w:val="004A1BBC"/>
    <w:rsid w:val="004A2133"/>
    <w:rsid w:val="004A23CB"/>
    <w:rsid w:val="004A27CE"/>
    <w:rsid w:val="004A2B4B"/>
    <w:rsid w:val="004A2BAF"/>
    <w:rsid w:val="004A327D"/>
    <w:rsid w:val="004A3318"/>
    <w:rsid w:val="004A3356"/>
    <w:rsid w:val="004A3486"/>
    <w:rsid w:val="004A36EA"/>
    <w:rsid w:val="004A36F6"/>
    <w:rsid w:val="004A3991"/>
    <w:rsid w:val="004A3DCB"/>
    <w:rsid w:val="004A42B4"/>
    <w:rsid w:val="004A42C4"/>
    <w:rsid w:val="004A44C9"/>
    <w:rsid w:val="004A44CC"/>
    <w:rsid w:val="004A4672"/>
    <w:rsid w:val="004A475A"/>
    <w:rsid w:val="004A492C"/>
    <w:rsid w:val="004A4AD9"/>
    <w:rsid w:val="004A4B64"/>
    <w:rsid w:val="004A4B8D"/>
    <w:rsid w:val="004A5068"/>
    <w:rsid w:val="004A54B7"/>
    <w:rsid w:val="004A56D4"/>
    <w:rsid w:val="004A5B8B"/>
    <w:rsid w:val="004A5C2C"/>
    <w:rsid w:val="004A5DD3"/>
    <w:rsid w:val="004A60A5"/>
    <w:rsid w:val="004A6310"/>
    <w:rsid w:val="004A635B"/>
    <w:rsid w:val="004A6584"/>
    <w:rsid w:val="004A65DE"/>
    <w:rsid w:val="004A670F"/>
    <w:rsid w:val="004A6A4E"/>
    <w:rsid w:val="004A6B00"/>
    <w:rsid w:val="004A6DF0"/>
    <w:rsid w:val="004A6F00"/>
    <w:rsid w:val="004A75F6"/>
    <w:rsid w:val="004A778E"/>
    <w:rsid w:val="004A7B95"/>
    <w:rsid w:val="004A7C39"/>
    <w:rsid w:val="004B0E62"/>
    <w:rsid w:val="004B1031"/>
    <w:rsid w:val="004B11D4"/>
    <w:rsid w:val="004B168B"/>
    <w:rsid w:val="004B168D"/>
    <w:rsid w:val="004B199A"/>
    <w:rsid w:val="004B1B10"/>
    <w:rsid w:val="004B20C5"/>
    <w:rsid w:val="004B2527"/>
    <w:rsid w:val="004B2E84"/>
    <w:rsid w:val="004B2F14"/>
    <w:rsid w:val="004B2F50"/>
    <w:rsid w:val="004B2F5C"/>
    <w:rsid w:val="004B30C3"/>
    <w:rsid w:val="004B32C4"/>
    <w:rsid w:val="004B353C"/>
    <w:rsid w:val="004B3594"/>
    <w:rsid w:val="004B36F9"/>
    <w:rsid w:val="004B3A62"/>
    <w:rsid w:val="004B3A85"/>
    <w:rsid w:val="004B3E37"/>
    <w:rsid w:val="004B3EA0"/>
    <w:rsid w:val="004B40C2"/>
    <w:rsid w:val="004B4287"/>
    <w:rsid w:val="004B473A"/>
    <w:rsid w:val="004B48DC"/>
    <w:rsid w:val="004B501C"/>
    <w:rsid w:val="004B531C"/>
    <w:rsid w:val="004B53C8"/>
    <w:rsid w:val="004B5503"/>
    <w:rsid w:val="004B5917"/>
    <w:rsid w:val="004B5A56"/>
    <w:rsid w:val="004B5ABC"/>
    <w:rsid w:val="004B5CB4"/>
    <w:rsid w:val="004B5FAC"/>
    <w:rsid w:val="004B6494"/>
    <w:rsid w:val="004B6AB6"/>
    <w:rsid w:val="004B6CF5"/>
    <w:rsid w:val="004B732D"/>
    <w:rsid w:val="004B7928"/>
    <w:rsid w:val="004B7D14"/>
    <w:rsid w:val="004B7D62"/>
    <w:rsid w:val="004B7F84"/>
    <w:rsid w:val="004B7FBB"/>
    <w:rsid w:val="004C0273"/>
    <w:rsid w:val="004C072E"/>
    <w:rsid w:val="004C081D"/>
    <w:rsid w:val="004C0A37"/>
    <w:rsid w:val="004C0A4B"/>
    <w:rsid w:val="004C0B5E"/>
    <w:rsid w:val="004C0E3F"/>
    <w:rsid w:val="004C102F"/>
    <w:rsid w:val="004C1461"/>
    <w:rsid w:val="004C148B"/>
    <w:rsid w:val="004C151F"/>
    <w:rsid w:val="004C1535"/>
    <w:rsid w:val="004C16C3"/>
    <w:rsid w:val="004C1910"/>
    <w:rsid w:val="004C1A57"/>
    <w:rsid w:val="004C1D04"/>
    <w:rsid w:val="004C1D52"/>
    <w:rsid w:val="004C20CF"/>
    <w:rsid w:val="004C23B9"/>
    <w:rsid w:val="004C2465"/>
    <w:rsid w:val="004C2BF0"/>
    <w:rsid w:val="004C2D0F"/>
    <w:rsid w:val="004C2E31"/>
    <w:rsid w:val="004C309B"/>
    <w:rsid w:val="004C30BC"/>
    <w:rsid w:val="004C3329"/>
    <w:rsid w:val="004C3379"/>
    <w:rsid w:val="004C33D1"/>
    <w:rsid w:val="004C342D"/>
    <w:rsid w:val="004C35DA"/>
    <w:rsid w:val="004C3B64"/>
    <w:rsid w:val="004C410B"/>
    <w:rsid w:val="004C4202"/>
    <w:rsid w:val="004C4808"/>
    <w:rsid w:val="004C4FEC"/>
    <w:rsid w:val="004C50DA"/>
    <w:rsid w:val="004C51D2"/>
    <w:rsid w:val="004C54B8"/>
    <w:rsid w:val="004C564B"/>
    <w:rsid w:val="004C56F6"/>
    <w:rsid w:val="004C599F"/>
    <w:rsid w:val="004C5C86"/>
    <w:rsid w:val="004C5DC3"/>
    <w:rsid w:val="004C5F1E"/>
    <w:rsid w:val="004C6093"/>
    <w:rsid w:val="004C61A3"/>
    <w:rsid w:val="004C6240"/>
    <w:rsid w:val="004C62E3"/>
    <w:rsid w:val="004C635D"/>
    <w:rsid w:val="004C6425"/>
    <w:rsid w:val="004C670B"/>
    <w:rsid w:val="004C6954"/>
    <w:rsid w:val="004C6A71"/>
    <w:rsid w:val="004C6F34"/>
    <w:rsid w:val="004C701C"/>
    <w:rsid w:val="004C730B"/>
    <w:rsid w:val="004C7325"/>
    <w:rsid w:val="004C7332"/>
    <w:rsid w:val="004C73A1"/>
    <w:rsid w:val="004C7422"/>
    <w:rsid w:val="004C765D"/>
    <w:rsid w:val="004C7738"/>
    <w:rsid w:val="004C7A38"/>
    <w:rsid w:val="004C7B02"/>
    <w:rsid w:val="004C7E05"/>
    <w:rsid w:val="004D01F0"/>
    <w:rsid w:val="004D079E"/>
    <w:rsid w:val="004D0839"/>
    <w:rsid w:val="004D0894"/>
    <w:rsid w:val="004D0A18"/>
    <w:rsid w:val="004D0A4E"/>
    <w:rsid w:val="004D0C85"/>
    <w:rsid w:val="004D0CC2"/>
    <w:rsid w:val="004D0F46"/>
    <w:rsid w:val="004D117F"/>
    <w:rsid w:val="004D11C4"/>
    <w:rsid w:val="004D11EE"/>
    <w:rsid w:val="004D1222"/>
    <w:rsid w:val="004D1B05"/>
    <w:rsid w:val="004D1C10"/>
    <w:rsid w:val="004D1CC0"/>
    <w:rsid w:val="004D1D4E"/>
    <w:rsid w:val="004D1D50"/>
    <w:rsid w:val="004D1D90"/>
    <w:rsid w:val="004D21B6"/>
    <w:rsid w:val="004D21C1"/>
    <w:rsid w:val="004D23F3"/>
    <w:rsid w:val="004D25E2"/>
    <w:rsid w:val="004D2781"/>
    <w:rsid w:val="004D28CD"/>
    <w:rsid w:val="004D2970"/>
    <w:rsid w:val="004D2BF5"/>
    <w:rsid w:val="004D2C9E"/>
    <w:rsid w:val="004D2DF0"/>
    <w:rsid w:val="004D3027"/>
    <w:rsid w:val="004D34E5"/>
    <w:rsid w:val="004D3601"/>
    <w:rsid w:val="004D372F"/>
    <w:rsid w:val="004D3805"/>
    <w:rsid w:val="004D3928"/>
    <w:rsid w:val="004D39A1"/>
    <w:rsid w:val="004D3A23"/>
    <w:rsid w:val="004D3A79"/>
    <w:rsid w:val="004D3C62"/>
    <w:rsid w:val="004D3CFD"/>
    <w:rsid w:val="004D3F43"/>
    <w:rsid w:val="004D45AF"/>
    <w:rsid w:val="004D46F2"/>
    <w:rsid w:val="004D48ED"/>
    <w:rsid w:val="004D4942"/>
    <w:rsid w:val="004D497D"/>
    <w:rsid w:val="004D49F2"/>
    <w:rsid w:val="004D4C2A"/>
    <w:rsid w:val="004D4CD1"/>
    <w:rsid w:val="004D4D27"/>
    <w:rsid w:val="004D4DCC"/>
    <w:rsid w:val="004D5142"/>
    <w:rsid w:val="004D51ED"/>
    <w:rsid w:val="004D5224"/>
    <w:rsid w:val="004D580C"/>
    <w:rsid w:val="004D5846"/>
    <w:rsid w:val="004D5959"/>
    <w:rsid w:val="004D5BC3"/>
    <w:rsid w:val="004D5EF4"/>
    <w:rsid w:val="004D6E03"/>
    <w:rsid w:val="004D70C6"/>
    <w:rsid w:val="004D7319"/>
    <w:rsid w:val="004D7404"/>
    <w:rsid w:val="004D7655"/>
    <w:rsid w:val="004D7738"/>
    <w:rsid w:val="004D7A08"/>
    <w:rsid w:val="004D7B4B"/>
    <w:rsid w:val="004D7E2C"/>
    <w:rsid w:val="004E0109"/>
    <w:rsid w:val="004E06A7"/>
    <w:rsid w:val="004E0AA5"/>
    <w:rsid w:val="004E0C88"/>
    <w:rsid w:val="004E0E3E"/>
    <w:rsid w:val="004E0E68"/>
    <w:rsid w:val="004E1172"/>
    <w:rsid w:val="004E13DF"/>
    <w:rsid w:val="004E16E0"/>
    <w:rsid w:val="004E1974"/>
    <w:rsid w:val="004E19E0"/>
    <w:rsid w:val="004E1FFA"/>
    <w:rsid w:val="004E20FF"/>
    <w:rsid w:val="004E2200"/>
    <w:rsid w:val="004E23E9"/>
    <w:rsid w:val="004E2485"/>
    <w:rsid w:val="004E249C"/>
    <w:rsid w:val="004E25F6"/>
    <w:rsid w:val="004E26A8"/>
    <w:rsid w:val="004E27E9"/>
    <w:rsid w:val="004E284C"/>
    <w:rsid w:val="004E2AAE"/>
    <w:rsid w:val="004E2EAB"/>
    <w:rsid w:val="004E3228"/>
    <w:rsid w:val="004E3249"/>
    <w:rsid w:val="004E3601"/>
    <w:rsid w:val="004E3A1E"/>
    <w:rsid w:val="004E3C72"/>
    <w:rsid w:val="004E4359"/>
    <w:rsid w:val="004E451E"/>
    <w:rsid w:val="004E4ABF"/>
    <w:rsid w:val="004E4FFF"/>
    <w:rsid w:val="004E541F"/>
    <w:rsid w:val="004E5522"/>
    <w:rsid w:val="004E55D3"/>
    <w:rsid w:val="004E56D8"/>
    <w:rsid w:val="004E56DE"/>
    <w:rsid w:val="004E56F8"/>
    <w:rsid w:val="004E57C6"/>
    <w:rsid w:val="004E5E34"/>
    <w:rsid w:val="004E612B"/>
    <w:rsid w:val="004E6224"/>
    <w:rsid w:val="004E669B"/>
    <w:rsid w:val="004E6895"/>
    <w:rsid w:val="004E6D26"/>
    <w:rsid w:val="004E6F1A"/>
    <w:rsid w:val="004E70E6"/>
    <w:rsid w:val="004E7171"/>
    <w:rsid w:val="004E72E2"/>
    <w:rsid w:val="004E7584"/>
    <w:rsid w:val="004F0017"/>
    <w:rsid w:val="004F0502"/>
    <w:rsid w:val="004F064C"/>
    <w:rsid w:val="004F09B5"/>
    <w:rsid w:val="004F09C3"/>
    <w:rsid w:val="004F0A43"/>
    <w:rsid w:val="004F0B3D"/>
    <w:rsid w:val="004F0DD5"/>
    <w:rsid w:val="004F0F29"/>
    <w:rsid w:val="004F14DA"/>
    <w:rsid w:val="004F1637"/>
    <w:rsid w:val="004F1649"/>
    <w:rsid w:val="004F18C7"/>
    <w:rsid w:val="004F1A41"/>
    <w:rsid w:val="004F1C60"/>
    <w:rsid w:val="004F1E2F"/>
    <w:rsid w:val="004F2028"/>
    <w:rsid w:val="004F216B"/>
    <w:rsid w:val="004F2347"/>
    <w:rsid w:val="004F2434"/>
    <w:rsid w:val="004F269C"/>
    <w:rsid w:val="004F2814"/>
    <w:rsid w:val="004F28F2"/>
    <w:rsid w:val="004F2B25"/>
    <w:rsid w:val="004F32F7"/>
    <w:rsid w:val="004F39C5"/>
    <w:rsid w:val="004F3A45"/>
    <w:rsid w:val="004F3A84"/>
    <w:rsid w:val="004F3A96"/>
    <w:rsid w:val="004F3E51"/>
    <w:rsid w:val="004F3FE1"/>
    <w:rsid w:val="004F4085"/>
    <w:rsid w:val="004F40D3"/>
    <w:rsid w:val="004F4411"/>
    <w:rsid w:val="004F44CE"/>
    <w:rsid w:val="004F4512"/>
    <w:rsid w:val="004F46BD"/>
    <w:rsid w:val="004F4854"/>
    <w:rsid w:val="004F48E7"/>
    <w:rsid w:val="004F48FD"/>
    <w:rsid w:val="004F4AA8"/>
    <w:rsid w:val="004F4C14"/>
    <w:rsid w:val="004F5171"/>
    <w:rsid w:val="004F5470"/>
    <w:rsid w:val="004F5597"/>
    <w:rsid w:val="004F5644"/>
    <w:rsid w:val="004F5741"/>
    <w:rsid w:val="004F57FF"/>
    <w:rsid w:val="004F5A90"/>
    <w:rsid w:val="004F5D7F"/>
    <w:rsid w:val="004F5E6C"/>
    <w:rsid w:val="004F616F"/>
    <w:rsid w:val="004F6372"/>
    <w:rsid w:val="004F6B33"/>
    <w:rsid w:val="004F6C73"/>
    <w:rsid w:val="004F6D26"/>
    <w:rsid w:val="004F6D4F"/>
    <w:rsid w:val="004F6FE9"/>
    <w:rsid w:val="004F71A8"/>
    <w:rsid w:val="004F734E"/>
    <w:rsid w:val="004F7562"/>
    <w:rsid w:val="004F766C"/>
    <w:rsid w:val="004F7923"/>
    <w:rsid w:val="004F7B7D"/>
    <w:rsid w:val="004F7B8B"/>
    <w:rsid w:val="004F7C52"/>
    <w:rsid w:val="0050002C"/>
    <w:rsid w:val="0050022E"/>
    <w:rsid w:val="0050037A"/>
    <w:rsid w:val="0050040F"/>
    <w:rsid w:val="005004D0"/>
    <w:rsid w:val="005006D1"/>
    <w:rsid w:val="00500761"/>
    <w:rsid w:val="00500C10"/>
    <w:rsid w:val="00500D32"/>
    <w:rsid w:val="00500E1B"/>
    <w:rsid w:val="0050104D"/>
    <w:rsid w:val="00501377"/>
    <w:rsid w:val="00501383"/>
    <w:rsid w:val="00501647"/>
    <w:rsid w:val="00501A47"/>
    <w:rsid w:val="00501CE8"/>
    <w:rsid w:val="00501E5F"/>
    <w:rsid w:val="00502202"/>
    <w:rsid w:val="00502330"/>
    <w:rsid w:val="00502499"/>
    <w:rsid w:val="0050288D"/>
    <w:rsid w:val="00502CC7"/>
    <w:rsid w:val="00502F13"/>
    <w:rsid w:val="00503081"/>
    <w:rsid w:val="0050312B"/>
    <w:rsid w:val="00503274"/>
    <w:rsid w:val="0050328D"/>
    <w:rsid w:val="00503B8F"/>
    <w:rsid w:val="00503F63"/>
    <w:rsid w:val="005045F5"/>
    <w:rsid w:val="005049D3"/>
    <w:rsid w:val="00504ADE"/>
    <w:rsid w:val="00504EB1"/>
    <w:rsid w:val="0050516F"/>
    <w:rsid w:val="005054BE"/>
    <w:rsid w:val="0050588C"/>
    <w:rsid w:val="00505A72"/>
    <w:rsid w:val="005063EB"/>
    <w:rsid w:val="00506691"/>
    <w:rsid w:val="00506A06"/>
    <w:rsid w:val="00506B32"/>
    <w:rsid w:val="00506F48"/>
    <w:rsid w:val="00506F80"/>
    <w:rsid w:val="0050705D"/>
    <w:rsid w:val="00507245"/>
    <w:rsid w:val="00507534"/>
    <w:rsid w:val="00507849"/>
    <w:rsid w:val="0050788D"/>
    <w:rsid w:val="00507C10"/>
    <w:rsid w:val="005100DE"/>
    <w:rsid w:val="005101DB"/>
    <w:rsid w:val="005103E3"/>
    <w:rsid w:val="00510425"/>
    <w:rsid w:val="00510441"/>
    <w:rsid w:val="0051053E"/>
    <w:rsid w:val="005106E3"/>
    <w:rsid w:val="00510A57"/>
    <w:rsid w:val="0051108E"/>
    <w:rsid w:val="005111F8"/>
    <w:rsid w:val="0051146B"/>
    <w:rsid w:val="00511512"/>
    <w:rsid w:val="0051162E"/>
    <w:rsid w:val="005118E9"/>
    <w:rsid w:val="00511C51"/>
    <w:rsid w:val="00511D03"/>
    <w:rsid w:val="00511E5A"/>
    <w:rsid w:val="00511F16"/>
    <w:rsid w:val="005125B8"/>
    <w:rsid w:val="005126F1"/>
    <w:rsid w:val="005128E5"/>
    <w:rsid w:val="00512A22"/>
    <w:rsid w:val="00512B23"/>
    <w:rsid w:val="00512E83"/>
    <w:rsid w:val="0051371B"/>
    <w:rsid w:val="0051378B"/>
    <w:rsid w:val="005137AD"/>
    <w:rsid w:val="00513919"/>
    <w:rsid w:val="00513A9B"/>
    <w:rsid w:val="00513B0B"/>
    <w:rsid w:val="00513E69"/>
    <w:rsid w:val="00513FDB"/>
    <w:rsid w:val="005143F7"/>
    <w:rsid w:val="00514837"/>
    <w:rsid w:val="00514854"/>
    <w:rsid w:val="005151C5"/>
    <w:rsid w:val="00515227"/>
    <w:rsid w:val="005152B1"/>
    <w:rsid w:val="00515692"/>
    <w:rsid w:val="005156C8"/>
    <w:rsid w:val="005156D7"/>
    <w:rsid w:val="00515979"/>
    <w:rsid w:val="00515B84"/>
    <w:rsid w:val="00515D0E"/>
    <w:rsid w:val="00515E7B"/>
    <w:rsid w:val="00516580"/>
    <w:rsid w:val="00516862"/>
    <w:rsid w:val="00516CBD"/>
    <w:rsid w:val="00516D15"/>
    <w:rsid w:val="00516FE7"/>
    <w:rsid w:val="0051708E"/>
    <w:rsid w:val="005171FD"/>
    <w:rsid w:val="005173B2"/>
    <w:rsid w:val="005175F1"/>
    <w:rsid w:val="0051760F"/>
    <w:rsid w:val="00517A09"/>
    <w:rsid w:val="00517CEB"/>
    <w:rsid w:val="00517CFE"/>
    <w:rsid w:val="00517FC7"/>
    <w:rsid w:val="00517FCA"/>
    <w:rsid w:val="0051BF40"/>
    <w:rsid w:val="005200EA"/>
    <w:rsid w:val="0052018A"/>
    <w:rsid w:val="00520566"/>
    <w:rsid w:val="00520BD5"/>
    <w:rsid w:val="00520DCA"/>
    <w:rsid w:val="00520E13"/>
    <w:rsid w:val="00521677"/>
    <w:rsid w:val="00521B57"/>
    <w:rsid w:val="00521DDC"/>
    <w:rsid w:val="00522140"/>
    <w:rsid w:val="00522327"/>
    <w:rsid w:val="005228A6"/>
    <w:rsid w:val="00522C67"/>
    <w:rsid w:val="005238E5"/>
    <w:rsid w:val="00523A54"/>
    <w:rsid w:val="00523A55"/>
    <w:rsid w:val="00523AE6"/>
    <w:rsid w:val="00523C8E"/>
    <w:rsid w:val="00524324"/>
    <w:rsid w:val="005245E8"/>
    <w:rsid w:val="00524735"/>
    <w:rsid w:val="00524C54"/>
    <w:rsid w:val="005251FB"/>
    <w:rsid w:val="005253F5"/>
    <w:rsid w:val="00525415"/>
    <w:rsid w:val="0052546C"/>
    <w:rsid w:val="00525956"/>
    <w:rsid w:val="005259C9"/>
    <w:rsid w:val="005259F3"/>
    <w:rsid w:val="00525B5C"/>
    <w:rsid w:val="00525D60"/>
    <w:rsid w:val="00525DB6"/>
    <w:rsid w:val="00525F88"/>
    <w:rsid w:val="00526CA5"/>
    <w:rsid w:val="00526DED"/>
    <w:rsid w:val="00526E2B"/>
    <w:rsid w:val="005270EB"/>
    <w:rsid w:val="0052714B"/>
    <w:rsid w:val="00527230"/>
    <w:rsid w:val="0052756C"/>
    <w:rsid w:val="005276A7"/>
    <w:rsid w:val="005276BC"/>
    <w:rsid w:val="00527BA5"/>
    <w:rsid w:val="005300F6"/>
    <w:rsid w:val="005302E8"/>
    <w:rsid w:val="005303B4"/>
    <w:rsid w:val="005303EA"/>
    <w:rsid w:val="00530727"/>
    <w:rsid w:val="00530B7E"/>
    <w:rsid w:val="00530BC5"/>
    <w:rsid w:val="00530F1F"/>
    <w:rsid w:val="00531083"/>
    <w:rsid w:val="0053109E"/>
    <w:rsid w:val="00531162"/>
    <w:rsid w:val="00531311"/>
    <w:rsid w:val="00531685"/>
    <w:rsid w:val="00531AB0"/>
    <w:rsid w:val="00531DC0"/>
    <w:rsid w:val="00531EFF"/>
    <w:rsid w:val="00532349"/>
    <w:rsid w:val="0053259B"/>
    <w:rsid w:val="00532969"/>
    <w:rsid w:val="00532A4E"/>
    <w:rsid w:val="00532AE7"/>
    <w:rsid w:val="00532DAA"/>
    <w:rsid w:val="0053392B"/>
    <w:rsid w:val="00533AE3"/>
    <w:rsid w:val="00533B06"/>
    <w:rsid w:val="00533C92"/>
    <w:rsid w:val="00533DA3"/>
    <w:rsid w:val="005340E4"/>
    <w:rsid w:val="0053446A"/>
    <w:rsid w:val="005345A3"/>
    <w:rsid w:val="005346B7"/>
    <w:rsid w:val="00534C58"/>
    <w:rsid w:val="00534D74"/>
    <w:rsid w:val="00534E8A"/>
    <w:rsid w:val="0053543E"/>
    <w:rsid w:val="00535B8F"/>
    <w:rsid w:val="00535D24"/>
    <w:rsid w:val="00535D9D"/>
    <w:rsid w:val="00535E07"/>
    <w:rsid w:val="00536206"/>
    <w:rsid w:val="005364D4"/>
    <w:rsid w:val="005368E4"/>
    <w:rsid w:val="00536942"/>
    <w:rsid w:val="00536AF8"/>
    <w:rsid w:val="00536C8E"/>
    <w:rsid w:val="00536DB8"/>
    <w:rsid w:val="00536FF9"/>
    <w:rsid w:val="005372CC"/>
    <w:rsid w:val="0053731B"/>
    <w:rsid w:val="00537465"/>
    <w:rsid w:val="0053779F"/>
    <w:rsid w:val="005377FF"/>
    <w:rsid w:val="00537B11"/>
    <w:rsid w:val="00537D2B"/>
    <w:rsid w:val="00537D81"/>
    <w:rsid w:val="005403FE"/>
    <w:rsid w:val="0054048C"/>
    <w:rsid w:val="0054069B"/>
    <w:rsid w:val="00540914"/>
    <w:rsid w:val="0054095D"/>
    <w:rsid w:val="00540EEF"/>
    <w:rsid w:val="00541089"/>
    <w:rsid w:val="005415C3"/>
    <w:rsid w:val="005415C9"/>
    <w:rsid w:val="00541925"/>
    <w:rsid w:val="00541A2E"/>
    <w:rsid w:val="00541A3F"/>
    <w:rsid w:val="00541A42"/>
    <w:rsid w:val="00541A51"/>
    <w:rsid w:val="00541F0C"/>
    <w:rsid w:val="0054256B"/>
    <w:rsid w:val="00542A75"/>
    <w:rsid w:val="00542A9C"/>
    <w:rsid w:val="00542AE5"/>
    <w:rsid w:val="00542BA1"/>
    <w:rsid w:val="00542FE7"/>
    <w:rsid w:val="005431D8"/>
    <w:rsid w:val="005433F5"/>
    <w:rsid w:val="00543643"/>
    <w:rsid w:val="0054386F"/>
    <w:rsid w:val="00543905"/>
    <w:rsid w:val="00543D4C"/>
    <w:rsid w:val="00543F0F"/>
    <w:rsid w:val="005441C2"/>
    <w:rsid w:val="00544465"/>
    <w:rsid w:val="0054463E"/>
    <w:rsid w:val="0054466B"/>
    <w:rsid w:val="00544683"/>
    <w:rsid w:val="005446CE"/>
    <w:rsid w:val="00544AA7"/>
    <w:rsid w:val="00544AF1"/>
    <w:rsid w:val="00544CF1"/>
    <w:rsid w:val="00544E73"/>
    <w:rsid w:val="00545320"/>
    <w:rsid w:val="0054555C"/>
    <w:rsid w:val="005455A7"/>
    <w:rsid w:val="005455FB"/>
    <w:rsid w:val="00545681"/>
    <w:rsid w:val="005456E8"/>
    <w:rsid w:val="005459B9"/>
    <w:rsid w:val="00545EDF"/>
    <w:rsid w:val="00545F6F"/>
    <w:rsid w:val="005463DF"/>
    <w:rsid w:val="005464A1"/>
    <w:rsid w:val="0054652D"/>
    <w:rsid w:val="00546554"/>
    <w:rsid w:val="00546E0C"/>
    <w:rsid w:val="00546F5D"/>
    <w:rsid w:val="00547348"/>
    <w:rsid w:val="005473C9"/>
    <w:rsid w:val="00547455"/>
    <w:rsid w:val="005474C1"/>
    <w:rsid w:val="005475AE"/>
    <w:rsid w:val="0054781B"/>
    <w:rsid w:val="005478BC"/>
    <w:rsid w:val="00547A0F"/>
    <w:rsid w:val="00547B19"/>
    <w:rsid w:val="00547F64"/>
    <w:rsid w:val="00547F9E"/>
    <w:rsid w:val="0055007D"/>
    <w:rsid w:val="00550171"/>
    <w:rsid w:val="0055056F"/>
    <w:rsid w:val="005507C5"/>
    <w:rsid w:val="00550868"/>
    <w:rsid w:val="00550BE2"/>
    <w:rsid w:val="00550CF5"/>
    <w:rsid w:val="00550F4B"/>
    <w:rsid w:val="005513EE"/>
    <w:rsid w:val="0055144C"/>
    <w:rsid w:val="005515E3"/>
    <w:rsid w:val="0055161E"/>
    <w:rsid w:val="0055186B"/>
    <w:rsid w:val="00551BF1"/>
    <w:rsid w:val="00551C5E"/>
    <w:rsid w:val="00551DC0"/>
    <w:rsid w:val="00551FCC"/>
    <w:rsid w:val="00552041"/>
    <w:rsid w:val="00552201"/>
    <w:rsid w:val="00552306"/>
    <w:rsid w:val="00552432"/>
    <w:rsid w:val="0055247A"/>
    <w:rsid w:val="0055274F"/>
    <w:rsid w:val="00552A1B"/>
    <w:rsid w:val="00552AAB"/>
    <w:rsid w:val="00552B29"/>
    <w:rsid w:val="00552C28"/>
    <w:rsid w:val="00552DB9"/>
    <w:rsid w:val="00552DDD"/>
    <w:rsid w:val="00552F5B"/>
    <w:rsid w:val="0055307C"/>
    <w:rsid w:val="00553175"/>
    <w:rsid w:val="005537B8"/>
    <w:rsid w:val="00553BC5"/>
    <w:rsid w:val="00553D5A"/>
    <w:rsid w:val="00553DA4"/>
    <w:rsid w:val="00553EC9"/>
    <w:rsid w:val="00553FD2"/>
    <w:rsid w:val="00554144"/>
    <w:rsid w:val="005541E0"/>
    <w:rsid w:val="0055451D"/>
    <w:rsid w:val="0055474C"/>
    <w:rsid w:val="00554C01"/>
    <w:rsid w:val="00554CEC"/>
    <w:rsid w:val="00555084"/>
    <w:rsid w:val="005554BD"/>
    <w:rsid w:val="0055558C"/>
    <w:rsid w:val="0055561A"/>
    <w:rsid w:val="00555A11"/>
    <w:rsid w:val="00555F72"/>
    <w:rsid w:val="00556061"/>
    <w:rsid w:val="00556192"/>
    <w:rsid w:val="0055681E"/>
    <w:rsid w:val="00556932"/>
    <w:rsid w:val="00556945"/>
    <w:rsid w:val="005569A9"/>
    <w:rsid w:val="00556AE8"/>
    <w:rsid w:val="00556B51"/>
    <w:rsid w:val="00556CB8"/>
    <w:rsid w:val="00556FB2"/>
    <w:rsid w:val="00556FD0"/>
    <w:rsid w:val="00556FE6"/>
    <w:rsid w:val="0055714C"/>
    <w:rsid w:val="00557324"/>
    <w:rsid w:val="0055753C"/>
    <w:rsid w:val="00557696"/>
    <w:rsid w:val="00557984"/>
    <w:rsid w:val="00557B11"/>
    <w:rsid w:val="00557B21"/>
    <w:rsid w:val="00557D2A"/>
    <w:rsid w:val="00557EE1"/>
    <w:rsid w:val="005602AE"/>
    <w:rsid w:val="00560494"/>
    <w:rsid w:val="00560519"/>
    <w:rsid w:val="005605F7"/>
    <w:rsid w:val="00560735"/>
    <w:rsid w:val="005607F2"/>
    <w:rsid w:val="00560B1B"/>
    <w:rsid w:val="00560EBD"/>
    <w:rsid w:val="0056122D"/>
    <w:rsid w:val="00561238"/>
    <w:rsid w:val="00561331"/>
    <w:rsid w:val="0056168F"/>
    <w:rsid w:val="0056183E"/>
    <w:rsid w:val="005619B0"/>
    <w:rsid w:val="005619C0"/>
    <w:rsid w:val="00561EF9"/>
    <w:rsid w:val="00562423"/>
    <w:rsid w:val="00562635"/>
    <w:rsid w:val="0056274F"/>
    <w:rsid w:val="00562CB5"/>
    <w:rsid w:val="00562CD7"/>
    <w:rsid w:val="00562E6D"/>
    <w:rsid w:val="005633FE"/>
    <w:rsid w:val="005634AB"/>
    <w:rsid w:val="00563512"/>
    <w:rsid w:val="005635E3"/>
    <w:rsid w:val="00563633"/>
    <w:rsid w:val="00563929"/>
    <w:rsid w:val="00563A2A"/>
    <w:rsid w:val="00563DB1"/>
    <w:rsid w:val="00563EB4"/>
    <w:rsid w:val="00564055"/>
    <w:rsid w:val="005643FF"/>
    <w:rsid w:val="0056456B"/>
    <w:rsid w:val="00564775"/>
    <w:rsid w:val="00564A62"/>
    <w:rsid w:val="00564E32"/>
    <w:rsid w:val="00564E43"/>
    <w:rsid w:val="00565073"/>
    <w:rsid w:val="0056509D"/>
    <w:rsid w:val="005654C2"/>
    <w:rsid w:val="00565C04"/>
    <w:rsid w:val="00565D7F"/>
    <w:rsid w:val="00565F30"/>
    <w:rsid w:val="005661B3"/>
    <w:rsid w:val="00566440"/>
    <w:rsid w:val="00566558"/>
    <w:rsid w:val="005668FB"/>
    <w:rsid w:val="00566B57"/>
    <w:rsid w:val="00566B64"/>
    <w:rsid w:val="00566B69"/>
    <w:rsid w:val="00566BE6"/>
    <w:rsid w:val="00566BF9"/>
    <w:rsid w:val="00566DDF"/>
    <w:rsid w:val="00566E42"/>
    <w:rsid w:val="00566F90"/>
    <w:rsid w:val="00567254"/>
    <w:rsid w:val="005674F2"/>
    <w:rsid w:val="00567A4B"/>
    <w:rsid w:val="00567C5C"/>
    <w:rsid w:val="00567D41"/>
    <w:rsid w:val="00567D98"/>
    <w:rsid w:val="00567E93"/>
    <w:rsid w:val="00567F04"/>
    <w:rsid w:val="00567F84"/>
    <w:rsid w:val="00567FF3"/>
    <w:rsid w:val="0056F39E"/>
    <w:rsid w:val="005702F4"/>
    <w:rsid w:val="00570343"/>
    <w:rsid w:val="0057034F"/>
    <w:rsid w:val="005703DF"/>
    <w:rsid w:val="0057049F"/>
    <w:rsid w:val="00570648"/>
    <w:rsid w:val="00570970"/>
    <w:rsid w:val="005709A1"/>
    <w:rsid w:val="00570A96"/>
    <w:rsid w:val="00570B9E"/>
    <w:rsid w:val="00571116"/>
    <w:rsid w:val="00571126"/>
    <w:rsid w:val="005713AF"/>
    <w:rsid w:val="00571521"/>
    <w:rsid w:val="005719B3"/>
    <w:rsid w:val="00571AF2"/>
    <w:rsid w:val="0057213A"/>
    <w:rsid w:val="0057242D"/>
    <w:rsid w:val="00572684"/>
    <w:rsid w:val="0057295A"/>
    <w:rsid w:val="00572966"/>
    <w:rsid w:val="005729BA"/>
    <w:rsid w:val="00572B74"/>
    <w:rsid w:val="00572E87"/>
    <w:rsid w:val="00572EB0"/>
    <w:rsid w:val="00572EB8"/>
    <w:rsid w:val="005731BA"/>
    <w:rsid w:val="00573341"/>
    <w:rsid w:val="00573507"/>
    <w:rsid w:val="005735D0"/>
    <w:rsid w:val="005738DC"/>
    <w:rsid w:val="00573A6D"/>
    <w:rsid w:val="00573C37"/>
    <w:rsid w:val="00573CDD"/>
    <w:rsid w:val="00574356"/>
    <w:rsid w:val="0057440E"/>
    <w:rsid w:val="005745FC"/>
    <w:rsid w:val="00574900"/>
    <w:rsid w:val="005750B3"/>
    <w:rsid w:val="0057512C"/>
    <w:rsid w:val="00575523"/>
    <w:rsid w:val="005756C8"/>
    <w:rsid w:val="00575AC2"/>
    <w:rsid w:val="00575B01"/>
    <w:rsid w:val="00575F04"/>
    <w:rsid w:val="005761CD"/>
    <w:rsid w:val="0057624F"/>
    <w:rsid w:val="00576BAC"/>
    <w:rsid w:val="00576E1D"/>
    <w:rsid w:val="00576E95"/>
    <w:rsid w:val="0057704B"/>
    <w:rsid w:val="0057707C"/>
    <w:rsid w:val="00577531"/>
    <w:rsid w:val="00577801"/>
    <w:rsid w:val="0057783C"/>
    <w:rsid w:val="00577CBC"/>
    <w:rsid w:val="00577D36"/>
    <w:rsid w:val="00577EF1"/>
    <w:rsid w:val="00580B1A"/>
    <w:rsid w:val="00580FD3"/>
    <w:rsid w:val="005812B9"/>
    <w:rsid w:val="00581398"/>
    <w:rsid w:val="0058167B"/>
    <w:rsid w:val="0058185A"/>
    <w:rsid w:val="005818DB"/>
    <w:rsid w:val="00581927"/>
    <w:rsid w:val="00581952"/>
    <w:rsid w:val="00581AE2"/>
    <w:rsid w:val="00582146"/>
    <w:rsid w:val="005823B5"/>
    <w:rsid w:val="00582540"/>
    <w:rsid w:val="005827E6"/>
    <w:rsid w:val="005828D7"/>
    <w:rsid w:val="00582A59"/>
    <w:rsid w:val="00582BBC"/>
    <w:rsid w:val="00582D06"/>
    <w:rsid w:val="00582E72"/>
    <w:rsid w:val="005833CA"/>
    <w:rsid w:val="005833DC"/>
    <w:rsid w:val="005835CD"/>
    <w:rsid w:val="005837A2"/>
    <w:rsid w:val="00583963"/>
    <w:rsid w:val="00583B30"/>
    <w:rsid w:val="00583D11"/>
    <w:rsid w:val="00583D3B"/>
    <w:rsid w:val="00583E50"/>
    <w:rsid w:val="00583E9F"/>
    <w:rsid w:val="00583FAE"/>
    <w:rsid w:val="005840E0"/>
    <w:rsid w:val="005840F1"/>
    <w:rsid w:val="00584234"/>
    <w:rsid w:val="00584303"/>
    <w:rsid w:val="00584332"/>
    <w:rsid w:val="0058451B"/>
    <w:rsid w:val="00584796"/>
    <w:rsid w:val="005848F5"/>
    <w:rsid w:val="00584B39"/>
    <w:rsid w:val="00584CC9"/>
    <w:rsid w:val="00584DAB"/>
    <w:rsid w:val="00584E2A"/>
    <w:rsid w:val="00584ED9"/>
    <w:rsid w:val="00584EDD"/>
    <w:rsid w:val="00585042"/>
    <w:rsid w:val="005850A0"/>
    <w:rsid w:val="00585495"/>
    <w:rsid w:val="0058549D"/>
    <w:rsid w:val="00585A52"/>
    <w:rsid w:val="00585AE4"/>
    <w:rsid w:val="00585ED0"/>
    <w:rsid w:val="00586761"/>
    <w:rsid w:val="00586902"/>
    <w:rsid w:val="00586920"/>
    <w:rsid w:val="00586986"/>
    <w:rsid w:val="00586A7B"/>
    <w:rsid w:val="00586A89"/>
    <w:rsid w:val="00586BDD"/>
    <w:rsid w:val="00586CE0"/>
    <w:rsid w:val="00586D2F"/>
    <w:rsid w:val="00586D8C"/>
    <w:rsid w:val="00587343"/>
    <w:rsid w:val="005876F8"/>
    <w:rsid w:val="00587818"/>
    <w:rsid w:val="00587971"/>
    <w:rsid w:val="00587A65"/>
    <w:rsid w:val="00587A70"/>
    <w:rsid w:val="00587F2D"/>
    <w:rsid w:val="00587FB3"/>
    <w:rsid w:val="0058ECD5"/>
    <w:rsid w:val="0059003A"/>
    <w:rsid w:val="005903B2"/>
    <w:rsid w:val="00590773"/>
    <w:rsid w:val="00590C13"/>
    <w:rsid w:val="00591035"/>
    <w:rsid w:val="0059161B"/>
    <w:rsid w:val="00591624"/>
    <w:rsid w:val="005919D2"/>
    <w:rsid w:val="00591C19"/>
    <w:rsid w:val="00591CC6"/>
    <w:rsid w:val="00591EEB"/>
    <w:rsid w:val="005929D2"/>
    <w:rsid w:val="0059324E"/>
    <w:rsid w:val="00593C54"/>
    <w:rsid w:val="00593C88"/>
    <w:rsid w:val="005940AB"/>
    <w:rsid w:val="0059463F"/>
    <w:rsid w:val="005949C1"/>
    <w:rsid w:val="00594A53"/>
    <w:rsid w:val="00594A82"/>
    <w:rsid w:val="00594BA7"/>
    <w:rsid w:val="00594E7C"/>
    <w:rsid w:val="00594F7A"/>
    <w:rsid w:val="005950E2"/>
    <w:rsid w:val="00595175"/>
    <w:rsid w:val="005951F7"/>
    <w:rsid w:val="005954BD"/>
    <w:rsid w:val="0059568F"/>
    <w:rsid w:val="005959EF"/>
    <w:rsid w:val="00595BC5"/>
    <w:rsid w:val="00595F37"/>
    <w:rsid w:val="00595FBF"/>
    <w:rsid w:val="005961B6"/>
    <w:rsid w:val="005963AF"/>
    <w:rsid w:val="005965AE"/>
    <w:rsid w:val="005969C0"/>
    <w:rsid w:val="00596AE2"/>
    <w:rsid w:val="00596C6C"/>
    <w:rsid w:val="00596DF0"/>
    <w:rsid w:val="00596FA1"/>
    <w:rsid w:val="0059733E"/>
    <w:rsid w:val="005974CE"/>
    <w:rsid w:val="00597BFC"/>
    <w:rsid w:val="00597F89"/>
    <w:rsid w:val="005A0039"/>
    <w:rsid w:val="005A005A"/>
    <w:rsid w:val="005A016F"/>
    <w:rsid w:val="005A07FD"/>
    <w:rsid w:val="005A0885"/>
    <w:rsid w:val="005A0D6D"/>
    <w:rsid w:val="005A0DA5"/>
    <w:rsid w:val="005A0FAC"/>
    <w:rsid w:val="005A110C"/>
    <w:rsid w:val="005A1973"/>
    <w:rsid w:val="005A1E73"/>
    <w:rsid w:val="005A20AF"/>
    <w:rsid w:val="005A236B"/>
    <w:rsid w:val="005A2535"/>
    <w:rsid w:val="005A25F3"/>
    <w:rsid w:val="005A25F9"/>
    <w:rsid w:val="005A26E2"/>
    <w:rsid w:val="005A2746"/>
    <w:rsid w:val="005A29DF"/>
    <w:rsid w:val="005A2BA5"/>
    <w:rsid w:val="005A2D58"/>
    <w:rsid w:val="005A3104"/>
    <w:rsid w:val="005A3283"/>
    <w:rsid w:val="005A3993"/>
    <w:rsid w:val="005A3AFA"/>
    <w:rsid w:val="005A3B68"/>
    <w:rsid w:val="005A3CC1"/>
    <w:rsid w:val="005A3D90"/>
    <w:rsid w:val="005A3FD2"/>
    <w:rsid w:val="005A40B5"/>
    <w:rsid w:val="005A41FC"/>
    <w:rsid w:val="005A4265"/>
    <w:rsid w:val="005A4380"/>
    <w:rsid w:val="005A44AF"/>
    <w:rsid w:val="005A44CD"/>
    <w:rsid w:val="005A466B"/>
    <w:rsid w:val="005A478A"/>
    <w:rsid w:val="005A494E"/>
    <w:rsid w:val="005A5225"/>
    <w:rsid w:val="005A541B"/>
    <w:rsid w:val="005A5464"/>
    <w:rsid w:val="005A5A1C"/>
    <w:rsid w:val="005A5A44"/>
    <w:rsid w:val="005A5AF0"/>
    <w:rsid w:val="005A5BBC"/>
    <w:rsid w:val="005A5FC2"/>
    <w:rsid w:val="005A618C"/>
    <w:rsid w:val="005A649A"/>
    <w:rsid w:val="005A65B6"/>
    <w:rsid w:val="005A682B"/>
    <w:rsid w:val="005A6BBB"/>
    <w:rsid w:val="005A6E27"/>
    <w:rsid w:val="005A71B4"/>
    <w:rsid w:val="005A73D6"/>
    <w:rsid w:val="005A788F"/>
    <w:rsid w:val="005A7AAE"/>
    <w:rsid w:val="005A7E36"/>
    <w:rsid w:val="005A7E9B"/>
    <w:rsid w:val="005A7FBE"/>
    <w:rsid w:val="005B00A9"/>
    <w:rsid w:val="005B013F"/>
    <w:rsid w:val="005B0357"/>
    <w:rsid w:val="005B0510"/>
    <w:rsid w:val="005B0608"/>
    <w:rsid w:val="005B0745"/>
    <w:rsid w:val="005B09CA"/>
    <w:rsid w:val="005B0B96"/>
    <w:rsid w:val="005B0E0B"/>
    <w:rsid w:val="005B0F3B"/>
    <w:rsid w:val="005B1120"/>
    <w:rsid w:val="005B11F8"/>
    <w:rsid w:val="005B14B8"/>
    <w:rsid w:val="005B14BD"/>
    <w:rsid w:val="005B181D"/>
    <w:rsid w:val="005B186D"/>
    <w:rsid w:val="005B1880"/>
    <w:rsid w:val="005B1AD6"/>
    <w:rsid w:val="005B1ADE"/>
    <w:rsid w:val="005B20E6"/>
    <w:rsid w:val="005B213B"/>
    <w:rsid w:val="005B21FB"/>
    <w:rsid w:val="005B22B5"/>
    <w:rsid w:val="005B2420"/>
    <w:rsid w:val="005B26A1"/>
    <w:rsid w:val="005B2872"/>
    <w:rsid w:val="005B2944"/>
    <w:rsid w:val="005B2A64"/>
    <w:rsid w:val="005B32B5"/>
    <w:rsid w:val="005B32C6"/>
    <w:rsid w:val="005B3361"/>
    <w:rsid w:val="005B33A0"/>
    <w:rsid w:val="005B33A6"/>
    <w:rsid w:val="005B37DF"/>
    <w:rsid w:val="005B3885"/>
    <w:rsid w:val="005B3BAF"/>
    <w:rsid w:val="005B3D6B"/>
    <w:rsid w:val="005B3E02"/>
    <w:rsid w:val="005B3E6C"/>
    <w:rsid w:val="005B3F3C"/>
    <w:rsid w:val="005B3FEB"/>
    <w:rsid w:val="005B41C0"/>
    <w:rsid w:val="005B41E1"/>
    <w:rsid w:val="005B426E"/>
    <w:rsid w:val="005B467D"/>
    <w:rsid w:val="005B4BCC"/>
    <w:rsid w:val="005B4BD0"/>
    <w:rsid w:val="005B500B"/>
    <w:rsid w:val="005B52E8"/>
    <w:rsid w:val="005B53D9"/>
    <w:rsid w:val="005B5735"/>
    <w:rsid w:val="005B57EE"/>
    <w:rsid w:val="005B5B65"/>
    <w:rsid w:val="005B6415"/>
    <w:rsid w:val="005B67A8"/>
    <w:rsid w:val="005B68C0"/>
    <w:rsid w:val="005B68F9"/>
    <w:rsid w:val="005B6B7F"/>
    <w:rsid w:val="005B6BF4"/>
    <w:rsid w:val="005B6CEC"/>
    <w:rsid w:val="005B6D71"/>
    <w:rsid w:val="005B6E18"/>
    <w:rsid w:val="005B70CD"/>
    <w:rsid w:val="005B7324"/>
    <w:rsid w:val="005B7402"/>
    <w:rsid w:val="005B746D"/>
    <w:rsid w:val="005B748E"/>
    <w:rsid w:val="005B787F"/>
    <w:rsid w:val="005B7C36"/>
    <w:rsid w:val="005B7CFF"/>
    <w:rsid w:val="005B7F33"/>
    <w:rsid w:val="005C0007"/>
    <w:rsid w:val="005C048B"/>
    <w:rsid w:val="005C07A1"/>
    <w:rsid w:val="005C09AA"/>
    <w:rsid w:val="005C0AA0"/>
    <w:rsid w:val="005C1117"/>
    <w:rsid w:val="005C11B8"/>
    <w:rsid w:val="005C122C"/>
    <w:rsid w:val="005C13AE"/>
    <w:rsid w:val="005C171B"/>
    <w:rsid w:val="005C18E3"/>
    <w:rsid w:val="005C1A36"/>
    <w:rsid w:val="005C1D4C"/>
    <w:rsid w:val="005C1DAC"/>
    <w:rsid w:val="005C1DB0"/>
    <w:rsid w:val="005C207F"/>
    <w:rsid w:val="005C22A0"/>
    <w:rsid w:val="005C2431"/>
    <w:rsid w:val="005C2441"/>
    <w:rsid w:val="005C2D3D"/>
    <w:rsid w:val="005C3058"/>
    <w:rsid w:val="005C305F"/>
    <w:rsid w:val="005C3096"/>
    <w:rsid w:val="005C31AB"/>
    <w:rsid w:val="005C34CB"/>
    <w:rsid w:val="005C35E2"/>
    <w:rsid w:val="005C394D"/>
    <w:rsid w:val="005C3FB6"/>
    <w:rsid w:val="005C42AD"/>
    <w:rsid w:val="005C4409"/>
    <w:rsid w:val="005C440D"/>
    <w:rsid w:val="005C495C"/>
    <w:rsid w:val="005C4A66"/>
    <w:rsid w:val="005C4B69"/>
    <w:rsid w:val="005C4E96"/>
    <w:rsid w:val="005C4ED3"/>
    <w:rsid w:val="005C55D9"/>
    <w:rsid w:val="005C5674"/>
    <w:rsid w:val="005C5BB1"/>
    <w:rsid w:val="005C5E51"/>
    <w:rsid w:val="005C5F59"/>
    <w:rsid w:val="005C6019"/>
    <w:rsid w:val="005C61DE"/>
    <w:rsid w:val="005C6277"/>
    <w:rsid w:val="005C639D"/>
    <w:rsid w:val="005C67CF"/>
    <w:rsid w:val="005C69E6"/>
    <w:rsid w:val="005C6B86"/>
    <w:rsid w:val="005C6EA8"/>
    <w:rsid w:val="005C7045"/>
    <w:rsid w:val="005C706B"/>
    <w:rsid w:val="005C731D"/>
    <w:rsid w:val="005C7490"/>
    <w:rsid w:val="005C76B7"/>
    <w:rsid w:val="005C7747"/>
    <w:rsid w:val="005C775D"/>
    <w:rsid w:val="005C7A5C"/>
    <w:rsid w:val="005C7CDB"/>
    <w:rsid w:val="005C7EAE"/>
    <w:rsid w:val="005D04F9"/>
    <w:rsid w:val="005D080B"/>
    <w:rsid w:val="005D0BE5"/>
    <w:rsid w:val="005D0EA7"/>
    <w:rsid w:val="005D11C0"/>
    <w:rsid w:val="005D16E2"/>
    <w:rsid w:val="005D1801"/>
    <w:rsid w:val="005D1B7F"/>
    <w:rsid w:val="005D1D30"/>
    <w:rsid w:val="005D1EDB"/>
    <w:rsid w:val="005D1FC3"/>
    <w:rsid w:val="005D2256"/>
    <w:rsid w:val="005D23FE"/>
    <w:rsid w:val="005D2484"/>
    <w:rsid w:val="005D2568"/>
    <w:rsid w:val="005D2768"/>
    <w:rsid w:val="005D285B"/>
    <w:rsid w:val="005D2891"/>
    <w:rsid w:val="005D2A80"/>
    <w:rsid w:val="005D2CBE"/>
    <w:rsid w:val="005D2F51"/>
    <w:rsid w:val="005D3283"/>
    <w:rsid w:val="005D3936"/>
    <w:rsid w:val="005D3D41"/>
    <w:rsid w:val="005D428A"/>
    <w:rsid w:val="005D42CC"/>
    <w:rsid w:val="005D456E"/>
    <w:rsid w:val="005D45D8"/>
    <w:rsid w:val="005D48C3"/>
    <w:rsid w:val="005D4F87"/>
    <w:rsid w:val="005D5323"/>
    <w:rsid w:val="005D535C"/>
    <w:rsid w:val="005D553D"/>
    <w:rsid w:val="005D56FC"/>
    <w:rsid w:val="005D587A"/>
    <w:rsid w:val="005D5895"/>
    <w:rsid w:val="005D63C5"/>
    <w:rsid w:val="005D6838"/>
    <w:rsid w:val="005D690E"/>
    <w:rsid w:val="005D6928"/>
    <w:rsid w:val="005D6B79"/>
    <w:rsid w:val="005D7487"/>
    <w:rsid w:val="005D7562"/>
    <w:rsid w:val="005D7627"/>
    <w:rsid w:val="005D7985"/>
    <w:rsid w:val="005D7A0E"/>
    <w:rsid w:val="005D7A6A"/>
    <w:rsid w:val="005D7C08"/>
    <w:rsid w:val="005D7E90"/>
    <w:rsid w:val="005E00E8"/>
    <w:rsid w:val="005E023D"/>
    <w:rsid w:val="005E025F"/>
    <w:rsid w:val="005E06FE"/>
    <w:rsid w:val="005E0744"/>
    <w:rsid w:val="005E0A81"/>
    <w:rsid w:val="005E0C30"/>
    <w:rsid w:val="005E122A"/>
    <w:rsid w:val="005E125B"/>
    <w:rsid w:val="005E133A"/>
    <w:rsid w:val="005E134F"/>
    <w:rsid w:val="005E14AE"/>
    <w:rsid w:val="005E152B"/>
    <w:rsid w:val="005E159B"/>
    <w:rsid w:val="005E161B"/>
    <w:rsid w:val="005E165E"/>
    <w:rsid w:val="005E169D"/>
    <w:rsid w:val="005E1852"/>
    <w:rsid w:val="005E19DC"/>
    <w:rsid w:val="005E1DDE"/>
    <w:rsid w:val="005E2132"/>
    <w:rsid w:val="005E22F4"/>
    <w:rsid w:val="005E23FF"/>
    <w:rsid w:val="005E258C"/>
    <w:rsid w:val="005E274C"/>
    <w:rsid w:val="005E2772"/>
    <w:rsid w:val="005E27ED"/>
    <w:rsid w:val="005E2914"/>
    <w:rsid w:val="005E2BBD"/>
    <w:rsid w:val="005E3086"/>
    <w:rsid w:val="005E34DF"/>
    <w:rsid w:val="005E34E1"/>
    <w:rsid w:val="005E360C"/>
    <w:rsid w:val="005E3962"/>
    <w:rsid w:val="005E3BCA"/>
    <w:rsid w:val="005E3EFB"/>
    <w:rsid w:val="005E43CA"/>
    <w:rsid w:val="005E494E"/>
    <w:rsid w:val="005E496A"/>
    <w:rsid w:val="005E4C71"/>
    <w:rsid w:val="005E51F6"/>
    <w:rsid w:val="005E52A6"/>
    <w:rsid w:val="005E52BD"/>
    <w:rsid w:val="005E533F"/>
    <w:rsid w:val="005E567A"/>
    <w:rsid w:val="005E593B"/>
    <w:rsid w:val="005E60C9"/>
    <w:rsid w:val="005E6210"/>
    <w:rsid w:val="005E648A"/>
    <w:rsid w:val="005E64B9"/>
    <w:rsid w:val="005E66AE"/>
    <w:rsid w:val="005E681C"/>
    <w:rsid w:val="005E69DD"/>
    <w:rsid w:val="005E6BCA"/>
    <w:rsid w:val="005E6C00"/>
    <w:rsid w:val="005E6E44"/>
    <w:rsid w:val="005E6E9F"/>
    <w:rsid w:val="005E6F24"/>
    <w:rsid w:val="005E6F85"/>
    <w:rsid w:val="005E7073"/>
    <w:rsid w:val="005E7247"/>
    <w:rsid w:val="005E7277"/>
    <w:rsid w:val="005E7832"/>
    <w:rsid w:val="005E79D0"/>
    <w:rsid w:val="005E79F7"/>
    <w:rsid w:val="005E7D8A"/>
    <w:rsid w:val="005E7E94"/>
    <w:rsid w:val="005E7FE8"/>
    <w:rsid w:val="005F000B"/>
    <w:rsid w:val="005F0100"/>
    <w:rsid w:val="005F03C9"/>
    <w:rsid w:val="005F03CA"/>
    <w:rsid w:val="005F0CCC"/>
    <w:rsid w:val="005F0CF5"/>
    <w:rsid w:val="005F0EED"/>
    <w:rsid w:val="005F0F1D"/>
    <w:rsid w:val="005F0F4A"/>
    <w:rsid w:val="005F0F8C"/>
    <w:rsid w:val="005F0FB0"/>
    <w:rsid w:val="005F11E5"/>
    <w:rsid w:val="005F148B"/>
    <w:rsid w:val="005F15E2"/>
    <w:rsid w:val="005F16DE"/>
    <w:rsid w:val="005F17A8"/>
    <w:rsid w:val="005F17DE"/>
    <w:rsid w:val="005F1E43"/>
    <w:rsid w:val="005F1E54"/>
    <w:rsid w:val="005F20A1"/>
    <w:rsid w:val="005F214D"/>
    <w:rsid w:val="005F2188"/>
    <w:rsid w:val="005F227C"/>
    <w:rsid w:val="005F2474"/>
    <w:rsid w:val="005F2702"/>
    <w:rsid w:val="005F272A"/>
    <w:rsid w:val="005F2794"/>
    <w:rsid w:val="005F29AE"/>
    <w:rsid w:val="005F2A23"/>
    <w:rsid w:val="005F2AF1"/>
    <w:rsid w:val="005F32B9"/>
    <w:rsid w:val="005F3330"/>
    <w:rsid w:val="005F3FC8"/>
    <w:rsid w:val="005F3FDB"/>
    <w:rsid w:val="005F438D"/>
    <w:rsid w:val="005F441B"/>
    <w:rsid w:val="005F443D"/>
    <w:rsid w:val="005F4467"/>
    <w:rsid w:val="005F4682"/>
    <w:rsid w:val="005F487B"/>
    <w:rsid w:val="005F507E"/>
    <w:rsid w:val="005F50B1"/>
    <w:rsid w:val="005F5326"/>
    <w:rsid w:val="005F5764"/>
    <w:rsid w:val="005F57A9"/>
    <w:rsid w:val="005F5821"/>
    <w:rsid w:val="005F5E73"/>
    <w:rsid w:val="005F613B"/>
    <w:rsid w:val="005F61CA"/>
    <w:rsid w:val="005F648C"/>
    <w:rsid w:val="005F6515"/>
    <w:rsid w:val="005F6632"/>
    <w:rsid w:val="005F6633"/>
    <w:rsid w:val="005F6767"/>
    <w:rsid w:val="005F6860"/>
    <w:rsid w:val="005F6B80"/>
    <w:rsid w:val="005F6FE7"/>
    <w:rsid w:val="005F70EE"/>
    <w:rsid w:val="005F7C2E"/>
    <w:rsid w:val="005F7FA0"/>
    <w:rsid w:val="00600132"/>
    <w:rsid w:val="006004F0"/>
    <w:rsid w:val="00600538"/>
    <w:rsid w:val="00600AC2"/>
    <w:rsid w:val="00600ED0"/>
    <w:rsid w:val="00601261"/>
    <w:rsid w:val="006016E7"/>
    <w:rsid w:val="00601730"/>
    <w:rsid w:val="006017A3"/>
    <w:rsid w:val="00601A1D"/>
    <w:rsid w:val="00601E37"/>
    <w:rsid w:val="00601EAA"/>
    <w:rsid w:val="00601EDE"/>
    <w:rsid w:val="00602054"/>
    <w:rsid w:val="00602212"/>
    <w:rsid w:val="00602496"/>
    <w:rsid w:val="0060256A"/>
    <w:rsid w:val="00602600"/>
    <w:rsid w:val="0060271D"/>
    <w:rsid w:val="006027CE"/>
    <w:rsid w:val="006028E5"/>
    <w:rsid w:val="00602997"/>
    <w:rsid w:val="00602B26"/>
    <w:rsid w:val="00602BF4"/>
    <w:rsid w:val="00602C48"/>
    <w:rsid w:val="00602D5D"/>
    <w:rsid w:val="00603234"/>
    <w:rsid w:val="00603373"/>
    <w:rsid w:val="006033B3"/>
    <w:rsid w:val="006034E2"/>
    <w:rsid w:val="006035F9"/>
    <w:rsid w:val="006036C1"/>
    <w:rsid w:val="00603748"/>
    <w:rsid w:val="006038FB"/>
    <w:rsid w:val="00603B48"/>
    <w:rsid w:val="00603C12"/>
    <w:rsid w:val="00603FFC"/>
    <w:rsid w:val="00604032"/>
    <w:rsid w:val="006040CD"/>
    <w:rsid w:val="00604217"/>
    <w:rsid w:val="0060441D"/>
    <w:rsid w:val="0060444E"/>
    <w:rsid w:val="0060445E"/>
    <w:rsid w:val="00604577"/>
    <w:rsid w:val="006049F9"/>
    <w:rsid w:val="00604A78"/>
    <w:rsid w:val="00604C1C"/>
    <w:rsid w:val="00604E50"/>
    <w:rsid w:val="00604E55"/>
    <w:rsid w:val="00605304"/>
    <w:rsid w:val="00605341"/>
    <w:rsid w:val="00605495"/>
    <w:rsid w:val="006060A3"/>
    <w:rsid w:val="00606193"/>
    <w:rsid w:val="00606AE2"/>
    <w:rsid w:val="00606BD8"/>
    <w:rsid w:val="00606FEC"/>
    <w:rsid w:val="0060706D"/>
    <w:rsid w:val="0060709C"/>
    <w:rsid w:val="00607318"/>
    <w:rsid w:val="00607A38"/>
    <w:rsid w:val="00607BC6"/>
    <w:rsid w:val="0061000F"/>
    <w:rsid w:val="0061037C"/>
    <w:rsid w:val="00610819"/>
    <w:rsid w:val="00610AC8"/>
    <w:rsid w:val="00610BD1"/>
    <w:rsid w:val="006110EA"/>
    <w:rsid w:val="00611177"/>
    <w:rsid w:val="00611472"/>
    <w:rsid w:val="00611473"/>
    <w:rsid w:val="0061160A"/>
    <w:rsid w:val="006118EA"/>
    <w:rsid w:val="006119C2"/>
    <w:rsid w:val="00611AF8"/>
    <w:rsid w:val="00611E9B"/>
    <w:rsid w:val="00611FAE"/>
    <w:rsid w:val="006121C0"/>
    <w:rsid w:val="0061221A"/>
    <w:rsid w:val="0061284E"/>
    <w:rsid w:val="00612A0D"/>
    <w:rsid w:val="00612BD4"/>
    <w:rsid w:val="006135B4"/>
    <w:rsid w:val="00613738"/>
    <w:rsid w:val="00613822"/>
    <w:rsid w:val="00613BF3"/>
    <w:rsid w:val="00613CE8"/>
    <w:rsid w:val="00613E31"/>
    <w:rsid w:val="006143BE"/>
    <w:rsid w:val="00614941"/>
    <w:rsid w:val="00614C08"/>
    <w:rsid w:val="00615236"/>
    <w:rsid w:val="006156F9"/>
    <w:rsid w:val="00615A16"/>
    <w:rsid w:val="00615AC8"/>
    <w:rsid w:val="00615E33"/>
    <w:rsid w:val="00615F8A"/>
    <w:rsid w:val="006165A5"/>
    <w:rsid w:val="006166E2"/>
    <w:rsid w:val="00616773"/>
    <w:rsid w:val="006167B8"/>
    <w:rsid w:val="00616893"/>
    <w:rsid w:val="00616B9B"/>
    <w:rsid w:val="00616EF9"/>
    <w:rsid w:val="006170B2"/>
    <w:rsid w:val="006170C5"/>
    <w:rsid w:val="006170F2"/>
    <w:rsid w:val="0061737D"/>
    <w:rsid w:val="00617452"/>
    <w:rsid w:val="0061792F"/>
    <w:rsid w:val="006179D4"/>
    <w:rsid w:val="00617B71"/>
    <w:rsid w:val="00617F90"/>
    <w:rsid w:val="00620487"/>
    <w:rsid w:val="0062072B"/>
    <w:rsid w:val="0062076E"/>
    <w:rsid w:val="00620828"/>
    <w:rsid w:val="006208E6"/>
    <w:rsid w:val="006208FF"/>
    <w:rsid w:val="00620A84"/>
    <w:rsid w:val="00620D3D"/>
    <w:rsid w:val="00621072"/>
    <w:rsid w:val="006212A9"/>
    <w:rsid w:val="006212DD"/>
    <w:rsid w:val="00621372"/>
    <w:rsid w:val="00621591"/>
    <w:rsid w:val="006215A1"/>
    <w:rsid w:val="006215A3"/>
    <w:rsid w:val="006216AC"/>
    <w:rsid w:val="00621BE4"/>
    <w:rsid w:val="00621E9F"/>
    <w:rsid w:val="0062207B"/>
    <w:rsid w:val="0062238B"/>
    <w:rsid w:val="00622507"/>
    <w:rsid w:val="00622946"/>
    <w:rsid w:val="006229B0"/>
    <w:rsid w:val="00622AE1"/>
    <w:rsid w:val="00622B20"/>
    <w:rsid w:val="00622C1F"/>
    <w:rsid w:val="00622C27"/>
    <w:rsid w:val="00622CD5"/>
    <w:rsid w:val="006230A3"/>
    <w:rsid w:val="00623AE9"/>
    <w:rsid w:val="00623B7B"/>
    <w:rsid w:val="006242A5"/>
    <w:rsid w:val="006246A9"/>
    <w:rsid w:val="006248C8"/>
    <w:rsid w:val="00624C47"/>
    <w:rsid w:val="0062517A"/>
    <w:rsid w:val="0062527E"/>
    <w:rsid w:val="00625371"/>
    <w:rsid w:val="00625500"/>
    <w:rsid w:val="00625530"/>
    <w:rsid w:val="00625601"/>
    <w:rsid w:val="00625A37"/>
    <w:rsid w:val="00625AD3"/>
    <w:rsid w:val="00625B10"/>
    <w:rsid w:val="00625B45"/>
    <w:rsid w:val="00625BC4"/>
    <w:rsid w:val="006263C1"/>
    <w:rsid w:val="00626470"/>
    <w:rsid w:val="006267F6"/>
    <w:rsid w:val="00626985"/>
    <w:rsid w:val="006269C3"/>
    <w:rsid w:val="00626C31"/>
    <w:rsid w:val="00627010"/>
    <w:rsid w:val="006270E7"/>
    <w:rsid w:val="00627118"/>
    <w:rsid w:val="006272E6"/>
    <w:rsid w:val="00627335"/>
    <w:rsid w:val="00627387"/>
    <w:rsid w:val="0062753A"/>
    <w:rsid w:val="00627544"/>
    <w:rsid w:val="006276E2"/>
    <w:rsid w:val="006278CB"/>
    <w:rsid w:val="0062796D"/>
    <w:rsid w:val="00627CE0"/>
    <w:rsid w:val="00627CE6"/>
    <w:rsid w:val="006300B5"/>
    <w:rsid w:val="006300C2"/>
    <w:rsid w:val="00630321"/>
    <w:rsid w:val="006304BC"/>
    <w:rsid w:val="006304E4"/>
    <w:rsid w:val="00630806"/>
    <w:rsid w:val="0063096A"/>
    <w:rsid w:val="00630A34"/>
    <w:rsid w:val="00630DC2"/>
    <w:rsid w:val="00630F33"/>
    <w:rsid w:val="0063116F"/>
    <w:rsid w:val="00631388"/>
    <w:rsid w:val="00631465"/>
    <w:rsid w:val="00631534"/>
    <w:rsid w:val="0063155B"/>
    <w:rsid w:val="0063173E"/>
    <w:rsid w:val="00631907"/>
    <w:rsid w:val="00631AF0"/>
    <w:rsid w:val="00631E51"/>
    <w:rsid w:val="00632307"/>
    <w:rsid w:val="006324E9"/>
    <w:rsid w:val="00632561"/>
    <w:rsid w:val="00632563"/>
    <w:rsid w:val="00632D85"/>
    <w:rsid w:val="00633071"/>
    <w:rsid w:val="006332E7"/>
    <w:rsid w:val="006335D6"/>
    <w:rsid w:val="006338D9"/>
    <w:rsid w:val="0063393A"/>
    <w:rsid w:val="0063393D"/>
    <w:rsid w:val="00633FD1"/>
    <w:rsid w:val="00634053"/>
    <w:rsid w:val="00634148"/>
    <w:rsid w:val="00634513"/>
    <w:rsid w:val="006345C5"/>
    <w:rsid w:val="00634617"/>
    <w:rsid w:val="0063464D"/>
    <w:rsid w:val="00634B08"/>
    <w:rsid w:val="00634B6A"/>
    <w:rsid w:val="00634C91"/>
    <w:rsid w:val="00634E23"/>
    <w:rsid w:val="00634FA8"/>
    <w:rsid w:val="006350D5"/>
    <w:rsid w:val="006351A5"/>
    <w:rsid w:val="00635451"/>
    <w:rsid w:val="0063565A"/>
    <w:rsid w:val="00635741"/>
    <w:rsid w:val="00635827"/>
    <w:rsid w:val="006359AB"/>
    <w:rsid w:val="00635AF3"/>
    <w:rsid w:val="00635C91"/>
    <w:rsid w:val="00635D94"/>
    <w:rsid w:val="006363AF"/>
    <w:rsid w:val="006365D0"/>
    <w:rsid w:val="00636ADE"/>
    <w:rsid w:val="00636AF8"/>
    <w:rsid w:val="00636BA1"/>
    <w:rsid w:val="00636F40"/>
    <w:rsid w:val="00637598"/>
    <w:rsid w:val="006377D6"/>
    <w:rsid w:val="00637A8D"/>
    <w:rsid w:val="00637A98"/>
    <w:rsid w:val="006402C4"/>
    <w:rsid w:val="0064078D"/>
    <w:rsid w:val="00640CC6"/>
    <w:rsid w:val="00641160"/>
    <w:rsid w:val="006411DF"/>
    <w:rsid w:val="0064135C"/>
    <w:rsid w:val="006414C5"/>
    <w:rsid w:val="006415B9"/>
    <w:rsid w:val="00641965"/>
    <w:rsid w:val="00641B34"/>
    <w:rsid w:val="00641D81"/>
    <w:rsid w:val="00641EC3"/>
    <w:rsid w:val="0064245F"/>
    <w:rsid w:val="006424C4"/>
    <w:rsid w:val="00642F0C"/>
    <w:rsid w:val="00642F29"/>
    <w:rsid w:val="00642FE9"/>
    <w:rsid w:val="006430C8"/>
    <w:rsid w:val="006431C1"/>
    <w:rsid w:val="006431F1"/>
    <w:rsid w:val="0064338B"/>
    <w:rsid w:val="006434DE"/>
    <w:rsid w:val="006439B9"/>
    <w:rsid w:val="00643A2A"/>
    <w:rsid w:val="00643B2D"/>
    <w:rsid w:val="00643BDF"/>
    <w:rsid w:val="00643C4D"/>
    <w:rsid w:val="00643E0A"/>
    <w:rsid w:val="00643E7A"/>
    <w:rsid w:val="00644014"/>
    <w:rsid w:val="006441FF"/>
    <w:rsid w:val="0064457E"/>
    <w:rsid w:val="006445A1"/>
    <w:rsid w:val="00644748"/>
    <w:rsid w:val="00644CD9"/>
    <w:rsid w:val="00644D34"/>
    <w:rsid w:val="00644D90"/>
    <w:rsid w:val="00644DB8"/>
    <w:rsid w:val="0064502E"/>
    <w:rsid w:val="006457C4"/>
    <w:rsid w:val="00645827"/>
    <w:rsid w:val="00645907"/>
    <w:rsid w:val="00645A2F"/>
    <w:rsid w:val="00645AE7"/>
    <w:rsid w:val="00645AF4"/>
    <w:rsid w:val="00646362"/>
    <w:rsid w:val="006469D9"/>
    <w:rsid w:val="00646EBC"/>
    <w:rsid w:val="00646F3D"/>
    <w:rsid w:val="006472F4"/>
    <w:rsid w:val="0064740B"/>
    <w:rsid w:val="00647593"/>
    <w:rsid w:val="00647758"/>
    <w:rsid w:val="00647A78"/>
    <w:rsid w:val="00647CF1"/>
    <w:rsid w:val="00647E4B"/>
    <w:rsid w:val="00647F62"/>
    <w:rsid w:val="006507BE"/>
    <w:rsid w:val="00650A81"/>
    <w:rsid w:val="00650CD6"/>
    <w:rsid w:val="00650F48"/>
    <w:rsid w:val="00650F75"/>
    <w:rsid w:val="0065118E"/>
    <w:rsid w:val="006514FB"/>
    <w:rsid w:val="00651582"/>
    <w:rsid w:val="006515D3"/>
    <w:rsid w:val="0065165E"/>
    <w:rsid w:val="00651835"/>
    <w:rsid w:val="00651967"/>
    <w:rsid w:val="00651A22"/>
    <w:rsid w:val="00651A70"/>
    <w:rsid w:val="00651CF7"/>
    <w:rsid w:val="006520C7"/>
    <w:rsid w:val="006524B0"/>
    <w:rsid w:val="00652726"/>
    <w:rsid w:val="00652BA3"/>
    <w:rsid w:val="00652C1C"/>
    <w:rsid w:val="00652F57"/>
    <w:rsid w:val="006531EC"/>
    <w:rsid w:val="006532BC"/>
    <w:rsid w:val="0065341F"/>
    <w:rsid w:val="00653927"/>
    <w:rsid w:val="00653B25"/>
    <w:rsid w:val="00653C99"/>
    <w:rsid w:val="0065428D"/>
    <w:rsid w:val="006542CD"/>
    <w:rsid w:val="0065436D"/>
    <w:rsid w:val="006544BC"/>
    <w:rsid w:val="006544E6"/>
    <w:rsid w:val="006548E0"/>
    <w:rsid w:val="00654B82"/>
    <w:rsid w:val="00654F3E"/>
    <w:rsid w:val="00654F9D"/>
    <w:rsid w:val="0065538F"/>
    <w:rsid w:val="00655435"/>
    <w:rsid w:val="00655498"/>
    <w:rsid w:val="00655624"/>
    <w:rsid w:val="00655D76"/>
    <w:rsid w:val="00655F4D"/>
    <w:rsid w:val="00656340"/>
    <w:rsid w:val="0065642C"/>
    <w:rsid w:val="00656459"/>
    <w:rsid w:val="00656670"/>
    <w:rsid w:val="0065692F"/>
    <w:rsid w:val="00656995"/>
    <w:rsid w:val="00656B11"/>
    <w:rsid w:val="00657151"/>
    <w:rsid w:val="006575AB"/>
    <w:rsid w:val="0065770B"/>
    <w:rsid w:val="00657BED"/>
    <w:rsid w:val="00657E1D"/>
    <w:rsid w:val="00657F30"/>
    <w:rsid w:val="006602D8"/>
    <w:rsid w:val="006603B8"/>
    <w:rsid w:val="006603EE"/>
    <w:rsid w:val="00660772"/>
    <w:rsid w:val="006607A2"/>
    <w:rsid w:val="0066095B"/>
    <w:rsid w:val="006609E8"/>
    <w:rsid w:val="00660A25"/>
    <w:rsid w:val="00660C3D"/>
    <w:rsid w:val="0066106F"/>
    <w:rsid w:val="006610A7"/>
    <w:rsid w:val="00661194"/>
    <w:rsid w:val="0066134F"/>
    <w:rsid w:val="00661365"/>
    <w:rsid w:val="006614B7"/>
    <w:rsid w:val="00661A75"/>
    <w:rsid w:val="00661AF7"/>
    <w:rsid w:val="00661AF8"/>
    <w:rsid w:val="00661BC6"/>
    <w:rsid w:val="00661D16"/>
    <w:rsid w:val="00661DFD"/>
    <w:rsid w:val="00661EF8"/>
    <w:rsid w:val="00661F46"/>
    <w:rsid w:val="006630D3"/>
    <w:rsid w:val="00663213"/>
    <w:rsid w:val="0066368E"/>
    <w:rsid w:val="006638CA"/>
    <w:rsid w:val="00663D95"/>
    <w:rsid w:val="006643A8"/>
    <w:rsid w:val="006644D5"/>
    <w:rsid w:val="00664ADC"/>
    <w:rsid w:val="00664B16"/>
    <w:rsid w:val="00664E87"/>
    <w:rsid w:val="00665115"/>
    <w:rsid w:val="00665122"/>
    <w:rsid w:val="00665205"/>
    <w:rsid w:val="00665368"/>
    <w:rsid w:val="00665391"/>
    <w:rsid w:val="006655BB"/>
    <w:rsid w:val="00665780"/>
    <w:rsid w:val="00665942"/>
    <w:rsid w:val="00665B84"/>
    <w:rsid w:val="00665E11"/>
    <w:rsid w:val="00666463"/>
    <w:rsid w:val="00666630"/>
    <w:rsid w:val="00666850"/>
    <w:rsid w:val="00666A2F"/>
    <w:rsid w:val="00666B2D"/>
    <w:rsid w:val="00666D38"/>
    <w:rsid w:val="00666ED3"/>
    <w:rsid w:val="006670B5"/>
    <w:rsid w:val="00667200"/>
    <w:rsid w:val="0066737B"/>
    <w:rsid w:val="006677DC"/>
    <w:rsid w:val="00667A5D"/>
    <w:rsid w:val="00667AAE"/>
    <w:rsid w:val="0067014A"/>
    <w:rsid w:val="006704E3"/>
    <w:rsid w:val="00670715"/>
    <w:rsid w:val="00670A13"/>
    <w:rsid w:val="00670D69"/>
    <w:rsid w:val="00670DCB"/>
    <w:rsid w:val="00670EEB"/>
    <w:rsid w:val="00670FC2"/>
    <w:rsid w:val="0067106F"/>
    <w:rsid w:val="006712EA"/>
    <w:rsid w:val="0067131C"/>
    <w:rsid w:val="006713CD"/>
    <w:rsid w:val="006714D7"/>
    <w:rsid w:val="006719E4"/>
    <w:rsid w:val="006722EC"/>
    <w:rsid w:val="006726CF"/>
    <w:rsid w:val="00672D82"/>
    <w:rsid w:val="00673236"/>
    <w:rsid w:val="00673628"/>
    <w:rsid w:val="0067369D"/>
    <w:rsid w:val="00673803"/>
    <w:rsid w:val="00673808"/>
    <w:rsid w:val="00673A86"/>
    <w:rsid w:val="00673C55"/>
    <w:rsid w:val="00673D37"/>
    <w:rsid w:val="00673D70"/>
    <w:rsid w:val="00673E38"/>
    <w:rsid w:val="00673F72"/>
    <w:rsid w:val="0067409F"/>
    <w:rsid w:val="006743C7"/>
    <w:rsid w:val="0067455E"/>
    <w:rsid w:val="006749B7"/>
    <w:rsid w:val="00674B30"/>
    <w:rsid w:val="00674B5F"/>
    <w:rsid w:val="00674C2C"/>
    <w:rsid w:val="00674F9C"/>
    <w:rsid w:val="006750E9"/>
    <w:rsid w:val="006750ED"/>
    <w:rsid w:val="006752AD"/>
    <w:rsid w:val="00675BD2"/>
    <w:rsid w:val="00675D4F"/>
    <w:rsid w:val="00675E79"/>
    <w:rsid w:val="00675EEF"/>
    <w:rsid w:val="0067609E"/>
    <w:rsid w:val="00676228"/>
    <w:rsid w:val="006763DF"/>
    <w:rsid w:val="00676458"/>
    <w:rsid w:val="00676490"/>
    <w:rsid w:val="0067690E"/>
    <w:rsid w:val="00676A6C"/>
    <w:rsid w:val="00676D02"/>
    <w:rsid w:val="00676E6A"/>
    <w:rsid w:val="006772EF"/>
    <w:rsid w:val="00677598"/>
    <w:rsid w:val="006775CA"/>
    <w:rsid w:val="00677C8D"/>
    <w:rsid w:val="0068026F"/>
    <w:rsid w:val="00680341"/>
    <w:rsid w:val="0068059F"/>
    <w:rsid w:val="0068061B"/>
    <w:rsid w:val="006807A5"/>
    <w:rsid w:val="00680A39"/>
    <w:rsid w:val="00680AD1"/>
    <w:rsid w:val="00680C23"/>
    <w:rsid w:val="00680D6A"/>
    <w:rsid w:val="00680DFB"/>
    <w:rsid w:val="0068121A"/>
    <w:rsid w:val="00681331"/>
    <w:rsid w:val="00681491"/>
    <w:rsid w:val="0068155D"/>
    <w:rsid w:val="006815AF"/>
    <w:rsid w:val="00681781"/>
    <w:rsid w:val="006819F4"/>
    <w:rsid w:val="00681A0F"/>
    <w:rsid w:val="00681D6D"/>
    <w:rsid w:val="00681DF0"/>
    <w:rsid w:val="00681FD4"/>
    <w:rsid w:val="00682265"/>
    <w:rsid w:val="0068237E"/>
    <w:rsid w:val="0068245C"/>
    <w:rsid w:val="00682508"/>
    <w:rsid w:val="00682892"/>
    <w:rsid w:val="00682DA2"/>
    <w:rsid w:val="00682FD4"/>
    <w:rsid w:val="0068339D"/>
    <w:rsid w:val="006836D4"/>
    <w:rsid w:val="0068371F"/>
    <w:rsid w:val="006837F2"/>
    <w:rsid w:val="00683D4E"/>
    <w:rsid w:val="00683EEA"/>
    <w:rsid w:val="00684056"/>
    <w:rsid w:val="0068414A"/>
    <w:rsid w:val="0068438D"/>
    <w:rsid w:val="0068450B"/>
    <w:rsid w:val="006845F9"/>
    <w:rsid w:val="006845FA"/>
    <w:rsid w:val="00684A41"/>
    <w:rsid w:val="00684CB5"/>
    <w:rsid w:val="00684CED"/>
    <w:rsid w:val="00684EEC"/>
    <w:rsid w:val="006853A1"/>
    <w:rsid w:val="006855AC"/>
    <w:rsid w:val="006856B1"/>
    <w:rsid w:val="006857A0"/>
    <w:rsid w:val="006857D7"/>
    <w:rsid w:val="00685CB4"/>
    <w:rsid w:val="00685CCE"/>
    <w:rsid w:val="00685F71"/>
    <w:rsid w:val="006861C4"/>
    <w:rsid w:val="006863CC"/>
    <w:rsid w:val="0068655A"/>
    <w:rsid w:val="006867E7"/>
    <w:rsid w:val="0068686D"/>
    <w:rsid w:val="006868A8"/>
    <w:rsid w:val="00686C43"/>
    <w:rsid w:val="00686D0F"/>
    <w:rsid w:val="00686D30"/>
    <w:rsid w:val="00686F06"/>
    <w:rsid w:val="00686F6F"/>
    <w:rsid w:val="00687010"/>
    <w:rsid w:val="006872AC"/>
    <w:rsid w:val="0068733C"/>
    <w:rsid w:val="0068751B"/>
    <w:rsid w:val="006875ED"/>
    <w:rsid w:val="006878BB"/>
    <w:rsid w:val="00687939"/>
    <w:rsid w:val="00687C82"/>
    <w:rsid w:val="00687D14"/>
    <w:rsid w:val="00687D22"/>
    <w:rsid w:val="00687F92"/>
    <w:rsid w:val="006901BB"/>
    <w:rsid w:val="006904C5"/>
    <w:rsid w:val="006904DC"/>
    <w:rsid w:val="00690561"/>
    <w:rsid w:val="006905B8"/>
    <w:rsid w:val="0069100F"/>
    <w:rsid w:val="00691226"/>
    <w:rsid w:val="00691554"/>
    <w:rsid w:val="00691ABB"/>
    <w:rsid w:val="00691B63"/>
    <w:rsid w:val="00691B86"/>
    <w:rsid w:val="0069266F"/>
    <w:rsid w:val="006927E6"/>
    <w:rsid w:val="006928FF"/>
    <w:rsid w:val="00692938"/>
    <w:rsid w:val="00692E7E"/>
    <w:rsid w:val="00693083"/>
    <w:rsid w:val="006933AB"/>
    <w:rsid w:val="0069352F"/>
    <w:rsid w:val="00693AC1"/>
    <w:rsid w:val="00693B66"/>
    <w:rsid w:val="00693BA3"/>
    <w:rsid w:val="00693C42"/>
    <w:rsid w:val="00693F04"/>
    <w:rsid w:val="0069449E"/>
    <w:rsid w:val="00694698"/>
    <w:rsid w:val="006947F0"/>
    <w:rsid w:val="00694D35"/>
    <w:rsid w:val="00694DAB"/>
    <w:rsid w:val="00694E98"/>
    <w:rsid w:val="0069521A"/>
    <w:rsid w:val="0069583D"/>
    <w:rsid w:val="00695A98"/>
    <w:rsid w:val="00695B22"/>
    <w:rsid w:val="00695C31"/>
    <w:rsid w:val="00695D37"/>
    <w:rsid w:val="00695D72"/>
    <w:rsid w:val="006961A6"/>
    <w:rsid w:val="006963D6"/>
    <w:rsid w:val="006964B0"/>
    <w:rsid w:val="00696C4F"/>
    <w:rsid w:val="00696DA0"/>
    <w:rsid w:val="00696E45"/>
    <w:rsid w:val="00697309"/>
    <w:rsid w:val="006973DE"/>
    <w:rsid w:val="00697491"/>
    <w:rsid w:val="0069757D"/>
    <w:rsid w:val="0069758C"/>
    <w:rsid w:val="00697739"/>
    <w:rsid w:val="006977B9"/>
    <w:rsid w:val="006979CA"/>
    <w:rsid w:val="00697DED"/>
    <w:rsid w:val="00697FC9"/>
    <w:rsid w:val="006A012D"/>
    <w:rsid w:val="006A018E"/>
    <w:rsid w:val="006A0AFB"/>
    <w:rsid w:val="006A0D64"/>
    <w:rsid w:val="006A0D88"/>
    <w:rsid w:val="006A104E"/>
    <w:rsid w:val="006A1235"/>
    <w:rsid w:val="006A1245"/>
    <w:rsid w:val="006A13EE"/>
    <w:rsid w:val="006A1668"/>
    <w:rsid w:val="006A1825"/>
    <w:rsid w:val="006A188B"/>
    <w:rsid w:val="006A18E0"/>
    <w:rsid w:val="006A1D94"/>
    <w:rsid w:val="006A1E64"/>
    <w:rsid w:val="006A1FFB"/>
    <w:rsid w:val="006A22A3"/>
    <w:rsid w:val="006A2316"/>
    <w:rsid w:val="006A236B"/>
    <w:rsid w:val="006A2382"/>
    <w:rsid w:val="006A23BC"/>
    <w:rsid w:val="006A24BB"/>
    <w:rsid w:val="006A25FB"/>
    <w:rsid w:val="006A265A"/>
    <w:rsid w:val="006A27D1"/>
    <w:rsid w:val="006A2BEF"/>
    <w:rsid w:val="006A2FF4"/>
    <w:rsid w:val="006A33A3"/>
    <w:rsid w:val="006A350F"/>
    <w:rsid w:val="006A3745"/>
    <w:rsid w:val="006A3748"/>
    <w:rsid w:val="006A37A9"/>
    <w:rsid w:val="006A39AB"/>
    <w:rsid w:val="006A3E7C"/>
    <w:rsid w:val="006A3EB5"/>
    <w:rsid w:val="006A3F1E"/>
    <w:rsid w:val="006A4015"/>
    <w:rsid w:val="006A45EA"/>
    <w:rsid w:val="006A4810"/>
    <w:rsid w:val="006A4869"/>
    <w:rsid w:val="006A4907"/>
    <w:rsid w:val="006A496E"/>
    <w:rsid w:val="006A4D0A"/>
    <w:rsid w:val="006A4D59"/>
    <w:rsid w:val="006A4DC8"/>
    <w:rsid w:val="006A546B"/>
    <w:rsid w:val="006A5587"/>
    <w:rsid w:val="006A58E7"/>
    <w:rsid w:val="006A599A"/>
    <w:rsid w:val="006A5C8F"/>
    <w:rsid w:val="006A5D25"/>
    <w:rsid w:val="006A5D75"/>
    <w:rsid w:val="006A5EBF"/>
    <w:rsid w:val="006A5EED"/>
    <w:rsid w:val="006A630B"/>
    <w:rsid w:val="006A6414"/>
    <w:rsid w:val="006A663E"/>
    <w:rsid w:val="006A66B0"/>
    <w:rsid w:val="006A66CA"/>
    <w:rsid w:val="006A67C9"/>
    <w:rsid w:val="006A6936"/>
    <w:rsid w:val="006A69AB"/>
    <w:rsid w:val="006A6B1F"/>
    <w:rsid w:val="006A7291"/>
    <w:rsid w:val="006A730B"/>
    <w:rsid w:val="006A7509"/>
    <w:rsid w:val="006A7517"/>
    <w:rsid w:val="006A7844"/>
    <w:rsid w:val="006A7991"/>
    <w:rsid w:val="006A7AA0"/>
    <w:rsid w:val="006A7B20"/>
    <w:rsid w:val="006A7B9E"/>
    <w:rsid w:val="006A7C03"/>
    <w:rsid w:val="006A7DDB"/>
    <w:rsid w:val="006A7FE4"/>
    <w:rsid w:val="006B01A1"/>
    <w:rsid w:val="006B09B1"/>
    <w:rsid w:val="006B09DB"/>
    <w:rsid w:val="006B0A3A"/>
    <w:rsid w:val="006B0CB9"/>
    <w:rsid w:val="006B0FF1"/>
    <w:rsid w:val="006B11F0"/>
    <w:rsid w:val="006B1692"/>
    <w:rsid w:val="006B1954"/>
    <w:rsid w:val="006B1D30"/>
    <w:rsid w:val="006B1EF7"/>
    <w:rsid w:val="006B2048"/>
    <w:rsid w:val="006B21C1"/>
    <w:rsid w:val="006B23A2"/>
    <w:rsid w:val="006B2505"/>
    <w:rsid w:val="006B2641"/>
    <w:rsid w:val="006B2ADF"/>
    <w:rsid w:val="006B2B54"/>
    <w:rsid w:val="006B2C0E"/>
    <w:rsid w:val="006B2D98"/>
    <w:rsid w:val="006B2DE3"/>
    <w:rsid w:val="006B2F19"/>
    <w:rsid w:val="006B33CF"/>
    <w:rsid w:val="006B33EA"/>
    <w:rsid w:val="006B34FC"/>
    <w:rsid w:val="006B3ECF"/>
    <w:rsid w:val="006B3FEB"/>
    <w:rsid w:val="006B40E0"/>
    <w:rsid w:val="006B4147"/>
    <w:rsid w:val="006B45AF"/>
    <w:rsid w:val="006B4770"/>
    <w:rsid w:val="006B4791"/>
    <w:rsid w:val="006B4959"/>
    <w:rsid w:val="006B4C5D"/>
    <w:rsid w:val="006B4FAA"/>
    <w:rsid w:val="006B513C"/>
    <w:rsid w:val="006B5464"/>
    <w:rsid w:val="006B54F0"/>
    <w:rsid w:val="006B5588"/>
    <w:rsid w:val="006B59C4"/>
    <w:rsid w:val="006B5B98"/>
    <w:rsid w:val="006B5BCC"/>
    <w:rsid w:val="006B5E07"/>
    <w:rsid w:val="006B5FA5"/>
    <w:rsid w:val="006B60D4"/>
    <w:rsid w:val="006B63E5"/>
    <w:rsid w:val="006B6458"/>
    <w:rsid w:val="006B64AF"/>
    <w:rsid w:val="006B660D"/>
    <w:rsid w:val="006B67B7"/>
    <w:rsid w:val="006B69CE"/>
    <w:rsid w:val="006B6C9A"/>
    <w:rsid w:val="006B6CD0"/>
    <w:rsid w:val="006B6CF1"/>
    <w:rsid w:val="006B6D05"/>
    <w:rsid w:val="006B6E51"/>
    <w:rsid w:val="006B6EDE"/>
    <w:rsid w:val="006B7227"/>
    <w:rsid w:val="006B7358"/>
    <w:rsid w:val="006B7530"/>
    <w:rsid w:val="006B7568"/>
    <w:rsid w:val="006B7684"/>
    <w:rsid w:val="006B76CC"/>
    <w:rsid w:val="006B7767"/>
    <w:rsid w:val="006B797C"/>
    <w:rsid w:val="006B7AA8"/>
    <w:rsid w:val="006B7CA1"/>
    <w:rsid w:val="006B7D3D"/>
    <w:rsid w:val="006C01A7"/>
    <w:rsid w:val="006C033F"/>
    <w:rsid w:val="006C0398"/>
    <w:rsid w:val="006C0436"/>
    <w:rsid w:val="006C04DD"/>
    <w:rsid w:val="006C0589"/>
    <w:rsid w:val="006C0818"/>
    <w:rsid w:val="006C09CA"/>
    <w:rsid w:val="006C0AF4"/>
    <w:rsid w:val="006C0ECF"/>
    <w:rsid w:val="006C12D9"/>
    <w:rsid w:val="006C1340"/>
    <w:rsid w:val="006C18AB"/>
    <w:rsid w:val="006C2114"/>
    <w:rsid w:val="006C2346"/>
    <w:rsid w:val="006C259C"/>
    <w:rsid w:val="006C2854"/>
    <w:rsid w:val="006C28B3"/>
    <w:rsid w:val="006C2FB9"/>
    <w:rsid w:val="006C32A7"/>
    <w:rsid w:val="006C359F"/>
    <w:rsid w:val="006C3723"/>
    <w:rsid w:val="006C3737"/>
    <w:rsid w:val="006C3836"/>
    <w:rsid w:val="006C3950"/>
    <w:rsid w:val="006C3C89"/>
    <w:rsid w:val="006C40A9"/>
    <w:rsid w:val="006C4491"/>
    <w:rsid w:val="006C465B"/>
    <w:rsid w:val="006C4690"/>
    <w:rsid w:val="006C4813"/>
    <w:rsid w:val="006C481E"/>
    <w:rsid w:val="006C48EC"/>
    <w:rsid w:val="006C49C1"/>
    <w:rsid w:val="006C4B78"/>
    <w:rsid w:val="006C4D2E"/>
    <w:rsid w:val="006C52FB"/>
    <w:rsid w:val="006C5469"/>
    <w:rsid w:val="006C5A07"/>
    <w:rsid w:val="006C5F46"/>
    <w:rsid w:val="006C608F"/>
    <w:rsid w:val="006C6553"/>
    <w:rsid w:val="006C6830"/>
    <w:rsid w:val="006C6880"/>
    <w:rsid w:val="006C69C4"/>
    <w:rsid w:val="006C6A66"/>
    <w:rsid w:val="006C6AB1"/>
    <w:rsid w:val="006C6DFA"/>
    <w:rsid w:val="006C6E0B"/>
    <w:rsid w:val="006C7072"/>
    <w:rsid w:val="006C71C0"/>
    <w:rsid w:val="006C7537"/>
    <w:rsid w:val="006C76CA"/>
    <w:rsid w:val="006C76E0"/>
    <w:rsid w:val="006C7982"/>
    <w:rsid w:val="006C7B63"/>
    <w:rsid w:val="006C7E3B"/>
    <w:rsid w:val="006C7E5F"/>
    <w:rsid w:val="006D03C1"/>
    <w:rsid w:val="006D0590"/>
    <w:rsid w:val="006D0996"/>
    <w:rsid w:val="006D0C8A"/>
    <w:rsid w:val="006D0F6C"/>
    <w:rsid w:val="006D1085"/>
    <w:rsid w:val="006D121D"/>
    <w:rsid w:val="006D1273"/>
    <w:rsid w:val="006D1853"/>
    <w:rsid w:val="006D1A48"/>
    <w:rsid w:val="006D1DDF"/>
    <w:rsid w:val="006D2576"/>
    <w:rsid w:val="006D2652"/>
    <w:rsid w:val="006D284E"/>
    <w:rsid w:val="006D2AF0"/>
    <w:rsid w:val="006D2B64"/>
    <w:rsid w:val="006D2C22"/>
    <w:rsid w:val="006D2E98"/>
    <w:rsid w:val="006D2F3D"/>
    <w:rsid w:val="006D32E7"/>
    <w:rsid w:val="006D3490"/>
    <w:rsid w:val="006D35E1"/>
    <w:rsid w:val="006D3654"/>
    <w:rsid w:val="006D3835"/>
    <w:rsid w:val="006D395F"/>
    <w:rsid w:val="006D3D77"/>
    <w:rsid w:val="006D41C1"/>
    <w:rsid w:val="006D428C"/>
    <w:rsid w:val="006D42DA"/>
    <w:rsid w:val="006D45C2"/>
    <w:rsid w:val="006D47EA"/>
    <w:rsid w:val="006D4A1B"/>
    <w:rsid w:val="006D4C2F"/>
    <w:rsid w:val="006D5340"/>
    <w:rsid w:val="006D5369"/>
    <w:rsid w:val="006D5BFC"/>
    <w:rsid w:val="006D5FFC"/>
    <w:rsid w:val="006D6040"/>
    <w:rsid w:val="006D630A"/>
    <w:rsid w:val="006D6375"/>
    <w:rsid w:val="006D6730"/>
    <w:rsid w:val="006D6914"/>
    <w:rsid w:val="006D6A85"/>
    <w:rsid w:val="006D6B85"/>
    <w:rsid w:val="006D6C71"/>
    <w:rsid w:val="006D6D9A"/>
    <w:rsid w:val="006D74B5"/>
    <w:rsid w:val="006D75E9"/>
    <w:rsid w:val="006D766E"/>
    <w:rsid w:val="006D7993"/>
    <w:rsid w:val="006D7C2E"/>
    <w:rsid w:val="006D7CC0"/>
    <w:rsid w:val="006D7EC4"/>
    <w:rsid w:val="006D7EC8"/>
    <w:rsid w:val="006E04FC"/>
    <w:rsid w:val="006E0A10"/>
    <w:rsid w:val="006E0B35"/>
    <w:rsid w:val="006E0CBA"/>
    <w:rsid w:val="006E0E18"/>
    <w:rsid w:val="006E0EA7"/>
    <w:rsid w:val="006E14E3"/>
    <w:rsid w:val="006E15C8"/>
    <w:rsid w:val="006E18DB"/>
    <w:rsid w:val="006E1CF9"/>
    <w:rsid w:val="006E1FBD"/>
    <w:rsid w:val="006E2412"/>
    <w:rsid w:val="006E24BC"/>
    <w:rsid w:val="006E2539"/>
    <w:rsid w:val="006E2560"/>
    <w:rsid w:val="006E270B"/>
    <w:rsid w:val="006E283A"/>
    <w:rsid w:val="006E28D4"/>
    <w:rsid w:val="006E2AE9"/>
    <w:rsid w:val="006E30B2"/>
    <w:rsid w:val="006E319C"/>
    <w:rsid w:val="006E322D"/>
    <w:rsid w:val="006E3396"/>
    <w:rsid w:val="006E385D"/>
    <w:rsid w:val="006E3C13"/>
    <w:rsid w:val="006E3C39"/>
    <w:rsid w:val="006E3C64"/>
    <w:rsid w:val="006E3FF1"/>
    <w:rsid w:val="006E416A"/>
    <w:rsid w:val="006E41C0"/>
    <w:rsid w:val="006E4ADE"/>
    <w:rsid w:val="006E4D35"/>
    <w:rsid w:val="006E4E79"/>
    <w:rsid w:val="006E4EED"/>
    <w:rsid w:val="006E4FCE"/>
    <w:rsid w:val="006E5078"/>
    <w:rsid w:val="006E523F"/>
    <w:rsid w:val="006E5457"/>
    <w:rsid w:val="006E57BA"/>
    <w:rsid w:val="006E5E37"/>
    <w:rsid w:val="006E63AC"/>
    <w:rsid w:val="006E63F5"/>
    <w:rsid w:val="006E640B"/>
    <w:rsid w:val="006E6BAA"/>
    <w:rsid w:val="006E6C67"/>
    <w:rsid w:val="006E6EBB"/>
    <w:rsid w:val="006E749B"/>
    <w:rsid w:val="006E78B1"/>
    <w:rsid w:val="006E79C4"/>
    <w:rsid w:val="006E7A16"/>
    <w:rsid w:val="006E7B50"/>
    <w:rsid w:val="006E7DF8"/>
    <w:rsid w:val="006E7ED0"/>
    <w:rsid w:val="006E7F22"/>
    <w:rsid w:val="006F0302"/>
    <w:rsid w:val="006F05F4"/>
    <w:rsid w:val="006F0798"/>
    <w:rsid w:val="006F097E"/>
    <w:rsid w:val="006F0AB4"/>
    <w:rsid w:val="006F0BB5"/>
    <w:rsid w:val="006F1320"/>
    <w:rsid w:val="006F14DD"/>
    <w:rsid w:val="006F14FC"/>
    <w:rsid w:val="006F1518"/>
    <w:rsid w:val="006F1CC3"/>
    <w:rsid w:val="006F22EA"/>
    <w:rsid w:val="006F2530"/>
    <w:rsid w:val="006F2546"/>
    <w:rsid w:val="006F2867"/>
    <w:rsid w:val="006F29BA"/>
    <w:rsid w:val="006F2A5E"/>
    <w:rsid w:val="006F2ECD"/>
    <w:rsid w:val="006F2F42"/>
    <w:rsid w:val="006F2F8A"/>
    <w:rsid w:val="006F323F"/>
    <w:rsid w:val="006F32B0"/>
    <w:rsid w:val="006F353B"/>
    <w:rsid w:val="006F3826"/>
    <w:rsid w:val="006F40EA"/>
    <w:rsid w:val="006F42F0"/>
    <w:rsid w:val="006F4407"/>
    <w:rsid w:val="006F4818"/>
    <w:rsid w:val="006F489C"/>
    <w:rsid w:val="006F4A9D"/>
    <w:rsid w:val="006F4FC2"/>
    <w:rsid w:val="006F515A"/>
    <w:rsid w:val="006F5220"/>
    <w:rsid w:val="006F523D"/>
    <w:rsid w:val="006F5568"/>
    <w:rsid w:val="006F5874"/>
    <w:rsid w:val="006F59F1"/>
    <w:rsid w:val="006F5AEC"/>
    <w:rsid w:val="006F5C5C"/>
    <w:rsid w:val="006F5FF9"/>
    <w:rsid w:val="006F620A"/>
    <w:rsid w:val="006F6266"/>
    <w:rsid w:val="006F67F1"/>
    <w:rsid w:val="006F68DA"/>
    <w:rsid w:val="006F6968"/>
    <w:rsid w:val="006F6A6F"/>
    <w:rsid w:val="006F6CB8"/>
    <w:rsid w:val="006F6D29"/>
    <w:rsid w:val="006F6D7F"/>
    <w:rsid w:val="006F6DE0"/>
    <w:rsid w:val="006F6E93"/>
    <w:rsid w:val="006F6FFC"/>
    <w:rsid w:val="006F7081"/>
    <w:rsid w:val="006F7274"/>
    <w:rsid w:val="006F756A"/>
    <w:rsid w:val="006F770B"/>
    <w:rsid w:val="006F7739"/>
    <w:rsid w:val="006F775D"/>
    <w:rsid w:val="006F785D"/>
    <w:rsid w:val="006F7930"/>
    <w:rsid w:val="006F79A7"/>
    <w:rsid w:val="006F7BA1"/>
    <w:rsid w:val="006F7BA5"/>
    <w:rsid w:val="006F7C13"/>
    <w:rsid w:val="006F7E1A"/>
    <w:rsid w:val="00700238"/>
    <w:rsid w:val="00700E18"/>
    <w:rsid w:val="0070112C"/>
    <w:rsid w:val="00701568"/>
    <w:rsid w:val="007015D4"/>
    <w:rsid w:val="0070165C"/>
    <w:rsid w:val="00701A46"/>
    <w:rsid w:val="00701B93"/>
    <w:rsid w:val="00701D21"/>
    <w:rsid w:val="00702418"/>
    <w:rsid w:val="00702A15"/>
    <w:rsid w:val="00702C5A"/>
    <w:rsid w:val="00702E92"/>
    <w:rsid w:val="00702F31"/>
    <w:rsid w:val="007033AA"/>
    <w:rsid w:val="00703614"/>
    <w:rsid w:val="00703668"/>
    <w:rsid w:val="00703855"/>
    <w:rsid w:val="00703BCE"/>
    <w:rsid w:val="00703CB1"/>
    <w:rsid w:val="00703EEC"/>
    <w:rsid w:val="00704330"/>
    <w:rsid w:val="00704652"/>
    <w:rsid w:val="007048E5"/>
    <w:rsid w:val="00704989"/>
    <w:rsid w:val="00704A78"/>
    <w:rsid w:val="00704B21"/>
    <w:rsid w:val="00704E99"/>
    <w:rsid w:val="007051AB"/>
    <w:rsid w:val="007052C4"/>
    <w:rsid w:val="00705341"/>
    <w:rsid w:val="00705647"/>
    <w:rsid w:val="00705652"/>
    <w:rsid w:val="00705684"/>
    <w:rsid w:val="00705947"/>
    <w:rsid w:val="00705B04"/>
    <w:rsid w:val="00706161"/>
    <w:rsid w:val="00706449"/>
    <w:rsid w:val="007065DE"/>
    <w:rsid w:val="007066F4"/>
    <w:rsid w:val="007068DE"/>
    <w:rsid w:val="00706AA6"/>
    <w:rsid w:val="00706D45"/>
    <w:rsid w:val="00706E5C"/>
    <w:rsid w:val="007077E5"/>
    <w:rsid w:val="00707D34"/>
    <w:rsid w:val="00707D5C"/>
    <w:rsid w:val="00707DFE"/>
    <w:rsid w:val="00707FCA"/>
    <w:rsid w:val="007100B6"/>
    <w:rsid w:val="0071077F"/>
    <w:rsid w:val="0071079D"/>
    <w:rsid w:val="007108C3"/>
    <w:rsid w:val="00710977"/>
    <w:rsid w:val="00710A60"/>
    <w:rsid w:val="00710FD3"/>
    <w:rsid w:val="007114A9"/>
    <w:rsid w:val="00711612"/>
    <w:rsid w:val="007117F0"/>
    <w:rsid w:val="00711AC3"/>
    <w:rsid w:val="00711C16"/>
    <w:rsid w:val="00711FD4"/>
    <w:rsid w:val="00712235"/>
    <w:rsid w:val="0071224F"/>
    <w:rsid w:val="0071245E"/>
    <w:rsid w:val="00712688"/>
    <w:rsid w:val="00712980"/>
    <w:rsid w:val="00712A1A"/>
    <w:rsid w:val="00712EE5"/>
    <w:rsid w:val="00712F01"/>
    <w:rsid w:val="00712F1E"/>
    <w:rsid w:val="00712FFB"/>
    <w:rsid w:val="0071308A"/>
    <w:rsid w:val="00713298"/>
    <w:rsid w:val="00713AAA"/>
    <w:rsid w:val="00713B8F"/>
    <w:rsid w:val="00713BED"/>
    <w:rsid w:val="0071404E"/>
    <w:rsid w:val="007141E7"/>
    <w:rsid w:val="0071429C"/>
    <w:rsid w:val="00714402"/>
    <w:rsid w:val="007145B1"/>
    <w:rsid w:val="007145FD"/>
    <w:rsid w:val="007147DE"/>
    <w:rsid w:val="00714919"/>
    <w:rsid w:val="00715299"/>
    <w:rsid w:val="00715612"/>
    <w:rsid w:val="00715655"/>
    <w:rsid w:val="007159D6"/>
    <w:rsid w:val="00715A1E"/>
    <w:rsid w:val="00715DF8"/>
    <w:rsid w:val="00716092"/>
    <w:rsid w:val="00716135"/>
    <w:rsid w:val="00716364"/>
    <w:rsid w:val="007168FB"/>
    <w:rsid w:val="00716D3B"/>
    <w:rsid w:val="00716E7E"/>
    <w:rsid w:val="00716F3F"/>
    <w:rsid w:val="0071731E"/>
    <w:rsid w:val="007174C9"/>
    <w:rsid w:val="007174E1"/>
    <w:rsid w:val="00717527"/>
    <w:rsid w:val="00717645"/>
    <w:rsid w:val="00717885"/>
    <w:rsid w:val="00717ABC"/>
    <w:rsid w:val="00717B22"/>
    <w:rsid w:val="00717C22"/>
    <w:rsid w:val="00717C64"/>
    <w:rsid w:val="00717F24"/>
    <w:rsid w:val="0072046C"/>
    <w:rsid w:val="00720518"/>
    <w:rsid w:val="0072095D"/>
    <w:rsid w:val="00720C54"/>
    <w:rsid w:val="007216F6"/>
    <w:rsid w:val="0072173F"/>
    <w:rsid w:val="00721BE6"/>
    <w:rsid w:val="00721BED"/>
    <w:rsid w:val="00721C51"/>
    <w:rsid w:val="00721E60"/>
    <w:rsid w:val="007220FA"/>
    <w:rsid w:val="007221E9"/>
    <w:rsid w:val="007222CF"/>
    <w:rsid w:val="0072230C"/>
    <w:rsid w:val="00722362"/>
    <w:rsid w:val="0072247E"/>
    <w:rsid w:val="0072249E"/>
    <w:rsid w:val="0072267B"/>
    <w:rsid w:val="0072272F"/>
    <w:rsid w:val="007227AF"/>
    <w:rsid w:val="00722886"/>
    <w:rsid w:val="00722A4E"/>
    <w:rsid w:val="00722A5A"/>
    <w:rsid w:val="00722B79"/>
    <w:rsid w:val="00722C3F"/>
    <w:rsid w:val="00722D46"/>
    <w:rsid w:val="00723150"/>
    <w:rsid w:val="00723185"/>
    <w:rsid w:val="007232C1"/>
    <w:rsid w:val="00723651"/>
    <w:rsid w:val="00723665"/>
    <w:rsid w:val="007236B5"/>
    <w:rsid w:val="00723B58"/>
    <w:rsid w:val="00723BF2"/>
    <w:rsid w:val="00723FB6"/>
    <w:rsid w:val="00724074"/>
    <w:rsid w:val="007240F6"/>
    <w:rsid w:val="00724281"/>
    <w:rsid w:val="0072436D"/>
    <w:rsid w:val="0072442D"/>
    <w:rsid w:val="00724467"/>
    <w:rsid w:val="007245CB"/>
    <w:rsid w:val="00724924"/>
    <w:rsid w:val="00724BE0"/>
    <w:rsid w:val="00725196"/>
    <w:rsid w:val="007251D9"/>
    <w:rsid w:val="00725A85"/>
    <w:rsid w:val="00725AC6"/>
    <w:rsid w:val="00725DC9"/>
    <w:rsid w:val="0072613E"/>
    <w:rsid w:val="007263DB"/>
    <w:rsid w:val="00726C27"/>
    <w:rsid w:val="00727046"/>
    <w:rsid w:val="00727271"/>
    <w:rsid w:val="00727496"/>
    <w:rsid w:val="007274E7"/>
    <w:rsid w:val="00727551"/>
    <w:rsid w:val="00727721"/>
    <w:rsid w:val="007277F9"/>
    <w:rsid w:val="00727CEF"/>
    <w:rsid w:val="00727E0D"/>
    <w:rsid w:val="00730238"/>
    <w:rsid w:val="00730533"/>
    <w:rsid w:val="00730A89"/>
    <w:rsid w:val="00730B23"/>
    <w:rsid w:val="00730CF5"/>
    <w:rsid w:val="00731357"/>
    <w:rsid w:val="007315F3"/>
    <w:rsid w:val="0073163F"/>
    <w:rsid w:val="00731759"/>
    <w:rsid w:val="00731B82"/>
    <w:rsid w:val="007322F8"/>
    <w:rsid w:val="007323BC"/>
    <w:rsid w:val="007324C6"/>
    <w:rsid w:val="0073250A"/>
    <w:rsid w:val="007325D3"/>
    <w:rsid w:val="00732860"/>
    <w:rsid w:val="00733052"/>
    <w:rsid w:val="0073307E"/>
    <w:rsid w:val="0073316A"/>
    <w:rsid w:val="00733BCD"/>
    <w:rsid w:val="0073413F"/>
    <w:rsid w:val="007341F3"/>
    <w:rsid w:val="00734332"/>
    <w:rsid w:val="007344AF"/>
    <w:rsid w:val="007346AE"/>
    <w:rsid w:val="00734B6A"/>
    <w:rsid w:val="00734CAD"/>
    <w:rsid w:val="00734CFB"/>
    <w:rsid w:val="0073502E"/>
    <w:rsid w:val="007355A5"/>
    <w:rsid w:val="0073563D"/>
    <w:rsid w:val="007358B1"/>
    <w:rsid w:val="007358C3"/>
    <w:rsid w:val="00735985"/>
    <w:rsid w:val="0073614F"/>
    <w:rsid w:val="00736309"/>
    <w:rsid w:val="007363ED"/>
    <w:rsid w:val="0073652E"/>
    <w:rsid w:val="007365BF"/>
    <w:rsid w:val="00736844"/>
    <w:rsid w:val="00736A41"/>
    <w:rsid w:val="00736A50"/>
    <w:rsid w:val="00736AAB"/>
    <w:rsid w:val="00736D2A"/>
    <w:rsid w:val="00736F0C"/>
    <w:rsid w:val="00736F9A"/>
    <w:rsid w:val="00736FF6"/>
    <w:rsid w:val="00737503"/>
    <w:rsid w:val="007377F4"/>
    <w:rsid w:val="007379EA"/>
    <w:rsid w:val="0074013E"/>
    <w:rsid w:val="007406F7"/>
    <w:rsid w:val="007407B9"/>
    <w:rsid w:val="007408E6"/>
    <w:rsid w:val="00740918"/>
    <w:rsid w:val="00740A85"/>
    <w:rsid w:val="00740A97"/>
    <w:rsid w:val="00740D6F"/>
    <w:rsid w:val="00740F11"/>
    <w:rsid w:val="0074103D"/>
    <w:rsid w:val="007411CE"/>
    <w:rsid w:val="007411EF"/>
    <w:rsid w:val="00741372"/>
    <w:rsid w:val="00741579"/>
    <w:rsid w:val="007417DD"/>
    <w:rsid w:val="007417E2"/>
    <w:rsid w:val="007419C0"/>
    <w:rsid w:val="00741C77"/>
    <w:rsid w:val="00741CEF"/>
    <w:rsid w:val="00741D01"/>
    <w:rsid w:val="00741D99"/>
    <w:rsid w:val="007422CE"/>
    <w:rsid w:val="007425C0"/>
    <w:rsid w:val="0074267C"/>
    <w:rsid w:val="0074280E"/>
    <w:rsid w:val="007429B3"/>
    <w:rsid w:val="00742F26"/>
    <w:rsid w:val="00743222"/>
    <w:rsid w:val="00743228"/>
    <w:rsid w:val="0074324C"/>
    <w:rsid w:val="00743A9D"/>
    <w:rsid w:val="00743DF8"/>
    <w:rsid w:val="00743FAD"/>
    <w:rsid w:val="0074402A"/>
    <w:rsid w:val="007442D3"/>
    <w:rsid w:val="00744339"/>
    <w:rsid w:val="007444A3"/>
    <w:rsid w:val="007444E1"/>
    <w:rsid w:val="00744C8E"/>
    <w:rsid w:val="00744E68"/>
    <w:rsid w:val="00744ED6"/>
    <w:rsid w:val="00744F35"/>
    <w:rsid w:val="0074520C"/>
    <w:rsid w:val="0074540C"/>
    <w:rsid w:val="007459CA"/>
    <w:rsid w:val="00745A10"/>
    <w:rsid w:val="007460D9"/>
    <w:rsid w:val="0074635A"/>
    <w:rsid w:val="00746516"/>
    <w:rsid w:val="0074663C"/>
    <w:rsid w:val="00746852"/>
    <w:rsid w:val="00746A28"/>
    <w:rsid w:val="00746C0A"/>
    <w:rsid w:val="00746E34"/>
    <w:rsid w:val="00746E68"/>
    <w:rsid w:val="00746EFA"/>
    <w:rsid w:val="00746FA4"/>
    <w:rsid w:val="0074712E"/>
    <w:rsid w:val="00747269"/>
    <w:rsid w:val="00747656"/>
    <w:rsid w:val="007478C3"/>
    <w:rsid w:val="007479FD"/>
    <w:rsid w:val="007504D6"/>
    <w:rsid w:val="007506CB"/>
    <w:rsid w:val="00750AB0"/>
    <w:rsid w:val="00750B93"/>
    <w:rsid w:val="00750FC9"/>
    <w:rsid w:val="00751034"/>
    <w:rsid w:val="007516D3"/>
    <w:rsid w:val="0075197D"/>
    <w:rsid w:val="007519E4"/>
    <w:rsid w:val="00751B2B"/>
    <w:rsid w:val="00751CCD"/>
    <w:rsid w:val="007525AD"/>
    <w:rsid w:val="0075295D"/>
    <w:rsid w:val="00752CE1"/>
    <w:rsid w:val="00752D2F"/>
    <w:rsid w:val="00752EB3"/>
    <w:rsid w:val="0075304B"/>
    <w:rsid w:val="007531AF"/>
    <w:rsid w:val="0075358F"/>
    <w:rsid w:val="00753765"/>
    <w:rsid w:val="00753A5E"/>
    <w:rsid w:val="00753D40"/>
    <w:rsid w:val="00753DA8"/>
    <w:rsid w:val="00754115"/>
    <w:rsid w:val="0075420D"/>
    <w:rsid w:val="00754234"/>
    <w:rsid w:val="007543DC"/>
    <w:rsid w:val="007549C2"/>
    <w:rsid w:val="00754C3B"/>
    <w:rsid w:val="00754D7D"/>
    <w:rsid w:val="00754EA3"/>
    <w:rsid w:val="00755566"/>
    <w:rsid w:val="007555F8"/>
    <w:rsid w:val="00755A19"/>
    <w:rsid w:val="00755C09"/>
    <w:rsid w:val="00755C4D"/>
    <w:rsid w:val="00755C5D"/>
    <w:rsid w:val="0075606F"/>
    <w:rsid w:val="00756569"/>
    <w:rsid w:val="00756E26"/>
    <w:rsid w:val="007573E0"/>
    <w:rsid w:val="00757E54"/>
    <w:rsid w:val="00757ECB"/>
    <w:rsid w:val="007600A4"/>
    <w:rsid w:val="007606C4"/>
    <w:rsid w:val="007608D8"/>
    <w:rsid w:val="00760983"/>
    <w:rsid w:val="00760C6C"/>
    <w:rsid w:val="00760D10"/>
    <w:rsid w:val="0076110E"/>
    <w:rsid w:val="00761115"/>
    <w:rsid w:val="00761234"/>
    <w:rsid w:val="007615B5"/>
    <w:rsid w:val="00761A49"/>
    <w:rsid w:val="0076229B"/>
    <w:rsid w:val="007622D7"/>
    <w:rsid w:val="0076236A"/>
    <w:rsid w:val="0076236E"/>
    <w:rsid w:val="0076261C"/>
    <w:rsid w:val="007627B3"/>
    <w:rsid w:val="007629C1"/>
    <w:rsid w:val="00762A8D"/>
    <w:rsid w:val="00762C76"/>
    <w:rsid w:val="00762CE7"/>
    <w:rsid w:val="00762DFC"/>
    <w:rsid w:val="00762E0F"/>
    <w:rsid w:val="0076370D"/>
    <w:rsid w:val="00763934"/>
    <w:rsid w:val="00763AA1"/>
    <w:rsid w:val="00763C3C"/>
    <w:rsid w:val="00763E87"/>
    <w:rsid w:val="007641B6"/>
    <w:rsid w:val="00764214"/>
    <w:rsid w:val="0076482E"/>
    <w:rsid w:val="00764B79"/>
    <w:rsid w:val="00764D6C"/>
    <w:rsid w:val="00764E79"/>
    <w:rsid w:val="007651DD"/>
    <w:rsid w:val="00765347"/>
    <w:rsid w:val="0076540A"/>
    <w:rsid w:val="00765533"/>
    <w:rsid w:val="0076559A"/>
    <w:rsid w:val="007656BA"/>
    <w:rsid w:val="007657F1"/>
    <w:rsid w:val="00765838"/>
    <w:rsid w:val="00765936"/>
    <w:rsid w:val="00765A69"/>
    <w:rsid w:val="00765B89"/>
    <w:rsid w:val="00765F08"/>
    <w:rsid w:val="00766062"/>
    <w:rsid w:val="007662BD"/>
    <w:rsid w:val="007666DB"/>
    <w:rsid w:val="00766914"/>
    <w:rsid w:val="007669B0"/>
    <w:rsid w:val="00766F2B"/>
    <w:rsid w:val="0076722D"/>
    <w:rsid w:val="0076764F"/>
    <w:rsid w:val="007676D5"/>
    <w:rsid w:val="00767766"/>
    <w:rsid w:val="00767B77"/>
    <w:rsid w:val="00767DF1"/>
    <w:rsid w:val="00767E16"/>
    <w:rsid w:val="00767ECD"/>
    <w:rsid w:val="00770262"/>
    <w:rsid w:val="007702FB"/>
    <w:rsid w:val="00770354"/>
    <w:rsid w:val="00770E7D"/>
    <w:rsid w:val="00771225"/>
    <w:rsid w:val="00771472"/>
    <w:rsid w:val="0077194D"/>
    <w:rsid w:val="00771B94"/>
    <w:rsid w:val="007720FD"/>
    <w:rsid w:val="007723C7"/>
    <w:rsid w:val="00772A28"/>
    <w:rsid w:val="00772AC3"/>
    <w:rsid w:val="00772BA8"/>
    <w:rsid w:val="00772C3D"/>
    <w:rsid w:val="00772DC3"/>
    <w:rsid w:val="00772F02"/>
    <w:rsid w:val="00772F2A"/>
    <w:rsid w:val="00772FB5"/>
    <w:rsid w:val="00773045"/>
    <w:rsid w:val="00773236"/>
    <w:rsid w:val="007732F1"/>
    <w:rsid w:val="007733D9"/>
    <w:rsid w:val="007734E7"/>
    <w:rsid w:val="007737B4"/>
    <w:rsid w:val="007737E0"/>
    <w:rsid w:val="007742B0"/>
    <w:rsid w:val="007746E8"/>
    <w:rsid w:val="00774AF1"/>
    <w:rsid w:val="00774CBD"/>
    <w:rsid w:val="00774F05"/>
    <w:rsid w:val="00775165"/>
    <w:rsid w:val="0077524D"/>
    <w:rsid w:val="007754DD"/>
    <w:rsid w:val="0077576D"/>
    <w:rsid w:val="00775858"/>
    <w:rsid w:val="00775A75"/>
    <w:rsid w:val="00775A9A"/>
    <w:rsid w:val="007762DD"/>
    <w:rsid w:val="00776569"/>
    <w:rsid w:val="00776AC1"/>
    <w:rsid w:val="00776E5F"/>
    <w:rsid w:val="00777152"/>
    <w:rsid w:val="007772CB"/>
    <w:rsid w:val="007772CC"/>
    <w:rsid w:val="007776D3"/>
    <w:rsid w:val="007777F1"/>
    <w:rsid w:val="007779AB"/>
    <w:rsid w:val="00777BBD"/>
    <w:rsid w:val="00777D33"/>
    <w:rsid w:val="0078007F"/>
    <w:rsid w:val="00780227"/>
    <w:rsid w:val="00780336"/>
    <w:rsid w:val="00780462"/>
    <w:rsid w:val="00780591"/>
    <w:rsid w:val="007805D5"/>
    <w:rsid w:val="00780807"/>
    <w:rsid w:val="00780BE7"/>
    <w:rsid w:val="00780C4A"/>
    <w:rsid w:val="00781168"/>
    <w:rsid w:val="00781259"/>
    <w:rsid w:val="00781343"/>
    <w:rsid w:val="00781515"/>
    <w:rsid w:val="00781565"/>
    <w:rsid w:val="007816BD"/>
    <w:rsid w:val="00781BFC"/>
    <w:rsid w:val="007820E2"/>
    <w:rsid w:val="00782445"/>
    <w:rsid w:val="00782744"/>
    <w:rsid w:val="0078286C"/>
    <w:rsid w:val="00782A2D"/>
    <w:rsid w:val="00782A6C"/>
    <w:rsid w:val="00782C88"/>
    <w:rsid w:val="00783018"/>
    <w:rsid w:val="007830B2"/>
    <w:rsid w:val="007835FC"/>
    <w:rsid w:val="00783861"/>
    <w:rsid w:val="0078390B"/>
    <w:rsid w:val="00783CD2"/>
    <w:rsid w:val="00783F24"/>
    <w:rsid w:val="00783FDE"/>
    <w:rsid w:val="0078401E"/>
    <w:rsid w:val="00784035"/>
    <w:rsid w:val="0078410A"/>
    <w:rsid w:val="0078435D"/>
    <w:rsid w:val="0078480B"/>
    <w:rsid w:val="0078499C"/>
    <w:rsid w:val="007850CE"/>
    <w:rsid w:val="007853B1"/>
    <w:rsid w:val="007853DC"/>
    <w:rsid w:val="00785746"/>
    <w:rsid w:val="007857A3"/>
    <w:rsid w:val="007858EB"/>
    <w:rsid w:val="00785B58"/>
    <w:rsid w:val="00785F3A"/>
    <w:rsid w:val="00786020"/>
    <w:rsid w:val="007861D0"/>
    <w:rsid w:val="00786729"/>
    <w:rsid w:val="0078698E"/>
    <w:rsid w:val="00786B91"/>
    <w:rsid w:val="00786FE1"/>
    <w:rsid w:val="00787718"/>
    <w:rsid w:val="007879F4"/>
    <w:rsid w:val="00787BF0"/>
    <w:rsid w:val="00787C45"/>
    <w:rsid w:val="00787D0F"/>
    <w:rsid w:val="00787D22"/>
    <w:rsid w:val="00787DE4"/>
    <w:rsid w:val="00787E43"/>
    <w:rsid w:val="00787EA9"/>
    <w:rsid w:val="00790074"/>
    <w:rsid w:val="007902F3"/>
    <w:rsid w:val="00790416"/>
    <w:rsid w:val="00790B12"/>
    <w:rsid w:val="00790B7B"/>
    <w:rsid w:val="00790FF0"/>
    <w:rsid w:val="007914A7"/>
    <w:rsid w:val="007916BB"/>
    <w:rsid w:val="00791A48"/>
    <w:rsid w:val="00791B60"/>
    <w:rsid w:val="00791BE0"/>
    <w:rsid w:val="00791E84"/>
    <w:rsid w:val="007921B3"/>
    <w:rsid w:val="0079220F"/>
    <w:rsid w:val="00792662"/>
    <w:rsid w:val="00792832"/>
    <w:rsid w:val="0079283F"/>
    <w:rsid w:val="00792979"/>
    <w:rsid w:val="00792C8E"/>
    <w:rsid w:val="00792D63"/>
    <w:rsid w:val="00792F1F"/>
    <w:rsid w:val="00793133"/>
    <w:rsid w:val="0079318D"/>
    <w:rsid w:val="007932C1"/>
    <w:rsid w:val="007933E7"/>
    <w:rsid w:val="0079353B"/>
    <w:rsid w:val="0079386A"/>
    <w:rsid w:val="00793C0F"/>
    <w:rsid w:val="00793EC5"/>
    <w:rsid w:val="007941A1"/>
    <w:rsid w:val="007942BA"/>
    <w:rsid w:val="00794410"/>
    <w:rsid w:val="00794681"/>
    <w:rsid w:val="00794BF3"/>
    <w:rsid w:val="00794E41"/>
    <w:rsid w:val="00794F4B"/>
    <w:rsid w:val="00795305"/>
    <w:rsid w:val="00795992"/>
    <w:rsid w:val="0079599F"/>
    <w:rsid w:val="00795AB1"/>
    <w:rsid w:val="00795B1F"/>
    <w:rsid w:val="00795B2C"/>
    <w:rsid w:val="00795D85"/>
    <w:rsid w:val="00795E37"/>
    <w:rsid w:val="00795E38"/>
    <w:rsid w:val="00795EF4"/>
    <w:rsid w:val="00796422"/>
    <w:rsid w:val="007965C8"/>
    <w:rsid w:val="0079695C"/>
    <w:rsid w:val="00796968"/>
    <w:rsid w:val="007969DC"/>
    <w:rsid w:val="00796A8E"/>
    <w:rsid w:val="00796CEA"/>
    <w:rsid w:val="00796D97"/>
    <w:rsid w:val="00797036"/>
    <w:rsid w:val="00797111"/>
    <w:rsid w:val="00797226"/>
    <w:rsid w:val="00797358"/>
    <w:rsid w:val="007977F9"/>
    <w:rsid w:val="00797931"/>
    <w:rsid w:val="00797F4B"/>
    <w:rsid w:val="007A03C4"/>
    <w:rsid w:val="007A0447"/>
    <w:rsid w:val="007A0901"/>
    <w:rsid w:val="007A0FC9"/>
    <w:rsid w:val="007A1318"/>
    <w:rsid w:val="007A13A5"/>
    <w:rsid w:val="007A1549"/>
    <w:rsid w:val="007A156B"/>
    <w:rsid w:val="007A196D"/>
    <w:rsid w:val="007A19D6"/>
    <w:rsid w:val="007A1EB9"/>
    <w:rsid w:val="007A2090"/>
    <w:rsid w:val="007A215F"/>
    <w:rsid w:val="007A2343"/>
    <w:rsid w:val="007A2494"/>
    <w:rsid w:val="007A278F"/>
    <w:rsid w:val="007A2BB2"/>
    <w:rsid w:val="007A2C69"/>
    <w:rsid w:val="007A2D59"/>
    <w:rsid w:val="007A2EA3"/>
    <w:rsid w:val="007A311E"/>
    <w:rsid w:val="007A3250"/>
    <w:rsid w:val="007A32A3"/>
    <w:rsid w:val="007A34E2"/>
    <w:rsid w:val="007A3BF8"/>
    <w:rsid w:val="007A413F"/>
    <w:rsid w:val="007A42EF"/>
    <w:rsid w:val="007A44AC"/>
    <w:rsid w:val="007A4504"/>
    <w:rsid w:val="007A4518"/>
    <w:rsid w:val="007A4633"/>
    <w:rsid w:val="007A4888"/>
    <w:rsid w:val="007A4F17"/>
    <w:rsid w:val="007A51BB"/>
    <w:rsid w:val="007A5254"/>
    <w:rsid w:val="007A5368"/>
    <w:rsid w:val="007A536B"/>
    <w:rsid w:val="007A55B3"/>
    <w:rsid w:val="007A5673"/>
    <w:rsid w:val="007A571D"/>
    <w:rsid w:val="007A586A"/>
    <w:rsid w:val="007A5B2B"/>
    <w:rsid w:val="007A5CC0"/>
    <w:rsid w:val="007A5E64"/>
    <w:rsid w:val="007A6005"/>
    <w:rsid w:val="007A614B"/>
    <w:rsid w:val="007A6276"/>
    <w:rsid w:val="007A66B8"/>
    <w:rsid w:val="007A6771"/>
    <w:rsid w:val="007A6772"/>
    <w:rsid w:val="007A6D52"/>
    <w:rsid w:val="007A6E27"/>
    <w:rsid w:val="007A6E55"/>
    <w:rsid w:val="007A6E99"/>
    <w:rsid w:val="007A6EE3"/>
    <w:rsid w:val="007A6F6C"/>
    <w:rsid w:val="007A712B"/>
    <w:rsid w:val="007A742A"/>
    <w:rsid w:val="007A7525"/>
    <w:rsid w:val="007A7528"/>
    <w:rsid w:val="007A77E9"/>
    <w:rsid w:val="007A78A7"/>
    <w:rsid w:val="007A78D0"/>
    <w:rsid w:val="007A7911"/>
    <w:rsid w:val="007A791A"/>
    <w:rsid w:val="007A7BAE"/>
    <w:rsid w:val="007A7C37"/>
    <w:rsid w:val="007A7E54"/>
    <w:rsid w:val="007A7ED8"/>
    <w:rsid w:val="007A7FC7"/>
    <w:rsid w:val="007B008E"/>
    <w:rsid w:val="007B00DA"/>
    <w:rsid w:val="007B1230"/>
    <w:rsid w:val="007B1348"/>
    <w:rsid w:val="007B134B"/>
    <w:rsid w:val="007B14A5"/>
    <w:rsid w:val="007B15B9"/>
    <w:rsid w:val="007B18F3"/>
    <w:rsid w:val="007B1A9F"/>
    <w:rsid w:val="007B1E5D"/>
    <w:rsid w:val="007B2B02"/>
    <w:rsid w:val="007B2BAF"/>
    <w:rsid w:val="007B2CE4"/>
    <w:rsid w:val="007B2CF5"/>
    <w:rsid w:val="007B3131"/>
    <w:rsid w:val="007B32E9"/>
    <w:rsid w:val="007B3AC6"/>
    <w:rsid w:val="007B3D3D"/>
    <w:rsid w:val="007B4B5F"/>
    <w:rsid w:val="007B5037"/>
    <w:rsid w:val="007B5409"/>
    <w:rsid w:val="007B567D"/>
    <w:rsid w:val="007B5B3A"/>
    <w:rsid w:val="007B5ECA"/>
    <w:rsid w:val="007B61F2"/>
    <w:rsid w:val="007B62EC"/>
    <w:rsid w:val="007B674A"/>
    <w:rsid w:val="007B6847"/>
    <w:rsid w:val="007B6885"/>
    <w:rsid w:val="007B68CA"/>
    <w:rsid w:val="007B6EF2"/>
    <w:rsid w:val="007B6EFF"/>
    <w:rsid w:val="007B6F0F"/>
    <w:rsid w:val="007B703A"/>
    <w:rsid w:val="007B7139"/>
    <w:rsid w:val="007B7932"/>
    <w:rsid w:val="007B7937"/>
    <w:rsid w:val="007B7A95"/>
    <w:rsid w:val="007B7BCD"/>
    <w:rsid w:val="007C0120"/>
    <w:rsid w:val="007C01A2"/>
    <w:rsid w:val="007C02EB"/>
    <w:rsid w:val="007C0A05"/>
    <w:rsid w:val="007C0D5E"/>
    <w:rsid w:val="007C0EDC"/>
    <w:rsid w:val="007C1224"/>
    <w:rsid w:val="007C1336"/>
    <w:rsid w:val="007C136E"/>
    <w:rsid w:val="007C14AF"/>
    <w:rsid w:val="007C1622"/>
    <w:rsid w:val="007C16C0"/>
    <w:rsid w:val="007C16D1"/>
    <w:rsid w:val="007C181D"/>
    <w:rsid w:val="007C1936"/>
    <w:rsid w:val="007C197B"/>
    <w:rsid w:val="007C1AC4"/>
    <w:rsid w:val="007C1D6B"/>
    <w:rsid w:val="007C1D7E"/>
    <w:rsid w:val="007C252D"/>
    <w:rsid w:val="007C2810"/>
    <w:rsid w:val="007C28FD"/>
    <w:rsid w:val="007C297B"/>
    <w:rsid w:val="007C29F7"/>
    <w:rsid w:val="007C2B49"/>
    <w:rsid w:val="007C2DEB"/>
    <w:rsid w:val="007C2DF3"/>
    <w:rsid w:val="007C2E7B"/>
    <w:rsid w:val="007C2FCE"/>
    <w:rsid w:val="007C31D8"/>
    <w:rsid w:val="007C3222"/>
    <w:rsid w:val="007C324F"/>
    <w:rsid w:val="007C33E6"/>
    <w:rsid w:val="007C3410"/>
    <w:rsid w:val="007C3712"/>
    <w:rsid w:val="007C385D"/>
    <w:rsid w:val="007C3880"/>
    <w:rsid w:val="007C3CCD"/>
    <w:rsid w:val="007C3EEC"/>
    <w:rsid w:val="007C402B"/>
    <w:rsid w:val="007C4185"/>
    <w:rsid w:val="007C4454"/>
    <w:rsid w:val="007C4480"/>
    <w:rsid w:val="007C4605"/>
    <w:rsid w:val="007C4719"/>
    <w:rsid w:val="007C4780"/>
    <w:rsid w:val="007C4920"/>
    <w:rsid w:val="007C4C16"/>
    <w:rsid w:val="007C4C62"/>
    <w:rsid w:val="007C5499"/>
    <w:rsid w:val="007C5628"/>
    <w:rsid w:val="007C59CE"/>
    <w:rsid w:val="007C5AD3"/>
    <w:rsid w:val="007C5B9F"/>
    <w:rsid w:val="007C5D1E"/>
    <w:rsid w:val="007C5FDB"/>
    <w:rsid w:val="007C618F"/>
    <w:rsid w:val="007C62A6"/>
    <w:rsid w:val="007C691C"/>
    <w:rsid w:val="007C695A"/>
    <w:rsid w:val="007C6E72"/>
    <w:rsid w:val="007C70A5"/>
    <w:rsid w:val="007C722E"/>
    <w:rsid w:val="007C75F6"/>
    <w:rsid w:val="007C78B7"/>
    <w:rsid w:val="007C7A51"/>
    <w:rsid w:val="007C7AF5"/>
    <w:rsid w:val="007C7E20"/>
    <w:rsid w:val="007D018E"/>
    <w:rsid w:val="007D032E"/>
    <w:rsid w:val="007D0606"/>
    <w:rsid w:val="007D0739"/>
    <w:rsid w:val="007D0CE5"/>
    <w:rsid w:val="007D13E8"/>
    <w:rsid w:val="007D1460"/>
    <w:rsid w:val="007D14B9"/>
    <w:rsid w:val="007D1655"/>
    <w:rsid w:val="007D19D6"/>
    <w:rsid w:val="007D1C44"/>
    <w:rsid w:val="007D1CD3"/>
    <w:rsid w:val="007D227F"/>
    <w:rsid w:val="007D29C9"/>
    <w:rsid w:val="007D2D61"/>
    <w:rsid w:val="007D2E6A"/>
    <w:rsid w:val="007D2F82"/>
    <w:rsid w:val="007D3084"/>
    <w:rsid w:val="007D30FA"/>
    <w:rsid w:val="007D34D3"/>
    <w:rsid w:val="007D3771"/>
    <w:rsid w:val="007D3BCA"/>
    <w:rsid w:val="007D3C6E"/>
    <w:rsid w:val="007D3E8F"/>
    <w:rsid w:val="007D43BD"/>
    <w:rsid w:val="007D44C0"/>
    <w:rsid w:val="007D45BE"/>
    <w:rsid w:val="007D481A"/>
    <w:rsid w:val="007D48F0"/>
    <w:rsid w:val="007D5068"/>
    <w:rsid w:val="007D539B"/>
    <w:rsid w:val="007D53A8"/>
    <w:rsid w:val="007D586B"/>
    <w:rsid w:val="007D5A83"/>
    <w:rsid w:val="007D5BBF"/>
    <w:rsid w:val="007D5E0A"/>
    <w:rsid w:val="007D5F30"/>
    <w:rsid w:val="007D6014"/>
    <w:rsid w:val="007D625F"/>
    <w:rsid w:val="007D642C"/>
    <w:rsid w:val="007D678C"/>
    <w:rsid w:val="007D68E7"/>
    <w:rsid w:val="007D6D83"/>
    <w:rsid w:val="007D6E6A"/>
    <w:rsid w:val="007D6FE9"/>
    <w:rsid w:val="007D7251"/>
    <w:rsid w:val="007D75E7"/>
    <w:rsid w:val="007D7C7B"/>
    <w:rsid w:val="007E0483"/>
    <w:rsid w:val="007E05FD"/>
    <w:rsid w:val="007E0832"/>
    <w:rsid w:val="007E090F"/>
    <w:rsid w:val="007E0ABA"/>
    <w:rsid w:val="007E0BEC"/>
    <w:rsid w:val="007E0C0F"/>
    <w:rsid w:val="007E10F7"/>
    <w:rsid w:val="007E163E"/>
    <w:rsid w:val="007E171C"/>
    <w:rsid w:val="007E17F7"/>
    <w:rsid w:val="007E18FA"/>
    <w:rsid w:val="007E19D1"/>
    <w:rsid w:val="007E19D6"/>
    <w:rsid w:val="007E1A0B"/>
    <w:rsid w:val="007E1C05"/>
    <w:rsid w:val="007E1C85"/>
    <w:rsid w:val="007E1EC8"/>
    <w:rsid w:val="007E1F14"/>
    <w:rsid w:val="007E20C8"/>
    <w:rsid w:val="007E20DC"/>
    <w:rsid w:val="007E21F9"/>
    <w:rsid w:val="007E2248"/>
    <w:rsid w:val="007E2575"/>
    <w:rsid w:val="007E26B7"/>
    <w:rsid w:val="007E28DF"/>
    <w:rsid w:val="007E304E"/>
    <w:rsid w:val="007E3304"/>
    <w:rsid w:val="007E34F2"/>
    <w:rsid w:val="007E36B0"/>
    <w:rsid w:val="007E37C5"/>
    <w:rsid w:val="007E392E"/>
    <w:rsid w:val="007E3BBA"/>
    <w:rsid w:val="007E3D89"/>
    <w:rsid w:val="007E3F7F"/>
    <w:rsid w:val="007E4192"/>
    <w:rsid w:val="007E42FF"/>
    <w:rsid w:val="007E46A2"/>
    <w:rsid w:val="007E46AE"/>
    <w:rsid w:val="007E46BB"/>
    <w:rsid w:val="007E4833"/>
    <w:rsid w:val="007E512D"/>
    <w:rsid w:val="007E5210"/>
    <w:rsid w:val="007E529B"/>
    <w:rsid w:val="007E52FE"/>
    <w:rsid w:val="007E53C0"/>
    <w:rsid w:val="007E57BB"/>
    <w:rsid w:val="007E5AE0"/>
    <w:rsid w:val="007E5BD4"/>
    <w:rsid w:val="007E5DAA"/>
    <w:rsid w:val="007E5F14"/>
    <w:rsid w:val="007E60D9"/>
    <w:rsid w:val="007E615E"/>
    <w:rsid w:val="007E649B"/>
    <w:rsid w:val="007E6612"/>
    <w:rsid w:val="007E666D"/>
    <w:rsid w:val="007E66B0"/>
    <w:rsid w:val="007E678E"/>
    <w:rsid w:val="007E6854"/>
    <w:rsid w:val="007E69D7"/>
    <w:rsid w:val="007E6E66"/>
    <w:rsid w:val="007E7310"/>
    <w:rsid w:val="007E7714"/>
    <w:rsid w:val="007E7AFA"/>
    <w:rsid w:val="007E7B71"/>
    <w:rsid w:val="007E7CDE"/>
    <w:rsid w:val="007F039A"/>
    <w:rsid w:val="007F068A"/>
    <w:rsid w:val="007F0753"/>
    <w:rsid w:val="007F0898"/>
    <w:rsid w:val="007F0A5F"/>
    <w:rsid w:val="007F0A69"/>
    <w:rsid w:val="007F104F"/>
    <w:rsid w:val="007F161A"/>
    <w:rsid w:val="007F182F"/>
    <w:rsid w:val="007F2002"/>
    <w:rsid w:val="007F21B9"/>
    <w:rsid w:val="007F229E"/>
    <w:rsid w:val="007F23CE"/>
    <w:rsid w:val="007F261A"/>
    <w:rsid w:val="007F280F"/>
    <w:rsid w:val="007F2861"/>
    <w:rsid w:val="007F289D"/>
    <w:rsid w:val="007F299D"/>
    <w:rsid w:val="007F2DAC"/>
    <w:rsid w:val="007F30EB"/>
    <w:rsid w:val="007F31B0"/>
    <w:rsid w:val="007F3227"/>
    <w:rsid w:val="007F3270"/>
    <w:rsid w:val="007F3374"/>
    <w:rsid w:val="007F33F3"/>
    <w:rsid w:val="007F352E"/>
    <w:rsid w:val="007F3600"/>
    <w:rsid w:val="007F3BBB"/>
    <w:rsid w:val="007F3C8D"/>
    <w:rsid w:val="007F3D86"/>
    <w:rsid w:val="007F3E1F"/>
    <w:rsid w:val="007F402D"/>
    <w:rsid w:val="007F408F"/>
    <w:rsid w:val="007F4192"/>
    <w:rsid w:val="007F4430"/>
    <w:rsid w:val="007F45C2"/>
    <w:rsid w:val="007F45D3"/>
    <w:rsid w:val="007F4715"/>
    <w:rsid w:val="007F4A1D"/>
    <w:rsid w:val="007F4B0F"/>
    <w:rsid w:val="007F4C08"/>
    <w:rsid w:val="007F4CFA"/>
    <w:rsid w:val="007F4D38"/>
    <w:rsid w:val="007F5045"/>
    <w:rsid w:val="007F55BE"/>
    <w:rsid w:val="007F56FF"/>
    <w:rsid w:val="007F5959"/>
    <w:rsid w:val="007F621D"/>
    <w:rsid w:val="007F6349"/>
    <w:rsid w:val="007F64EF"/>
    <w:rsid w:val="007F6537"/>
    <w:rsid w:val="007F687C"/>
    <w:rsid w:val="007F6AEC"/>
    <w:rsid w:val="007F6BE4"/>
    <w:rsid w:val="007F6D5D"/>
    <w:rsid w:val="007F6EBC"/>
    <w:rsid w:val="007F77AA"/>
    <w:rsid w:val="007F7AE8"/>
    <w:rsid w:val="007F7D39"/>
    <w:rsid w:val="007F7DB2"/>
    <w:rsid w:val="007F7DF7"/>
    <w:rsid w:val="007F7EEE"/>
    <w:rsid w:val="007F7FBD"/>
    <w:rsid w:val="00800427"/>
    <w:rsid w:val="00800611"/>
    <w:rsid w:val="008009A9"/>
    <w:rsid w:val="00800B95"/>
    <w:rsid w:val="00800BA9"/>
    <w:rsid w:val="00800C03"/>
    <w:rsid w:val="00800E5C"/>
    <w:rsid w:val="00800EEF"/>
    <w:rsid w:val="008012A2"/>
    <w:rsid w:val="00801705"/>
    <w:rsid w:val="00801BDE"/>
    <w:rsid w:val="00801BEA"/>
    <w:rsid w:val="00801C68"/>
    <w:rsid w:val="00801F92"/>
    <w:rsid w:val="008021C3"/>
    <w:rsid w:val="008026DC"/>
    <w:rsid w:val="00802769"/>
    <w:rsid w:val="00802823"/>
    <w:rsid w:val="008028BE"/>
    <w:rsid w:val="00802A13"/>
    <w:rsid w:val="00802A59"/>
    <w:rsid w:val="00802B17"/>
    <w:rsid w:val="00802C43"/>
    <w:rsid w:val="00803426"/>
    <w:rsid w:val="0080345F"/>
    <w:rsid w:val="008034CA"/>
    <w:rsid w:val="00803579"/>
    <w:rsid w:val="00803984"/>
    <w:rsid w:val="00803A8F"/>
    <w:rsid w:val="00804048"/>
    <w:rsid w:val="008040A9"/>
    <w:rsid w:val="0080437F"/>
    <w:rsid w:val="00804A85"/>
    <w:rsid w:val="00805082"/>
    <w:rsid w:val="00805379"/>
    <w:rsid w:val="00805393"/>
    <w:rsid w:val="0080543C"/>
    <w:rsid w:val="008054D0"/>
    <w:rsid w:val="00805710"/>
    <w:rsid w:val="00805B2F"/>
    <w:rsid w:val="00805B86"/>
    <w:rsid w:val="00805EF4"/>
    <w:rsid w:val="00805F1F"/>
    <w:rsid w:val="00805F5D"/>
    <w:rsid w:val="0080609E"/>
    <w:rsid w:val="0080697C"/>
    <w:rsid w:val="00806B53"/>
    <w:rsid w:val="00806F37"/>
    <w:rsid w:val="00806F4D"/>
    <w:rsid w:val="00807218"/>
    <w:rsid w:val="0080724A"/>
    <w:rsid w:val="0080736E"/>
    <w:rsid w:val="008075B4"/>
    <w:rsid w:val="00807822"/>
    <w:rsid w:val="00807DC8"/>
    <w:rsid w:val="00807E8C"/>
    <w:rsid w:val="00810149"/>
    <w:rsid w:val="0081058F"/>
    <w:rsid w:val="008106E6"/>
    <w:rsid w:val="00810B73"/>
    <w:rsid w:val="00810E12"/>
    <w:rsid w:val="00810F2C"/>
    <w:rsid w:val="00811224"/>
    <w:rsid w:val="0081124A"/>
    <w:rsid w:val="00811284"/>
    <w:rsid w:val="00811324"/>
    <w:rsid w:val="008113D6"/>
    <w:rsid w:val="0081160C"/>
    <w:rsid w:val="0081168D"/>
    <w:rsid w:val="00811EB7"/>
    <w:rsid w:val="0081211F"/>
    <w:rsid w:val="008122FA"/>
    <w:rsid w:val="008125D6"/>
    <w:rsid w:val="00812EED"/>
    <w:rsid w:val="008131A6"/>
    <w:rsid w:val="008131AD"/>
    <w:rsid w:val="00813A18"/>
    <w:rsid w:val="00813A9D"/>
    <w:rsid w:val="008142A6"/>
    <w:rsid w:val="00814933"/>
    <w:rsid w:val="00814BD5"/>
    <w:rsid w:val="00814C8E"/>
    <w:rsid w:val="00814D28"/>
    <w:rsid w:val="008153B8"/>
    <w:rsid w:val="00815743"/>
    <w:rsid w:val="00815855"/>
    <w:rsid w:val="00815937"/>
    <w:rsid w:val="008162CC"/>
    <w:rsid w:val="008168B3"/>
    <w:rsid w:val="00816935"/>
    <w:rsid w:val="00816A88"/>
    <w:rsid w:val="00816CDA"/>
    <w:rsid w:val="00816CF9"/>
    <w:rsid w:val="00816E1A"/>
    <w:rsid w:val="00816FB8"/>
    <w:rsid w:val="0081737C"/>
    <w:rsid w:val="00817C21"/>
    <w:rsid w:val="00817CE1"/>
    <w:rsid w:val="008200DC"/>
    <w:rsid w:val="008201C6"/>
    <w:rsid w:val="008205C0"/>
    <w:rsid w:val="00820803"/>
    <w:rsid w:val="008209E7"/>
    <w:rsid w:val="00820A7F"/>
    <w:rsid w:val="00820C92"/>
    <w:rsid w:val="00820D3A"/>
    <w:rsid w:val="008215C6"/>
    <w:rsid w:val="00821991"/>
    <w:rsid w:val="00821CC2"/>
    <w:rsid w:val="008228CF"/>
    <w:rsid w:val="00822A1D"/>
    <w:rsid w:val="00822AA9"/>
    <w:rsid w:val="00822D21"/>
    <w:rsid w:val="00822FB1"/>
    <w:rsid w:val="008231D7"/>
    <w:rsid w:val="0082354F"/>
    <w:rsid w:val="00823BEC"/>
    <w:rsid w:val="00823CB8"/>
    <w:rsid w:val="00823F38"/>
    <w:rsid w:val="00823F7A"/>
    <w:rsid w:val="0082407E"/>
    <w:rsid w:val="008240A8"/>
    <w:rsid w:val="008240C2"/>
    <w:rsid w:val="00824AA9"/>
    <w:rsid w:val="00824D61"/>
    <w:rsid w:val="00824E46"/>
    <w:rsid w:val="00824F9A"/>
    <w:rsid w:val="008250B8"/>
    <w:rsid w:val="008250C5"/>
    <w:rsid w:val="00825244"/>
    <w:rsid w:val="0082582B"/>
    <w:rsid w:val="008258D4"/>
    <w:rsid w:val="0082599A"/>
    <w:rsid w:val="00825B48"/>
    <w:rsid w:val="00825B4E"/>
    <w:rsid w:val="00825DCF"/>
    <w:rsid w:val="00825FF6"/>
    <w:rsid w:val="00826095"/>
    <w:rsid w:val="008260E8"/>
    <w:rsid w:val="0082619E"/>
    <w:rsid w:val="008264C8"/>
    <w:rsid w:val="008264EB"/>
    <w:rsid w:val="00826544"/>
    <w:rsid w:val="0082670B"/>
    <w:rsid w:val="00826DD4"/>
    <w:rsid w:val="00826ECD"/>
    <w:rsid w:val="00827040"/>
    <w:rsid w:val="008270E2"/>
    <w:rsid w:val="008275EF"/>
    <w:rsid w:val="00827E08"/>
    <w:rsid w:val="00827FD9"/>
    <w:rsid w:val="0083018B"/>
    <w:rsid w:val="00830463"/>
    <w:rsid w:val="00830711"/>
    <w:rsid w:val="008307B4"/>
    <w:rsid w:val="0083092C"/>
    <w:rsid w:val="00831590"/>
    <w:rsid w:val="00831742"/>
    <w:rsid w:val="00831900"/>
    <w:rsid w:val="00831DA7"/>
    <w:rsid w:val="00832158"/>
    <w:rsid w:val="00832324"/>
    <w:rsid w:val="00832608"/>
    <w:rsid w:val="008326AC"/>
    <w:rsid w:val="0083277E"/>
    <w:rsid w:val="0083290C"/>
    <w:rsid w:val="00832C9E"/>
    <w:rsid w:val="00832DAB"/>
    <w:rsid w:val="00832F36"/>
    <w:rsid w:val="008331BE"/>
    <w:rsid w:val="008332C5"/>
    <w:rsid w:val="008333FC"/>
    <w:rsid w:val="00833847"/>
    <w:rsid w:val="00833C4B"/>
    <w:rsid w:val="00833EBD"/>
    <w:rsid w:val="00833ED5"/>
    <w:rsid w:val="0083421B"/>
    <w:rsid w:val="0083426F"/>
    <w:rsid w:val="008342B8"/>
    <w:rsid w:val="008345F6"/>
    <w:rsid w:val="00834A43"/>
    <w:rsid w:val="00834A83"/>
    <w:rsid w:val="00834B84"/>
    <w:rsid w:val="00834C4E"/>
    <w:rsid w:val="00834E2F"/>
    <w:rsid w:val="0083501D"/>
    <w:rsid w:val="00835425"/>
    <w:rsid w:val="0083554B"/>
    <w:rsid w:val="0083558D"/>
    <w:rsid w:val="00835605"/>
    <w:rsid w:val="00835800"/>
    <w:rsid w:val="00835A0F"/>
    <w:rsid w:val="00835F6D"/>
    <w:rsid w:val="00836322"/>
    <w:rsid w:val="0083663C"/>
    <w:rsid w:val="00836669"/>
    <w:rsid w:val="00836679"/>
    <w:rsid w:val="008366CB"/>
    <w:rsid w:val="00836797"/>
    <w:rsid w:val="00836801"/>
    <w:rsid w:val="00836920"/>
    <w:rsid w:val="00836A36"/>
    <w:rsid w:val="00836AA8"/>
    <w:rsid w:val="00836F30"/>
    <w:rsid w:val="0083712E"/>
    <w:rsid w:val="00837703"/>
    <w:rsid w:val="0083777B"/>
    <w:rsid w:val="00837974"/>
    <w:rsid w:val="0083797C"/>
    <w:rsid w:val="00837A9F"/>
    <w:rsid w:val="00837D3D"/>
    <w:rsid w:val="00837F18"/>
    <w:rsid w:val="008402F1"/>
    <w:rsid w:val="008403F5"/>
    <w:rsid w:val="00840857"/>
    <w:rsid w:val="00840D07"/>
    <w:rsid w:val="00840FE8"/>
    <w:rsid w:val="008415CD"/>
    <w:rsid w:val="008416AF"/>
    <w:rsid w:val="00841870"/>
    <w:rsid w:val="0084195C"/>
    <w:rsid w:val="00841BB2"/>
    <w:rsid w:val="00841D7D"/>
    <w:rsid w:val="00841E58"/>
    <w:rsid w:val="008422B8"/>
    <w:rsid w:val="00842755"/>
    <w:rsid w:val="00842798"/>
    <w:rsid w:val="00842999"/>
    <w:rsid w:val="00842B6C"/>
    <w:rsid w:val="00842B7A"/>
    <w:rsid w:val="00842E1A"/>
    <w:rsid w:val="00842E89"/>
    <w:rsid w:val="00842EEE"/>
    <w:rsid w:val="0084345A"/>
    <w:rsid w:val="0084357D"/>
    <w:rsid w:val="0084374C"/>
    <w:rsid w:val="00843854"/>
    <w:rsid w:val="008439F6"/>
    <w:rsid w:val="00843A68"/>
    <w:rsid w:val="00843C33"/>
    <w:rsid w:val="008440DA"/>
    <w:rsid w:val="008441C6"/>
    <w:rsid w:val="00844574"/>
    <w:rsid w:val="008446CE"/>
    <w:rsid w:val="00844711"/>
    <w:rsid w:val="00844846"/>
    <w:rsid w:val="008449B1"/>
    <w:rsid w:val="00844A64"/>
    <w:rsid w:val="00844C55"/>
    <w:rsid w:val="00844E1B"/>
    <w:rsid w:val="00844E40"/>
    <w:rsid w:val="008451F5"/>
    <w:rsid w:val="0084522E"/>
    <w:rsid w:val="008452C6"/>
    <w:rsid w:val="00845690"/>
    <w:rsid w:val="00845823"/>
    <w:rsid w:val="00845942"/>
    <w:rsid w:val="00845A6D"/>
    <w:rsid w:val="00845D36"/>
    <w:rsid w:val="00845FF0"/>
    <w:rsid w:val="00846003"/>
    <w:rsid w:val="00846568"/>
    <w:rsid w:val="00846860"/>
    <w:rsid w:val="00846AC0"/>
    <w:rsid w:val="00846C6D"/>
    <w:rsid w:val="008470B8"/>
    <w:rsid w:val="00847187"/>
    <w:rsid w:val="008475B8"/>
    <w:rsid w:val="00847616"/>
    <w:rsid w:val="00847824"/>
    <w:rsid w:val="00847842"/>
    <w:rsid w:val="0084786F"/>
    <w:rsid w:val="00847C61"/>
    <w:rsid w:val="00847DFC"/>
    <w:rsid w:val="00847E23"/>
    <w:rsid w:val="00847E97"/>
    <w:rsid w:val="00850091"/>
    <w:rsid w:val="008500E3"/>
    <w:rsid w:val="00850153"/>
    <w:rsid w:val="0085035A"/>
    <w:rsid w:val="008508BC"/>
    <w:rsid w:val="008508E3"/>
    <w:rsid w:val="00850DD3"/>
    <w:rsid w:val="00850EE2"/>
    <w:rsid w:val="00850F52"/>
    <w:rsid w:val="00850FD9"/>
    <w:rsid w:val="0085100D"/>
    <w:rsid w:val="0085112B"/>
    <w:rsid w:val="00851219"/>
    <w:rsid w:val="00851374"/>
    <w:rsid w:val="008515A2"/>
    <w:rsid w:val="00851657"/>
    <w:rsid w:val="00851854"/>
    <w:rsid w:val="008518E0"/>
    <w:rsid w:val="008518F0"/>
    <w:rsid w:val="00851B39"/>
    <w:rsid w:val="00852178"/>
    <w:rsid w:val="008522BB"/>
    <w:rsid w:val="008526DB"/>
    <w:rsid w:val="00852705"/>
    <w:rsid w:val="0085291F"/>
    <w:rsid w:val="00852981"/>
    <w:rsid w:val="00852BD6"/>
    <w:rsid w:val="00852E6A"/>
    <w:rsid w:val="00853249"/>
    <w:rsid w:val="00853656"/>
    <w:rsid w:val="0085377A"/>
    <w:rsid w:val="0085388E"/>
    <w:rsid w:val="008539F5"/>
    <w:rsid w:val="00853A2E"/>
    <w:rsid w:val="00853C2D"/>
    <w:rsid w:val="00853F1A"/>
    <w:rsid w:val="00853FF0"/>
    <w:rsid w:val="00853FF3"/>
    <w:rsid w:val="0085413D"/>
    <w:rsid w:val="008541D0"/>
    <w:rsid w:val="00854225"/>
    <w:rsid w:val="00854326"/>
    <w:rsid w:val="00854350"/>
    <w:rsid w:val="008544B4"/>
    <w:rsid w:val="0085451D"/>
    <w:rsid w:val="00854AA0"/>
    <w:rsid w:val="00854EC8"/>
    <w:rsid w:val="008552E7"/>
    <w:rsid w:val="00855C4C"/>
    <w:rsid w:val="00855D3A"/>
    <w:rsid w:val="00855EE6"/>
    <w:rsid w:val="008564D7"/>
    <w:rsid w:val="0085699F"/>
    <w:rsid w:val="008569BD"/>
    <w:rsid w:val="00856B46"/>
    <w:rsid w:val="00856FC3"/>
    <w:rsid w:val="00857243"/>
    <w:rsid w:val="00857718"/>
    <w:rsid w:val="008577D2"/>
    <w:rsid w:val="0085785D"/>
    <w:rsid w:val="00857A3D"/>
    <w:rsid w:val="00857AC5"/>
    <w:rsid w:val="00857B3D"/>
    <w:rsid w:val="00857BDA"/>
    <w:rsid w:val="00857E59"/>
    <w:rsid w:val="0086009D"/>
    <w:rsid w:val="0086012E"/>
    <w:rsid w:val="008603B4"/>
    <w:rsid w:val="008603C4"/>
    <w:rsid w:val="0086042C"/>
    <w:rsid w:val="00860657"/>
    <w:rsid w:val="00860735"/>
    <w:rsid w:val="008609F4"/>
    <w:rsid w:val="00860AD5"/>
    <w:rsid w:val="00860D20"/>
    <w:rsid w:val="008613B1"/>
    <w:rsid w:val="008613D3"/>
    <w:rsid w:val="00861579"/>
    <w:rsid w:val="008618EE"/>
    <w:rsid w:val="00861D5E"/>
    <w:rsid w:val="0086228B"/>
    <w:rsid w:val="008622E2"/>
    <w:rsid w:val="00862A38"/>
    <w:rsid w:val="00862ACA"/>
    <w:rsid w:val="00863256"/>
    <w:rsid w:val="008634AC"/>
    <w:rsid w:val="008639C1"/>
    <w:rsid w:val="00863A64"/>
    <w:rsid w:val="00863B63"/>
    <w:rsid w:val="00863D51"/>
    <w:rsid w:val="00863D80"/>
    <w:rsid w:val="008640BE"/>
    <w:rsid w:val="008640CB"/>
    <w:rsid w:val="00864226"/>
    <w:rsid w:val="00864247"/>
    <w:rsid w:val="008642D7"/>
    <w:rsid w:val="00864509"/>
    <w:rsid w:val="00864767"/>
    <w:rsid w:val="00864A4F"/>
    <w:rsid w:val="00864BF1"/>
    <w:rsid w:val="00864BF8"/>
    <w:rsid w:val="00864D31"/>
    <w:rsid w:val="00864E61"/>
    <w:rsid w:val="0086531E"/>
    <w:rsid w:val="0086535F"/>
    <w:rsid w:val="00865512"/>
    <w:rsid w:val="00865564"/>
    <w:rsid w:val="008655B1"/>
    <w:rsid w:val="00865769"/>
    <w:rsid w:val="008659E6"/>
    <w:rsid w:val="00865ACC"/>
    <w:rsid w:val="00865BD3"/>
    <w:rsid w:val="00865C17"/>
    <w:rsid w:val="00865E1F"/>
    <w:rsid w:val="00865F37"/>
    <w:rsid w:val="00866202"/>
    <w:rsid w:val="00866312"/>
    <w:rsid w:val="00866B62"/>
    <w:rsid w:val="00866B6C"/>
    <w:rsid w:val="00866BAC"/>
    <w:rsid w:val="00866EFE"/>
    <w:rsid w:val="00867353"/>
    <w:rsid w:val="00867474"/>
    <w:rsid w:val="00867748"/>
    <w:rsid w:val="008677F7"/>
    <w:rsid w:val="008679B8"/>
    <w:rsid w:val="00867B44"/>
    <w:rsid w:val="00867E22"/>
    <w:rsid w:val="00867F83"/>
    <w:rsid w:val="00870243"/>
    <w:rsid w:val="008703B8"/>
    <w:rsid w:val="00870725"/>
    <w:rsid w:val="008709EF"/>
    <w:rsid w:val="00870BAC"/>
    <w:rsid w:val="00870CE4"/>
    <w:rsid w:val="00870E1A"/>
    <w:rsid w:val="00871011"/>
    <w:rsid w:val="00871542"/>
    <w:rsid w:val="00871981"/>
    <w:rsid w:val="00871A8C"/>
    <w:rsid w:val="00871AE5"/>
    <w:rsid w:val="00871DA8"/>
    <w:rsid w:val="00871E73"/>
    <w:rsid w:val="0087217C"/>
    <w:rsid w:val="008721A8"/>
    <w:rsid w:val="008726AA"/>
    <w:rsid w:val="00872D86"/>
    <w:rsid w:val="00873197"/>
    <w:rsid w:val="00873350"/>
    <w:rsid w:val="00873500"/>
    <w:rsid w:val="0087374F"/>
    <w:rsid w:val="008739EA"/>
    <w:rsid w:val="00873C0A"/>
    <w:rsid w:val="00873C80"/>
    <w:rsid w:val="00873FB7"/>
    <w:rsid w:val="00874542"/>
    <w:rsid w:val="00874605"/>
    <w:rsid w:val="00874731"/>
    <w:rsid w:val="00874817"/>
    <w:rsid w:val="00874824"/>
    <w:rsid w:val="00874B71"/>
    <w:rsid w:val="00874D1D"/>
    <w:rsid w:val="00874D5C"/>
    <w:rsid w:val="00875014"/>
    <w:rsid w:val="00875374"/>
    <w:rsid w:val="008755A0"/>
    <w:rsid w:val="00875BA9"/>
    <w:rsid w:val="00875C25"/>
    <w:rsid w:val="00875D2D"/>
    <w:rsid w:val="00875FBB"/>
    <w:rsid w:val="0087605C"/>
    <w:rsid w:val="008760B6"/>
    <w:rsid w:val="00876514"/>
    <w:rsid w:val="0087687D"/>
    <w:rsid w:val="00876A36"/>
    <w:rsid w:val="00876B80"/>
    <w:rsid w:val="008770B1"/>
    <w:rsid w:val="00877210"/>
    <w:rsid w:val="008772E6"/>
    <w:rsid w:val="008773DC"/>
    <w:rsid w:val="008774CC"/>
    <w:rsid w:val="00877635"/>
    <w:rsid w:val="00877D2B"/>
    <w:rsid w:val="00877E69"/>
    <w:rsid w:val="00877F44"/>
    <w:rsid w:val="008804E4"/>
    <w:rsid w:val="0088051E"/>
    <w:rsid w:val="0088057F"/>
    <w:rsid w:val="00880692"/>
    <w:rsid w:val="0088069E"/>
    <w:rsid w:val="00880CB5"/>
    <w:rsid w:val="00880DE5"/>
    <w:rsid w:val="00880F2B"/>
    <w:rsid w:val="00880FC5"/>
    <w:rsid w:val="008815D4"/>
    <w:rsid w:val="00881974"/>
    <w:rsid w:val="00881C22"/>
    <w:rsid w:val="00881C3E"/>
    <w:rsid w:val="00881C8B"/>
    <w:rsid w:val="008821A2"/>
    <w:rsid w:val="0088227A"/>
    <w:rsid w:val="00882644"/>
    <w:rsid w:val="00882652"/>
    <w:rsid w:val="0088329D"/>
    <w:rsid w:val="0088342A"/>
    <w:rsid w:val="008836DA"/>
    <w:rsid w:val="00883716"/>
    <w:rsid w:val="0088391F"/>
    <w:rsid w:val="00883ABE"/>
    <w:rsid w:val="00883C66"/>
    <w:rsid w:val="00883DAC"/>
    <w:rsid w:val="00883F21"/>
    <w:rsid w:val="00884277"/>
    <w:rsid w:val="00884460"/>
    <w:rsid w:val="008845D5"/>
    <w:rsid w:val="00884706"/>
    <w:rsid w:val="008849AE"/>
    <w:rsid w:val="00884C2A"/>
    <w:rsid w:val="00884C4E"/>
    <w:rsid w:val="00884D77"/>
    <w:rsid w:val="008851F4"/>
    <w:rsid w:val="008851F9"/>
    <w:rsid w:val="0088522E"/>
    <w:rsid w:val="008854DC"/>
    <w:rsid w:val="00885509"/>
    <w:rsid w:val="00885547"/>
    <w:rsid w:val="00885816"/>
    <w:rsid w:val="008858E6"/>
    <w:rsid w:val="0088591B"/>
    <w:rsid w:val="00885CAE"/>
    <w:rsid w:val="00885D76"/>
    <w:rsid w:val="00885E22"/>
    <w:rsid w:val="00885EE5"/>
    <w:rsid w:val="00885F41"/>
    <w:rsid w:val="00885F8F"/>
    <w:rsid w:val="00885FB6"/>
    <w:rsid w:val="008860EA"/>
    <w:rsid w:val="008861BC"/>
    <w:rsid w:val="008864C7"/>
    <w:rsid w:val="008864D2"/>
    <w:rsid w:val="008864D8"/>
    <w:rsid w:val="00886590"/>
    <w:rsid w:val="008865AC"/>
    <w:rsid w:val="00886A76"/>
    <w:rsid w:val="00886ADE"/>
    <w:rsid w:val="00886F07"/>
    <w:rsid w:val="0088728A"/>
    <w:rsid w:val="0088732D"/>
    <w:rsid w:val="008873F6"/>
    <w:rsid w:val="0088759D"/>
    <w:rsid w:val="00887B23"/>
    <w:rsid w:val="00887D87"/>
    <w:rsid w:val="0089018A"/>
    <w:rsid w:val="0089055F"/>
    <w:rsid w:val="00890934"/>
    <w:rsid w:val="00890CBE"/>
    <w:rsid w:val="00890F2F"/>
    <w:rsid w:val="00890FBF"/>
    <w:rsid w:val="00891373"/>
    <w:rsid w:val="008913CB"/>
    <w:rsid w:val="008915FF"/>
    <w:rsid w:val="00891808"/>
    <w:rsid w:val="0089198E"/>
    <w:rsid w:val="00891B60"/>
    <w:rsid w:val="00891CED"/>
    <w:rsid w:val="00891F7F"/>
    <w:rsid w:val="00892042"/>
    <w:rsid w:val="0089204F"/>
    <w:rsid w:val="008920C2"/>
    <w:rsid w:val="0089266C"/>
    <w:rsid w:val="0089274D"/>
    <w:rsid w:val="008927E8"/>
    <w:rsid w:val="0089289F"/>
    <w:rsid w:val="00892BC5"/>
    <w:rsid w:val="00892BE8"/>
    <w:rsid w:val="00892CE0"/>
    <w:rsid w:val="00892DDD"/>
    <w:rsid w:val="00892E65"/>
    <w:rsid w:val="00893657"/>
    <w:rsid w:val="00893D9C"/>
    <w:rsid w:val="00893F8C"/>
    <w:rsid w:val="00893FF0"/>
    <w:rsid w:val="008940A6"/>
    <w:rsid w:val="008940AB"/>
    <w:rsid w:val="008942AA"/>
    <w:rsid w:val="00894692"/>
    <w:rsid w:val="00894956"/>
    <w:rsid w:val="008950CD"/>
    <w:rsid w:val="008954AA"/>
    <w:rsid w:val="008954AD"/>
    <w:rsid w:val="008956FC"/>
    <w:rsid w:val="008957A1"/>
    <w:rsid w:val="00895849"/>
    <w:rsid w:val="00895AA1"/>
    <w:rsid w:val="00895BE3"/>
    <w:rsid w:val="0089623C"/>
    <w:rsid w:val="00896809"/>
    <w:rsid w:val="00896C72"/>
    <w:rsid w:val="00896CF6"/>
    <w:rsid w:val="00896FE5"/>
    <w:rsid w:val="00897055"/>
    <w:rsid w:val="008970CB"/>
    <w:rsid w:val="008971CC"/>
    <w:rsid w:val="008971FD"/>
    <w:rsid w:val="008972EB"/>
    <w:rsid w:val="008974B3"/>
    <w:rsid w:val="00897599"/>
    <w:rsid w:val="008975A7"/>
    <w:rsid w:val="0089795D"/>
    <w:rsid w:val="00897AA3"/>
    <w:rsid w:val="00897B9D"/>
    <w:rsid w:val="00897D33"/>
    <w:rsid w:val="008A0268"/>
    <w:rsid w:val="008A0487"/>
    <w:rsid w:val="008A04CB"/>
    <w:rsid w:val="008A0799"/>
    <w:rsid w:val="008A081A"/>
    <w:rsid w:val="008A0F68"/>
    <w:rsid w:val="008A1139"/>
    <w:rsid w:val="008A1160"/>
    <w:rsid w:val="008A117F"/>
    <w:rsid w:val="008A1376"/>
    <w:rsid w:val="008A13A7"/>
    <w:rsid w:val="008A13E0"/>
    <w:rsid w:val="008A1688"/>
    <w:rsid w:val="008A1A82"/>
    <w:rsid w:val="008A29BA"/>
    <w:rsid w:val="008A2BD7"/>
    <w:rsid w:val="008A30B6"/>
    <w:rsid w:val="008A31ED"/>
    <w:rsid w:val="008A32D3"/>
    <w:rsid w:val="008A33FD"/>
    <w:rsid w:val="008A34D6"/>
    <w:rsid w:val="008A3745"/>
    <w:rsid w:val="008A3A4C"/>
    <w:rsid w:val="008A3A54"/>
    <w:rsid w:val="008A3DB2"/>
    <w:rsid w:val="008A4056"/>
    <w:rsid w:val="008A413A"/>
    <w:rsid w:val="008A41FD"/>
    <w:rsid w:val="008A44CB"/>
    <w:rsid w:val="008A4672"/>
    <w:rsid w:val="008A47DD"/>
    <w:rsid w:val="008A49F6"/>
    <w:rsid w:val="008A4F2D"/>
    <w:rsid w:val="008A5133"/>
    <w:rsid w:val="008A51E9"/>
    <w:rsid w:val="008A5362"/>
    <w:rsid w:val="008A5C6D"/>
    <w:rsid w:val="008A5CDB"/>
    <w:rsid w:val="008A600C"/>
    <w:rsid w:val="008A6067"/>
    <w:rsid w:val="008A6156"/>
    <w:rsid w:val="008A642A"/>
    <w:rsid w:val="008A6441"/>
    <w:rsid w:val="008A6562"/>
    <w:rsid w:val="008A65AA"/>
    <w:rsid w:val="008A66EA"/>
    <w:rsid w:val="008A691E"/>
    <w:rsid w:val="008A6D25"/>
    <w:rsid w:val="008A7260"/>
    <w:rsid w:val="008A73AF"/>
    <w:rsid w:val="008A73E0"/>
    <w:rsid w:val="008A755C"/>
    <w:rsid w:val="008A7B66"/>
    <w:rsid w:val="008A7CCA"/>
    <w:rsid w:val="008A7F53"/>
    <w:rsid w:val="008B01B0"/>
    <w:rsid w:val="008B01F8"/>
    <w:rsid w:val="008B026E"/>
    <w:rsid w:val="008B0749"/>
    <w:rsid w:val="008B0B0F"/>
    <w:rsid w:val="008B0D97"/>
    <w:rsid w:val="008B0DC6"/>
    <w:rsid w:val="008B109D"/>
    <w:rsid w:val="008B1228"/>
    <w:rsid w:val="008B127B"/>
    <w:rsid w:val="008B167B"/>
    <w:rsid w:val="008B17F5"/>
    <w:rsid w:val="008B1A76"/>
    <w:rsid w:val="008B1C50"/>
    <w:rsid w:val="008B1DDE"/>
    <w:rsid w:val="008B22B7"/>
    <w:rsid w:val="008B22EF"/>
    <w:rsid w:val="008B241C"/>
    <w:rsid w:val="008B2601"/>
    <w:rsid w:val="008B2787"/>
    <w:rsid w:val="008B2CB6"/>
    <w:rsid w:val="008B3189"/>
    <w:rsid w:val="008B328A"/>
    <w:rsid w:val="008B365A"/>
    <w:rsid w:val="008B36D0"/>
    <w:rsid w:val="008B38BA"/>
    <w:rsid w:val="008B3C01"/>
    <w:rsid w:val="008B4198"/>
    <w:rsid w:val="008B41B8"/>
    <w:rsid w:val="008B4249"/>
    <w:rsid w:val="008B4272"/>
    <w:rsid w:val="008B439A"/>
    <w:rsid w:val="008B44E5"/>
    <w:rsid w:val="008B4507"/>
    <w:rsid w:val="008B4819"/>
    <w:rsid w:val="008B4863"/>
    <w:rsid w:val="008B4A02"/>
    <w:rsid w:val="008B4E0A"/>
    <w:rsid w:val="008B5591"/>
    <w:rsid w:val="008B5840"/>
    <w:rsid w:val="008B5B6A"/>
    <w:rsid w:val="008B5E67"/>
    <w:rsid w:val="008B5F9D"/>
    <w:rsid w:val="008B6189"/>
    <w:rsid w:val="008B656F"/>
    <w:rsid w:val="008B66E7"/>
    <w:rsid w:val="008B6A81"/>
    <w:rsid w:val="008B6B78"/>
    <w:rsid w:val="008B6D09"/>
    <w:rsid w:val="008B7294"/>
    <w:rsid w:val="008B72C8"/>
    <w:rsid w:val="008B73EE"/>
    <w:rsid w:val="008B74DE"/>
    <w:rsid w:val="008B755F"/>
    <w:rsid w:val="008B78F6"/>
    <w:rsid w:val="008B7DB6"/>
    <w:rsid w:val="008B7FEC"/>
    <w:rsid w:val="008C02C6"/>
    <w:rsid w:val="008C0422"/>
    <w:rsid w:val="008C04D4"/>
    <w:rsid w:val="008C0E73"/>
    <w:rsid w:val="008C0F2F"/>
    <w:rsid w:val="008C109E"/>
    <w:rsid w:val="008C11C8"/>
    <w:rsid w:val="008C15E5"/>
    <w:rsid w:val="008C1643"/>
    <w:rsid w:val="008C1838"/>
    <w:rsid w:val="008C192E"/>
    <w:rsid w:val="008C1E24"/>
    <w:rsid w:val="008C21BB"/>
    <w:rsid w:val="008C2336"/>
    <w:rsid w:val="008C241A"/>
    <w:rsid w:val="008C2580"/>
    <w:rsid w:val="008C25B2"/>
    <w:rsid w:val="008C28DC"/>
    <w:rsid w:val="008C2C63"/>
    <w:rsid w:val="008C2CE9"/>
    <w:rsid w:val="008C2E10"/>
    <w:rsid w:val="008C2E55"/>
    <w:rsid w:val="008C3464"/>
    <w:rsid w:val="008C3572"/>
    <w:rsid w:val="008C3919"/>
    <w:rsid w:val="008C3A14"/>
    <w:rsid w:val="008C3A3A"/>
    <w:rsid w:val="008C3E90"/>
    <w:rsid w:val="008C4207"/>
    <w:rsid w:val="008C460C"/>
    <w:rsid w:val="008C4690"/>
    <w:rsid w:val="008C48CC"/>
    <w:rsid w:val="008C48F8"/>
    <w:rsid w:val="008C497C"/>
    <w:rsid w:val="008C4A92"/>
    <w:rsid w:val="008C4CE3"/>
    <w:rsid w:val="008C5597"/>
    <w:rsid w:val="008C55AA"/>
    <w:rsid w:val="008C5848"/>
    <w:rsid w:val="008C5874"/>
    <w:rsid w:val="008C59B7"/>
    <w:rsid w:val="008C5B5B"/>
    <w:rsid w:val="008C5C5C"/>
    <w:rsid w:val="008C61BD"/>
    <w:rsid w:val="008C685D"/>
    <w:rsid w:val="008C6ABD"/>
    <w:rsid w:val="008C6B4B"/>
    <w:rsid w:val="008C6C05"/>
    <w:rsid w:val="008C7047"/>
    <w:rsid w:val="008C7168"/>
    <w:rsid w:val="008C72CA"/>
    <w:rsid w:val="008C76BF"/>
    <w:rsid w:val="008C78C3"/>
    <w:rsid w:val="008C793E"/>
    <w:rsid w:val="008C7B65"/>
    <w:rsid w:val="008C7F94"/>
    <w:rsid w:val="008D006F"/>
    <w:rsid w:val="008D009B"/>
    <w:rsid w:val="008D024C"/>
    <w:rsid w:val="008D0334"/>
    <w:rsid w:val="008D06CE"/>
    <w:rsid w:val="008D087C"/>
    <w:rsid w:val="008D08DF"/>
    <w:rsid w:val="008D097D"/>
    <w:rsid w:val="008D09DD"/>
    <w:rsid w:val="008D0C47"/>
    <w:rsid w:val="008D0CC3"/>
    <w:rsid w:val="008D127B"/>
    <w:rsid w:val="008D1302"/>
    <w:rsid w:val="008D1334"/>
    <w:rsid w:val="008D140C"/>
    <w:rsid w:val="008D1CA6"/>
    <w:rsid w:val="008D1ED2"/>
    <w:rsid w:val="008D2119"/>
    <w:rsid w:val="008D23FC"/>
    <w:rsid w:val="008D269E"/>
    <w:rsid w:val="008D2798"/>
    <w:rsid w:val="008D2DB7"/>
    <w:rsid w:val="008D3329"/>
    <w:rsid w:val="008D35C0"/>
    <w:rsid w:val="008D3D3D"/>
    <w:rsid w:val="008D40E9"/>
    <w:rsid w:val="008D4135"/>
    <w:rsid w:val="008D465A"/>
    <w:rsid w:val="008D4967"/>
    <w:rsid w:val="008D49B3"/>
    <w:rsid w:val="008D49D3"/>
    <w:rsid w:val="008D4A4D"/>
    <w:rsid w:val="008D4E2E"/>
    <w:rsid w:val="008D4FCA"/>
    <w:rsid w:val="008D51BE"/>
    <w:rsid w:val="008D5343"/>
    <w:rsid w:val="008D5348"/>
    <w:rsid w:val="008D549C"/>
    <w:rsid w:val="008D5711"/>
    <w:rsid w:val="008D5ABD"/>
    <w:rsid w:val="008D5D4A"/>
    <w:rsid w:val="008D602E"/>
    <w:rsid w:val="008D6091"/>
    <w:rsid w:val="008D6110"/>
    <w:rsid w:val="008D65A4"/>
    <w:rsid w:val="008D66CC"/>
    <w:rsid w:val="008D6CDB"/>
    <w:rsid w:val="008D6E64"/>
    <w:rsid w:val="008D6E8E"/>
    <w:rsid w:val="008D7018"/>
    <w:rsid w:val="008D719E"/>
    <w:rsid w:val="008D726F"/>
    <w:rsid w:val="008D7365"/>
    <w:rsid w:val="008D74AE"/>
    <w:rsid w:val="008D75C0"/>
    <w:rsid w:val="008D78B3"/>
    <w:rsid w:val="008D7AAF"/>
    <w:rsid w:val="008D7EE6"/>
    <w:rsid w:val="008E0112"/>
    <w:rsid w:val="008E0223"/>
    <w:rsid w:val="008E08D6"/>
    <w:rsid w:val="008E0A8C"/>
    <w:rsid w:val="008E0F7B"/>
    <w:rsid w:val="008E10D1"/>
    <w:rsid w:val="008E139C"/>
    <w:rsid w:val="008E1442"/>
    <w:rsid w:val="008E1487"/>
    <w:rsid w:val="008E17FF"/>
    <w:rsid w:val="008E195F"/>
    <w:rsid w:val="008E1B3D"/>
    <w:rsid w:val="008E1DDB"/>
    <w:rsid w:val="008E231F"/>
    <w:rsid w:val="008E2384"/>
    <w:rsid w:val="008E2435"/>
    <w:rsid w:val="008E26B9"/>
    <w:rsid w:val="008E2700"/>
    <w:rsid w:val="008E2B19"/>
    <w:rsid w:val="008E3052"/>
    <w:rsid w:val="008E30A6"/>
    <w:rsid w:val="008E3161"/>
    <w:rsid w:val="008E32D5"/>
    <w:rsid w:val="008E3D5F"/>
    <w:rsid w:val="008E3E3D"/>
    <w:rsid w:val="008E3E48"/>
    <w:rsid w:val="008E4000"/>
    <w:rsid w:val="008E4417"/>
    <w:rsid w:val="008E4581"/>
    <w:rsid w:val="008E45E6"/>
    <w:rsid w:val="008E4766"/>
    <w:rsid w:val="008E49D9"/>
    <w:rsid w:val="008E4B45"/>
    <w:rsid w:val="008E4BA3"/>
    <w:rsid w:val="008E4C20"/>
    <w:rsid w:val="008E4C4F"/>
    <w:rsid w:val="008E4D4E"/>
    <w:rsid w:val="008E51CC"/>
    <w:rsid w:val="008E51E4"/>
    <w:rsid w:val="008E56FE"/>
    <w:rsid w:val="008E5BDA"/>
    <w:rsid w:val="008E5E77"/>
    <w:rsid w:val="008E66CB"/>
    <w:rsid w:val="008E68A0"/>
    <w:rsid w:val="008E6E5A"/>
    <w:rsid w:val="008E6F4C"/>
    <w:rsid w:val="008E7121"/>
    <w:rsid w:val="008E7240"/>
    <w:rsid w:val="008E7580"/>
    <w:rsid w:val="008E767C"/>
    <w:rsid w:val="008E7C38"/>
    <w:rsid w:val="008E7C8A"/>
    <w:rsid w:val="008E7CA5"/>
    <w:rsid w:val="008E7DC6"/>
    <w:rsid w:val="008E7DE7"/>
    <w:rsid w:val="008F020D"/>
    <w:rsid w:val="008F0327"/>
    <w:rsid w:val="008F0551"/>
    <w:rsid w:val="008F0629"/>
    <w:rsid w:val="008F076B"/>
    <w:rsid w:val="008F0926"/>
    <w:rsid w:val="008F0A77"/>
    <w:rsid w:val="008F0A90"/>
    <w:rsid w:val="008F0B24"/>
    <w:rsid w:val="008F0C45"/>
    <w:rsid w:val="008F0CD1"/>
    <w:rsid w:val="008F0CF2"/>
    <w:rsid w:val="008F12F3"/>
    <w:rsid w:val="008F1355"/>
    <w:rsid w:val="008F1B25"/>
    <w:rsid w:val="008F225E"/>
    <w:rsid w:val="008F28B9"/>
    <w:rsid w:val="008F2ACD"/>
    <w:rsid w:val="008F2B8F"/>
    <w:rsid w:val="008F2F84"/>
    <w:rsid w:val="008F2F9A"/>
    <w:rsid w:val="008F32A3"/>
    <w:rsid w:val="008F3451"/>
    <w:rsid w:val="008F35AD"/>
    <w:rsid w:val="008F3600"/>
    <w:rsid w:val="008F3692"/>
    <w:rsid w:val="008F384D"/>
    <w:rsid w:val="008F3877"/>
    <w:rsid w:val="008F3950"/>
    <w:rsid w:val="008F3AD2"/>
    <w:rsid w:val="008F3ADE"/>
    <w:rsid w:val="008F3B8D"/>
    <w:rsid w:val="008F3CD4"/>
    <w:rsid w:val="008F3CF7"/>
    <w:rsid w:val="008F4211"/>
    <w:rsid w:val="008F4676"/>
    <w:rsid w:val="008F482A"/>
    <w:rsid w:val="008F486F"/>
    <w:rsid w:val="008F4A4C"/>
    <w:rsid w:val="008F4DA7"/>
    <w:rsid w:val="008F5C25"/>
    <w:rsid w:val="008F5F00"/>
    <w:rsid w:val="008F637C"/>
    <w:rsid w:val="008F6661"/>
    <w:rsid w:val="008F6809"/>
    <w:rsid w:val="008F6B53"/>
    <w:rsid w:val="008F6BC2"/>
    <w:rsid w:val="008F6D63"/>
    <w:rsid w:val="008F6DB4"/>
    <w:rsid w:val="008F7012"/>
    <w:rsid w:val="008F724B"/>
    <w:rsid w:val="008F75F1"/>
    <w:rsid w:val="008F78E6"/>
    <w:rsid w:val="008F78FD"/>
    <w:rsid w:val="008F7ACC"/>
    <w:rsid w:val="008F7F75"/>
    <w:rsid w:val="009000E3"/>
    <w:rsid w:val="009001D7"/>
    <w:rsid w:val="00900230"/>
    <w:rsid w:val="00900423"/>
    <w:rsid w:val="00900A79"/>
    <w:rsid w:val="00900E20"/>
    <w:rsid w:val="00900F41"/>
    <w:rsid w:val="00900F62"/>
    <w:rsid w:val="0090197A"/>
    <w:rsid w:val="00901D5B"/>
    <w:rsid w:val="00902473"/>
    <w:rsid w:val="009025FC"/>
    <w:rsid w:val="00902BF2"/>
    <w:rsid w:val="00902D37"/>
    <w:rsid w:val="00902F4F"/>
    <w:rsid w:val="00902F59"/>
    <w:rsid w:val="00902F5D"/>
    <w:rsid w:val="00902F7B"/>
    <w:rsid w:val="0090306D"/>
    <w:rsid w:val="00903090"/>
    <w:rsid w:val="009030D8"/>
    <w:rsid w:val="0090382C"/>
    <w:rsid w:val="00903836"/>
    <w:rsid w:val="00903D8C"/>
    <w:rsid w:val="00903F0D"/>
    <w:rsid w:val="009040F9"/>
    <w:rsid w:val="0090415D"/>
    <w:rsid w:val="009043CE"/>
    <w:rsid w:val="009045A6"/>
    <w:rsid w:val="009046EA"/>
    <w:rsid w:val="00904930"/>
    <w:rsid w:val="00904ADB"/>
    <w:rsid w:val="00904C31"/>
    <w:rsid w:val="00904FB3"/>
    <w:rsid w:val="00904FF0"/>
    <w:rsid w:val="00905220"/>
    <w:rsid w:val="00905226"/>
    <w:rsid w:val="0090530A"/>
    <w:rsid w:val="00905377"/>
    <w:rsid w:val="009057A3"/>
    <w:rsid w:val="009058CC"/>
    <w:rsid w:val="00905903"/>
    <w:rsid w:val="00905CEC"/>
    <w:rsid w:val="00905CFF"/>
    <w:rsid w:val="009062F6"/>
    <w:rsid w:val="0090641E"/>
    <w:rsid w:val="00906568"/>
    <w:rsid w:val="0090657A"/>
    <w:rsid w:val="00906650"/>
    <w:rsid w:val="009066F4"/>
    <w:rsid w:val="00906956"/>
    <w:rsid w:val="00906C08"/>
    <w:rsid w:val="00906E46"/>
    <w:rsid w:val="00906ECB"/>
    <w:rsid w:val="0090724D"/>
    <w:rsid w:val="00907759"/>
    <w:rsid w:val="00907777"/>
    <w:rsid w:val="0090785F"/>
    <w:rsid w:val="009078DA"/>
    <w:rsid w:val="00907FCE"/>
    <w:rsid w:val="009100A9"/>
    <w:rsid w:val="009105E2"/>
    <w:rsid w:val="00910780"/>
    <w:rsid w:val="00910849"/>
    <w:rsid w:val="00910CB5"/>
    <w:rsid w:val="00910CDC"/>
    <w:rsid w:val="00910FCE"/>
    <w:rsid w:val="00911220"/>
    <w:rsid w:val="00911247"/>
    <w:rsid w:val="00911577"/>
    <w:rsid w:val="0091158E"/>
    <w:rsid w:val="009117E9"/>
    <w:rsid w:val="00911893"/>
    <w:rsid w:val="0091199C"/>
    <w:rsid w:val="00911A96"/>
    <w:rsid w:val="00911C49"/>
    <w:rsid w:val="00911FB1"/>
    <w:rsid w:val="0091232C"/>
    <w:rsid w:val="009123FB"/>
    <w:rsid w:val="0091272B"/>
    <w:rsid w:val="00912D75"/>
    <w:rsid w:val="00912EFB"/>
    <w:rsid w:val="009131D2"/>
    <w:rsid w:val="0091381B"/>
    <w:rsid w:val="00913A92"/>
    <w:rsid w:val="00913DBC"/>
    <w:rsid w:val="0091493B"/>
    <w:rsid w:val="0091494A"/>
    <w:rsid w:val="00914999"/>
    <w:rsid w:val="00914E75"/>
    <w:rsid w:val="00914F7A"/>
    <w:rsid w:val="0091508A"/>
    <w:rsid w:val="00915191"/>
    <w:rsid w:val="009153E5"/>
    <w:rsid w:val="00915540"/>
    <w:rsid w:val="00915A86"/>
    <w:rsid w:val="00915C42"/>
    <w:rsid w:val="00915DD1"/>
    <w:rsid w:val="00915ED9"/>
    <w:rsid w:val="00915F46"/>
    <w:rsid w:val="00916178"/>
    <w:rsid w:val="009162B6"/>
    <w:rsid w:val="00916715"/>
    <w:rsid w:val="00916A89"/>
    <w:rsid w:val="00916A8B"/>
    <w:rsid w:val="00916C37"/>
    <w:rsid w:val="00916C5F"/>
    <w:rsid w:val="00916DA8"/>
    <w:rsid w:val="00916E8A"/>
    <w:rsid w:val="00916EBB"/>
    <w:rsid w:val="00917137"/>
    <w:rsid w:val="009172E1"/>
    <w:rsid w:val="0091755A"/>
    <w:rsid w:val="00917637"/>
    <w:rsid w:val="009177F0"/>
    <w:rsid w:val="0091792B"/>
    <w:rsid w:val="00920276"/>
    <w:rsid w:val="00920619"/>
    <w:rsid w:val="009206E2"/>
    <w:rsid w:val="00920725"/>
    <w:rsid w:val="009209E0"/>
    <w:rsid w:val="00920AAB"/>
    <w:rsid w:val="00920B7D"/>
    <w:rsid w:val="00920CCD"/>
    <w:rsid w:val="00920DF3"/>
    <w:rsid w:val="00921276"/>
    <w:rsid w:val="009213AD"/>
    <w:rsid w:val="0092184A"/>
    <w:rsid w:val="00921A73"/>
    <w:rsid w:val="00921CB1"/>
    <w:rsid w:val="00921FB4"/>
    <w:rsid w:val="00922048"/>
    <w:rsid w:val="00922278"/>
    <w:rsid w:val="009223A5"/>
    <w:rsid w:val="009224F1"/>
    <w:rsid w:val="009225B6"/>
    <w:rsid w:val="009225F0"/>
    <w:rsid w:val="0092264E"/>
    <w:rsid w:val="009226B3"/>
    <w:rsid w:val="009226E2"/>
    <w:rsid w:val="009226F0"/>
    <w:rsid w:val="0092275D"/>
    <w:rsid w:val="0092294F"/>
    <w:rsid w:val="0092297E"/>
    <w:rsid w:val="00922AD2"/>
    <w:rsid w:val="00922B29"/>
    <w:rsid w:val="00922F25"/>
    <w:rsid w:val="00922F2A"/>
    <w:rsid w:val="00922FEB"/>
    <w:rsid w:val="00923057"/>
    <w:rsid w:val="00923075"/>
    <w:rsid w:val="009232DB"/>
    <w:rsid w:val="00923331"/>
    <w:rsid w:val="00923502"/>
    <w:rsid w:val="00923563"/>
    <w:rsid w:val="0092361D"/>
    <w:rsid w:val="009238AB"/>
    <w:rsid w:val="00923983"/>
    <w:rsid w:val="00923A86"/>
    <w:rsid w:val="00923A87"/>
    <w:rsid w:val="00924297"/>
    <w:rsid w:val="0092445E"/>
    <w:rsid w:val="009244BC"/>
    <w:rsid w:val="0092459B"/>
    <w:rsid w:val="0092463B"/>
    <w:rsid w:val="0092491E"/>
    <w:rsid w:val="00924BC0"/>
    <w:rsid w:val="00924CEA"/>
    <w:rsid w:val="009253A9"/>
    <w:rsid w:val="0092552A"/>
    <w:rsid w:val="0092570A"/>
    <w:rsid w:val="00926032"/>
    <w:rsid w:val="00926362"/>
    <w:rsid w:val="00926525"/>
    <w:rsid w:val="0092654D"/>
    <w:rsid w:val="0092656D"/>
    <w:rsid w:val="009267DB"/>
    <w:rsid w:val="00926AD5"/>
    <w:rsid w:val="00926AED"/>
    <w:rsid w:val="00926CD2"/>
    <w:rsid w:val="00927062"/>
    <w:rsid w:val="009270E6"/>
    <w:rsid w:val="0092760E"/>
    <w:rsid w:val="009276C3"/>
    <w:rsid w:val="00927791"/>
    <w:rsid w:val="00927AAE"/>
    <w:rsid w:val="00927D16"/>
    <w:rsid w:val="00927DEE"/>
    <w:rsid w:val="00927EB3"/>
    <w:rsid w:val="009300C4"/>
    <w:rsid w:val="0093018A"/>
    <w:rsid w:val="0093037E"/>
    <w:rsid w:val="0093045A"/>
    <w:rsid w:val="009305A8"/>
    <w:rsid w:val="00930615"/>
    <w:rsid w:val="0093068B"/>
    <w:rsid w:val="00930C56"/>
    <w:rsid w:val="00931088"/>
    <w:rsid w:val="00931107"/>
    <w:rsid w:val="009313B5"/>
    <w:rsid w:val="00931402"/>
    <w:rsid w:val="009315B3"/>
    <w:rsid w:val="00931A46"/>
    <w:rsid w:val="00931B31"/>
    <w:rsid w:val="00931B80"/>
    <w:rsid w:val="00932573"/>
    <w:rsid w:val="009325BA"/>
    <w:rsid w:val="009327D3"/>
    <w:rsid w:val="009331C2"/>
    <w:rsid w:val="009338E4"/>
    <w:rsid w:val="009338E5"/>
    <w:rsid w:val="00933F9A"/>
    <w:rsid w:val="0093405A"/>
    <w:rsid w:val="009345D8"/>
    <w:rsid w:val="00934AED"/>
    <w:rsid w:val="0093505D"/>
    <w:rsid w:val="00935407"/>
    <w:rsid w:val="00935569"/>
    <w:rsid w:val="0093561B"/>
    <w:rsid w:val="00935B26"/>
    <w:rsid w:val="00935D55"/>
    <w:rsid w:val="00935F51"/>
    <w:rsid w:val="0093657F"/>
    <w:rsid w:val="00936E96"/>
    <w:rsid w:val="00936F56"/>
    <w:rsid w:val="00937092"/>
    <w:rsid w:val="009370E5"/>
    <w:rsid w:val="009370F2"/>
    <w:rsid w:val="0093721F"/>
    <w:rsid w:val="009372DE"/>
    <w:rsid w:val="00937424"/>
    <w:rsid w:val="00937452"/>
    <w:rsid w:val="009378A8"/>
    <w:rsid w:val="009378CE"/>
    <w:rsid w:val="00937C21"/>
    <w:rsid w:val="00937C2F"/>
    <w:rsid w:val="00940009"/>
    <w:rsid w:val="00940241"/>
    <w:rsid w:val="009403B1"/>
    <w:rsid w:val="00940403"/>
    <w:rsid w:val="00940704"/>
    <w:rsid w:val="0094070B"/>
    <w:rsid w:val="00940854"/>
    <w:rsid w:val="00940A1A"/>
    <w:rsid w:val="00940A68"/>
    <w:rsid w:val="00940B06"/>
    <w:rsid w:val="00941174"/>
    <w:rsid w:val="00941358"/>
    <w:rsid w:val="00941425"/>
    <w:rsid w:val="009419A2"/>
    <w:rsid w:val="00941EDA"/>
    <w:rsid w:val="00942482"/>
    <w:rsid w:val="00942C0E"/>
    <w:rsid w:val="00942FAA"/>
    <w:rsid w:val="009432BE"/>
    <w:rsid w:val="009439A6"/>
    <w:rsid w:val="00943B33"/>
    <w:rsid w:val="00943CEB"/>
    <w:rsid w:val="00943E2C"/>
    <w:rsid w:val="00943E5E"/>
    <w:rsid w:val="00943E6C"/>
    <w:rsid w:val="00943EA8"/>
    <w:rsid w:val="00944241"/>
    <w:rsid w:val="0094455E"/>
    <w:rsid w:val="00944723"/>
    <w:rsid w:val="00944889"/>
    <w:rsid w:val="00944FB6"/>
    <w:rsid w:val="00945345"/>
    <w:rsid w:val="009455F8"/>
    <w:rsid w:val="00945649"/>
    <w:rsid w:val="00945659"/>
    <w:rsid w:val="00945744"/>
    <w:rsid w:val="0094583C"/>
    <w:rsid w:val="00945C9B"/>
    <w:rsid w:val="00945F33"/>
    <w:rsid w:val="00946079"/>
    <w:rsid w:val="009463EA"/>
    <w:rsid w:val="009464D1"/>
    <w:rsid w:val="00946BE4"/>
    <w:rsid w:val="00946C08"/>
    <w:rsid w:val="00947293"/>
    <w:rsid w:val="0094738E"/>
    <w:rsid w:val="0094760C"/>
    <w:rsid w:val="009477CE"/>
    <w:rsid w:val="00947858"/>
    <w:rsid w:val="00947B59"/>
    <w:rsid w:val="00947B76"/>
    <w:rsid w:val="00947F9F"/>
    <w:rsid w:val="009501F8"/>
    <w:rsid w:val="009504D1"/>
    <w:rsid w:val="00950CA8"/>
    <w:rsid w:val="00950ECA"/>
    <w:rsid w:val="00950F0E"/>
    <w:rsid w:val="00950F94"/>
    <w:rsid w:val="00951007"/>
    <w:rsid w:val="00951246"/>
    <w:rsid w:val="00951308"/>
    <w:rsid w:val="009516BC"/>
    <w:rsid w:val="00951763"/>
    <w:rsid w:val="00951BFC"/>
    <w:rsid w:val="00951F1E"/>
    <w:rsid w:val="0095237B"/>
    <w:rsid w:val="009523BC"/>
    <w:rsid w:val="00952890"/>
    <w:rsid w:val="00952AF9"/>
    <w:rsid w:val="00952E4B"/>
    <w:rsid w:val="00952F0A"/>
    <w:rsid w:val="00953200"/>
    <w:rsid w:val="00953A44"/>
    <w:rsid w:val="00953CA8"/>
    <w:rsid w:val="00954097"/>
    <w:rsid w:val="00954585"/>
    <w:rsid w:val="009545BD"/>
    <w:rsid w:val="00954AC1"/>
    <w:rsid w:val="00954B03"/>
    <w:rsid w:val="00954F9E"/>
    <w:rsid w:val="009552C7"/>
    <w:rsid w:val="0095534D"/>
    <w:rsid w:val="00955630"/>
    <w:rsid w:val="00955794"/>
    <w:rsid w:val="00955884"/>
    <w:rsid w:val="00955997"/>
    <w:rsid w:val="00955BB6"/>
    <w:rsid w:val="00955C4C"/>
    <w:rsid w:val="00955E72"/>
    <w:rsid w:val="00955F07"/>
    <w:rsid w:val="00956215"/>
    <w:rsid w:val="0095659C"/>
    <w:rsid w:val="009566B3"/>
    <w:rsid w:val="00956712"/>
    <w:rsid w:val="009567F0"/>
    <w:rsid w:val="009568AD"/>
    <w:rsid w:val="00956B59"/>
    <w:rsid w:val="00956CA2"/>
    <w:rsid w:val="00956CE5"/>
    <w:rsid w:val="00956D53"/>
    <w:rsid w:val="00956DE1"/>
    <w:rsid w:val="00956E53"/>
    <w:rsid w:val="00957859"/>
    <w:rsid w:val="009578BB"/>
    <w:rsid w:val="00957A08"/>
    <w:rsid w:val="00957BA5"/>
    <w:rsid w:val="00957E4A"/>
    <w:rsid w:val="009604D2"/>
    <w:rsid w:val="009605D2"/>
    <w:rsid w:val="009606BC"/>
    <w:rsid w:val="00960730"/>
    <w:rsid w:val="00960814"/>
    <w:rsid w:val="00960A07"/>
    <w:rsid w:val="00960B31"/>
    <w:rsid w:val="00960C50"/>
    <w:rsid w:val="00960E35"/>
    <w:rsid w:val="00960F4B"/>
    <w:rsid w:val="0096112E"/>
    <w:rsid w:val="0096176E"/>
    <w:rsid w:val="00961ACA"/>
    <w:rsid w:val="00961D71"/>
    <w:rsid w:val="00961E03"/>
    <w:rsid w:val="00962241"/>
    <w:rsid w:val="009627E5"/>
    <w:rsid w:val="0096295B"/>
    <w:rsid w:val="00962BE1"/>
    <w:rsid w:val="00963084"/>
    <w:rsid w:val="009636B4"/>
    <w:rsid w:val="00963767"/>
    <w:rsid w:val="009638C1"/>
    <w:rsid w:val="009638C2"/>
    <w:rsid w:val="009639F5"/>
    <w:rsid w:val="00963A67"/>
    <w:rsid w:val="00963A71"/>
    <w:rsid w:val="00963B3F"/>
    <w:rsid w:val="00963E28"/>
    <w:rsid w:val="00963E83"/>
    <w:rsid w:val="00963F66"/>
    <w:rsid w:val="00963F83"/>
    <w:rsid w:val="009642BA"/>
    <w:rsid w:val="009642DF"/>
    <w:rsid w:val="009642EE"/>
    <w:rsid w:val="00964681"/>
    <w:rsid w:val="0096486A"/>
    <w:rsid w:val="00964D2B"/>
    <w:rsid w:val="009650CC"/>
    <w:rsid w:val="00965768"/>
    <w:rsid w:val="00965A9C"/>
    <w:rsid w:val="009660EA"/>
    <w:rsid w:val="00966166"/>
    <w:rsid w:val="00966573"/>
    <w:rsid w:val="00966A18"/>
    <w:rsid w:val="00966A2A"/>
    <w:rsid w:val="00966C76"/>
    <w:rsid w:val="00966D33"/>
    <w:rsid w:val="00966DF8"/>
    <w:rsid w:val="00966F28"/>
    <w:rsid w:val="00966FAB"/>
    <w:rsid w:val="00967096"/>
    <w:rsid w:val="00967204"/>
    <w:rsid w:val="00967E0F"/>
    <w:rsid w:val="00970004"/>
    <w:rsid w:val="0097029F"/>
    <w:rsid w:val="0097044B"/>
    <w:rsid w:val="00970584"/>
    <w:rsid w:val="009705E1"/>
    <w:rsid w:val="00970673"/>
    <w:rsid w:val="00970924"/>
    <w:rsid w:val="00970A1E"/>
    <w:rsid w:val="00970CB5"/>
    <w:rsid w:val="00970ECD"/>
    <w:rsid w:val="009711AB"/>
    <w:rsid w:val="009713E1"/>
    <w:rsid w:val="00971619"/>
    <w:rsid w:val="009716E2"/>
    <w:rsid w:val="009716E5"/>
    <w:rsid w:val="009718AF"/>
    <w:rsid w:val="00971953"/>
    <w:rsid w:val="00971AA3"/>
    <w:rsid w:val="00971B84"/>
    <w:rsid w:val="00971D40"/>
    <w:rsid w:val="00971E93"/>
    <w:rsid w:val="009729C6"/>
    <w:rsid w:val="00972A3D"/>
    <w:rsid w:val="00972FE0"/>
    <w:rsid w:val="00973211"/>
    <w:rsid w:val="00973812"/>
    <w:rsid w:val="0097396D"/>
    <w:rsid w:val="009739AF"/>
    <w:rsid w:val="00973D11"/>
    <w:rsid w:val="00973EBC"/>
    <w:rsid w:val="00973F31"/>
    <w:rsid w:val="00973F86"/>
    <w:rsid w:val="00974073"/>
    <w:rsid w:val="009741B1"/>
    <w:rsid w:val="0097436A"/>
    <w:rsid w:val="0097487B"/>
    <w:rsid w:val="009749B1"/>
    <w:rsid w:val="00974AB8"/>
    <w:rsid w:val="00975475"/>
    <w:rsid w:val="0097556F"/>
    <w:rsid w:val="00975742"/>
    <w:rsid w:val="00975944"/>
    <w:rsid w:val="00975D53"/>
    <w:rsid w:val="00975F0B"/>
    <w:rsid w:val="00976556"/>
    <w:rsid w:val="009765CE"/>
    <w:rsid w:val="00976602"/>
    <w:rsid w:val="009766CD"/>
    <w:rsid w:val="00976852"/>
    <w:rsid w:val="00976BF8"/>
    <w:rsid w:val="00976D6C"/>
    <w:rsid w:val="00976FDC"/>
    <w:rsid w:val="009770A3"/>
    <w:rsid w:val="0097713C"/>
    <w:rsid w:val="0097718A"/>
    <w:rsid w:val="009771FD"/>
    <w:rsid w:val="009777C5"/>
    <w:rsid w:val="009777ED"/>
    <w:rsid w:val="00977957"/>
    <w:rsid w:val="009779B4"/>
    <w:rsid w:val="00977D5A"/>
    <w:rsid w:val="00980072"/>
    <w:rsid w:val="00980DBB"/>
    <w:rsid w:val="00980FBB"/>
    <w:rsid w:val="009810DB"/>
    <w:rsid w:val="009811D7"/>
    <w:rsid w:val="0098143F"/>
    <w:rsid w:val="00981495"/>
    <w:rsid w:val="00981910"/>
    <w:rsid w:val="00981937"/>
    <w:rsid w:val="00981B49"/>
    <w:rsid w:val="00981F92"/>
    <w:rsid w:val="00981FB8"/>
    <w:rsid w:val="0098234F"/>
    <w:rsid w:val="009824C8"/>
    <w:rsid w:val="00982783"/>
    <w:rsid w:val="00982DCB"/>
    <w:rsid w:val="00982F6D"/>
    <w:rsid w:val="0098324D"/>
    <w:rsid w:val="00983301"/>
    <w:rsid w:val="00983391"/>
    <w:rsid w:val="009835D8"/>
    <w:rsid w:val="009836E4"/>
    <w:rsid w:val="009837C0"/>
    <w:rsid w:val="00983813"/>
    <w:rsid w:val="00983C55"/>
    <w:rsid w:val="00983DBE"/>
    <w:rsid w:val="00983F9C"/>
    <w:rsid w:val="009845AB"/>
    <w:rsid w:val="00984A5C"/>
    <w:rsid w:val="00984C69"/>
    <w:rsid w:val="00984CB0"/>
    <w:rsid w:val="00984D3A"/>
    <w:rsid w:val="00984E98"/>
    <w:rsid w:val="009855A1"/>
    <w:rsid w:val="009856BF"/>
    <w:rsid w:val="0098580D"/>
    <w:rsid w:val="00985813"/>
    <w:rsid w:val="00985B07"/>
    <w:rsid w:val="00985D0E"/>
    <w:rsid w:val="00985E75"/>
    <w:rsid w:val="00985EC1"/>
    <w:rsid w:val="00985FD8"/>
    <w:rsid w:val="00986111"/>
    <w:rsid w:val="00986141"/>
    <w:rsid w:val="00986235"/>
    <w:rsid w:val="009862DC"/>
    <w:rsid w:val="00986640"/>
    <w:rsid w:val="0098678E"/>
    <w:rsid w:val="00986804"/>
    <w:rsid w:val="009869F4"/>
    <w:rsid w:val="009875CC"/>
    <w:rsid w:val="00987852"/>
    <w:rsid w:val="009879E2"/>
    <w:rsid w:val="00987BA7"/>
    <w:rsid w:val="00987E33"/>
    <w:rsid w:val="00987F51"/>
    <w:rsid w:val="00987FC9"/>
    <w:rsid w:val="00990843"/>
    <w:rsid w:val="009909BF"/>
    <w:rsid w:val="00990AE5"/>
    <w:rsid w:val="00990E04"/>
    <w:rsid w:val="00991239"/>
    <w:rsid w:val="0099132D"/>
    <w:rsid w:val="0099187E"/>
    <w:rsid w:val="00991F81"/>
    <w:rsid w:val="0099224E"/>
    <w:rsid w:val="0099262E"/>
    <w:rsid w:val="00992880"/>
    <w:rsid w:val="0099290B"/>
    <w:rsid w:val="00992958"/>
    <w:rsid w:val="00992966"/>
    <w:rsid w:val="00992968"/>
    <w:rsid w:val="009929D7"/>
    <w:rsid w:val="00992A9F"/>
    <w:rsid w:val="0099300F"/>
    <w:rsid w:val="00993204"/>
    <w:rsid w:val="009935D3"/>
    <w:rsid w:val="00993652"/>
    <w:rsid w:val="00993673"/>
    <w:rsid w:val="0099370C"/>
    <w:rsid w:val="00993D85"/>
    <w:rsid w:val="00994010"/>
    <w:rsid w:val="009941EA"/>
    <w:rsid w:val="009943F0"/>
    <w:rsid w:val="00994639"/>
    <w:rsid w:val="009946BE"/>
    <w:rsid w:val="00994812"/>
    <w:rsid w:val="009949EB"/>
    <w:rsid w:val="00994DD2"/>
    <w:rsid w:val="00994EDC"/>
    <w:rsid w:val="0099502C"/>
    <w:rsid w:val="00995054"/>
    <w:rsid w:val="009953A4"/>
    <w:rsid w:val="00995455"/>
    <w:rsid w:val="00995588"/>
    <w:rsid w:val="0099558A"/>
    <w:rsid w:val="009956B4"/>
    <w:rsid w:val="00995C5C"/>
    <w:rsid w:val="00995D20"/>
    <w:rsid w:val="0099600D"/>
    <w:rsid w:val="009960EC"/>
    <w:rsid w:val="00996368"/>
    <w:rsid w:val="0099639A"/>
    <w:rsid w:val="009965F8"/>
    <w:rsid w:val="00996889"/>
    <w:rsid w:val="00996AA3"/>
    <w:rsid w:val="00996DEB"/>
    <w:rsid w:val="009972C4"/>
    <w:rsid w:val="009973D1"/>
    <w:rsid w:val="009976B3"/>
    <w:rsid w:val="00997776"/>
    <w:rsid w:val="00997873"/>
    <w:rsid w:val="00997D52"/>
    <w:rsid w:val="00997E20"/>
    <w:rsid w:val="009A00FC"/>
    <w:rsid w:val="009A0556"/>
    <w:rsid w:val="009A08DF"/>
    <w:rsid w:val="009A09B6"/>
    <w:rsid w:val="009A127D"/>
    <w:rsid w:val="009A1375"/>
    <w:rsid w:val="009A146A"/>
    <w:rsid w:val="009A156E"/>
    <w:rsid w:val="009A1E03"/>
    <w:rsid w:val="009A1E7E"/>
    <w:rsid w:val="009A1F45"/>
    <w:rsid w:val="009A24D8"/>
    <w:rsid w:val="009A260A"/>
    <w:rsid w:val="009A2954"/>
    <w:rsid w:val="009A2A78"/>
    <w:rsid w:val="009A31F9"/>
    <w:rsid w:val="009A32F0"/>
    <w:rsid w:val="009A33DB"/>
    <w:rsid w:val="009A3438"/>
    <w:rsid w:val="009A360D"/>
    <w:rsid w:val="009A3823"/>
    <w:rsid w:val="009A3877"/>
    <w:rsid w:val="009A39B2"/>
    <w:rsid w:val="009A3A99"/>
    <w:rsid w:val="009A3CC8"/>
    <w:rsid w:val="009A3CEE"/>
    <w:rsid w:val="009A3CFD"/>
    <w:rsid w:val="009A3E4B"/>
    <w:rsid w:val="009A40C5"/>
    <w:rsid w:val="009A4277"/>
    <w:rsid w:val="009A432C"/>
    <w:rsid w:val="009A4361"/>
    <w:rsid w:val="009A43D3"/>
    <w:rsid w:val="009A476B"/>
    <w:rsid w:val="009A4AF2"/>
    <w:rsid w:val="009A5274"/>
    <w:rsid w:val="009A53FD"/>
    <w:rsid w:val="009A59DF"/>
    <w:rsid w:val="009A5CB8"/>
    <w:rsid w:val="009A5ED4"/>
    <w:rsid w:val="009A64C4"/>
    <w:rsid w:val="009A6701"/>
    <w:rsid w:val="009A69E7"/>
    <w:rsid w:val="009A6E02"/>
    <w:rsid w:val="009A6F04"/>
    <w:rsid w:val="009A6FB2"/>
    <w:rsid w:val="009A72E2"/>
    <w:rsid w:val="009A72F0"/>
    <w:rsid w:val="009A73D6"/>
    <w:rsid w:val="009A74C2"/>
    <w:rsid w:val="009A76DE"/>
    <w:rsid w:val="009A772C"/>
    <w:rsid w:val="009A790F"/>
    <w:rsid w:val="009B05E2"/>
    <w:rsid w:val="009B0714"/>
    <w:rsid w:val="009B0CFA"/>
    <w:rsid w:val="009B0DBC"/>
    <w:rsid w:val="009B0F22"/>
    <w:rsid w:val="009B1005"/>
    <w:rsid w:val="009B1060"/>
    <w:rsid w:val="009B10AD"/>
    <w:rsid w:val="009B112A"/>
    <w:rsid w:val="009B1161"/>
    <w:rsid w:val="009B1174"/>
    <w:rsid w:val="009B1354"/>
    <w:rsid w:val="009B15DF"/>
    <w:rsid w:val="009B1606"/>
    <w:rsid w:val="009B18B8"/>
    <w:rsid w:val="009B1AE9"/>
    <w:rsid w:val="009B1C85"/>
    <w:rsid w:val="009B205C"/>
    <w:rsid w:val="009B23F0"/>
    <w:rsid w:val="009B25DA"/>
    <w:rsid w:val="009B30D4"/>
    <w:rsid w:val="009B3559"/>
    <w:rsid w:val="009B3563"/>
    <w:rsid w:val="009B35DF"/>
    <w:rsid w:val="009B38D8"/>
    <w:rsid w:val="009B3F4E"/>
    <w:rsid w:val="009B419A"/>
    <w:rsid w:val="009B427E"/>
    <w:rsid w:val="009B458A"/>
    <w:rsid w:val="009B49C3"/>
    <w:rsid w:val="009B4D82"/>
    <w:rsid w:val="009B4F34"/>
    <w:rsid w:val="009B53FB"/>
    <w:rsid w:val="009B5670"/>
    <w:rsid w:val="009B5B1B"/>
    <w:rsid w:val="009B65D8"/>
    <w:rsid w:val="009B65DF"/>
    <w:rsid w:val="009B68DC"/>
    <w:rsid w:val="009B6942"/>
    <w:rsid w:val="009B697E"/>
    <w:rsid w:val="009B6AC6"/>
    <w:rsid w:val="009B6C93"/>
    <w:rsid w:val="009B6E37"/>
    <w:rsid w:val="009B6EC0"/>
    <w:rsid w:val="009B72CA"/>
    <w:rsid w:val="009B752C"/>
    <w:rsid w:val="009B7590"/>
    <w:rsid w:val="009B75AD"/>
    <w:rsid w:val="009B76FC"/>
    <w:rsid w:val="009B781B"/>
    <w:rsid w:val="009B7D10"/>
    <w:rsid w:val="009B7D2C"/>
    <w:rsid w:val="009C00AE"/>
    <w:rsid w:val="009C0360"/>
    <w:rsid w:val="009C0364"/>
    <w:rsid w:val="009C07A7"/>
    <w:rsid w:val="009C086E"/>
    <w:rsid w:val="009C0892"/>
    <w:rsid w:val="009C105E"/>
    <w:rsid w:val="009C1378"/>
    <w:rsid w:val="009C18CA"/>
    <w:rsid w:val="009C196B"/>
    <w:rsid w:val="009C199C"/>
    <w:rsid w:val="009C1AF1"/>
    <w:rsid w:val="009C1B5C"/>
    <w:rsid w:val="009C1C98"/>
    <w:rsid w:val="009C1CE2"/>
    <w:rsid w:val="009C1FDC"/>
    <w:rsid w:val="009C20D0"/>
    <w:rsid w:val="009C20DC"/>
    <w:rsid w:val="009C219D"/>
    <w:rsid w:val="009C263E"/>
    <w:rsid w:val="009C2A42"/>
    <w:rsid w:val="009C2B32"/>
    <w:rsid w:val="009C2B60"/>
    <w:rsid w:val="009C2B7F"/>
    <w:rsid w:val="009C2BCA"/>
    <w:rsid w:val="009C2CFD"/>
    <w:rsid w:val="009C317E"/>
    <w:rsid w:val="009C339C"/>
    <w:rsid w:val="009C3710"/>
    <w:rsid w:val="009C3952"/>
    <w:rsid w:val="009C3B04"/>
    <w:rsid w:val="009C3D5D"/>
    <w:rsid w:val="009C3E2D"/>
    <w:rsid w:val="009C3F78"/>
    <w:rsid w:val="009C416F"/>
    <w:rsid w:val="009C44AC"/>
    <w:rsid w:val="009C4614"/>
    <w:rsid w:val="009C4876"/>
    <w:rsid w:val="009C48CB"/>
    <w:rsid w:val="009C4B31"/>
    <w:rsid w:val="009C4C6A"/>
    <w:rsid w:val="009C4E0C"/>
    <w:rsid w:val="009C4EDB"/>
    <w:rsid w:val="009C50F6"/>
    <w:rsid w:val="009C51CE"/>
    <w:rsid w:val="009C5683"/>
    <w:rsid w:val="009C574A"/>
    <w:rsid w:val="009C5ABA"/>
    <w:rsid w:val="009C6522"/>
    <w:rsid w:val="009C6C3B"/>
    <w:rsid w:val="009C6E1A"/>
    <w:rsid w:val="009C73D9"/>
    <w:rsid w:val="009C73F3"/>
    <w:rsid w:val="009C7809"/>
    <w:rsid w:val="009C799E"/>
    <w:rsid w:val="009C7D16"/>
    <w:rsid w:val="009C7EEF"/>
    <w:rsid w:val="009D0265"/>
    <w:rsid w:val="009D0272"/>
    <w:rsid w:val="009D02F2"/>
    <w:rsid w:val="009D04D3"/>
    <w:rsid w:val="009D0784"/>
    <w:rsid w:val="009D09C3"/>
    <w:rsid w:val="009D1183"/>
    <w:rsid w:val="009D11ED"/>
    <w:rsid w:val="009D13AF"/>
    <w:rsid w:val="009D13F9"/>
    <w:rsid w:val="009D1774"/>
    <w:rsid w:val="009D192F"/>
    <w:rsid w:val="009D1949"/>
    <w:rsid w:val="009D198C"/>
    <w:rsid w:val="009D1A20"/>
    <w:rsid w:val="009D1A55"/>
    <w:rsid w:val="009D203E"/>
    <w:rsid w:val="009D20F7"/>
    <w:rsid w:val="009D20FE"/>
    <w:rsid w:val="009D22C4"/>
    <w:rsid w:val="009D23EF"/>
    <w:rsid w:val="009D2685"/>
    <w:rsid w:val="009D2BFA"/>
    <w:rsid w:val="009D2DC5"/>
    <w:rsid w:val="009D2E78"/>
    <w:rsid w:val="009D2F12"/>
    <w:rsid w:val="009D2F19"/>
    <w:rsid w:val="009D2F8B"/>
    <w:rsid w:val="009D330F"/>
    <w:rsid w:val="009D33FB"/>
    <w:rsid w:val="009D36F5"/>
    <w:rsid w:val="009D39FF"/>
    <w:rsid w:val="009D3A18"/>
    <w:rsid w:val="009D3AF1"/>
    <w:rsid w:val="009D3C66"/>
    <w:rsid w:val="009D3CD7"/>
    <w:rsid w:val="009D4513"/>
    <w:rsid w:val="009D48BF"/>
    <w:rsid w:val="009D4A0A"/>
    <w:rsid w:val="009D4BB3"/>
    <w:rsid w:val="009D4C29"/>
    <w:rsid w:val="009D500F"/>
    <w:rsid w:val="009D51C1"/>
    <w:rsid w:val="009D535C"/>
    <w:rsid w:val="009D540A"/>
    <w:rsid w:val="009D5533"/>
    <w:rsid w:val="009D5701"/>
    <w:rsid w:val="009D5A57"/>
    <w:rsid w:val="009D5F53"/>
    <w:rsid w:val="009D6142"/>
    <w:rsid w:val="009D6159"/>
    <w:rsid w:val="009D6E0A"/>
    <w:rsid w:val="009D6E34"/>
    <w:rsid w:val="009D6F1E"/>
    <w:rsid w:val="009D7024"/>
    <w:rsid w:val="009D730E"/>
    <w:rsid w:val="009D74CE"/>
    <w:rsid w:val="009D77AD"/>
    <w:rsid w:val="009D7D83"/>
    <w:rsid w:val="009D7F7A"/>
    <w:rsid w:val="009E01F2"/>
    <w:rsid w:val="009E062E"/>
    <w:rsid w:val="009E07C8"/>
    <w:rsid w:val="009E0851"/>
    <w:rsid w:val="009E0D39"/>
    <w:rsid w:val="009E0FD4"/>
    <w:rsid w:val="009E1009"/>
    <w:rsid w:val="009E143F"/>
    <w:rsid w:val="009E1466"/>
    <w:rsid w:val="009E1D06"/>
    <w:rsid w:val="009E1D8F"/>
    <w:rsid w:val="009E1EC0"/>
    <w:rsid w:val="009E1FDA"/>
    <w:rsid w:val="009E204C"/>
    <w:rsid w:val="009E21AC"/>
    <w:rsid w:val="009E25D7"/>
    <w:rsid w:val="009E26AA"/>
    <w:rsid w:val="009E271F"/>
    <w:rsid w:val="009E2D53"/>
    <w:rsid w:val="009E2E89"/>
    <w:rsid w:val="009E2EF9"/>
    <w:rsid w:val="009E39C5"/>
    <w:rsid w:val="009E3CAC"/>
    <w:rsid w:val="009E3D32"/>
    <w:rsid w:val="009E3F1A"/>
    <w:rsid w:val="009E3FD5"/>
    <w:rsid w:val="009E412B"/>
    <w:rsid w:val="009E4232"/>
    <w:rsid w:val="009E43BA"/>
    <w:rsid w:val="009E455A"/>
    <w:rsid w:val="009E4755"/>
    <w:rsid w:val="009E482C"/>
    <w:rsid w:val="009E48F9"/>
    <w:rsid w:val="009E4AE2"/>
    <w:rsid w:val="009E4C65"/>
    <w:rsid w:val="009E4F3C"/>
    <w:rsid w:val="009E502E"/>
    <w:rsid w:val="009E53CE"/>
    <w:rsid w:val="009E5480"/>
    <w:rsid w:val="009E560D"/>
    <w:rsid w:val="009E57D6"/>
    <w:rsid w:val="009E5962"/>
    <w:rsid w:val="009E5A6A"/>
    <w:rsid w:val="009E5DD4"/>
    <w:rsid w:val="009E5F63"/>
    <w:rsid w:val="009E5F69"/>
    <w:rsid w:val="009E6116"/>
    <w:rsid w:val="009E6546"/>
    <w:rsid w:val="009E6984"/>
    <w:rsid w:val="009E6ABC"/>
    <w:rsid w:val="009E6C4F"/>
    <w:rsid w:val="009E6F5A"/>
    <w:rsid w:val="009E70E6"/>
    <w:rsid w:val="009E72D6"/>
    <w:rsid w:val="009E7429"/>
    <w:rsid w:val="009E7499"/>
    <w:rsid w:val="009E79AB"/>
    <w:rsid w:val="009E7C81"/>
    <w:rsid w:val="009E7EC1"/>
    <w:rsid w:val="009F0478"/>
    <w:rsid w:val="009F0AFE"/>
    <w:rsid w:val="009F0B67"/>
    <w:rsid w:val="009F0EFA"/>
    <w:rsid w:val="009F11C2"/>
    <w:rsid w:val="009F11CF"/>
    <w:rsid w:val="009F1279"/>
    <w:rsid w:val="009F192E"/>
    <w:rsid w:val="009F198A"/>
    <w:rsid w:val="009F19FE"/>
    <w:rsid w:val="009F1C31"/>
    <w:rsid w:val="009F1C3D"/>
    <w:rsid w:val="009F1D4B"/>
    <w:rsid w:val="009F2065"/>
    <w:rsid w:val="009F242F"/>
    <w:rsid w:val="009F2462"/>
    <w:rsid w:val="009F279D"/>
    <w:rsid w:val="009F2955"/>
    <w:rsid w:val="009F2F03"/>
    <w:rsid w:val="009F3168"/>
    <w:rsid w:val="009F330D"/>
    <w:rsid w:val="009F3348"/>
    <w:rsid w:val="009F34B5"/>
    <w:rsid w:val="009F34BA"/>
    <w:rsid w:val="009F35D5"/>
    <w:rsid w:val="009F399E"/>
    <w:rsid w:val="009F39C9"/>
    <w:rsid w:val="009F3BB1"/>
    <w:rsid w:val="009F3C45"/>
    <w:rsid w:val="009F4136"/>
    <w:rsid w:val="009F4303"/>
    <w:rsid w:val="009F4531"/>
    <w:rsid w:val="009F478E"/>
    <w:rsid w:val="009F4790"/>
    <w:rsid w:val="009F4ACD"/>
    <w:rsid w:val="009F4AD9"/>
    <w:rsid w:val="009F4C87"/>
    <w:rsid w:val="009F4E3D"/>
    <w:rsid w:val="009F4FE3"/>
    <w:rsid w:val="009F5038"/>
    <w:rsid w:val="009F5130"/>
    <w:rsid w:val="009F51F2"/>
    <w:rsid w:val="009F5214"/>
    <w:rsid w:val="009F5294"/>
    <w:rsid w:val="009F5511"/>
    <w:rsid w:val="009F5531"/>
    <w:rsid w:val="009F56E8"/>
    <w:rsid w:val="009F5A0E"/>
    <w:rsid w:val="009F5B14"/>
    <w:rsid w:val="009F5CC7"/>
    <w:rsid w:val="009F5D88"/>
    <w:rsid w:val="009F5DA9"/>
    <w:rsid w:val="009F5DE9"/>
    <w:rsid w:val="009F5F2A"/>
    <w:rsid w:val="009F5F2D"/>
    <w:rsid w:val="009F62C6"/>
    <w:rsid w:val="009F63B3"/>
    <w:rsid w:val="009F6651"/>
    <w:rsid w:val="009F6660"/>
    <w:rsid w:val="009F6829"/>
    <w:rsid w:val="009F68B5"/>
    <w:rsid w:val="009F68CE"/>
    <w:rsid w:val="009F6995"/>
    <w:rsid w:val="009F69AE"/>
    <w:rsid w:val="009F6C25"/>
    <w:rsid w:val="009F70B4"/>
    <w:rsid w:val="009F70F1"/>
    <w:rsid w:val="009F71C8"/>
    <w:rsid w:val="009F72A2"/>
    <w:rsid w:val="009F79AF"/>
    <w:rsid w:val="009F7B26"/>
    <w:rsid w:val="009F7CD1"/>
    <w:rsid w:val="00A0012B"/>
    <w:rsid w:val="00A001FB"/>
    <w:rsid w:val="00A002BF"/>
    <w:rsid w:val="00A002DE"/>
    <w:rsid w:val="00A002EC"/>
    <w:rsid w:val="00A00414"/>
    <w:rsid w:val="00A0093A"/>
    <w:rsid w:val="00A00A87"/>
    <w:rsid w:val="00A00BCC"/>
    <w:rsid w:val="00A00FCA"/>
    <w:rsid w:val="00A017C7"/>
    <w:rsid w:val="00A018F3"/>
    <w:rsid w:val="00A01C7C"/>
    <w:rsid w:val="00A01EDD"/>
    <w:rsid w:val="00A02641"/>
    <w:rsid w:val="00A0267E"/>
    <w:rsid w:val="00A02796"/>
    <w:rsid w:val="00A02899"/>
    <w:rsid w:val="00A02BC7"/>
    <w:rsid w:val="00A02E60"/>
    <w:rsid w:val="00A03977"/>
    <w:rsid w:val="00A03991"/>
    <w:rsid w:val="00A0449E"/>
    <w:rsid w:val="00A048CE"/>
    <w:rsid w:val="00A048D4"/>
    <w:rsid w:val="00A048EC"/>
    <w:rsid w:val="00A04CF2"/>
    <w:rsid w:val="00A04DE7"/>
    <w:rsid w:val="00A04E7B"/>
    <w:rsid w:val="00A04F48"/>
    <w:rsid w:val="00A052A6"/>
    <w:rsid w:val="00A05680"/>
    <w:rsid w:val="00A056FB"/>
    <w:rsid w:val="00A0586B"/>
    <w:rsid w:val="00A05933"/>
    <w:rsid w:val="00A059BF"/>
    <w:rsid w:val="00A05B1C"/>
    <w:rsid w:val="00A05C94"/>
    <w:rsid w:val="00A05F6A"/>
    <w:rsid w:val="00A0603D"/>
    <w:rsid w:val="00A065A2"/>
    <w:rsid w:val="00A069F5"/>
    <w:rsid w:val="00A06F4A"/>
    <w:rsid w:val="00A071FB"/>
    <w:rsid w:val="00A072D8"/>
    <w:rsid w:val="00A073BE"/>
    <w:rsid w:val="00A07434"/>
    <w:rsid w:val="00A075E8"/>
    <w:rsid w:val="00A07847"/>
    <w:rsid w:val="00A07945"/>
    <w:rsid w:val="00A0794F"/>
    <w:rsid w:val="00A07AE2"/>
    <w:rsid w:val="00A07B7D"/>
    <w:rsid w:val="00A07FC5"/>
    <w:rsid w:val="00A07FDE"/>
    <w:rsid w:val="00A100D8"/>
    <w:rsid w:val="00A1029B"/>
    <w:rsid w:val="00A102BA"/>
    <w:rsid w:val="00A10545"/>
    <w:rsid w:val="00A1057B"/>
    <w:rsid w:val="00A108FE"/>
    <w:rsid w:val="00A10982"/>
    <w:rsid w:val="00A10D6A"/>
    <w:rsid w:val="00A10E42"/>
    <w:rsid w:val="00A11426"/>
    <w:rsid w:val="00A114D8"/>
    <w:rsid w:val="00A11CE9"/>
    <w:rsid w:val="00A11E8D"/>
    <w:rsid w:val="00A1202C"/>
    <w:rsid w:val="00A121AE"/>
    <w:rsid w:val="00A122F5"/>
    <w:rsid w:val="00A123A7"/>
    <w:rsid w:val="00A123AE"/>
    <w:rsid w:val="00A1245B"/>
    <w:rsid w:val="00A12857"/>
    <w:rsid w:val="00A12A07"/>
    <w:rsid w:val="00A12AA2"/>
    <w:rsid w:val="00A12DC0"/>
    <w:rsid w:val="00A12DC8"/>
    <w:rsid w:val="00A12EDE"/>
    <w:rsid w:val="00A13216"/>
    <w:rsid w:val="00A1335D"/>
    <w:rsid w:val="00A139FE"/>
    <w:rsid w:val="00A13E76"/>
    <w:rsid w:val="00A1470B"/>
    <w:rsid w:val="00A14718"/>
    <w:rsid w:val="00A14723"/>
    <w:rsid w:val="00A14824"/>
    <w:rsid w:val="00A14952"/>
    <w:rsid w:val="00A14A0F"/>
    <w:rsid w:val="00A14C72"/>
    <w:rsid w:val="00A14C8C"/>
    <w:rsid w:val="00A15243"/>
    <w:rsid w:val="00A155A1"/>
    <w:rsid w:val="00A155D0"/>
    <w:rsid w:val="00A156B9"/>
    <w:rsid w:val="00A157A7"/>
    <w:rsid w:val="00A15C02"/>
    <w:rsid w:val="00A15EF6"/>
    <w:rsid w:val="00A15FAC"/>
    <w:rsid w:val="00A16136"/>
    <w:rsid w:val="00A16499"/>
    <w:rsid w:val="00A16513"/>
    <w:rsid w:val="00A16762"/>
    <w:rsid w:val="00A16B91"/>
    <w:rsid w:val="00A16DCD"/>
    <w:rsid w:val="00A1737F"/>
    <w:rsid w:val="00A17540"/>
    <w:rsid w:val="00A17A03"/>
    <w:rsid w:val="00A17AC2"/>
    <w:rsid w:val="00A17B00"/>
    <w:rsid w:val="00A17B40"/>
    <w:rsid w:val="00A17C97"/>
    <w:rsid w:val="00A2020B"/>
    <w:rsid w:val="00A205BD"/>
    <w:rsid w:val="00A20944"/>
    <w:rsid w:val="00A20A1D"/>
    <w:rsid w:val="00A20AA9"/>
    <w:rsid w:val="00A20AD7"/>
    <w:rsid w:val="00A20C71"/>
    <w:rsid w:val="00A20D16"/>
    <w:rsid w:val="00A2100C"/>
    <w:rsid w:val="00A210AF"/>
    <w:rsid w:val="00A21157"/>
    <w:rsid w:val="00A21261"/>
    <w:rsid w:val="00A21771"/>
    <w:rsid w:val="00A21968"/>
    <w:rsid w:val="00A21CCD"/>
    <w:rsid w:val="00A21DCF"/>
    <w:rsid w:val="00A21E45"/>
    <w:rsid w:val="00A22014"/>
    <w:rsid w:val="00A221D2"/>
    <w:rsid w:val="00A22498"/>
    <w:rsid w:val="00A224BA"/>
    <w:rsid w:val="00A2283A"/>
    <w:rsid w:val="00A22B8C"/>
    <w:rsid w:val="00A230E3"/>
    <w:rsid w:val="00A2333E"/>
    <w:rsid w:val="00A23414"/>
    <w:rsid w:val="00A23922"/>
    <w:rsid w:val="00A239C8"/>
    <w:rsid w:val="00A23A31"/>
    <w:rsid w:val="00A23F1B"/>
    <w:rsid w:val="00A2433A"/>
    <w:rsid w:val="00A246E7"/>
    <w:rsid w:val="00A24811"/>
    <w:rsid w:val="00A24BE3"/>
    <w:rsid w:val="00A24BFB"/>
    <w:rsid w:val="00A24BFF"/>
    <w:rsid w:val="00A24DA8"/>
    <w:rsid w:val="00A251C7"/>
    <w:rsid w:val="00A256DD"/>
    <w:rsid w:val="00A25779"/>
    <w:rsid w:val="00A257DD"/>
    <w:rsid w:val="00A2594A"/>
    <w:rsid w:val="00A25CFA"/>
    <w:rsid w:val="00A26047"/>
    <w:rsid w:val="00A26049"/>
    <w:rsid w:val="00A26497"/>
    <w:rsid w:val="00A26996"/>
    <w:rsid w:val="00A26A87"/>
    <w:rsid w:val="00A26DB4"/>
    <w:rsid w:val="00A274AC"/>
    <w:rsid w:val="00A274FC"/>
    <w:rsid w:val="00A276C3"/>
    <w:rsid w:val="00A2772A"/>
    <w:rsid w:val="00A27883"/>
    <w:rsid w:val="00A278F7"/>
    <w:rsid w:val="00A279AE"/>
    <w:rsid w:val="00A302CE"/>
    <w:rsid w:val="00A309AC"/>
    <w:rsid w:val="00A30A61"/>
    <w:rsid w:val="00A30B71"/>
    <w:rsid w:val="00A30F8B"/>
    <w:rsid w:val="00A3120B"/>
    <w:rsid w:val="00A3129A"/>
    <w:rsid w:val="00A312FC"/>
    <w:rsid w:val="00A31646"/>
    <w:rsid w:val="00A31F60"/>
    <w:rsid w:val="00A32011"/>
    <w:rsid w:val="00A3229D"/>
    <w:rsid w:val="00A323BE"/>
    <w:rsid w:val="00A325E7"/>
    <w:rsid w:val="00A328FA"/>
    <w:rsid w:val="00A32960"/>
    <w:rsid w:val="00A32A7F"/>
    <w:rsid w:val="00A32B4B"/>
    <w:rsid w:val="00A331CE"/>
    <w:rsid w:val="00A33336"/>
    <w:rsid w:val="00A3340B"/>
    <w:rsid w:val="00A33522"/>
    <w:rsid w:val="00A33871"/>
    <w:rsid w:val="00A33B23"/>
    <w:rsid w:val="00A33BF8"/>
    <w:rsid w:val="00A33C7F"/>
    <w:rsid w:val="00A33E19"/>
    <w:rsid w:val="00A33FAE"/>
    <w:rsid w:val="00A3437E"/>
    <w:rsid w:val="00A3491B"/>
    <w:rsid w:val="00A34DB8"/>
    <w:rsid w:val="00A34DF0"/>
    <w:rsid w:val="00A34FAC"/>
    <w:rsid w:val="00A35059"/>
    <w:rsid w:val="00A3507D"/>
    <w:rsid w:val="00A35099"/>
    <w:rsid w:val="00A350ED"/>
    <w:rsid w:val="00A352DA"/>
    <w:rsid w:val="00A35931"/>
    <w:rsid w:val="00A35945"/>
    <w:rsid w:val="00A35C2A"/>
    <w:rsid w:val="00A35CFC"/>
    <w:rsid w:val="00A360DC"/>
    <w:rsid w:val="00A362D8"/>
    <w:rsid w:val="00A3646A"/>
    <w:rsid w:val="00A36794"/>
    <w:rsid w:val="00A367EE"/>
    <w:rsid w:val="00A36CA6"/>
    <w:rsid w:val="00A36DDF"/>
    <w:rsid w:val="00A37202"/>
    <w:rsid w:val="00A3733C"/>
    <w:rsid w:val="00A37849"/>
    <w:rsid w:val="00A3796E"/>
    <w:rsid w:val="00A37A71"/>
    <w:rsid w:val="00A37BEB"/>
    <w:rsid w:val="00A37C7B"/>
    <w:rsid w:val="00A37F88"/>
    <w:rsid w:val="00A4014F"/>
    <w:rsid w:val="00A402D4"/>
    <w:rsid w:val="00A403BB"/>
    <w:rsid w:val="00A403F9"/>
    <w:rsid w:val="00A40A35"/>
    <w:rsid w:val="00A40BAE"/>
    <w:rsid w:val="00A40D69"/>
    <w:rsid w:val="00A40DF2"/>
    <w:rsid w:val="00A41079"/>
    <w:rsid w:val="00A413D5"/>
    <w:rsid w:val="00A41756"/>
    <w:rsid w:val="00A41CA1"/>
    <w:rsid w:val="00A41D62"/>
    <w:rsid w:val="00A41EFA"/>
    <w:rsid w:val="00A41FF1"/>
    <w:rsid w:val="00A42308"/>
    <w:rsid w:val="00A427E7"/>
    <w:rsid w:val="00A42868"/>
    <w:rsid w:val="00A42B8D"/>
    <w:rsid w:val="00A42F4F"/>
    <w:rsid w:val="00A43073"/>
    <w:rsid w:val="00A4309D"/>
    <w:rsid w:val="00A43127"/>
    <w:rsid w:val="00A43138"/>
    <w:rsid w:val="00A43310"/>
    <w:rsid w:val="00A43318"/>
    <w:rsid w:val="00A435AB"/>
    <w:rsid w:val="00A43661"/>
    <w:rsid w:val="00A4374C"/>
    <w:rsid w:val="00A43AE9"/>
    <w:rsid w:val="00A43FA7"/>
    <w:rsid w:val="00A44095"/>
    <w:rsid w:val="00A440BF"/>
    <w:rsid w:val="00A4417C"/>
    <w:rsid w:val="00A44208"/>
    <w:rsid w:val="00A4474F"/>
    <w:rsid w:val="00A447F4"/>
    <w:rsid w:val="00A44A1E"/>
    <w:rsid w:val="00A44CBA"/>
    <w:rsid w:val="00A450DE"/>
    <w:rsid w:val="00A45305"/>
    <w:rsid w:val="00A455F6"/>
    <w:rsid w:val="00A4565A"/>
    <w:rsid w:val="00A45698"/>
    <w:rsid w:val="00A457A4"/>
    <w:rsid w:val="00A45A94"/>
    <w:rsid w:val="00A45C8E"/>
    <w:rsid w:val="00A45F27"/>
    <w:rsid w:val="00A46141"/>
    <w:rsid w:val="00A465C7"/>
    <w:rsid w:val="00A4679A"/>
    <w:rsid w:val="00A46A2C"/>
    <w:rsid w:val="00A46E1B"/>
    <w:rsid w:val="00A47332"/>
    <w:rsid w:val="00A4748A"/>
    <w:rsid w:val="00A47660"/>
    <w:rsid w:val="00A4766C"/>
    <w:rsid w:val="00A47845"/>
    <w:rsid w:val="00A47A1E"/>
    <w:rsid w:val="00A47C19"/>
    <w:rsid w:val="00A47E1E"/>
    <w:rsid w:val="00A47F7C"/>
    <w:rsid w:val="00A501B2"/>
    <w:rsid w:val="00A50316"/>
    <w:rsid w:val="00A50705"/>
    <w:rsid w:val="00A507B6"/>
    <w:rsid w:val="00A5085D"/>
    <w:rsid w:val="00A50ED5"/>
    <w:rsid w:val="00A50F2A"/>
    <w:rsid w:val="00A510C1"/>
    <w:rsid w:val="00A510DD"/>
    <w:rsid w:val="00A51191"/>
    <w:rsid w:val="00A511C7"/>
    <w:rsid w:val="00A5137D"/>
    <w:rsid w:val="00A5149B"/>
    <w:rsid w:val="00A51874"/>
    <w:rsid w:val="00A519AB"/>
    <w:rsid w:val="00A519AE"/>
    <w:rsid w:val="00A51B99"/>
    <w:rsid w:val="00A52075"/>
    <w:rsid w:val="00A52128"/>
    <w:rsid w:val="00A521E3"/>
    <w:rsid w:val="00A5230C"/>
    <w:rsid w:val="00A52311"/>
    <w:rsid w:val="00A524E9"/>
    <w:rsid w:val="00A5288B"/>
    <w:rsid w:val="00A528B6"/>
    <w:rsid w:val="00A528E1"/>
    <w:rsid w:val="00A52907"/>
    <w:rsid w:val="00A52A89"/>
    <w:rsid w:val="00A52AD6"/>
    <w:rsid w:val="00A52AED"/>
    <w:rsid w:val="00A52CCD"/>
    <w:rsid w:val="00A52D2F"/>
    <w:rsid w:val="00A52F6C"/>
    <w:rsid w:val="00A5310C"/>
    <w:rsid w:val="00A53114"/>
    <w:rsid w:val="00A5312E"/>
    <w:rsid w:val="00A532CD"/>
    <w:rsid w:val="00A533D5"/>
    <w:rsid w:val="00A53605"/>
    <w:rsid w:val="00A5372D"/>
    <w:rsid w:val="00A5394D"/>
    <w:rsid w:val="00A5399B"/>
    <w:rsid w:val="00A53A98"/>
    <w:rsid w:val="00A53AEC"/>
    <w:rsid w:val="00A54073"/>
    <w:rsid w:val="00A543FD"/>
    <w:rsid w:val="00A54402"/>
    <w:rsid w:val="00A545B2"/>
    <w:rsid w:val="00A548D2"/>
    <w:rsid w:val="00A548F0"/>
    <w:rsid w:val="00A54E68"/>
    <w:rsid w:val="00A554A0"/>
    <w:rsid w:val="00A5584A"/>
    <w:rsid w:val="00A55FA3"/>
    <w:rsid w:val="00A560EF"/>
    <w:rsid w:val="00A56207"/>
    <w:rsid w:val="00A56356"/>
    <w:rsid w:val="00A5674E"/>
    <w:rsid w:val="00A5693F"/>
    <w:rsid w:val="00A56DC9"/>
    <w:rsid w:val="00A56F4B"/>
    <w:rsid w:val="00A5745C"/>
    <w:rsid w:val="00A57D4F"/>
    <w:rsid w:val="00A57E4F"/>
    <w:rsid w:val="00A57F93"/>
    <w:rsid w:val="00A60432"/>
    <w:rsid w:val="00A606BE"/>
    <w:rsid w:val="00A607A4"/>
    <w:rsid w:val="00A60866"/>
    <w:rsid w:val="00A608B9"/>
    <w:rsid w:val="00A60A4A"/>
    <w:rsid w:val="00A60AC7"/>
    <w:rsid w:val="00A60D92"/>
    <w:rsid w:val="00A60DFF"/>
    <w:rsid w:val="00A60E3F"/>
    <w:rsid w:val="00A61046"/>
    <w:rsid w:val="00A612B4"/>
    <w:rsid w:val="00A61758"/>
    <w:rsid w:val="00A61875"/>
    <w:rsid w:val="00A61A9E"/>
    <w:rsid w:val="00A61CE5"/>
    <w:rsid w:val="00A61E2D"/>
    <w:rsid w:val="00A6226E"/>
    <w:rsid w:val="00A623C2"/>
    <w:rsid w:val="00A62411"/>
    <w:rsid w:val="00A62682"/>
    <w:rsid w:val="00A62A95"/>
    <w:rsid w:val="00A62ADC"/>
    <w:rsid w:val="00A62E45"/>
    <w:rsid w:val="00A62ECE"/>
    <w:rsid w:val="00A62EF3"/>
    <w:rsid w:val="00A62FF5"/>
    <w:rsid w:val="00A63266"/>
    <w:rsid w:val="00A6328F"/>
    <w:rsid w:val="00A63508"/>
    <w:rsid w:val="00A63509"/>
    <w:rsid w:val="00A6354C"/>
    <w:rsid w:val="00A63551"/>
    <w:rsid w:val="00A635D2"/>
    <w:rsid w:val="00A63961"/>
    <w:rsid w:val="00A63C13"/>
    <w:rsid w:val="00A641E6"/>
    <w:rsid w:val="00A6456D"/>
    <w:rsid w:val="00A645FC"/>
    <w:rsid w:val="00A64675"/>
    <w:rsid w:val="00A64882"/>
    <w:rsid w:val="00A64A64"/>
    <w:rsid w:val="00A65117"/>
    <w:rsid w:val="00A652A4"/>
    <w:rsid w:val="00A65301"/>
    <w:rsid w:val="00A653A2"/>
    <w:rsid w:val="00A65A82"/>
    <w:rsid w:val="00A65E76"/>
    <w:rsid w:val="00A66089"/>
    <w:rsid w:val="00A6608E"/>
    <w:rsid w:val="00A66626"/>
    <w:rsid w:val="00A6670C"/>
    <w:rsid w:val="00A6697D"/>
    <w:rsid w:val="00A66A6B"/>
    <w:rsid w:val="00A6736B"/>
    <w:rsid w:val="00A675FD"/>
    <w:rsid w:val="00A67A30"/>
    <w:rsid w:val="00A67CF0"/>
    <w:rsid w:val="00A67E55"/>
    <w:rsid w:val="00A70216"/>
    <w:rsid w:val="00A7030C"/>
    <w:rsid w:val="00A70ABD"/>
    <w:rsid w:val="00A70D71"/>
    <w:rsid w:val="00A70E4E"/>
    <w:rsid w:val="00A71130"/>
    <w:rsid w:val="00A71196"/>
    <w:rsid w:val="00A711D3"/>
    <w:rsid w:val="00A71250"/>
    <w:rsid w:val="00A712E4"/>
    <w:rsid w:val="00A71314"/>
    <w:rsid w:val="00A71595"/>
    <w:rsid w:val="00A719F9"/>
    <w:rsid w:val="00A71BB0"/>
    <w:rsid w:val="00A71DD5"/>
    <w:rsid w:val="00A71E26"/>
    <w:rsid w:val="00A71E7F"/>
    <w:rsid w:val="00A72378"/>
    <w:rsid w:val="00A72431"/>
    <w:rsid w:val="00A724FA"/>
    <w:rsid w:val="00A72599"/>
    <w:rsid w:val="00A7264D"/>
    <w:rsid w:val="00A72673"/>
    <w:rsid w:val="00A7268B"/>
    <w:rsid w:val="00A727A7"/>
    <w:rsid w:val="00A72CBF"/>
    <w:rsid w:val="00A73475"/>
    <w:rsid w:val="00A73858"/>
    <w:rsid w:val="00A73C00"/>
    <w:rsid w:val="00A73CB8"/>
    <w:rsid w:val="00A74050"/>
    <w:rsid w:val="00A74163"/>
    <w:rsid w:val="00A74220"/>
    <w:rsid w:val="00A744A5"/>
    <w:rsid w:val="00A744E5"/>
    <w:rsid w:val="00A748BF"/>
    <w:rsid w:val="00A74979"/>
    <w:rsid w:val="00A749BA"/>
    <w:rsid w:val="00A74DF7"/>
    <w:rsid w:val="00A74FE3"/>
    <w:rsid w:val="00A74FF3"/>
    <w:rsid w:val="00A75090"/>
    <w:rsid w:val="00A7591F"/>
    <w:rsid w:val="00A759F1"/>
    <w:rsid w:val="00A75B15"/>
    <w:rsid w:val="00A75E09"/>
    <w:rsid w:val="00A75F8A"/>
    <w:rsid w:val="00A7696A"/>
    <w:rsid w:val="00A769C4"/>
    <w:rsid w:val="00A769E4"/>
    <w:rsid w:val="00A76BA0"/>
    <w:rsid w:val="00A76C93"/>
    <w:rsid w:val="00A7713C"/>
    <w:rsid w:val="00A7736C"/>
    <w:rsid w:val="00A77583"/>
    <w:rsid w:val="00A775F7"/>
    <w:rsid w:val="00A7779A"/>
    <w:rsid w:val="00A779D2"/>
    <w:rsid w:val="00A77BB9"/>
    <w:rsid w:val="00A77E04"/>
    <w:rsid w:val="00A77FFB"/>
    <w:rsid w:val="00A800E7"/>
    <w:rsid w:val="00A801DC"/>
    <w:rsid w:val="00A80A71"/>
    <w:rsid w:val="00A80B0C"/>
    <w:rsid w:val="00A80D95"/>
    <w:rsid w:val="00A80E5A"/>
    <w:rsid w:val="00A80EFC"/>
    <w:rsid w:val="00A80F5A"/>
    <w:rsid w:val="00A81107"/>
    <w:rsid w:val="00A8123A"/>
    <w:rsid w:val="00A8147B"/>
    <w:rsid w:val="00A81690"/>
    <w:rsid w:val="00A81810"/>
    <w:rsid w:val="00A81A46"/>
    <w:rsid w:val="00A821D6"/>
    <w:rsid w:val="00A821DD"/>
    <w:rsid w:val="00A82387"/>
    <w:rsid w:val="00A82DD0"/>
    <w:rsid w:val="00A83026"/>
    <w:rsid w:val="00A831B4"/>
    <w:rsid w:val="00A83234"/>
    <w:rsid w:val="00A83327"/>
    <w:rsid w:val="00A8383E"/>
    <w:rsid w:val="00A83B56"/>
    <w:rsid w:val="00A83B6E"/>
    <w:rsid w:val="00A83C1A"/>
    <w:rsid w:val="00A83C88"/>
    <w:rsid w:val="00A83D05"/>
    <w:rsid w:val="00A83D30"/>
    <w:rsid w:val="00A84738"/>
    <w:rsid w:val="00A849C4"/>
    <w:rsid w:val="00A850B7"/>
    <w:rsid w:val="00A8513A"/>
    <w:rsid w:val="00A853F0"/>
    <w:rsid w:val="00A858AA"/>
    <w:rsid w:val="00A85A8E"/>
    <w:rsid w:val="00A85C69"/>
    <w:rsid w:val="00A85D0D"/>
    <w:rsid w:val="00A86178"/>
    <w:rsid w:val="00A862E7"/>
    <w:rsid w:val="00A863CF"/>
    <w:rsid w:val="00A865E3"/>
    <w:rsid w:val="00A86695"/>
    <w:rsid w:val="00A866C6"/>
    <w:rsid w:val="00A867D7"/>
    <w:rsid w:val="00A869F6"/>
    <w:rsid w:val="00A86AA9"/>
    <w:rsid w:val="00A86AAA"/>
    <w:rsid w:val="00A86DD2"/>
    <w:rsid w:val="00A8714F"/>
    <w:rsid w:val="00A8715B"/>
    <w:rsid w:val="00A8755C"/>
    <w:rsid w:val="00A8771F"/>
    <w:rsid w:val="00A8787C"/>
    <w:rsid w:val="00A87AA1"/>
    <w:rsid w:val="00A87AE8"/>
    <w:rsid w:val="00A87E6F"/>
    <w:rsid w:val="00A90047"/>
    <w:rsid w:val="00A9031B"/>
    <w:rsid w:val="00A90507"/>
    <w:rsid w:val="00A90562"/>
    <w:rsid w:val="00A906B5"/>
    <w:rsid w:val="00A906F3"/>
    <w:rsid w:val="00A908BB"/>
    <w:rsid w:val="00A90A0A"/>
    <w:rsid w:val="00A90C30"/>
    <w:rsid w:val="00A90DC3"/>
    <w:rsid w:val="00A90E2C"/>
    <w:rsid w:val="00A91025"/>
    <w:rsid w:val="00A91247"/>
    <w:rsid w:val="00A919C3"/>
    <w:rsid w:val="00A91ADA"/>
    <w:rsid w:val="00A92017"/>
    <w:rsid w:val="00A92029"/>
    <w:rsid w:val="00A921E8"/>
    <w:rsid w:val="00A923D0"/>
    <w:rsid w:val="00A92489"/>
    <w:rsid w:val="00A9257E"/>
    <w:rsid w:val="00A92667"/>
    <w:rsid w:val="00A926CF"/>
    <w:rsid w:val="00A92795"/>
    <w:rsid w:val="00A92B68"/>
    <w:rsid w:val="00A92BE3"/>
    <w:rsid w:val="00A92DFD"/>
    <w:rsid w:val="00A92F48"/>
    <w:rsid w:val="00A9345B"/>
    <w:rsid w:val="00A937A5"/>
    <w:rsid w:val="00A937F1"/>
    <w:rsid w:val="00A93824"/>
    <w:rsid w:val="00A93A87"/>
    <w:rsid w:val="00A93C33"/>
    <w:rsid w:val="00A93DD1"/>
    <w:rsid w:val="00A940F2"/>
    <w:rsid w:val="00A941DF"/>
    <w:rsid w:val="00A94347"/>
    <w:rsid w:val="00A9455F"/>
    <w:rsid w:val="00A9459F"/>
    <w:rsid w:val="00A94621"/>
    <w:rsid w:val="00A946C4"/>
    <w:rsid w:val="00A948C4"/>
    <w:rsid w:val="00A94ACE"/>
    <w:rsid w:val="00A94C3C"/>
    <w:rsid w:val="00A9538E"/>
    <w:rsid w:val="00A9572F"/>
    <w:rsid w:val="00A95760"/>
    <w:rsid w:val="00A957A2"/>
    <w:rsid w:val="00A95C48"/>
    <w:rsid w:val="00A95E43"/>
    <w:rsid w:val="00A95F2F"/>
    <w:rsid w:val="00A9629B"/>
    <w:rsid w:val="00A967A0"/>
    <w:rsid w:val="00A96869"/>
    <w:rsid w:val="00A96BDC"/>
    <w:rsid w:val="00A96C4C"/>
    <w:rsid w:val="00A96D1F"/>
    <w:rsid w:val="00A9725A"/>
    <w:rsid w:val="00A97471"/>
    <w:rsid w:val="00A975AA"/>
    <w:rsid w:val="00A97944"/>
    <w:rsid w:val="00A97D69"/>
    <w:rsid w:val="00A97E4E"/>
    <w:rsid w:val="00AA0029"/>
    <w:rsid w:val="00AA0248"/>
    <w:rsid w:val="00AA04A9"/>
    <w:rsid w:val="00AA073A"/>
    <w:rsid w:val="00AA0943"/>
    <w:rsid w:val="00AA0C9E"/>
    <w:rsid w:val="00AA0CFF"/>
    <w:rsid w:val="00AA0DBE"/>
    <w:rsid w:val="00AA11CA"/>
    <w:rsid w:val="00AA154F"/>
    <w:rsid w:val="00AA17D0"/>
    <w:rsid w:val="00AA1BF8"/>
    <w:rsid w:val="00AA2371"/>
    <w:rsid w:val="00AA2BE6"/>
    <w:rsid w:val="00AA2C20"/>
    <w:rsid w:val="00AA30F8"/>
    <w:rsid w:val="00AA32C1"/>
    <w:rsid w:val="00AA3373"/>
    <w:rsid w:val="00AA3954"/>
    <w:rsid w:val="00AA41DC"/>
    <w:rsid w:val="00AA4A9E"/>
    <w:rsid w:val="00AA4BEA"/>
    <w:rsid w:val="00AA4DB6"/>
    <w:rsid w:val="00AA4DD2"/>
    <w:rsid w:val="00AA5215"/>
    <w:rsid w:val="00AA5454"/>
    <w:rsid w:val="00AA5FBE"/>
    <w:rsid w:val="00AA642F"/>
    <w:rsid w:val="00AA6A14"/>
    <w:rsid w:val="00AA6AAF"/>
    <w:rsid w:val="00AA6C07"/>
    <w:rsid w:val="00AA6C43"/>
    <w:rsid w:val="00AA6D3C"/>
    <w:rsid w:val="00AA6DB5"/>
    <w:rsid w:val="00AA726F"/>
    <w:rsid w:val="00AA731D"/>
    <w:rsid w:val="00AA7474"/>
    <w:rsid w:val="00AA75E9"/>
    <w:rsid w:val="00AA78EF"/>
    <w:rsid w:val="00AB004C"/>
    <w:rsid w:val="00AB018B"/>
    <w:rsid w:val="00AB03DF"/>
    <w:rsid w:val="00AB069C"/>
    <w:rsid w:val="00AB096F"/>
    <w:rsid w:val="00AB0A24"/>
    <w:rsid w:val="00AB0AF6"/>
    <w:rsid w:val="00AB0FF7"/>
    <w:rsid w:val="00AB154A"/>
    <w:rsid w:val="00AB1637"/>
    <w:rsid w:val="00AB1A00"/>
    <w:rsid w:val="00AB1C3E"/>
    <w:rsid w:val="00AB1C61"/>
    <w:rsid w:val="00AB2280"/>
    <w:rsid w:val="00AB2688"/>
    <w:rsid w:val="00AB2765"/>
    <w:rsid w:val="00AB281D"/>
    <w:rsid w:val="00AB2D7E"/>
    <w:rsid w:val="00AB3215"/>
    <w:rsid w:val="00AB3507"/>
    <w:rsid w:val="00AB3631"/>
    <w:rsid w:val="00AB3793"/>
    <w:rsid w:val="00AB37F9"/>
    <w:rsid w:val="00AB3976"/>
    <w:rsid w:val="00AB3C70"/>
    <w:rsid w:val="00AB41E7"/>
    <w:rsid w:val="00AB43B0"/>
    <w:rsid w:val="00AB45E8"/>
    <w:rsid w:val="00AB4651"/>
    <w:rsid w:val="00AB4965"/>
    <w:rsid w:val="00AB4A9A"/>
    <w:rsid w:val="00AB4E61"/>
    <w:rsid w:val="00AB5054"/>
    <w:rsid w:val="00AB546D"/>
    <w:rsid w:val="00AB5537"/>
    <w:rsid w:val="00AB58DC"/>
    <w:rsid w:val="00AB59A3"/>
    <w:rsid w:val="00AB5B2D"/>
    <w:rsid w:val="00AB5DD3"/>
    <w:rsid w:val="00AB60A8"/>
    <w:rsid w:val="00AB64C9"/>
    <w:rsid w:val="00AB662E"/>
    <w:rsid w:val="00AB66B5"/>
    <w:rsid w:val="00AB6B0B"/>
    <w:rsid w:val="00AB6B35"/>
    <w:rsid w:val="00AB6C29"/>
    <w:rsid w:val="00AB72AC"/>
    <w:rsid w:val="00AB72B7"/>
    <w:rsid w:val="00AB763A"/>
    <w:rsid w:val="00AB777D"/>
    <w:rsid w:val="00AB79A1"/>
    <w:rsid w:val="00AB7E5D"/>
    <w:rsid w:val="00AC0008"/>
    <w:rsid w:val="00AC0362"/>
    <w:rsid w:val="00AC0502"/>
    <w:rsid w:val="00AC068B"/>
    <w:rsid w:val="00AC0AED"/>
    <w:rsid w:val="00AC0C1C"/>
    <w:rsid w:val="00AC0CBF"/>
    <w:rsid w:val="00AC0D58"/>
    <w:rsid w:val="00AC1266"/>
    <w:rsid w:val="00AC14DA"/>
    <w:rsid w:val="00AC1B32"/>
    <w:rsid w:val="00AC1B96"/>
    <w:rsid w:val="00AC1EDB"/>
    <w:rsid w:val="00AC1F01"/>
    <w:rsid w:val="00AC24DD"/>
    <w:rsid w:val="00AC25A2"/>
    <w:rsid w:val="00AC2C40"/>
    <w:rsid w:val="00AC3649"/>
    <w:rsid w:val="00AC3B9C"/>
    <w:rsid w:val="00AC3BFA"/>
    <w:rsid w:val="00AC3C81"/>
    <w:rsid w:val="00AC3E66"/>
    <w:rsid w:val="00AC3F5B"/>
    <w:rsid w:val="00AC401E"/>
    <w:rsid w:val="00AC404A"/>
    <w:rsid w:val="00AC4312"/>
    <w:rsid w:val="00AC4343"/>
    <w:rsid w:val="00AC43EA"/>
    <w:rsid w:val="00AC4897"/>
    <w:rsid w:val="00AC49CE"/>
    <w:rsid w:val="00AC4BBF"/>
    <w:rsid w:val="00AC4CF1"/>
    <w:rsid w:val="00AC4E6F"/>
    <w:rsid w:val="00AC4E7B"/>
    <w:rsid w:val="00AC5329"/>
    <w:rsid w:val="00AC534E"/>
    <w:rsid w:val="00AC5455"/>
    <w:rsid w:val="00AC5978"/>
    <w:rsid w:val="00AC5D4F"/>
    <w:rsid w:val="00AC60D6"/>
    <w:rsid w:val="00AC6212"/>
    <w:rsid w:val="00AC64FE"/>
    <w:rsid w:val="00AC6646"/>
    <w:rsid w:val="00AC6763"/>
    <w:rsid w:val="00AC6AD6"/>
    <w:rsid w:val="00AC6C60"/>
    <w:rsid w:val="00AC6D46"/>
    <w:rsid w:val="00AC6E5B"/>
    <w:rsid w:val="00AC6FFB"/>
    <w:rsid w:val="00AC7237"/>
    <w:rsid w:val="00AC738E"/>
    <w:rsid w:val="00AC772B"/>
    <w:rsid w:val="00AC7901"/>
    <w:rsid w:val="00AD0184"/>
    <w:rsid w:val="00AD01F5"/>
    <w:rsid w:val="00AD035C"/>
    <w:rsid w:val="00AD07FC"/>
    <w:rsid w:val="00AD086F"/>
    <w:rsid w:val="00AD0A96"/>
    <w:rsid w:val="00AD0B56"/>
    <w:rsid w:val="00AD0B9E"/>
    <w:rsid w:val="00AD0E6C"/>
    <w:rsid w:val="00AD0EA4"/>
    <w:rsid w:val="00AD1271"/>
    <w:rsid w:val="00AD13E4"/>
    <w:rsid w:val="00AD146B"/>
    <w:rsid w:val="00AD1477"/>
    <w:rsid w:val="00AD17A3"/>
    <w:rsid w:val="00AD183F"/>
    <w:rsid w:val="00AD1916"/>
    <w:rsid w:val="00AD1E27"/>
    <w:rsid w:val="00AD2AA7"/>
    <w:rsid w:val="00AD2E26"/>
    <w:rsid w:val="00AD2FC4"/>
    <w:rsid w:val="00AD322D"/>
    <w:rsid w:val="00AD3289"/>
    <w:rsid w:val="00AD3534"/>
    <w:rsid w:val="00AD357D"/>
    <w:rsid w:val="00AD35D7"/>
    <w:rsid w:val="00AD39CA"/>
    <w:rsid w:val="00AD3C84"/>
    <w:rsid w:val="00AD3CC8"/>
    <w:rsid w:val="00AD3DD3"/>
    <w:rsid w:val="00AD4232"/>
    <w:rsid w:val="00AD43F5"/>
    <w:rsid w:val="00AD4723"/>
    <w:rsid w:val="00AD4737"/>
    <w:rsid w:val="00AD49E0"/>
    <w:rsid w:val="00AD4B9D"/>
    <w:rsid w:val="00AD4C00"/>
    <w:rsid w:val="00AD4D03"/>
    <w:rsid w:val="00AD4DA3"/>
    <w:rsid w:val="00AD4FB6"/>
    <w:rsid w:val="00AD5184"/>
    <w:rsid w:val="00AD52A4"/>
    <w:rsid w:val="00AD5342"/>
    <w:rsid w:val="00AD54BA"/>
    <w:rsid w:val="00AD561E"/>
    <w:rsid w:val="00AD57CA"/>
    <w:rsid w:val="00AD5834"/>
    <w:rsid w:val="00AD5A61"/>
    <w:rsid w:val="00AD5B12"/>
    <w:rsid w:val="00AD5BF4"/>
    <w:rsid w:val="00AD5D3B"/>
    <w:rsid w:val="00AD6075"/>
    <w:rsid w:val="00AD64D8"/>
    <w:rsid w:val="00AD69D7"/>
    <w:rsid w:val="00AD6C64"/>
    <w:rsid w:val="00AD6D44"/>
    <w:rsid w:val="00AD71AE"/>
    <w:rsid w:val="00AD724A"/>
    <w:rsid w:val="00AD7301"/>
    <w:rsid w:val="00AD74F7"/>
    <w:rsid w:val="00AD7539"/>
    <w:rsid w:val="00AD76BB"/>
    <w:rsid w:val="00AD7A66"/>
    <w:rsid w:val="00AD7AB0"/>
    <w:rsid w:val="00AD7AF7"/>
    <w:rsid w:val="00AD7B43"/>
    <w:rsid w:val="00AD7C10"/>
    <w:rsid w:val="00AD7CB5"/>
    <w:rsid w:val="00AD7D8C"/>
    <w:rsid w:val="00AE0019"/>
    <w:rsid w:val="00AE002E"/>
    <w:rsid w:val="00AE00C7"/>
    <w:rsid w:val="00AE00EC"/>
    <w:rsid w:val="00AE01E6"/>
    <w:rsid w:val="00AE04C2"/>
    <w:rsid w:val="00AE0615"/>
    <w:rsid w:val="00AE09E1"/>
    <w:rsid w:val="00AE0A34"/>
    <w:rsid w:val="00AE0A4D"/>
    <w:rsid w:val="00AE0D9D"/>
    <w:rsid w:val="00AE0E67"/>
    <w:rsid w:val="00AE0EA7"/>
    <w:rsid w:val="00AE1005"/>
    <w:rsid w:val="00AE110C"/>
    <w:rsid w:val="00AE1400"/>
    <w:rsid w:val="00AE14A9"/>
    <w:rsid w:val="00AE194C"/>
    <w:rsid w:val="00AE19A9"/>
    <w:rsid w:val="00AE19D0"/>
    <w:rsid w:val="00AE1D5D"/>
    <w:rsid w:val="00AE1E5E"/>
    <w:rsid w:val="00AE1E8C"/>
    <w:rsid w:val="00AE22FE"/>
    <w:rsid w:val="00AE239D"/>
    <w:rsid w:val="00AE2689"/>
    <w:rsid w:val="00AE2F61"/>
    <w:rsid w:val="00AE338D"/>
    <w:rsid w:val="00AE36DF"/>
    <w:rsid w:val="00AE371E"/>
    <w:rsid w:val="00AE3AA0"/>
    <w:rsid w:val="00AE3C32"/>
    <w:rsid w:val="00AE3C84"/>
    <w:rsid w:val="00AE3D09"/>
    <w:rsid w:val="00AE3E39"/>
    <w:rsid w:val="00AE4312"/>
    <w:rsid w:val="00AE4719"/>
    <w:rsid w:val="00AE48A7"/>
    <w:rsid w:val="00AE48F2"/>
    <w:rsid w:val="00AE4923"/>
    <w:rsid w:val="00AE4A97"/>
    <w:rsid w:val="00AE4E2C"/>
    <w:rsid w:val="00AE4E4F"/>
    <w:rsid w:val="00AE4E99"/>
    <w:rsid w:val="00AE5213"/>
    <w:rsid w:val="00AE53F0"/>
    <w:rsid w:val="00AE5556"/>
    <w:rsid w:val="00AE567C"/>
    <w:rsid w:val="00AE5A98"/>
    <w:rsid w:val="00AE5C22"/>
    <w:rsid w:val="00AE5E5A"/>
    <w:rsid w:val="00AE5EBC"/>
    <w:rsid w:val="00AE6094"/>
    <w:rsid w:val="00AE60AD"/>
    <w:rsid w:val="00AE62FB"/>
    <w:rsid w:val="00AE6470"/>
    <w:rsid w:val="00AE67E7"/>
    <w:rsid w:val="00AE697C"/>
    <w:rsid w:val="00AE6AFF"/>
    <w:rsid w:val="00AE6C4C"/>
    <w:rsid w:val="00AE6D7C"/>
    <w:rsid w:val="00AE6E7C"/>
    <w:rsid w:val="00AE6FC7"/>
    <w:rsid w:val="00AE731A"/>
    <w:rsid w:val="00AE7676"/>
    <w:rsid w:val="00AE7918"/>
    <w:rsid w:val="00AE7B82"/>
    <w:rsid w:val="00AE7BCA"/>
    <w:rsid w:val="00AF051C"/>
    <w:rsid w:val="00AF0708"/>
    <w:rsid w:val="00AF0748"/>
    <w:rsid w:val="00AF087D"/>
    <w:rsid w:val="00AF08DF"/>
    <w:rsid w:val="00AF0924"/>
    <w:rsid w:val="00AF0A9D"/>
    <w:rsid w:val="00AF0DA2"/>
    <w:rsid w:val="00AF1011"/>
    <w:rsid w:val="00AF1535"/>
    <w:rsid w:val="00AF19BA"/>
    <w:rsid w:val="00AF1A3F"/>
    <w:rsid w:val="00AF1BE7"/>
    <w:rsid w:val="00AF1C19"/>
    <w:rsid w:val="00AF1D2C"/>
    <w:rsid w:val="00AF209C"/>
    <w:rsid w:val="00AF23BC"/>
    <w:rsid w:val="00AF257E"/>
    <w:rsid w:val="00AF26FF"/>
    <w:rsid w:val="00AF3186"/>
    <w:rsid w:val="00AF31D7"/>
    <w:rsid w:val="00AF3575"/>
    <w:rsid w:val="00AF374E"/>
    <w:rsid w:val="00AF3910"/>
    <w:rsid w:val="00AF39AB"/>
    <w:rsid w:val="00AF3FD4"/>
    <w:rsid w:val="00AF404D"/>
    <w:rsid w:val="00AF416E"/>
    <w:rsid w:val="00AF4447"/>
    <w:rsid w:val="00AF4AA9"/>
    <w:rsid w:val="00AF4DA2"/>
    <w:rsid w:val="00AF4E2B"/>
    <w:rsid w:val="00AF4E51"/>
    <w:rsid w:val="00AF524C"/>
    <w:rsid w:val="00AF5520"/>
    <w:rsid w:val="00AF5585"/>
    <w:rsid w:val="00AF577C"/>
    <w:rsid w:val="00AF5978"/>
    <w:rsid w:val="00AF5C82"/>
    <w:rsid w:val="00AF5EE3"/>
    <w:rsid w:val="00AF607C"/>
    <w:rsid w:val="00AF6339"/>
    <w:rsid w:val="00AF63B7"/>
    <w:rsid w:val="00AF6BE0"/>
    <w:rsid w:val="00AF6C82"/>
    <w:rsid w:val="00AF6C8D"/>
    <w:rsid w:val="00AF6D3F"/>
    <w:rsid w:val="00AF6EA0"/>
    <w:rsid w:val="00AF7366"/>
    <w:rsid w:val="00AF740C"/>
    <w:rsid w:val="00AF74D7"/>
    <w:rsid w:val="00AF75FF"/>
    <w:rsid w:val="00AF7784"/>
    <w:rsid w:val="00AF781B"/>
    <w:rsid w:val="00AF7938"/>
    <w:rsid w:val="00AF7987"/>
    <w:rsid w:val="00AF7A1D"/>
    <w:rsid w:val="00AF7B2A"/>
    <w:rsid w:val="00AF7D4A"/>
    <w:rsid w:val="00B00002"/>
    <w:rsid w:val="00B000E5"/>
    <w:rsid w:val="00B00284"/>
    <w:rsid w:val="00B003E7"/>
    <w:rsid w:val="00B00449"/>
    <w:rsid w:val="00B007E2"/>
    <w:rsid w:val="00B00D66"/>
    <w:rsid w:val="00B01329"/>
    <w:rsid w:val="00B015E3"/>
    <w:rsid w:val="00B01769"/>
    <w:rsid w:val="00B01A0A"/>
    <w:rsid w:val="00B01A30"/>
    <w:rsid w:val="00B0216C"/>
    <w:rsid w:val="00B0219F"/>
    <w:rsid w:val="00B0252E"/>
    <w:rsid w:val="00B02629"/>
    <w:rsid w:val="00B02988"/>
    <w:rsid w:val="00B02F80"/>
    <w:rsid w:val="00B041CD"/>
    <w:rsid w:val="00B041DA"/>
    <w:rsid w:val="00B0447B"/>
    <w:rsid w:val="00B047C1"/>
    <w:rsid w:val="00B04903"/>
    <w:rsid w:val="00B04A1E"/>
    <w:rsid w:val="00B04C0B"/>
    <w:rsid w:val="00B04D7D"/>
    <w:rsid w:val="00B053E6"/>
    <w:rsid w:val="00B0558E"/>
    <w:rsid w:val="00B05614"/>
    <w:rsid w:val="00B056D6"/>
    <w:rsid w:val="00B0578E"/>
    <w:rsid w:val="00B05927"/>
    <w:rsid w:val="00B0599C"/>
    <w:rsid w:val="00B05BA5"/>
    <w:rsid w:val="00B05C3F"/>
    <w:rsid w:val="00B05E34"/>
    <w:rsid w:val="00B05ED0"/>
    <w:rsid w:val="00B05F22"/>
    <w:rsid w:val="00B0652D"/>
    <w:rsid w:val="00B0676E"/>
    <w:rsid w:val="00B06C8F"/>
    <w:rsid w:val="00B06D9D"/>
    <w:rsid w:val="00B06E43"/>
    <w:rsid w:val="00B07004"/>
    <w:rsid w:val="00B0700F"/>
    <w:rsid w:val="00B0708E"/>
    <w:rsid w:val="00B071D5"/>
    <w:rsid w:val="00B07400"/>
    <w:rsid w:val="00B074D9"/>
    <w:rsid w:val="00B0751A"/>
    <w:rsid w:val="00B07604"/>
    <w:rsid w:val="00B0795A"/>
    <w:rsid w:val="00B07DE6"/>
    <w:rsid w:val="00B07EB6"/>
    <w:rsid w:val="00B07F74"/>
    <w:rsid w:val="00B0CC07"/>
    <w:rsid w:val="00B100EF"/>
    <w:rsid w:val="00B10A45"/>
    <w:rsid w:val="00B10B5D"/>
    <w:rsid w:val="00B10CD2"/>
    <w:rsid w:val="00B10D13"/>
    <w:rsid w:val="00B10FF1"/>
    <w:rsid w:val="00B112E5"/>
    <w:rsid w:val="00B11308"/>
    <w:rsid w:val="00B1152E"/>
    <w:rsid w:val="00B11554"/>
    <w:rsid w:val="00B1199F"/>
    <w:rsid w:val="00B11D2E"/>
    <w:rsid w:val="00B12033"/>
    <w:rsid w:val="00B12127"/>
    <w:rsid w:val="00B1240C"/>
    <w:rsid w:val="00B12652"/>
    <w:rsid w:val="00B12928"/>
    <w:rsid w:val="00B12E08"/>
    <w:rsid w:val="00B12F72"/>
    <w:rsid w:val="00B13068"/>
    <w:rsid w:val="00B13140"/>
    <w:rsid w:val="00B13150"/>
    <w:rsid w:val="00B13274"/>
    <w:rsid w:val="00B1367D"/>
    <w:rsid w:val="00B13784"/>
    <w:rsid w:val="00B13D6C"/>
    <w:rsid w:val="00B13D70"/>
    <w:rsid w:val="00B14223"/>
    <w:rsid w:val="00B143B8"/>
    <w:rsid w:val="00B1447C"/>
    <w:rsid w:val="00B14596"/>
    <w:rsid w:val="00B149C8"/>
    <w:rsid w:val="00B14D19"/>
    <w:rsid w:val="00B14EEF"/>
    <w:rsid w:val="00B150ED"/>
    <w:rsid w:val="00B15112"/>
    <w:rsid w:val="00B1535F"/>
    <w:rsid w:val="00B15D43"/>
    <w:rsid w:val="00B16B46"/>
    <w:rsid w:val="00B16DBB"/>
    <w:rsid w:val="00B170A3"/>
    <w:rsid w:val="00B170B6"/>
    <w:rsid w:val="00B171C6"/>
    <w:rsid w:val="00B173FF"/>
    <w:rsid w:val="00B1790F"/>
    <w:rsid w:val="00B17B50"/>
    <w:rsid w:val="00B200D9"/>
    <w:rsid w:val="00B201CA"/>
    <w:rsid w:val="00B20850"/>
    <w:rsid w:val="00B2095E"/>
    <w:rsid w:val="00B2099E"/>
    <w:rsid w:val="00B20D8C"/>
    <w:rsid w:val="00B20F84"/>
    <w:rsid w:val="00B20FC9"/>
    <w:rsid w:val="00B2104F"/>
    <w:rsid w:val="00B2144E"/>
    <w:rsid w:val="00B21466"/>
    <w:rsid w:val="00B2146A"/>
    <w:rsid w:val="00B215B4"/>
    <w:rsid w:val="00B216AE"/>
    <w:rsid w:val="00B218C5"/>
    <w:rsid w:val="00B218FB"/>
    <w:rsid w:val="00B21965"/>
    <w:rsid w:val="00B21D22"/>
    <w:rsid w:val="00B21EFD"/>
    <w:rsid w:val="00B22174"/>
    <w:rsid w:val="00B22336"/>
    <w:rsid w:val="00B22457"/>
    <w:rsid w:val="00B225D4"/>
    <w:rsid w:val="00B2270C"/>
    <w:rsid w:val="00B229E1"/>
    <w:rsid w:val="00B22D3D"/>
    <w:rsid w:val="00B23099"/>
    <w:rsid w:val="00B2346C"/>
    <w:rsid w:val="00B23477"/>
    <w:rsid w:val="00B23692"/>
    <w:rsid w:val="00B237AF"/>
    <w:rsid w:val="00B23D7D"/>
    <w:rsid w:val="00B23E72"/>
    <w:rsid w:val="00B24344"/>
    <w:rsid w:val="00B245DB"/>
    <w:rsid w:val="00B24620"/>
    <w:rsid w:val="00B24688"/>
    <w:rsid w:val="00B2470E"/>
    <w:rsid w:val="00B24783"/>
    <w:rsid w:val="00B24A17"/>
    <w:rsid w:val="00B24C4B"/>
    <w:rsid w:val="00B24C67"/>
    <w:rsid w:val="00B24DAB"/>
    <w:rsid w:val="00B251B6"/>
    <w:rsid w:val="00B2525D"/>
    <w:rsid w:val="00B25982"/>
    <w:rsid w:val="00B25AD5"/>
    <w:rsid w:val="00B25B08"/>
    <w:rsid w:val="00B25C0C"/>
    <w:rsid w:val="00B25CF7"/>
    <w:rsid w:val="00B25DDF"/>
    <w:rsid w:val="00B25FD4"/>
    <w:rsid w:val="00B26125"/>
    <w:rsid w:val="00B262A4"/>
    <w:rsid w:val="00B2637A"/>
    <w:rsid w:val="00B26466"/>
    <w:rsid w:val="00B2646E"/>
    <w:rsid w:val="00B264F1"/>
    <w:rsid w:val="00B2674C"/>
    <w:rsid w:val="00B26BE7"/>
    <w:rsid w:val="00B26DCB"/>
    <w:rsid w:val="00B26E18"/>
    <w:rsid w:val="00B26E48"/>
    <w:rsid w:val="00B26EA2"/>
    <w:rsid w:val="00B270C9"/>
    <w:rsid w:val="00B27C06"/>
    <w:rsid w:val="00B27D57"/>
    <w:rsid w:val="00B27E2D"/>
    <w:rsid w:val="00B27EA5"/>
    <w:rsid w:val="00B27F9E"/>
    <w:rsid w:val="00B3009F"/>
    <w:rsid w:val="00B3075E"/>
    <w:rsid w:val="00B307DC"/>
    <w:rsid w:val="00B30824"/>
    <w:rsid w:val="00B3106C"/>
    <w:rsid w:val="00B313A2"/>
    <w:rsid w:val="00B314E2"/>
    <w:rsid w:val="00B3155A"/>
    <w:rsid w:val="00B31AF9"/>
    <w:rsid w:val="00B31D2A"/>
    <w:rsid w:val="00B31D91"/>
    <w:rsid w:val="00B31ED6"/>
    <w:rsid w:val="00B32189"/>
    <w:rsid w:val="00B3222E"/>
    <w:rsid w:val="00B3241D"/>
    <w:rsid w:val="00B32529"/>
    <w:rsid w:val="00B3284B"/>
    <w:rsid w:val="00B32A1C"/>
    <w:rsid w:val="00B32A72"/>
    <w:rsid w:val="00B3392E"/>
    <w:rsid w:val="00B33B40"/>
    <w:rsid w:val="00B340F4"/>
    <w:rsid w:val="00B34225"/>
    <w:rsid w:val="00B34549"/>
    <w:rsid w:val="00B345DA"/>
    <w:rsid w:val="00B34A2C"/>
    <w:rsid w:val="00B34BAB"/>
    <w:rsid w:val="00B34C51"/>
    <w:rsid w:val="00B34FC1"/>
    <w:rsid w:val="00B34FFB"/>
    <w:rsid w:val="00B35125"/>
    <w:rsid w:val="00B355A6"/>
    <w:rsid w:val="00B35857"/>
    <w:rsid w:val="00B35D92"/>
    <w:rsid w:val="00B35EAE"/>
    <w:rsid w:val="00B35EF6"/>
    <w:rsid w:val="00B35FFD"/>
    <w:rsid w:val="00B362CA"/>
    <w:rsid w:val="00B364C9"/>
    <w:rsid w:val="00B36896"/>
    <w:rsid w:val="00B36B50"/>
    <w:rsid w:val="00B36FBD"/>
    <w:rsid w:val="00B3716B"/>
    <w:rsid w:val="00B371AB"/>
    <w:rsid w:val="00B373D7"/>
    <w:rsid w:val="00B377FF"/>
    <w:rsid w:val="00B37801"/>
    <w:rsid w:val="00B3783D"/>
    <w:rsid w:val="00B37912"/>
    <w:rsid w:val="00B37A0A"/>
    <w:rsid w:val="00B37BB4"/>
    <w:rsid w:val="00B37C81"/>
    <w:rsid w:val="00B402C4"/>
    <w:rsid w:val="00B40583"/>
    <w:rsid w:val="00B40616"/>
    <w:rsid w:val="00B406C6"/>
    <w:rsid w:val="00B40BB4"/>
    <w:rsid w:val="00B41343"/>
    <w:rsid w:val="00B41452"/>
    <w:rsid w:val="00B41724"/>
    <w:rsid w:val="00B4187F"/>
    <w:rsid w:val="00B4233F"/>
    <w:rsid w:val="00B42395"/>
    <w:rsid w:val="00B42397"/>
    <w:rsid w:val="00B42824"/>
    <w:rsid w:val="00B428FA"/>
    <w:rsid w:val="00B42F42"/>
    <w:rsid w:val="00B42FEF"/>
    <w:rsid w:val="00B430FE"/>
    <w:rsid w:val="00B434BE"/>
    <w:rsid w:val="00B435ED"/>
    <w:rsid w:val="00B436AA"/>
    <w:rsid w:val="00B43AE5"/>
    <w:rsid w:val="00B43E3A"/>
    <w:rsid w:val="00B44000"/>
    <w:rsid w:val="00B44186"/>
    <w:rsid w:val="00B44535"/>
    <w:rsid w:val="00B4467C"/>
    <w:rsid w:val="00B4478A"/>
    <w:rsid w:val="00B44948"/>
    <w:rsid w:val="00B44C60"/>
    <w:rsid w:val="00B44C9A"/>
    <w:rsid w:val="00B44C9D"/>
    <w:rsid w:val="00B4585B"/>
    <w:rsid w:val="00B45BC7"/>
    <w:rsid w:val="00B45C51"/>
    <w:rsid w:val="00B45DB4"/>
    <w:rsid w:val="00B46221"/>
    <w:rsid w:val="00B46245"/>
    <w:rsid w:val="00B4666C"/>
    <w:rsid w:val="00B468BB"/>
    <w:rsid w:val="00B46923"/>
    <w:rsid w:val="00B46C65"/>
    <w:rsid w:val="00B46DAD"/>
    <w:rsid w:val="00B46FCD"/>
    <w:rsid w:val="00B46FE8"/>
    <w:rsid w:val="00B471E7"/>
    <w:rsid w:val="00B4722F"/>
    <w:rsid w:val="00B47450"/>
    <w:rsid w:val="00B4752D"/>
    <w:rsid w:val="00B4783E"/>
    <w:rsid w:val="00B47957"/>
    <w:rsid w:val="00B47B8D"/>
    <w:rsid w:val="00B47CA4"/>
    <w:rsid w:val="00B4BBBA"/>
    <w:rsid w:val="00B500F3"/>
    <w:rsid w:val="00B5019C"/>
    <w:rsid w:val="00B50454"/>
    <w:rsid w:val="00B5067A"/>
    <w:rsid w:val="00B50A67"/>
    <w:rsid w:val="00B51028"/>
    <w:rsid w:val="00B51035"/>
    <w:rsid w:val="00B511C3"/>
    <w:rsid w:val="00B517E9"/>
    <w:rsid w:val="00B518D4"/>
    <w:rsid w:val="00B51BF5"/>
    <w:rsid w:val="00B51E41"/>
    <w:rsid w:val="00B5210B"/>
    <w:rsid w:val="00B521A7"/>
    <w:rsid w:val="00B52B56"/>
    <w:rsid w:val="00B52F52"/>
    <w:rsid w:val="00B53539"/>
    <w:rsid w:val="00B53945"/>
    <w:rsid w:val="00B53B5E"/>
    <w:rsid w:val="00B53C44"/>
    <w:rsid w:val="00B53DE0"/>
    <w:rsid w:val="00B53E79"/>
    <w:rsid w:val="00B53F94"/>
    <w:rsid w:val="00B542E6"/>
    <w:rsid w:val="00B542FF"/>
    <w:rsid w:val="00B546AF"/>
    <w:rsid w:val="00B54728"/>
    <w:rsid w:val="00B54852"/>
    <w:rsid w:val="00B549BF"/>
    <w:rsid w:val="00B54A9A"/>
    <w:rsid w:val="00B54B9F"/>
    <w:rsid w:val="00B54FC3"/>
    <w:rsid w:val="00B5537D"/>
    <w:rsid w:val="00B556B4"/>
    <w:rsid w:val="00B55747"/>
    <w:rsid w:val="00B55943"/>
    <w:rsid w:val="00B55E57"/>
    <w:rsid w:val="00B55F29"/>
    <w:rsid w:val="00B55F3E"/>
    <w:rsid w:val="00B56046"/>
    <w:rsid w:val="00B56225"/>
    <w:rsid w:val="00B562DA"/>
    <w:rsid w:val="00B56525"/>
    <w:rsid w:val="00B566F7"/>
    <w:rsid w:val="00B56807"/>
    <w:rsid w:val="00B56BB8"/>
    <w:rsid w:val="00B56E5D"/>
    <w:rsid w:val="00B570ED"/>
    <w:rsid w:val="00B57175"/>
    <w:rsid w:val="00B5729A"/>
    <w:rsid w:val="00B5735F"/>
    <w:rsid w:val="00B5746F"/>
    <w:rsid w:val="00B5757E"/>
    <w:rsid w:val="00B575CC"/>
    <w:rsid w:val="00B57684"/>
    <w:rsid w:val="00B576A3"/>
    <w:rsid w:val="00B57790"/>
    <w:rsid w:val="00B57876"/>
    <w:rsid w:val="00B5795E"/>
    <w:rsid w:val="00B57B15"/>
    <w:rsid w:val="00B57DDF"/>
    <w:rsid w:val="00B57EC9"/>
    <w:rsid w:val="00B57FAF"/>
    <w:rsid w:val="00B601B4"/>
    <w:rsid w:val="00B60216"/>
    <w:rsid w:val="00B60604"/>
    <w:rsid w:val="00B60612"/>
    <w:rsid w:val="00B60685"/>
    <w:rsid w:val="00B60803"/>
    <w:rsid w:val="00B608D0"/>
    <w:rsid w:val="00B60CD6"/>
    <w:rsid w:val="00B61114"/>
    <w:rsid w:val="00B614F4"/>
    <w:rsid w:val="00B617DC"/>
    <w:rsid w:val="00B6190C"/>
    <w:rsid w:val="00B61A0A"/>
    <w:rsid w:val="00B61B0D"/>
    <w:rsid w:val="00B62314"/>
    <w:rsid w:val="00B62393"/>
    <w:rsid w:val="00B624E4"/>
    <w:rsid w:val="00B6255E"/>
    <w:rsid w:val="00B62707"/>
    <w:rsid w:val="00B62D05"/>
    <w:rsid w:val="00B62DA0"/>
    <w:rsid w:val="00B62DB0"/>
    <w:rsid w:val="00B6393A"/>
    <w:rsid w:val="00B639BA"/>
    <w:rsid w:val="00B63C80"/>
    <w:rsid w:val="00B63FF7"/>
    <w:rsid w:val="00B640CA"/>
    <w:rsid w:val="00B64368"/>
    <w:rsid w:val="00B646A5"/>
    <w:rsid w:val="00B64723"/>
    <w:rsid w:val="00B64BC8"/>
    <w:rsid w:val="00B65090"/>
    <w:rsid w:val="00B650DD"/>
    <w:rsid w:val="00B650FB"/>
    <w:rsid w:val="00B65293"/>
    <w:rsid w:val="00B655CC"/>
    <w:rsid w:val="00B656A9"/>
    <w:rsid w:val="00B65747"/>
    <w:rsid w:val="00B65946"/>
    <w:rsid w:val="00B659C1"/>
    <w:rsid w:val="00B65C77"/>
    <w:rsid w:val="00B65D00"/>
    <w:rsid w:val="00B6608A"/>
    <w:rsid w:val="00B6614A"/>
    <w:rsid w:val="00B661A4"/>
    <w:rsid w:val="00B66291"/>
    <w:rsid w:val="00B664C6"/>
    <w:rsid w:val="00B66621"/>
    <w:rsid w:val="00B667C8"/>
    <w:rsid w:val="00B66862"/>
    <w:rsid w:val="00B66972"/>
    <w:rsid w:val="00B66E02"/>
    <w:rsid w:val="00B66F7B"/>
    <w:rsid w:val="00B6745F"/>
    <w:rsid w:val="00B67488"/>
    <w:rsid w:val="00B674B8"/>
    <w:rsid w:val="00B678E4"/>
    <w:rsid w:val="00B67B92"/>
    <w:rsid w:val="00B67DCE"/>
    <w:rsid w:val="00B70147"/>
    <w:rsid w:val="00B7022B"/>
    <w:rsid w:val="00B70333"/>
    <w:rsid w:val="00B704AF"/>
    <w:rsid w:val="00B70862"/>
    <w:rsid w:val="00B70CEA"/>
    <w:rsid w:val="00B70F08"/>
    <w:rsid w:val="00B70F3D"/>
    <w:rsid w:val="00B70FAE"/>
    <w:rsid w:val="00B70FF7"/>
    <w:rsid w:val="00B7101A"/>
    <w:rsid w:val="00B715CD"/>
    <w:rsid w:val="00B716F6"/>
    <w:rsid w:val="00B7178A"/>
    <w:rsid w:val="00B71ABC"/>
    <w:rsid w:val="00B71F53"/>
    <w:rsid w:val="00B71FAC"/>
    <w:rsid w:val="00B7206F"/>
    <w:rsid w:val="00B72080"/>
    <w:rsid w:val="00B72250"/>
    <w:rsid w:val="00B72413"/>
    <w:rsid w:val="00B72670"/>
    <w:rsid w:val="00B72FC4"/>
    <w:rsid w:val="00B736F7"/>
    <w:rsid w:val="00B73731"/>
    <w:rsid w:val="00B7382F"/>
    <w:rsid w:val="00B73B2C"/>
    <w:rsid w:val="00B73C70"/>
    <w:rsid w:val="00B73D5B"/>
    <w:rsid w:val="00B73EB6"/>
    <w:rsid w:val="00B73FC9"/>
    <w:rsid w:val="00B7442F"/>
    <w:rsid w:val="00B749CE"/>
    <w:rsid w:val="00B74AA3"/>
    <w:rsid w:val="00B74B3F"/>
    <w:rsid w:val="00B74DB6"/>
    <w:rsid w:val="00B74F1E"/>
    <w:rsid w:val="00B75136"/>
    <w:rsid w:val="00B751B6"/>
    <w:rsid w:val="00B752B4"/>
    <w:rsid w:val="00B753B5"/>
    <w:rsid w:val="00B7560F"/>
    <w:rsid w:val="00B756CB"/>
    <w:rsid w:val="00B75B93"/>
    <w:rsid w:val="00B75CE0"/>
    <w:rsid w:val="00B75F1F"/>
    <w:rsid w:val="00B75FE8"/>
    <w:rsid w:val="00B7627C"/>
    <w:rsid w:val="00B7630D"/>
    <w:rsid w:val="00B765F3"/>
    <w:rsid w:val="00B76849"/>
    <w:rsid w:val="00B76AF8"/>
    <w:rsid w:val="00B76B96"/>
    <w:rsid w:val="00B76E81"/>
    <w:rsid w:val="00B77152"/>
    <w:rsid w:val="00B77168"/>
    <w:rsid w:val="00B77236"/>
    <w:rsid w:val="00B778EF"/>
    <w:rsid w:val="00B779CF"/>
    <w:rsid w:val="00B8044B"/>
    <w:rsid w:val="00B80473"/>
    <w:rsid w:val="00B80606"/>
    <w:rsid w:val="00B806B0"/>
    <w:rsid w:val="00B8095F"/>
    <w:rsid w:val="00B80A1F"/>
    <w:rsid w:val="00B80CA7"/>
    <w:rsid w:val="00B80DB3"/>
    <w:rsid w:val="00B80E05"/>
    <w:rsid w:val="00B8131C"/>
    <w:rsid w:val="00B81452"/>
    <w:rsid w:val="00B81C6F"/>
    <w:rsid w:val="00B82106"/>
    <w:rsid w:val="00B825DD"/>
    <w:rsid w:val="00B8269F"/>
    <w:rsid w:val="00B8270B"/>
    <w:rsid w:val="00B82AC7"/>
    <w:rsid w:val="00B82BC2"/>
    <w:rsid w:val="00B82C0A"/>
    <w:rsid w:val="00B82ECC"/>
    <w:rsid w:val="00B83210"/>
    <w:rsid w:val="00B833D0"/>
    <w:rsid w:val="00B83444"/>
    <w:rsid w:val="00B8355B"/>
    <w:rsid w:val="00B83898"/>
    <w:rsid w:val="00B83D7C"/>
    <w:rsid w:val="00B83E66"/>
    <w:rsid w:val="00B8462D"/>
    <w:rsid w:val="00B84A0F"/>
    <w:rsid w:val="00B84DAF"/>
    <w:rsid w:val="00B84FD3"/>
    <w:rsid w:val="00B8567C"/>
    <w:rsid w:val="00B85869"/>
    <w:rsid w:val="00B85A21"/>
    <w:rsid w:val="00B85CC5"/>
    <w:rsid w:val="00B85D03"/>
    <w:rsid w:val="00B86000"/>
    <w:rsid w:val="00B8649F"/>
    <w:rsid w:val="00B867A4"/>
    <w:rsid w:val="00B86A59"/>
    <w:rsid w:val="00B86A9B"/>
    <w:rsid w:val="00B86BBC"/>
    <w:rsid w:val="00B86C5E"/>
    <w:rsid w:val="00B8709A"/>
    <w:rsid w:val="00B872CD"/>
    <w:rsid w:val="00B8736C"/>
    <w:rsid w:val="00B8752D"/>
    <w:rsid w:val="00B877E9"/>
    <w:rsid w:val="00B87BF7"/>
    <w:rsid w:val="00B900B7"/>
    <w:rsid w:val="00B901DE"/>
    <w:rsid w:val="00B903AE"/>
    <w:rsid w:val="00B911C8"/>
    <w:rsid w:val="00B9120B"/>
    <w:rsid w:val="00B9159C"/>
    <w:rsid w:val="00B92067"/>
    <w:rsid w:val="00B923C8"/>
    <w:rsid w:val="00B9245E"/>
    <w:rsid w:val="00B92488"/>
    <w:rsid w:val="00B92502"/>
    <w:rsid w:val="00B92AA0"/>
    <w:rsid w:val="00B92C08"/>
    <w:rsid w:val="00B92ECE"/>
    <w:rsid w:val="00B92FA0"/>
    <w:rsid w:val="00B9332A"/>
    <w:rsid w:val="00B93450"/>
    <w:rsid w:val="00B9363B"/>
    <w:rsid w:val="00B937C4"/>
    <w:rsid w:val="00B937F0"/>
    <w:rsid w:val="00B938A9"/>
    <w:rsid w:val="00B938EC"/>
    <w:rsid w:val="00B93CF6"/>
    <w:rsid w:val="00B93E9A"/>
    <w:rsid w:val="00B94120"/>
    <w:rsid w:val="00B942DF"/>
    <w:rsid w:val="00B9458B"/>
    <w:rsid w:val="00B9459A"/>
    <w:rsid w:val="00B948CB"/>
    <w:rsid w:val="00B94A3B"/>
    <w:rsid w:val="00B95DA1"/>
    <w:rsid w:val="00B95E5B"/>
    <w:rsid w:val="00B9640D"/>
    <w:rsid w:val="00B96555"/>
    <w:rsid w:val="00B965B5"/>
    <w:rsid w:val="00B966FF"/>
    <w:rsid w:val="00B96716"/>
    <w:rsid w:val="00B969C4"/>
    <w:rsid w:val="00B96DAC"/>
    <w:rsid w:val="00B96E0C"/>
    <w:rsid w:val="00B96FB4"/>
    <w:rsid w:val="00B97532"/>
    <w:rsid w:val="00B976F4"/>
    <w:rsid w:val="00B977CF"/>
    <w:rsid w:val="00B97856"/>
    <w:rsid w:val="00B9798E"/>
    <w:rsid w:val="00B97A93"/>
    <w:rsid w:val="00B97B08"/>
    <w:rsid w:val="00B97B80"/>
    <w:rsid w:val="00B97E66"/>
    <w:rsid w:val="00BA02A9"/>
    <w:rsid w:val="00BA02F2"/>
    <w:rsid w:val="00BA0578"/>
    <w:rsid w:val="00BA0748"/>
    <w:rsid w:val="00BA07D5"/>
    <w:rsid w:val="00BA0ABC"/>
    <w:rsid w:val="00BA0C98"/>
    <w:rsid w:val="00BA0E3B"/>
    <w:rsid w:val="00BA0F18"/>
    <w:rsid w:val="00BA0F90"/>
    <w:rsid w:val="00BA0FBA"/>
    <w:rsid w:val="00BA1082"/>
    <w:rsid w:val="00BA15C3"/>
    <w:rsid w:val="00BA15D7"/>
    <w:rsid w:val="00BA187B"/>
    <w:rsid w:val="00BA1CD8"/>
    <w:rsid w:val="00BA1DB1"/>
    <w:rsid w:val="00BA2239"/>
    <w:rsid w:val="00BA266A"/>
    <w:rsid w:val="00BA287C"/>
    <w:rsid w:val="00BA2886"/>
    <w:rsid w:val="00BA2E14"/>
    <w:rsid w:val="00BA323A"/>
    <w:rsid w:val="00BA349E"/>
    <w:rsid w:val="00BA37DA"/>
    <w:rsid w:val="00BA3E62"/>
    <w:rsid w:val="00BA3F01"/>
    <w:rsid w:val="00BA3F03"/>
    <w:rsid w:val="00BA3F6E"/>
    <w:rsid w:val="00BA438A"/>
    <w:rsid w:val="00BA4606"/>
    <w:rsid w:val="00BA4955"/>
    <w:rsid w:val="00BA4B8C"/>
    <w:rsid w:val="00BA4D80"/>
    <w:rsid w:val="00BA4E0D"/>
    <w:rsid w:val="00BA4F6B"/>
    <w:rsid w:val="00BA543D"/>
    <w:rsid w:val="00BA55A6"/>
    <w:rsid w:val="00BA565C"/>
    <w:rsid w:val="00BA57E3"/>
    <w:rsid w:val="00BA580C"/>
    <w:rsid w:val="00BA5B20"/>
    <w:rsid w:val="00BA5BA9"/>
    <w:rsid w:val="00BA5C73"/>
    <w:rsid w:val="00BA5CFF"/>
    <w:rsid w:val="00BA5E76"/>
    <w:rsid w:val="00BA5ED1"/>
    <w:rsid w:val="00BA5EDB"/>
    <w:rsid w:val="00BA627B"/>
    <w:rsid w:val="00BA688E"/>
    <w:rsid w:val="00BA6995"/>
    <w:rsid w:val="00BA6BAB"/>
    <w:rsid w:val="00BA709F"/>
    <w:rsid w:val="00BA719E"/>
    <w:rsid w:val="00BA71A8"/>
    <w:rsid w:val="00BA740F"/>
    <w:rsid w:val="00BA745B"/>
    <w:rsid w:val="00BA760F"/>
    <w:rsid w:val="00BA7901"/>
    <w:rsid w:val="00BA7CD1"/>
    <w:rsid w:val="00BA9580"/>
    <w:rsid w:val="00BB029A"/>
    <w:rsid w:val="00BB0326"/>
    <w:rsid w:val="00BB07E5"/>
    <w:rsid w:val="00BB0DB2"/>
    <w:rsid w:val="00BB0EBE"/>
    <w:rsid w:val="00BB0F76"/>
    <w:rsid w:val="00BB1219"/>
    <w:rsid w:val="00BB15B1"/>
    <w:rsid w:val="00BB1A32"/>
    <w:rsid w:val="00BB1AD4"/>
    <w:rsid w:val="00BB1F5C"/>
    <w:rsid w:val="00BB2100"/>
    <w:rsid w:val="00BB21E1"/>
    <w:rsid w:val="00BB223B"/>
    <w:rsid w:val="00BB2312"/>
    <w:rsid w:val="00BB23FB"/>
    <w:rsid w:val="00BB28B4"/>
    <w:rsid w:val="00BB2EF8"/>
    <w:rsid w:val="00BB3145"/>
    <w:rsid w:val="00BB319A"/>
    <w:rsid w:val="00BB31CF"/>
    <w:rsid w:val="00BB32E5"/>
    <w:rsid w:val="00BB3370"/>
    <w:rsid w:val="00BB35D7"/>
    <w:rsid w:val="00BB38B2"/>
    <w:rsid w:val="00BB3901"/>
    <w:rsid w:val="00BB3A59"/>
    <w:rsid w:val="00BB3AB8"/>
    <w:rsid w:val="00BB3E0D"/>
    <w:rsid w:val="00BB3EED"/>
    <w:rsid w:val="00BB42A2"/>
    <w:rsid w:val="00BB45E5"/>
    <w:rsid w:val="00BB460A"/>
    <w:rsid w:val="00BB475D"/>
    <w:rsid w:val="00BB4FE0"/>
    <w:rsid w:val="00BB5301"/>
    <w:rsid w:val="00BB53A2"/>
    <w:rsid w:val="00BB5AC2"/>
    <w:rsid w:val="00BB5B38"/>
    <w:rsid w:val="00BB5D55"/>
    <w:rsid w:val="00BB6089"/>
    <w:rsid w:val="00BB6102"/>
    <w:rsid w:val="00BB6373"/>
    <w:rsid w:val="00BB6CBB"/>
    <w:rsid w:val="00BB7276"/>
    <w:rsid w:val="00BB72E2"/>
    <w:rsid w:val="00BB73BB"/>
    <w:rsid w:val="00BB73BF"/>
    <w:rsid w:val="00BB7511"/>
    <w:rsid w:val="00BB75B2"/>
    <w:rsid w:val="00BB76B5"/>
    <w:rsid w:val="00BB7F1F"/>
    <w:rsid w:val="00BC0147"/>
    <w:rsid w:val="00BC02A8"/>
    <w:rsid w:val="00BC0339"/>
    <w:rsid w:val="00BC05D9"/>
    <w:rsid w:val="00BC062F"/>
    <w:rsid w:val="00BC15A2"/>
    <w:rsid w:val="00BC168C"/>
    <w:rsid w:val="00BC19AE"/>
    <w:rsid w:val="00BC1C6F"/>
    <w:rsid w:val="00BC1D82"/>
    <w:rsid w:val="00BC1DB5"/>
    <w:rsid w:val="00BC1DED"/>
    <w:rsid w:val="00BC225E"/>
    <w:rsid w:val="00BC2292"/>
    <w:rsid w:val="00BC26FA"/>
    <w:rsid w:val="00BC28E8"/>
    <w:rsid w:val="00BC2CCA"/>
    <w:rsid w:val="00BC2D04"/>
    <w:rsid w:val="00BC2DFF"/>
    <w:rsid w:val="00BC2F03"/>
    <w:rsid w:val="00BC3245"/>
    <w:rsid w:val="00BC3263"/>
    <w:rsid w:val="00BC33B8"/>
    <w:rsid w:val="00BC3550"/>
    <w:rsid w:val="00BC38FC"/>
    <w:rsid w:val="00BC3939"/>
    <w:rsid w:val="00BC3A16"/>
    <w:rsid w:val="00BC3A2B"/>
    <w:rsid w:val="00BC3A67"/>
    <w:rsid w:val="00BC3CD9"/>
    <w:rsid w:val="00BC3E93"/>
    <w:rsid w:val="00BC412F"/>
    <w:rsid w:val="00BC4240"/>
    <w:rsid w:val="00BC44EE"/>
    <w:rsid w:val="00BC44F6"/>
    <w:rsid w:val="00BC4630"/>
    <w:rsid w:val="00BC46DE"/>
    <w:rsid w:val="00BC4741"/>
    <w:rsid w:val="00BC49EC"/>
    <w:rsid w:val="00BC59AA"/>
    <w:rsid w:val="00BC5A5F"/>
    <w:rsid w:val="00BC5BC5"/>
    <w:rsid w:val="00BC5E48"/>
    <w:rsid w:val="00BC60A1"/>
    <w:rsid w:val="00BC60CB"/>
    <w:rsid w:val="00BC6292"/>
    <w:rsid w:val="00BC6353"/>
    <w:rsid w:val="00BC6476"/>
    <w:rsid w:val="00BC6A48"/>
    <w:rsid w:val="00BC74D2"/>
    <w:rsid w:val="00BC7604"/>
    <w:rsid w:val="00BC7A3B"/>
    <w:rsid w:val="00BC7C45"/>
    <w:rsid w:val="00BC7E83"/>
    <w:rsid w:val="00BC7E9D"/>
    <w:rsid w:val="00BD0366"/>
    <w:rsid w:val="00BD03D6"/>
    <w:rsid w:val="00BD0908"/>
    <w:rsid w:val="00BD0A9A"/>
    <w:rsid w:val="00BD0DCE"/>
    <w:rsid w:val="00BD14AD"/>
    <w:rsid w:val="00BD18AC"/>
    <w:rsid w:val="00BD19F8"/>
    <w:rsid w:val="00BD1AB1"/>
    <w:rsid w:val="00BD1AB3"/>
    <w:rsid w:val="00BD223E"/>
    <w:rsid w:val="00BD25CF"/>
    <w:rsid w:val="00BD2658"/>
    <w:rsid w:val="00BD2782"/>
    <w:rsid w:val="00BD2A69"/>
    <w:rsid w:val="00BD2AF1"/>
    <w:rsid w:val="00BD2D56"/>
    <w:rsid w:val="00BD2D60"/>
    <w:rsid w:val="00BD33F2"/>
    <w:rsid w:val="00BD358A"/>
    <w:rsid w:val="00BD372D"/>
    <w:rsid w:val="00BD383F"/>
    <w:rsid w:val="00BD3877"/>
    <w:rsid w:val="00BD38DE"/>
    <w:rsid w:val="00BD3A9C"/>
    <w:rsid w:val="00BD3E70"/>
    <w:rsid w:val="00BD3FF9"/>
    <w:rsid w:val="00BD4505"/>
    <w:rsid w:val="00BD4A79"/>
    <w:rsid w:val="00BD4D69"/>
    <w:rsid w:val="00BD4E55"/>
    <w:rsid w:val="00BD5114"/>
    <w:rsid w:val="00BD5291"/>
    <w:rsid w:val="00BD54BF"/>
    <w:rsid w:val="00BD55DC"/>
    <w:rsid w:val="00BD56C5"/>
    <w:rsid w:val="00BD5FF1"/>
    <w:rsid w:val="00BD6430"/>
    <w:rsid w:val="00BD6461"/>
    <w:rsid w:val="00BD65FF"/>
    <w:rsid w:val="00BD69A7"/>
    <w:rsid w:val="00BD6A10"/>
    <w:rsid w:val="00BD6AF0"/>
    <w:rsid w:val="00BD6BBC"/>
    <w:rsid w:val="00BD6C20"/>
    <w:rsid w:val="00BD6C4D"/>
    <w:rsid w:val="00BD6F0E"/>
    <w:rsid w:val="00BD709B"/>
    <w:rsid w:val="00BD7175"/>
    <w:rsid w:val="00BD71BB"/>
    <w:rsid w:val="00BD72B1"/>
    <w:rsid w:val="00BD74D6"/>
    <w:rsid w:val="00BD75C7"/>
    <w:rsid w:val="00BD775F"/>
    <w:rsid w:val="00BD78D4"/>
    <w:rsid w:val="00BD7B0C"/>
    <w:rsid w:val="00BD7C31"/>
    <w:rsid w:val="00BD7F87"/>
    <w:rsid w:val="00BE0213"/>
    <w:rsid w:val="00BE0368"/>
    <w:rsid w:val="00BE0A20"/>
    <w:rsid w:val="00BE0A3B"/>
    <w:rsid w:val="00BE0C80"/>
    <w:rsid w:val="00BE0D2F"/>
    <w:rsid w:val="00BE0DC8"/>
    <w:rsid w:val="00BE0DD1"/>
    <w:rsid w:val="00BE0FC2"/>
    <w:rsid w:val="00BE1422"/>
    <w:rsid w:val="00BE1860"/>
    <w:rsid w:val="00BE1997"/>
    <w:rsid w:val="00BE1BFB"/>
    <w:rsid w:val="00BE1C12"/>
    <w:rsid w:val="00BE1D2C"/>
    <w:rsid w:val="00BE1D7B"/>
    <w:rsid w:val="00BE1E67"/>
    <w:rsid w:val="00BE1ECA"/>
    <w:rsid w:val="00BE244A"/>
    <w:rsid w:val="00BE2621"/>
    <w:rsid w:val="00BE268D"/>
    <w:rsid w:val="00BE2C61"/>
    <w:rsid w:val="00BE2DC0"/>
    <w:rsid w:val="00BE3231"/>
    <w:rsid w:val="00BE3441"/>
    <w:rsid w:val="00BE363B"/>
    <w:rsid w:val="00BE36CF"/>
    <w:rsid w:val="00BE36E2"/>
    <w:rsid w:val="00BE40AF"/>
    <w:rsid w:val="00BE4306"/>
    <w:rsid w:val="00BE487F"/>
    <w:rsid w:val="00BE4A06"/>
    <w:rsid w:val="00BE4D56"/>
    <w:rsid w:val="00BE4EE7"/>
    <w:rsid w:val="00BE5180"/>
    <w:rsid w:val="00BE544E"/>
    <w:rsid w:val="00BE5713"/>
    <w:rsid w:val="00BE57CE"/>
    <w:rsid w:val="00BE5F98"/>
    <w:rsid w:val="00BE6087"/>
    <w:rsid w:val="00BE60A5"/>
    <w:rsid w:val="00BE6202"/>
    <w:rsid w:val="00BE62C1"/>
    <w:rsid w:val="00BE64E9"/>
    <w:rsid w:val="00BE67D0"/>
    <w:rsid w:val="00BE6906"/>
    <w:rsid w:val="00BE6C43"/>
    <w:rsid w:val="00BE6FAC"/>
    <w:rsid w:val="00BE79D1"/>
    <w:rsid w:val="00BE79FC"/>
    <w:rsid w:val="00BE7B65"/>
    <w:rsid w:val="00BE7B8F"/>
    <w:rsid w:val="00BE7D99"/>
    <w:rsid w:val="00BE7E25"/>
    <w:rsid w:val="00BF00DF"/>
    <w:rsid w:val="00BF00ED"/>
    <w:rsid w:val="00BF00F7"/>
    <w:rsid w:val="00BF0280"/>
    <w:rsid w:val="00BF045B"/>
    <w:rsid w:val="00BF061A"/>
    <w:rsid w:val="00BF0A0D"/>
    <w:rsid w:val="00BF0A37"/>
    <w:rsid w:val="00BF0C62"/>
    <w:rsid w:val="00BF0D90"/>
    <w:rsid w:val="00BF0F5E"/>
    <w:rsid w:val="00BF13A7"/>
    <w:rsid w:val="00BF16F9"/>
    <w:rsid w:val="00BF190D"/>
    <w:rsid w:val="00BF199B"/>
    <w:rsid w:val="00BF19FE"/>
    <w:rsid w:val="00BF1A79"/>
    <w:rsid w:val="00BF1BF3"/>
    <w:rsid w:val="00BF1C05"/>
    <w:rsid w:val="00BF1D56"/>
    <w:rsid w:val="00BF1E03"/>
    <w:rsid w:val="00BF1FAC"/>
    <w:rsid w:val="00BF23AD"/>
    <w:rsid w:val="00BF25E0"/>
    <w:rsid w:val="00BF25F5"/>
    <w:rsid w:val="00BF29B1"/>
    <w:rsid w:val="00BF2B69"/>
    <w:rsid w:val="00BF2C03"/>
    <w:rsid w:val="00BF2C91"/>
    <w:rsid w:val="00BF2E3B"/>
    <w:rsid w:val="00BF2FC9"/>
    <w:rsid w:val="00BF39E9"/>
    <w:rsid w:val="00BF3CAB"/>
    <w:rsid w:val="00BF3CB8"/>
    <w:rsid w:val="00BF3EB7"/>
    <w:rsid w:val="00BF3EC8"/>
    <w:rsid w:val="00BF4169"/>
    <w:rsid w:val="00BF43D0"/>
    <w:rsid w:val="00BF457F"/>
    <w:rsid w:val="00BF46F4"/>
    <w:rsid w:val="00BF472E"/>
    <w:rsid w:val="00BF47F9"/>
    <w:rsid w:val="00BF4800"/>
    <w:rsid w:val="00BF4A1A"/>
    <w:rsid w:val="00BF4C75"/>
    <w:rsid w:val="00BF4CAF"/>
    <w:rsid w:val="00BF4E18"/>
    <w:rsid w:val="00BF4E7C"/>
    <w:rsid w:val="00BF4F8A"/>
    <w:rsid w:val="00BF5144"/>
    <w:rsid w:val="00BF5606"/>
    <w:rsid w:val="00BF57C6"/>
    <w:rsid w:val="00BF58BB"/>
    <w:rsid w:val="00BF5979"/>
    <w:rsid w:val="00BF5D08"/>
    <w:rsid w:val="00BF6542"/>
    <w:rsid w:val="00BF6755"/>
    <w:rsid w:val="00BF6B7F"/>
    <w:rsid w:val="00BF6D94"/>
    <w:rsid w:val="00BF6D9A"/>
    <w:rsid w:val="00BF6F34"/>
    <w:rsid w:val="00BF7146"/>
    <w:rsid w:val="00BF71F8"/>
    <w:rsid w:val="00BF72BA"/>
    <w:rsid w:val="00BF7450"/>
    <w:rsid w:val="00BF7665"/>
    <w:rsid w:val="00BF7959"/>
    <w:rsid w:val="00BF7D9D"/>
    <w:rsid w:val="00BF7DFA"/>
    <w:rsid w:val="00C00121"/>
    <w:rsid w:val="00C00125"/>
    <w:rsid w:val="00C00461"/>
    <w:rsid w:val="00C00657"/>
    <w:rsid w:val="00C006EA"/>
    <w:rsid w:val="00C00A13"/>
    <w:rsid w:val="00C00ABB"/>
    <w:rsid w:val="00C00DE6"/>
    <w:rsid w:val="00C00EB9"/>
    <w:rsid w:val="00C00EEE"/>
    <w:rsid w:val="00C01035"/>
    <w:rsid w:val="00C010F8"/>
    <w:rsid w:val="00C01117"/>
    <w:rsid w:val="00C01154"/>
    <w:rsid w:val="00C01256"/>
    <w:rsid w:val="00C012EC"/>
    <w:rsid w:val="00C01359"/>
    <w:rsid w:val="00C015D7"/>
    <w:rsid w:val="00C01719"/>
    <w:rsid w:val="00C01A81"/>
    <w:rsid w:val="00C01E8F"/>
    <w:rsid w:val="00C02488"/>
    <w:rsid w:val="00C0259B"/>
    <w:rsid w:val="00C025D9"/>
    <w:rsid w:val="00C02CEB"/>
    <w:rsid w:val="00C02F24"/>
    <w:rsid w:val="00C030CD"/>
    <w:rsid w:val="00C031A5"/>
    <w:rsid w:val="00C0359B"/>
    <w:rsid w:val="00C0376B"/>
    <w:rsid w:val="00C039D4"/>
    <w:rsid w:val="00C03A7F"/>
    <w:rsid w:val="00C03CD1"/>
    <w:rsid w:val="00C03DD6"/>
    <w:rsid w:val="00C03EC7"/>
    <w:rsid w:val="00C03FD5"/>
    <w:rsid w:val="00C040C3"/>
    <w:rsid w:val="00C0469B"/>
    <w:rsid w:val="00C0479F"/>
    <w:rsid w:val="00C04CCD"/>
    <w:rsid w:val="00C05075"/>
    <w:rsid w:val="00C0512A"/>
    <w:rsid w:val="00C053C7"/>
    <w:rsid w:val="00C05429"/>
    <w:rsid w:val="00C0556C"/>
    <w:rsid w:val="00C058BD"/>
    <w:rsid w:val="00C05A18"/>
    <w:rsid w:val="00C05D68"/>
    <w:rsid w:val="00C05E08"/>
    <w:rsid w:val="00C05FB2"/>
    <w:rsid w:val="00C064D9"/>
    <w:rsid w:val="00C06B11"/>
    <w:rsid w:val="00C06E48"/>
    <w:rsid w:val="00C07058"/>
    <w:rsid w:val="00C073AB"/>
    <w:rsid w:val="00C0785F"/>
    <w:rsid w:val="00C07BD7"/>
    <w:rsid w:val="00C07C62"/>
    <w:rsid w:val="00C07DFA"/>
    <w:rsid w:val="00C07F00"/>
    <w:rsid w:val="00C07F8B"/>
    <w:rsid w:val="00C07FE9"/>
    <w:rsid w:val="00C10006"/>
    <w:rsid w:val="00C10281"/>
    <w:rsid w:val="00C108E1"/>
    <w:rsid w:val="00C10CA9"/>
    <w:rsid w:val="00C11068"/>
    <w:rsid w:val="00C11135"/>
    <w:rsid w:val="00C11427"/>
    <w:rsid w:val="00C11584"/>
    <w:rsid w:val="00C11634"/>
    <w:rsid w:val="00C11A86"/>
    <w:rsid w:val="00C11D49"/>
    <w:rsid w:val="00C12141"/>
    <w:rsid w:val="00C12789"/>
    <w:rsid w:val="00C127E6"/>
    <w:rsid w:val="00C129CB"/>
    <w:rsid w:val="00C12A48"/>
    <w:rsid w:val="00C12AC2"/>
    <w:rsid w:val="00C12DF5"/>
    <w:rsid w:val="00C13242"/>
    <w:rsid w:val="00C13339"/>
    <w:rsid w:val="00C13376"/>
    <w:rsid w:val="00C13A88"/>
    <w:rsid w:val="00C13ECF"/>
    <w:rsid w:val="00C1422F"/>
    <w:rsid w:val="00C14470"/>
    <w:rsid w:val="00C1475E"/>
    <w:rsid w:val="00C148E1"/>
    <w:rsid w:val="00C1520B"/>
    <w:rsid w:val="00C15564"/>
    <w:rsid w:val="00C1559A"/>
    <w:rsid w:val="00C15726"/>
    <w:rsid w:val="00C15933"/>
    <w:rsid w:val="00C159CF"/>
    <w:rsid w:val="00C15BE7"/>
    <w:rsid w:val="00C15D07"/>
    <w:rsid w:val="00C15E3D"/>
    <w:rsid w:val="00C15F28"/>
    <w:rsid w:val="00C1641D"/>
    <w:rsid w:val="00C16629"/>
    <w:rsid w:val="00C167E7"/>
    <w:rsid w:val="00C16895"/>
    <w:rsid w:val="00C171E6"/>
    <w:rsid w:val="00C17461"/>
    <w:rsid w:val="00C174E4"/>
    <w:rsid w:val="00C17740"/>
    <w:rsid w:val="00C177C6"/>
    <w:rsid w:val="00C17B9D"/>
    <w:rsid w:val="00C17D32"/>
    <w:rsid w:val="00C2009C"/>
    <w:rsid w:val="00C2010D"/>
    <w:rsid w:val="00C202E6"/>
    <w:rsid w:val="00C204B7"/>
    <w:rsid w:val="00C205A7"/>
    <w:rsid w:val="00C20964"/>
    <w:rsid w:val="00C20B4C"/>
    <w:rsid w:val="00C20CC5"/>
    <w:rsid w:val="00C211AF"/>
    <w:rsid w:val="00C21233"/>
    <w:rsid w:val="00C21371"/>
    <w:rsid w:val="00C21BF7"/>
    <w:rsid w:val="00C21E26"/>
    <w:rsid w:val="00C21F0B"/>
    <w:rsid w:val="00C21F88"/>
    <w:rsid w:val="00C225ED"/>
    <w:rsid w:val="00C22634"/>
    <w:rsid w:val="00C2286E"/>
    <w:rsid w:val="00C22896"/>
    <w:rsid w:val="00C22B01"/>
    <w:rsid w:val="00C22B58"/>
    <w:rsid w:val="00C22C80"/>
    <w:rsid w:val="00C22DAE"/>
    <w:rsid w:val="00C23955"/>
    <w:rsid w:val="00C239C4"/>
    <w:rsid w:val="00C23A81"/>
    <w:rsid w:val="00C23DE7"/>
    <w:rsid w:val="00C23F38"/>
    <w:rsid w:val="00C24525"/>
    <w:rsid w:val="00C2487D"/>
    <w:rsid w:val="00C2494E"/>
    <w:rsid w:val="00C24B31"/>
    <w:rsid w:val="00C24D28"/>
    <w:rsid w:val="00C24E05"/>
    <w:rsid w:val="00C25022"/>
    <w:rsid w:val="00C25872"/>
    <w:rsid w:val="00C2604F"/>
    <w:rsid w:val="00C260E9"/>
    <w:rsid w:val="00C265F2"/>
    <w:rsid w:val="00C26604"/>
    <w:rsid w:val="00C2684D"/>
    <w:rsid w:val="00C26C23"/>
    <w:rsid w:val="00C26EA7"/>
    <w:rsid w:val="00C270C5"/>
    <w:rsid w:val="00C27125"/>
    <w:rsid w:val="00C2714A"/>
    <w:rsid w:val="00C27290"/>
    <w:rsid w:val="00C27634"/>
    <w:rsid w:val="00C27832"/>
    <w:rsid w:val="00C27D47"/>
    <w:rsid w:val="00C27EBB"/>
    <w:rsid w:val="00C303E1"/>
    <w:rsid w:val="00C30670"/>
    <w:rsid w:val="00C307BD"/>
    <w:rsid w:val="00C309CA"/>
    <w:rsid w:val="00C30B03"/>
    <w:rsid w:val="00C30DD9"/>
    <w:rsid w:val="00C30E14"/>
    <w:rsid w:val="00C31053"/>
    <w:rsid w:val="00C310B7"/>
    <w:rsid w:val="00C31469"/>
    <w:rsid w:val="00C31A8B"/>
    <w:rsid w:val="00C31B58"/>
    <w:rsid w:val="00C31E17"/>
    <w:rsid w:val="00C31EF4"/>
    <w:rsid w:val="00C32163"/>
    <w:rsid w:val="00C3274E"/>
    <w:rsid w:val="00C32A42"/>
    <w:rsid w:val="00C32A4D"/>
    <w:rsid w:val="00C32AD2"/>
    <w:rsid w:val="00C339CC"/>
    <w:rsid w:val="00C33C83"/>
    <w:rsid w:val="00C33CDB"/>
    <w:rsid w:val="00C33DA4"/>
    <w:rsid w:val="00C33ECD"/>
    <w:rsid w:val="00C3407F"/>
    <w:rsid w:val="00C34BC0"/>
    <w:rsid w:val="00C3506E"/>
    <w:rsid w:val="00C351B4"/>
    <w:rsid w:val="00C353BE"/>
    <w:rsid w:val="00C353DA"/>
    <w:rsid w:val="00C35789"/>
    <w:rsid w:val="00C357F5"/>
    <w:rsid w:val="00C359CD"/>
    <w:rsid w:val="00C35C9B"/>
    <w:rsid w:val="00C35FD3"/>
    <w:rsid w:val="00C36029"/>
    <w:rsid w:val="00C360AD"/>
    <w:rsid w:val="00C3622A"/>
    <w:rsid w:val="00C3626B"/>
    <w:rsid w:val="00C362D3"/>
    <w:rsid w:val="00C3689C"/>
    <w:rsid w:val="00C36C87"/>
    <w:rsid w:val="00C36E5F"/>
    <w:rsid w:val="00C36F74"/>
    <w:rsid w:val="00C36F83"/>
    <w:rsid w:val="00C36F90"/>
    <w:rsid w:val="00C36FE1"/>
    <w:rsid w:val="00C37619"/>
    <w:rsid w:val="00C37936"/>
    <w:rsid w:val="00C37C89"/>
    <w:rsid w:val="00C37CD1"/>
    <w:rsid w:val="00C37D59"/>
    <w:rsid w:val="00C400D8"/>
    <w:rsid w:val="00C4041A"/>
    <w:rsid w:val="00C40434"/>
    <w:rsid w:val="00C405B9"/>
    <w:rsid w:val="00C40704"/>
    <w:rsid w:val="00C40792"/>
    <w:rsid w:val="00C40990"/>
    <w:rsid w:val="00C409B9"/>
    <w:rsid w:val="00C40E90"/>
    <w:rsid w:val="00C410E6"/>
    <w:rsid w:val="00C4142E"/>
    <w:rsid w:val="00C4165F"/>
    <w:rsid w:val="00C41671"/>
    <w:rsid w:val="00C4171E"/>
    <w:rsid w:val="00C418B4"/>
    <w:rsid w:val="00C41B0A"/>
    <w:rsid w:val="00C41B49"/>
    <w:rsid w:val="00C41C22"/>
    <w:rsid w:val="00C41F51"/>
    <w:rsid w:val="00C41FF9"/>
    <w:rsid w:val="00C42166"/>
    <w:rsid w:val="00C421CA"/>
    <w:rsid w:val="00C421E9"/>
    <w:rsid w:val="00C4255D"/>
    <w:rsid w:val="00C42601"/>
    <w:rsid w:val="00C426F0"/>
    <w:rsid w:val="00C4286B"/>
    <w:rsid w:val="00C42C49"/>
    <w:rsid w:val="00C42C6C"/>
    <w:rsid w:val="00C42FEB"/>
    <w:rsid w:val="00C433B8"/>
    <w:rsid w:val="00C4344F"/>
    <w:rsid w:val="00C436F8"/>
    <w:rsid w:val="00C43889"/>
    <w:rsid w:val="00C439EB"/>
    <w:rsid w:val="00C43A8D"/>
    <w:rsid w:val="00C43F5E"/>
    <w:rsid w:val="00C4439A"/>
    <w:rsid w:val="00C4443B"/>
    <w:rsid w:val="00C4446E"/>
    <w:rsid w:val="00C446F1"/>
    <w:rsid w:val="00C44803"/>
    <w:rsid w:val="00C44809"/>
    <w:rsid w:val="00C44B4E"/>
    <w:rsid w:val="00C44B4F"/>
    <w:rsid w:val="00C44C08"/>
    <w:rsid w:val="00C44D15"/>
    <w:rsid w:val="00C44D7F"/>
    <w:rsid w:val="00C44DE7"/>
    <w:rsid w:val="00C45223"/>
    <w:rsid w:val="00C45295"/>
    <w:rsid w:val="00C458FF"/>
    <w:rsid w:val="00C459A5"/>
    <w:rsid w:val="00C45C21"/>
    <w:rsid w:val="00C45D6B"/>
    <w:rsid w:val="00C45F88"/>
    <w:rsid w:val="00C46026"/>
    <w:rsid w:val="00C46056"/>
    <w:rsid w:val="00C460AE"/>
    <w:rsid w:val="00C46155"/>
    <w:rsid w:val="00C46409"/>
    <w:rsid w:val="00C46568"/>
    <w:rsid w:val="00C4658E"/>
    <w:rsid w:val="00C46691"/>
    <w:rsid w:val="00C46995"/>
    <w:rsid w:val="00C46A45"/>
    <w:rsid w:val="00C46CA8"/>
    <w:rsid w:val="00C46D01"/>
    <w:rsid w:val="00C471C5"/>
    <w:rsid w:val="00C47391"/>
    <w:rsid w:val="00C473F0"/>
    <w:rsid w:val="00C47585"/>
    <w:rsid w:val="00C476AD"/>
    <w:rsid w:val="00C4785D"/>
    <w:rsid w:val="00C4787C"/>
    <w:rsid w:val="00C47AB2"/>
    <w:rsid w:val="00C47AB9"/>
    <w:rsid w:val="00C47C6B"/>
    <w:rsid w:val="00C47CDA"/>
    <w:rsid w:val="00C47D9D"/>
    <w:rsid w:val="00C47E29"/>
    <w:rsid w:val="00C47F35"/>
    <w:rsid w:val="00C5001F"/>
    <w:rsid w:val="00C50068"/>
    <w:rsid w:val="00C50264"/>
    <w:rsid w:val="00C504DF"/>
    <w:rsid w:val="00C509C0"/>
    <w:rsid w:val="00C50A94"/>
    <w:rsid w:val="00C50B38"/>
    <w:rsid w:val="00C50D79"/>
    <w:rsid w:val="00C50F5B"/>
    <w:rsid w:val="00C51189"/>
    <w:rsid w:val="00C513B7"/>
    <w:rsid w:val="00C51441"/>
    <w:rsid w:val="00C5182C"/>
    <w:rsid w:val="00C51900"/>
    <w:rsid w:val="00C51DB7"/>
    <w:rsid w:val="00C51E36"/>
    <w:rsid w:val="00C51ED6"/>
    <w:rsid w:val="00C52276"/>
    <w:rsid w:val="00C524CE"/>
    <w:rsid w:val="00C52926"/>
    <w:rsid w:val="00C52E17"/>
    <w:rsid w:val="00C53179"/>
    <w:rsid w:val="00C53867"/>
    <w:rsid w:val="00C5396A"/>
    <w:rsid w:val="00C53F80"/>
    <w:rsid w:val="00C53F9D"/>
    <w:rsid w:val="00C540E9"/>
    <w:rsid w:val="00C5468D"/>
    <w:rsid w:val="00C54963"/>
    <w:rsid w:val="00C54CCA"/>
    <w:rsid w:val="00C54E34"/>
    <w:rsid w:val="00C552C8"/>
    <w:rsid w:val="00C5538D"/>
    <w:rsid w:val="00C555CA"/>
    <w:rsid w:val="00C558D3"/>
    <w:rsid w:val="00C55F0C"/>
    <w:rsid w:val="00C5604F"/>
    <w:rsid w:val="00C56520"/>
    <w:rsid w:val="00C56717"/>
    <w:rsid w:val="00C56761"/>
    <w:rsid w:val="00C567C4"/>
    <w:rsid w:val="00C56D9C"/>
    <w:rsid w:val="00C56F3C"/>
    <w:rsid w:val="00C5713B"/>
    <w:rsid w:val="00C57163"/>
    <w:rsid w:val="00C57ABC"/>
    <w:rsid w:val="00C57B6F"/>
    <w:rsid w:val="00C602D0"/>
    <w:rsid w:val="00C607A9"/>
    <w:rsid w:val="00C60BB5"/>
    <w:rsid w:val="00C61099"/>
    <w:rsid w:val="00C61226"/>
    <w:rsid w:val="00C61AAE"/>
    <w:rsid w:val="00C61F40"/>
    <w:rsid w:val="00C6241C"/>
    <w:rsid w:val="00C62BDB"/>
    <w:rsid w:val="00C62C4F"/>
    <w:rsid w:val="00C62D2D"/>
    <w:rsid w:val="00C62E80"/>
    <w:rsid w:val="00C62EC4"/>
    <w:rsid w:val="00C62FA9"/>
    <w:rsid w:val="00C630B2"/>
    <w:rsid w:val="00C6333E"/>
    <w:rsid w:val="00C63463"/>
    <w:rsid w:val="00C63955"/>
    <w:rsid w:val="00C639AB"/>
    <w:rsid w:val="00C63A11"/>
    <w:rsid w:val="00C63A3B"/>
    <w:rsid w:val="00C63BBB"/>
    <w:rsid w:val="00C63BDF"/>
    <w:rsid w:val="00C63F12"/>
    <w:rsid w:val="00C64074"/>
    <w:rsid w:val="00C64179"/>
    <w:rsid w:val="00C6433F"/>
    <w:rsid w:val="00C643AB"/>
    <w:rsid w:val="00C64ACD"/>
    <w:rsid w:val="00C64C5A"/>
    <w:rsid w:val="00C64F7F"/>
    <w:rsid w:val="00C64FED"/>
    <w:rsid w:val="00C64FF4"/>
    <w:rsid w:val="00C6508F"/>
    <w:rsid w:val="00C6518E"/>
    <w:rsid w:val="00C6522E"/>
    <w:rsid w:val="00C6554E"/>
    <w:rsid w:val="00C65870"/>
    <w:rsid w:val="00C65B28"/>
    <w:rsid w:val="00C65E1A"/>
    <w:rsid w:val="00C65EDC"/>
    <w:rsid w:val="00C66044"/>
    <w:rsid w:val="00C660D6"/>
    <w:rsid w:val="00C6614C"/>
    <w:rsid w:val="00C6627D"/>
    <w:rsid w:val="00C6637C"/>
    <w:rsid w:val="00C6639A"/>
    <w:rsid w:val="00C6649F"/>
    <w:rsid w:val="00C6692C"/>
    <w:rsid w:val="00C66930"/>
    <w:rsid w:val="00C66B98"/>
    <w:rsid w:val="00C66F49"/>
    <w:rsid w:val="00C66FCE"/>
    <w:rsid w:val="00C676EB"/>
    <w:rsid w:val="00C6782D"/>
    <w:rsid w:val="00C678EE"/>
    <w:rsid w:val="00C67AC7"/>
    <w:rsid w:val="00C67B0E"/>
    <w:rsid w:val="00C67C4A"/>
    <w:rsid w:val="00C67D39"/>
    <w:rsid w:val="00C70318"/>
    <w:rsid w:val="00C7040D"/>
    <w:rsid w:val="00C704A5"/>
    <w:rsid w:val="00C7065B"/>
    <w:rsid w:val="00C707FD"/>
    <w:rsid w:val="00C708E5"/>
    <w:rsid w:val="00C70C0B"/>
    <w:rsid w:val="00C70DEF"/>
    <w:rsid w:val="00C70FBE"/>
    <w:rsid w:val="00C70FFE"/>
    <w:rsid w:val="00C71017"/>
    <w:rsid w:val="00C716CD"/>
    <w:rsid w:val="00C719E6"/>
    <w:rsid w:val="00C719EF"/>
    <w:rsid w:val="00C72111"/>
    <w:rsid w:val="00C72513"/>
    <w:rsid w:val="00C727B4"/>
    <w:rsid w:val="00C72D03"/>
    <w:rsid w:val="00C72E23"/>
    <w:rsid w:val="00C72EF9"/>
    <w:rsid w:val="00C730EA"/>
    <w:rsid w:val="00C734EB"/>
    <w:rsid w:val="00C7375F"/>
    <w:rsid w:val="00C73929"/>
    <w:rsid w:val="00C73C91"/>
    <w:rsid w:val="00C73CD4"/>
    <w:rsid w:val="00C73D36"/>
    <w:rsid w:val="00C73DA3"/>
    <w:rsid w:val="00C73F68"/>
    <w:rsid w:val="00C73FE5"/>
    <w:rsid w:val="00C742CC"/>
    <w:rsid w:val="00C745BD"/>
    <w:rsid w:val="00C74D7C"/>
    <w:rsid w:val="00C753B7"/>
    <w:rsid w:val="00C75479"/>
    <w:rsid w:val="00C756D9"/>
    <w:rsid w:val="00C75794"/>
    <w:rsid w:val="00C75983"/>
    <w:rsid w:val="00C75C61"/>
    <w:rsid w:val="00C75F13"/>
    <w:rsid w:val="00C760A4"/>
    <w:rsid w:val="00C76214"/>
    <w:rsid w:val="00C76461"/>
    <w:rsid w:val="00C766B9"/>
    <w:rsid w:val="00C76728"/>
    <w:rsid w:val="00C76891"/>
    <w:rsid w:val="00C76A7E"/>
    <w:rsid w:val="00C76EB7"/>
    <w:rsid w:val="00C7719F"/>
    <w:rsid w:val="00C7792B"/>
    <w:rsid w:val="00C77A67"/>
    <w:rsid w:val="00C77B4A"/>
    <w:rsid w:val="00C77B6D"/>
    <w:rsid w:val="00C77C80"/>
    <w:rsid w:val="00C80203"/>
    <w:rsid w:val="00C802E6"/>
    <w:rsid w:val="00C8051A"/>
    <w:rsid w:val="00C8082C"/>
    <w:rsid w:val="00C8097C"/>
    <w:rsid w:val="00C80DF5"/>
    <w:rsid w:val="00C80E7E"/>
    <w:rsid w:val="00C8129E"/>
    <w:rsid w:val="00C81329"/>
    <w:rsid w:val="00C8133A"/>
    <w:rsid w:val="00C8194A"/>
    <w:rsid w:val="00C819A4"/>
    <w:rsid w:val="00C819DB"/>
    <w:rsid w:val="00C81BD4"/>
    <w:rsid w:val="00C81D45"/>
    <w:rsid w:val="00C81F58"/>
    <w:rsid w:val="00C8247E"/>
    <w:rsid w:val="00C824ED"/>
    <w:rsid w:val="00C82714"/>
    <w:rsid w:val="00C833EF"/>
    <w:rsid w:val="00C83456"/>
    <w:rsid w:val="00C83461"/>
    <w:rsid w:val="00C83503"/>
    <w:rsid w:val="00C83786"/>
    <w:rsid w:val="00C838A7"/>
    <w:rsid w:val="00C83F0D"/>
    <w:rsid w:val="00C842D6"/>
    <w:rsid w:val="00C84853"/>
    <w:rsid w:val="00C84ACA"/>
    <w:rsid w:val="00C84B2D"/>
    <w:rsid w:val="00C8502F"/>
    <w:rsid w:val="00C857B9"/>
    <w:rsid w:val="00C85CCE"/>
    <w:rsid w:val="00C85E93"/>
    <w:rsid w:val="00C860BF"/>
    <w:rsid w:val="00C86150"/>
    <w:rsid w:val="00C861B5"/>
    <w:rsid w:val="00C867C8"/>
    <w:rsid w:val="00C8683F"/>
    <w:rsid w:val="00C86912"/>
    <w:rsid w:val="00C86C34"/>
    <w:rsid w:val="00C86DC8"/>
    <w:rsid w:val="00C86E98"/>
    <w:rsid w:val="00C87038"/>
    <w:rsid w:val="00C870AF"/>
    <w:rsid w:val="00C8749E"/>
    <w:rsid w:val="00C8764C"/>
    <w:rsid w:val="00C87715"/>
    <w:rsid w:val="00C87930"/>
    <w:rsid w:val="00C87B4E"/>
    <w:rsid w:val="00C87C62"/>
    <w:rsid w:val="00C903D3"/>
    <w:rsid w:val="00C9076B"/>
    <w:rsid w:val="00C90869"/>
    <w:rsid w:val="00C908BF"/>
    <w:rsid w:val="00C90FEE"/>
    <w:rsid w:val="00C910DD"/>
    <w:rsid w:val="00C911B1"/>
    <w:rsid w:val="00C9140A"/>
    <w:rsid w:val="00C9147E"/>
    <w:rsid w:val="00C91877"/>
    <w:rsid w:val="00C91A53"/>
    <w:rsid w:val="00C91B12"/>
    <w:rsid w:val="00C91CCF"/>
    <w:rsid w:val="00C91F9F"/>
    <w:rsid w:val="00C91FB8"/>
    <w:rsid w:val="00C92029"/>
    <w:rsid w:val="00C9202D"/>
    <w:rsid w:val="00C923AC"/>
    <w:rsid w:val="00C9260C"/>
    <w:rsid w:val="00C926AF"/>
    <w:rsid w:val="00C929AA"/>
    <w:rsid w:val="00C92A84"/>
    <w:rsid w:val="00C92CE8"/>
    <w:rsid w:val="00C92D48"/>
    <w:rsid w:val="00C9306F"/>
    <w:rsid w:val="00C93222"/>
    <w:rsid w:val="00C93499"/>
    <w:rsid w:val="00C939EF"/>
    <w:rsid w:val="00C93BC0"/>
    <w:rsid w:val="00C93E22"/>
    <w:rsid w:val="00C941FD"/>
    <w:rsid w:val="00C945FE"/>
    <w:rsid w:val="00C94B86"/>
    <w:rsid w:val="00C94D31"/>
    <w:rsid w:val="00C94E23"/>
    <w:rsid w:val="00C94ED4"/>
    <w:rsid w:val="00C94EE1"/>
    <w:rsid w:val="00C95027"/>
    <w:rsid w:val="00C95071"/>
    <w:rsid w:val="00C95200"/>
    <w:rsid w:val="00C953AB"/>
    <w:rsid w:val="00C95407"/>
    <w:rsid w:val="00C9566B"/>
    <w:rsid w:val="00C95822"/>
    <w:rsid w:val="00C9589B"/>
    <w:rsid w:val="00C95B32"/>
    <w:rsid w:val="00C95C98"/>
    <w:rsid w:val="00C962F6"/>
    <w:rsid w:val="00C96338"/>
    <w:rsid w:val="00C96556"/>
    <w:rsid w:val="00C96CA8"/>
    <w:rsid w:val="00C96E59"/>
    <w:rsid w:val="00C96E6E"/>
    <w:rsid w:val="00C972A1"/>
    <w:rsid w:val="00C9730C"/>
    <w:rsid w:val="00C97350"/>
    <w:rsid w:val="00C97462"/>
    <w:rsid w:val="00C976E4"/>
    <w:rsid w:val="00C97D2C"/>
    <w:rsid w:val="00C97FE1"/>
    <w:rsid w:val="00CA06A0"/>
    <w:rsid w:val="00CA07E4"/>
    <w:rsid w:val="00CA088C"/>
    <w:rsid w:val="00CA0A0F"/>
    <w:rsid w:val="00CA0BBC"/>
    <w:rsid w:val="00CA0D4F"/>
    <w:rsid w:val="00CA10B0"/>
    <w:rsid w:val="00CA16A5"/>
    <w:rsid w:val="00CA17D1"/>
    <w:rsid w:val="00CA17E7"/>
    <w:rsid w:val="00CA1C0E"/>
    <w:rsid w:val="00CA2567"/>
    <w:rsid w:val="00CA27A8"/>
    <w:rsid w:val="00CA27D0"/>
    <w:rsid w:val="00CA29B9"/>
    <w:rsid w:val="00CA29C3"/>
    <w:rsid w:val="00CA2A71"/>
    <w:rsid w:val="00CA2ECE"/>
    <w:rsid w:val="00CA2EE4"/>
    <w:rsid w:val="00CA3714"/>
    <w:rsid w:val="00CA3787"/>
    <w:rsid w:val="00CA3998"/>
    <w:rsid w:val="00CA3BB9"/>
    <w:rsid w:val="00CA3D43"/>
    <w:rsid w:val="00CA3EB1"/>
    <w:rsid w:val="00CA4029"/>
    <w:rsid w:val="00CA429B"/>
    <w:rsid w:val="00CA48D6"/>
    <w:rsid w:val="00CA4B71"/>
    <w:rsid w:val="00CA4E30"/>
    <w:rsid w:val="00CA4F7A"/>
    <w:rsid w:val="00CA529F"/>
    <w:rsid w:val="00CA5801"/>
    <w:rsid w:val="00CA5C99"/>
    <w:rsid w:val="00CA605D"/>
    <w:rsid w:val="00CA6686"/>
    <w:rsid w:val="00CA6878"/>
    <w:rsid w:val="00CA6A9E"/>
    <w:rsid w:val="00CA6E02"/>
    <w:rsid w:val="00CA72F7"/>
    <w:rsid w:val="00CA73EF"/>
    <w:rsid w:val="00CA767D"/>
    <w:rsid w:val="00CA7746"/>
    <w:rsid w:val="00CA7870"/>
    <w:rsid w:val="00CA7997"/>
    <w:rsid w:val="00CA7B5A"/>
    <w:rsid w:val="00CA7CE3"/>
    <w:rsid w:val="00CA7D39"/>
    <w:rsid w:val="00CA7F07"/>
    <w:rsid w:val="00CB0003"/>
    <w:rsid w:val="00CB04F6"/>
    <w:rsid w:val="00CB0CB5"/>
    <w:rsid w:val="00CB0E45"/>
    <w:rsid w:val="00CB14AB"/>
    <w:rsid w:val="00CB1504"/>
    <w:rsid w:val="00CB1909"/>
    <w:rsid w:val="00CB19E6"/>
    <w:rsid w:val="00CB1B5C"/>
    <w:rsid w:val="00CB1E31"/>
    <w:rsid w:val="00CB2209"/>
    <w:rsid w:val="00CB2471"/>
    <w:rsid w:val="00CB24F1"/>
    <w:rsid w:val="00CB2889"/>
    <w:rsid w:val="00CB29E1"/>
    <w:rsid w:val="00CB2A0D"/>
    <w:rsid w:val="00CB2A37"/>
    <w:rsid w:val="00CB2BC6"/>
    <w:rsid w:val="00CB2F01"/>
    <w:rsid w:val="00CB2F16"/>
    <w:rsid w:val="00CB310D"/>
    <w:rsid w:val="00CB31B2"/>
    <w:rsid w:val="00CB3363"/>
    <w:rsid w:val="00CB358F"/>
    <w:rsid w:val="00CB35EE"/>
    <w:rsid w:val="00CB3977"/>
    <w:rsid w:val="00CB3992"/>
    <w:rsid w:val="00CB3B58"/>
    <w:rsid w:val="00CB3F5F"/>
    <w:rsid w:val="00CB44CD"/>
    <w:rsid w:val="00CB45D1"/>
    <w:rsid w:val="00CB4690"/>
    <w:rsid w:val="00CB4827"/>
    <w:rsid w:val="00CB4B24"/>
    <w:rsid w:val="00CB4B8A"/>
    <w:rsid w:val="00CB4C72"/>
    <w:rsid w:val="00CB4CFD"/>
    <w:rsid w:val="00CB5792"/>
    <w:rsid w:val="00CB5862"/>
    <w:rsid w:val="00CB5C02"/>
    <w:rsid w:val="00CB5FA3"/>
    <w:rsid w:val="00CB63DD"/>
    <w:rsid w:val="00CB6464"/>
    <w:rsid w:val="00CB6AC7"/>
    <w:rsid w:val="00CB6E74"/>
    <w:rsid w:val="00CB6F6A"/>
    <w:rsid w:val="00CB7108"/>
    <w:rsid w:val="00CB7133"/>
    <w:rsid w:val="00CB715A"/>
    <w:rsid w:val="00CB7349"/>
    <w:rsid w:val="00CB750F"/>
    <w:rsid w:val="00CB756B"/>
    <w:rsid w:val="00CB75C3"/>
    <w:rsid w:val="00CB76CC"/>
    <w:rsid w:val="00CB7A64"/>
    <w:rsid w:val="00CB7D43"/>
    <w:rsid w:val="00CC0139"/>
    <w:rsid w:val="00CC01CE"/>
    <w:rsid w:val="00CC03B9"/>
    <w:rsid w:val="00CC08CF"/>
    <w:rsid w:val="00CC093F"/>
    <w:rsid w:val="00CC0E28"/>
    <w:rsid w:val="00CC0F06"/>
    <w:rsid w:val="00CC147A"/>
    <w:rsid w:val="00CC19B1"/>
    <w:rsid w:val="00CC1C6D"/>
    <w:rsid w:val="00CC1D87"/>
    <w:rsid w:val="00CC1E9C"/>
    <w:rsid w:val="00CC2091"/>
    <w:rsid w:val="00CC229A"/>
    <w:rsid w:val="00CC26A5"/>
    <w:rsid w:val="00CC2A51"/>
    <w:rsid w:val="00CC2D8B"/>
    <w:rsid w:val="00CC2DBE"/>
    <w:rsid w:val="00CC318B"/>
    <w:rsid w:val="00CC31A7"/>
    <w:rsid w:val="00CC31F9"/>
    <w:rsid w:val="00CC3280"/>
    <w:rsid w:val="00CC3348"/>
    <w:rsid w:val="00CC33B9"/>
    <w:rsid w:val="00CC3451"/>
    <w:rsid w:val="00CC345C"/>
    <w:rsid w:val="00CC3B5B"/>
    <w:rsid w:val="00CC46AD"/>
    <w:rsid w:val="00CC472C"/>
    <w:rsid w:val="00CC4852"/>
    <w:rsid w:val="00CC486A"/>
    <w:rsid w:val="00CC4AEC"/>
    <w:rsid w:val="00CC4AF3"/>
    <w:rsid w:val="00CC4D3F"/>
    <w:rsid w:val="00CC4E25"/>
    <w:rsid w:val="00CC50F1"/>
    <w:rsid w:val="00CC5144"/>
    <w:rsid w:val="00CC5155"/>
    <w:rsid w:val="00CC5328"/>
    <w:rsid w:val="00CC56A5"/>
    <w:rsid w:val="00CC577F"/>
    <w:rsid w:val="00CC57D4"/>
    <w:rsid w:val="00CC598F"/>
    <w:rsid w:val="00CC5AE4"/>
    <w:rsid w:val="00CC5B87"/>
    <w:rsid w:val="00CC5E4E"/>
    <w:rsid w:val="00CC5F5D"/>
    <w:rsid w:val="00CC629C"/>
    <w:rsid w:val="00CC65D4"/>
    <w:rsid w:val="00CC66B8"/>
    <w:rsid w:val="00CC691E"/>
    <w:rsid w:val="00CC6A8C"/>
    <w:rsid w:val="00CC6D86"/>
    <w:rsid w:val="00CC7075"/>
    <w:rsid w:val="00CC7112"/>
    <w:rsid w:val="00CC71B9"/>
    <w:rsid w:val="00CC76F0"/>
    <w:rsid w:val="00CC77DB"/>
    <w:rsid w:val="00CC7899"/>
    <w:rsid w:val="00CC78CF"/>
    <w:rsid w:val="00CC7B54"/>
    <w:rsid w:val="00CC7C2A"/>
    <w:rsid w:val="00CC7DCF"/>
    <w:rsid w:val="00CC7EA4"/>
    <w:rsid w:val="00CD0148"/>
    <w:rsid w:val="00CD046C"/>
    <w:rsid w:val="00CD0731"/>
    <w:rsid w:val="00CD0842"/>
    <w:rsid w:val="00CD0A60"/>
    <w:rsid w:val="00CD0CA2"/>
    <w:rsid w:val="00CD0D18"/>
    <w:rsid w:val="00CD0E5C"/>
    <w:rsid w:val="00CD0E8A"/>
    <w:rsid w:val="00CD0EFF"/>
    <w:rsid w:val="00CD10D6"/>
    <w:rsid w:val="00CD1E2E"/>
    <w:rsid w:val="00CD2056"/>
    <w:rsid w:val="00CD2501"/>
    <w:rsid w:val="00CD2D41"/>
    <w:rsid w:val="00CD31B0"/>
    <w:rsid w:val="00CD3296"/>
    <w:rsid w:val="00CD3365"/>
    <w:rsid w:val="00CD362B"/>
    <w:rsid w:val="00CD39B2"/>
    <w:rsid w:val="00CD3AE2"/>
    <w:rsid w:val="00CD3B11"/>
    <w:rsid w:val="00CD3F51"/>
    <w:rsid w:val="00CD4142"/>
    <w:rsid w:val="00CD4249"/>
    <w:rsid w:val="00CD44AB"/>
    <w:rsid w:val="00CD46F1"/>
    <w:rsid w:val="00CD4E68"/>
    <w:rsid w:val="00CD4EA9"/>
    <w:rsid w:val="00CD4FD5"/>
    <w:rsid w:val="00CD5032"/>
    <w:rsid w:val="00CD523E"/>
    <w:rsid w:val="00CD5308"/>
    <w:rsid w:val="00CD537D"/>
    <w:rsid w:val="00CD5982"/>
    <w:rsid w:val="00CD5A05"/>
    <w:rsid w:val="00CD5CFD"/>
    <w:rsid w:val="00CD5D29"/>
    <w:rsid w:val="00CD5D90"/>
    <w:rsid w:val="00CD5EE9"/>
    <w:rsid w:val="00CD5F7C"/>
    <w:rsid w:val="00CD63A3"/>
    <w:rsid w:val="00CD63DE"/>
    <w:rsid w:val="00CD6503"/>
    <w:rsid w:val="00CD6C94"/>
    <w:rsid w:val="00CD6F1D"/>
    <w:rsid w:val="00CD7033"/>
    <w:rsid w:val="00CD7372"/>
    <w:rsid w:val="00CD75B0"/>
    <w:rsid w:val="00CD7622"/>
    <w:rsid w:val="00CD7A3E"/>
    <w:rsid w:val="00CD7BC9"/>
    <w:rsid w:val="00CD7D71"/>
    <w:rsid w:val="00CD7F8F"/>
    <w:rsid w:val="00CE04E6"/>
    <w:rsid w:val="00CE08B1"/>
    <w:rsid w:val="00CE093A"/>
    <w:rsid w:val="00CE0BEB"/>
    <w:rsid w:val="00CE1229"/>
    <w:rsid w:val="00CE138A"/>
    <w:rsid w:val="00CE1712"/>
    <w:rsid w:val="00CE1B29"/>
    <w:rsid w:val="00CE1FE5"/>
    <w:rsid w:val="00CE2023"/>
    <w:rsid w:val="00CE2276"/>
    <w:rsid w:val="00CE242A"/>
    <w:rsid w:val="00CE25DA"/>
    <w:rsid w:val="00CE25F8"/>
    <w:rsid w:val="00CE29A0"/>
    <w:rsid w:val="00CE342C"/>
    <w:rsid w:val="00CE3591"/>
    <w:rsid w:val="00CE3883"/>
    <w:rsid w:val="00CE3B5E"/>
    <w:rsid w:val="00CE3C21"/>
    <w:rsid w:val="00CE3CD3"/>
    <w:rsid w:val="00CE3DF1"/>
    <w:rsid w:val="00CE3EA6"/>
    <w:rsid w:val="00CE428D"/>
    <w:rsid w:val="00CE47DD"/>
    <w:rsid w:val="00CE49D7"/>
    <w:rsid w:val="00CE4C56"/>
    <w:rsid w:val="00CE4E5E"/>
    <w:rsid w:val="00CE51AC"/>
    <w:rsid w:val="00CE54EE"/>
    <w:rsid w:val="00CE56F0"/>
    <w:rsid w:val="00CE57CE"/>
    <w:rsid w:val="00CE5A83"/>
    <w:rsid w:val="00CE5D64"/>
    <w:rsid w:val="00CE60CA"/>
    <w:rsid w:val="00CE6654"/>
    <w:rsid w:val="00CE68A1"/>
    <w:rsid w:val="00CE6A42"/>
    <w:rsid w:val="00CE6ACD"/>
    <w:rsid w:val="00CE6B24"/>
    <w:rsid w:val="00CE7070"/>
    <w:rsid w:val="00CE70A1"/>
    <w:rsid w:val="00CE714A"/>
    <w:rsid w:val="00CE751A"/>
    <w:rsid w:val="00CE7DFE"/>
    <w:rsid w:val="00CF069B"/>
    <w:rsid w:val="00CF081D"/>
    <w:rsid w:val="00CF08B0"/>
    <w:rsid w:val="00CF09CC"/>
    <w:rsid w:val="00CF0B08"/>
    <w:rsid w:val="00CF0CEB"/>
    <w:rsid w:val="00CF0EB8"/>
    <w:rsid w:val="00CF0F94"/>
    <w:rsid w:val="00CF106B"/>
    <w:rsid w:val="00CF10E1"/>
    <w:rsid w:val="00CF16E1"/>
    <w:rsid w:val="00CF1AE6"/>
    <w:rsid w:val="00CF1E7D"/>
    <w:rsid w:val="00CF1FE5"/>
    <w:rsid w:val="00CF2060"/>
    <w:rsid w:val="00CF2298"/>
    <w:rsid w:val="00CF2576"/>
    <w:rsid w:val="00CF26A3"/>
    <w:rsid w:val="00CF2736"/>
    <w:rsid w:val="00CF2AA0"/>
    <w:rsid w:val="00CF2B75"/>
    <w:rsid w:val="00CF2D9F"/>
    <w:rsid w:val="00CF300A"/>
    <w:rsid w:val="00CF3122"/>
    <w:rsid w:val="00CF32EF"/>
    <w:rsid w:val="00CF3474"/>
    <w:rsid w:val="00CF3686"/>
    <w:rsid w:val="00CF371D"/>
    <w:rsid w:val="00CF3A2B"/>
    <w:rsid w:val="00CF3B62"/>
    <w:rsid w:val="00CF3B67"/>
    <w:rsid w:val="00CF40B1"/>
    <w:rsid w:val="00CF420C"/>
    <w:rsid w:val="00CF428F"/>
    <w:rsid w:val="00CF429C"/>
    <w:rsid w:val="00CF462D"/>
    <w:rsid w:val="00CF4642"/>
    <w:rsid w:val="00CF46D5"/>
    <w:rsid w:val="00CF4997"/>
    <w:rsid w:val="00CF4ACE"/>
    <w:rsid w:val="00CF4C77"/>
    <w:rsid w:val="00CF4E8C"/>
    <w:rsid w:val="00CF5191"/>
    <w:rsid w:val="00CF54E7"/>
    <w:rsid w:val="00CF559E"/>
    <w:rsid w:val="00CF5802"/>
    <w:rsid w:val="00CF58E1"/>
    <w:rsid w:val="00CF5ABA"/>
    <w:rsid w:val="00CF5B66"/>
    <w:rsid w:val="00CF5D9A"/>
    <w:rsid w:val="00CF7197"/>
    <w:rsid w:val="00CF734C"/>
    <w:rsid w:val="00CF74F2"/>
    <w:rsid w:val="00CF75AB"/>
    <w:rsid w:val="00CF7653"/>
    <w:rsid w:val="00CF77E4"/>
    <w:rsid w:val="00CF782F"/>
    <w:rsid w:val="00CF7A0F"/>
    <w:rsid w:val="00CF7CC7"/>
    <w:rsid w:val="00CF7E0F"/>
    <w:rsid w:val="00CF7F26"/>
    <w:rsid w:val="00D00705"/>
    <w:rsid w:val="00D008E0"/>
    <w:rsid w:val="00D0096A"/>
    <w:rsid w:val="00D00B57"/>
    <w:rsid w:val="00D00D8A"/>
    <w:rsid w:val="00D0110B"/>
    <w:rsid w:val="00D01234"/>
    <w:rsid w:val="00D01A07"/>
    <w:rsid w:val="00D01C83"/>
    <w:rsid w:val="00D01D2B"/>
    <w:rsid w:val="00D01E9F"/>
    <w:rsid w:val="00D01F74"/>
    <w:rsid w:val="00D02071"/>
    <w:rsid w:val="00D0208E"/>
    <w:rsid w:val="00D02236"/>
    <w:rsid w:val="00D024D9"/>
    <w:rsid w:val="00D0251C"/>
    <w:rsid w:val="00D029A4"/>
    <w:rsid w:val="00D02C8D"/>
    <w:rsid w:val="00D02CD9"/>
    <w:rsid w:val="00D02D74"/>
    <w:rsid w:val="00D02E18"/>
    <w:rsid w:val="00D02F2E"/>
    <w:rsid w:val="00D030EC"/>
    <w:rsid w:val="00D03E16"/>
    <w:rsid w:val="00D040AF"/>
    <w:rsid w:val="00D047B0"/>
    <w:rsid w:val="00D048A7"/>
    <w:rsid w:val="00D049F7"/>
    <w:rsid w:val="00D04CD1"/>
    <w:rsid w:val="00D04D65"/>
    <w:rsid w:val="00D04E52"/>
    <w:rsid w:val="00D04E59"/>
    <w:rsid w:val="00D0516C"/>
    <w:rsid w:val="00D0520C"/>
    <w:rsid w:val="00D053A7"/>
    <w:rsid w:val="00D054A2"/>
    <w:rsid w:val="00D054FB"/>
    <w:rsid w:val="00D0555B"/>
    <w:rsid w:val="00D05994"/>
    <w:rsid w:val="00D05B2F"/>
    <w:rsid w:val="00D05B6A"/>
    <w:rsid w:val="00D05C08"/>
    <w:rsid w:val="00D05C37"/>
    <w:rsid w:val="00D05F08"/>
    <w:rsid w:val="00D06005"/>
    <w:rsid w:val="00D060DE"/>
    <w:rsid w:val="00D0611A"/>
    <w:rsid w:val="00D064A8"/>
    <w:rsid w:val="00D064E2"/>
    <w:rsid w:val="00D0653B"/>
    <w:rsid w:val="00D065E6"/>
    <w:rsid w:val="00D06624"/>
    <w:rsid w:val="00D0674D"/>
    <w:rsid w:val="00D06E66"/>
    <w:rsid w:val="00D06F8D"/>
    <w:rsid w:val="00D06FF2"/>
    <w:rsid w:val="00D071DF"/>
    <w:rsid w:val="00D07458"/>
    <w:rsid w:val="00D077D9"/>
    <w:rsid w:val="00D07E98"/>
    <w:rsid w:val="00D102D3"/>
    <w:rsid w:val="00D103DC"/>
    <w:rsid w:val="00D107A5"/>
    <w:rsid w:val="00D1131B"/>
    <w:rsid w:val="00D1132E"/>
    <w:rsid w:val="00D113B7"/>
    <w:rsid w:val="00D1141F"/>
    <w:rsid w:val="00D11736"/>
    <w:rsid w:val="00D1174D"/>
    <w:rsid w:val="00D118FF"/>
    <w:rsid w:val="00D11C8C"/>
    <w:rsid w:val="00D11CD2"/>
    <w:rsid w:val="00D1200A"/>
    <w:rsid w:val="00D12887"/>
    <w:rsid w:val="00D12EE3"/>
    <w:rsid w:val="00D1308B"/>
    <w:rsid w:val="00D132B6"/>
    <w:rsid w:val="00D1348B"/>
    <w:rsid w:val="00D13547"/>
    <w:rsid w:val="00D1362D"/>
    <w:rsid w:val="00D138A7"/>
    <w:rsid w:val="00D13DB1"/>
    <w:rsid w:val="00D140A4"/>
    <w:rsid w:val="00D14507"/>
    <w:rsid w:val="00D14843"/>
    <w:rsid w:val="00D148D8"/>
    <w:rsid w:val="00D14AB8"/>
    <w:rsid w:val="00D14C2A"/>
    <w:rsid w:val="00D14C5A"/>
    <w:rsid w:val="00D14C6C"/>
    <w:rsid w:val="00D14FBF"/>
    <w:rsid w:val="00D151CD"/>
    <w:rsid w:val="00D15313"/>
    <w:rsid w:val="00D15755"/>
    <w:rsid w:val="00D15AE0"/>
    <w:rsid w:val="00D15B32"/>
    <w:rsid w:val="00D15D7C"/>
    <w:rsid w:val="00D15E07"/>
    <w:rsid w:val="00D16005"/>
    <w:rsid w:val="00D1648D"/>
    <w:rsid w:val="00D16492"/>
    <w:rsid w:val="00D16587"/>
    <w:rsid w:val="00D16AAA"/>
    <w:rsid w:val="00D16CC0"/>
    <w:rsid w:val="00D16DD3"/>
    <w:rsid w:val="00D1732F"/>
    <w:rsid w:val="00D173A5"/>
    <w:rsid w:val="00D174F0"/>
    <w:rsid w:val="00D175E1"/>
    <w:rsid w:val="00D1768C"/>
    <w:rsid w:val="00D17AFC"/>
    <w:rsid w:val="00D17F21"/>
    <w:rsid w:val="00D20003"/>
    <w:rsid w:val="00D20140"/>
    <w:rsid w:val="00D20207"/>
    <w:rsid w:val="00D20232"/>
    <w:rsid w:val="00D20701"/>
    <w:rsid w:val="00D20A29"/>
    <w:rsid w:val="00D20A46"/>
    <w:rsid w:val="00D20B96"/>
    <w:rsid w:val="00D20FA6"/>
    <w:rsid w:val="00D21013"/>
    <w:rsid w:val="00D2164D"/>
    <w:rsid w:val="00D2183C"/>
    <w:rsid w:val="00D21A2E"/>
    <w:rsid w:val="00D21A65"/>
    <w:rsid w:val="00D21D34"/>
    <w:rsid w:val="00D21E34"/>
    <w:rsid w:val="00D21E48"/>
    <w:rsid w:val="00D21E6A"/>
    <w:rsid w:val="00D21ECE"/>
    <w:rsid w:val="00D2245F"/>
    <w:rsid w:val="00D227F8"/>
    <w:rsid w:val="00D22DCF"/>
    <w:rsid w:val="00D230D8"/>
    <w:rsid w:val="00D2349B"/>
    <w:rsid w:val="00D235C5"/>
    <w:rsid w:val="00D2367B"/>
    <w:rsid w:val="00D2391E"/>
    <w:rsid w:val="00D239C7"/>
    <w:rsid w:val="00D239DA"/>
    <w:rsid w:val="00D23E88"/>
    <w:rsid w:val="00D242C0"/>
    <w:rsid w:val="00D243E2"/>
    <w:rsid w:val="00D244DC"/>
    <w:rsid w:val="00D24545"/>
    <w:rsid w:val="00D245E5"/>
    <w:rsid w:val="00D248B7"/>
    <w:rsid w:val="00D249DF"/>
    <w:rsid w:val="00D24BDA"/>
    <w:rsid w:val="00D24E5C"/>
    <w:rsid w:val="00D25006"/>
    <w:rsid w:val="00D251C1"/>
    <w:rsid w:val="00D2523A"/>
    <w:rsid w:val="00D253F3"/>
    <w:rsid w:val="00D25475"/>
    <w:rsid w:val="00D254A6"/>
    <w:rsid w:val="00D25828"/>
    <w:rsid w:val="00D25E57"/>
    <w:rsid w:val="00D2601D"/>
    <w:rsid w:val="00D26287"/>
    <w:rsid w:val="00D262AC"/>
    <w:rsid w:val="00D26447"/>
    <w:rsid w:val="00D267E4"/>
    <w:rsid w:val="00D269B2"/>
    <w:rsid w:val="00D269E0"/>
    <w:rsid w:val="00D26CF1"/>
    <w:rsid w:val="00D27045"/>
    <w:rsid w:val="00D27144"/>
    <w:rsid w:val="00D27849"/>
    <w:rsid w:val="00D27C83"/>
    <w:rsid w:val="00D27FAA"/>
    <w:rsid w:val="00D3003F"/>
    <w:rsid w:val="00D30075"/>
    <w:rsid w:val="00D30119"/>
    <w:rsid w:val="00D3037D"/>
    <w:rsid w:val="00D306B6"/>
    <w:rsid w:val="00D3092E"/>
    <w:rsid w:val="00D30B71"/>
    <w:rsid w:val="00D30D72"/>
    <w:rsid w:val="00D3108F"/>
    <w:rsid w:val="00D312F7"/>
    <w:rsid w:val="00D313E8"/>
    <w:rsid w:val="00D31796"/>
    <w:rsid w:val="00D31823"/>
    <w:rsid w:val="00D31858"/>
    <w:rsid w:val="00D31A6A"/>
    <w:rsid w:val="00D31C93"/>
    <w:rsid w:val="00D31CF9"/>
    <w:rsid w:val="00D31F85"/>
    <w:rsid w:val="00D32341"/>
    <w:rsid w:val="00D323DC"/>
    <w:rsid w:val="00D32609"/>
    <w:rsid w:val="00D326CF"/>
    <w:rsid w:val="00D328FE"/>
    <w:rsid w:val="00D32AF7"/>
    <w:rsid w:val="00D33223"/>
    <w:rsid w:val="00D33351"/>
    <w:rsid w:val="00D3364D"/>
    <w:rsid w:val="00D33731"/>
    <w:rsid w:val="00D33A8C"/>
    <w:rsid w:val="00D33B99"/>
    <w:rsid w:val="00D340DC"/>
    <w:rsid w:val="00D3412E"/>
    <w:rsid w:val="00D342A2"/>
    <w:rsid w:val="00D3445C"/>
    <w:rsid w:val="00D3487B"/>
    <w:rsid w:val="00D34981"/>
    <w:rsid w:val="00D34A1A"/>
    <w:rsid w:val="00D34F63"/>
    <w:rsid w:val="00D35533"/>
    <w:rsid w:val="00D358E5"/>
    <w:rsid w:val="00D35BAF"/>
    <w:rsid w:val="00D35DC1"/>
    <w:rsid w:val="00D35E7E"/>
    <w:rsid w:val="00D35FE3"/>
    <w:rsid w:val="00D3601B"/>
    <w:rsid w:val="00D360D4"/>
    <w:rsid w:val="00D361D8"/>
    <w:rsid w:val="00D361DD"/>
    <w:rsid w:val="00D36700"/>
    <w:rsid w:val="00D36EFD"/>
    <w:rsid w:val="00D36F4F"/>
    <w:rsid w:val="00D37013"/>
    <w:rsid w:val="00D3720E"/>
    <w:rsid w:val="00D37211"/>
    <w:rsid w:val="00D3745D"/>
    <w:rsid w:val="00D374F3"/>
    <w:rsid w:val="00D379B4"/>
    <w:rsid w:val="00D37B2F"/>
    <w:rsid w:val="00D37B6E"/>
    <w:rsid w:val="00D37D6B"/>
    <w:rsid w:val="00D37DED"/>
    <w:rsid w:val="00D37E22"/>
    <w:rsid w:val="00D37E86"/>
    <w:rsid w:val="00D37F25"/>
    <w:rsid w:val="00D401B4"/>
    <w:rsid w:val="00D40316"/>
    <w:rsid w:val="00D40373"/>
    <w:rsid w:val="00D4039D"/>
    <w:rsid w:val="00D406F1"/>
    <w:rsid w:val="00D40787"/>
    <w:rsid w:val="00D40BA8"/>
    <w:rsid w:val="00D40D08"/>
    <w:rsid w:val="00D40DFF"/>
    <w:rsid w:val="00D413BF"/>
    <w:rsid w:val="00D41959"/>
    <w:rsid w:val="00D4195B"/>
    <w:rsid w:val="00D419BD"/>
    <w:rsid w:val="00D41AF5"/>
    <w:rsid w:val="00D41B09"/>
    <w:rsid w:val="00D41F36"/>
    <w:rsid w:val="00D42292"/>
    <w:rsid w:val="00D4239D"/>
    <w:rsid w:val="00D426B1"/>
    <w:rsid w:val="00D427E7"/>
    <w:rsid w:val="00D42826"/>
    <w:rsid w:val="00D42845"/>
    <w:rsid w:val="00D42C93"/>
    <w:rsid w:val="00D42F32"/>
    <w:rsid w:val="00D42FB3"/>
    <w:rsid w:val="00D43927"/>
    <w:rsid w:val="00D43A5C"/>
    <w:rsid w:val="00D43BD4"/>
    <w:rsid w:val="00D43C22"/>
    <w:rsid w:val="00D43F5C"/>
    <w:rsid w:val="00D441BA"/>
    <w:rsid w:val="00D444AF"/>
    <w:rsid w:val="00D446C7"/>
    <w:rsid w:val="00D448F3"/>
    <w:rsid w:val="00D44AD6"/>
    <w:rsid w:val="00D44B32"/>
    <w:rsid w:val="00D44C29"/>
    <w:rsid w:val="00D44D09"/>
    <w:rsid w:val="00D44D0C"/>
    <w:rsid w:val="00D453E0"/>
    <w:rsid w:val="00D45502"/>
    <w:rsid w:val="00D455F6"/>
    <w:rsid w:val="00D4578A"/>
    <w:rsid w:val="00D45AE1"/>
    <w:rsid w:val="00D4602F"/>
    <w:rsid w:val="00D4624A"/>
    <w:rsid w:val="00D46338"/>
    <w:rsid w:val="00D46389"/>
    <w:rsid w:val="00D467CD"/>
    <w:rsid w:val="00D469ED"/>
    <w:rsid w:val="00D46D64"/>
    <w:rsid w:val="00D46DC8"/>
    <w:rsid w:val="00D46F33"/>
    <w:rsid w:val="00D47036"/>
    <w:rsid w:val="00D471CF"/>
    <w:rsid w:val="00D475F2"/>
    <w:rsid w:val="00D47786"/>
    <w:rsid w:val="00D478D7"/>
    <w:rsid w:val="00D47AB5"/>
    <w:rsid w:val="00D47B58"/>
    <w:rsid w:val="00D47C44"/>
    <w:rsid w:val="00D50264"/>
    <w:rsid w:val="00D502C9"/>
    <w:rsid w:val="00D50486"/>
    <w:rsid w:val="00D507F6"/>
    <w:rsid w:val="00D508DF"/>
    <w:rsid w:val="00D50B31"/>
    <w:rsid w:val="00D5127A"/>
    <w:rsid w:val="00D512DA"/>
    <w:rsid w:val="00D513B3"/>
    <w:rsid w:val="00D51439"/>
    <w:rsid w:val="00D51727"/>
    <w:rsid w:val="00D5188E"/>
    <w:rsid w:val="00D51B87"/>
    <w:rsid w:val="00D51BD1"/>
    <w:rsid w:val="00D51D30"/>
    <w:rsid w:val="00D51F1B"/>
    <w:rsid w:val="00D520E6"/>
    <w:rsid w:val="00D522AC"/>
    <w:rsid w:val="00D52465"/>
    <w:rsid w:val="00D52630"/>
    <w:rsid w:val="00D52737"/>
    <w:rsid w:val="00D527A0"/>
    <w:rsid w:val="00D527AB"/>
    <w:rsid w:val="00D52919"/>
    <w:rsid w:val="00D52CBC"/>
    <w:rsid w:val="00D52EEC"/>
    <w:rsid w:val="00D53779"/>
    <w:rsid w:val="00D53CC4"/>
    <w:rsid w:val="00D53D65"/>
    <w:rsid w:val="00D5404C"/>
    <w:rsid w:val="00D546F5"/>
    <w:rsid w:val="00D54736"/>
    <w:rsid w:val="00D54AE2"/>
    <w:rsid w:val="00D54B65"/>
    <w:rsid w:val="00D54F95"/>
    <w:rsid w:val="00D550D3"/>
    <w:rsid w:val="00D55103"/>
    <w:rsid w:val="00D5513D"/>
    <w:rsid w:val="00D55B01"/>
    <w:rsid w:val="00D55B68"/>
    <w:rsid w:val="00D55C60"/>
    <w:rsid w:val="00D55CF8"/>
    <w:rsid w:val="00D55E40"/>
    <w:rsid w:val="00D560A0"/>
    <w:rsid w:val="00D561EE"/>
    <w:rsid w:val="00D56452"/>
    <w:rsid w:val="00D568AB"/>
    <w:rsid w:val="00D569B2"/>
    <w:rsid w:val="00D5754A"/>
    <w:rsid w:val="00D578D9"/>
    <w:rsid w:val="00D57B18"/>
    <w:rsid w:val="00D57D61"/>
    <w:rsid w:val="00D57F68"/>
    <w:rsid w:val="00D602DB"/>
    <w:rsid w:val="00D603A6"/>
    <w:rsid w:val="00D6045E"/>
    <w:rsid w:val="00D604FE"/>
    <w:rsid w:val="00D60660"/>
    <w:rsid w:val="00D609B3"/>
    <w:rsid w:val="00D60ACA"/>
    <w:rsid w:val="00D60E33"/>
    <w:rsid w:val="00D615E5"/>
    <w:rsid w:val="00D61717"/>
    <w:rsid w:val="00D617AF"/>
    <w:rsid w:val="00D61963"/>
    <w:rsid w:val="00D619A3"/>
    <w:rsid w:val="00D619A7"/>
    <w:rsid w:val="00D61C77"/>
    <w:rsid w:val="00D61D43"/>
    <w:rsid w:val="00D61F25"/>
    <w:rsid w:val="00D6200A"/>
    <w:rsid w:val="00D62223"/>
    <w:rsid w:val="00D62225"/>
    <w:rsid w:val="00D623F9"/>
    <w:rsid w:val="00D627F6"/>
    <w:rsid w:val="00D6296D"/>
    <w:rsid w:val="00D62EAE"/>
    <w:rsid w:val="00D62F3C"/>
    <w:rsid w:val="00D6306A"/>
    <w:rsid w:val="00D63A8D"/>
    <w:rsid w:val="00D63BD1"/>
    <w:rsid w:val="00D641E2"/>
    <w:rsid w:val="00D64245"/>
    <w:rsid w:val="00D643A5"/>
    <w:rsid w:val="00D646DE"/>
    <w:rsid w:val="00D64B79"/>
    <w:rsid w:val="00D64E74"/>
    <w:rsid w:val="00D65260"/>
    <w:rsid w:val="00D65390"/>
    <w:rsid w:val="00D657C9"/>
    <w:rsid w:val="00D65EAA"/>
    <w:rsid w:val="00D65EC1"/>
    <w:rsid w:val="00D66220"/>
    <w:rsid w:val="00D6666B"/>
    <w:rsid w:val="00D668B8"/>
    <w:rsid w:val="00D66AB3"/>
    <w:rsid w:val="00D66BD7"/>
    <w:rsid w:val="00D66CE6"/>
    <w:rsid w:val="00D67094"/>
    <w:rsid w:val="00D6732D"/>
    <w:rsid w:val="00D67379"/>
    <w:rsid w:val="00D67C32"/>
    <w:rsid w:val="00D70373"/>
    <w:rsid w:val="00D703FE"/>
    <w:rsid w:val="00D70822"/>
    <w:rsid w:val="00D70A80"/>
    <w:rsid w:val="00D70D72"/>
    <w:rsid w:val="00D70E34"/>
    <w:rsid w:val="00D710DF"/>
    <w:rsid w:val="00D71106"/>
    <w:rsid w:val="00D71151"/>
    <w:rsid w:val="00D71389"/>
    <w:rsid w:val="00D7165F"/>
    <w:rsid w:val="00D716EA"/>
    <w:rsid w:val="00D71981"/>
    <w:rsid w:val="00D71D62"/>
    <w:rsid w:val="00D71F38"/>
    <w:rsid w:val="00D71FFE"/>
    <w:rsid w:val="00D7200B"/>
    <w:rsid w:val="00D725C3"/>
    <w:rsid w:val="00D72933"/>
    <w:rsid w:val="00D72B33"/>
    <w:rsid w:val="00D7317C"/>
    <w:rsid w:val="00D73A8F"/>
    <w:rsid w:val="00D73B49"/>
    <w:rsid w:val="00D743A9"/>
    <w:rsid w:val="00D74601"/>
    <w:rsid w:val="00D7486B"/>
    <w:rsid w:val="00D74B11"/>
    <w:rsid w:val="00D74F5A"/>
    <w:rsid w:val="00D74F63"/>
    <w:rsid w:val="00D750EB"/>
    <w:rsid w:val="00D7515C"/>
    <w:rsid w:val="00D751A6"/>
    <w:rsid w:val="00D752A5"/>
    <w:rsid w:val="00D7537B"/>
    <w:rsid w:val="00D757BE"/>
    <w:rsid w:val="00D759A9"/>
    <w:rsid w:val="00D759E1"/>
    <w:rsid w:val="00D75A5A"/>
    <w:rsid w:val="00D75B87"/>
    <w:rsid w:val="00D75D82"/>
    <w:rsid w:val="00D760B7"/>
    <w:rsid w:val="00D760D8"/>
    <w:rsid w:val="00D76473"/>
    <w:rsid w:val="00D76A05"/>
    <w:rsid w:val="00D76B4C"/>
    <w:rsid w:val="00D76C86"/>
    <w:rsid w:val="00D77320"/>
    <w:rsid w:val="00D77393"/>
    <w:rsid w:val="00D774B2"/>
    <w:rsid w:val="00D7753D"/>
    <w:rsid w:val="00D77567"/>
    <w:rsid w:val="00D7758D"/>
    <w:rsid w:val="00D77654"/>
    <w:rsid w:val="00D77AA1"/>
    <w:rsid w:val="00D77BBA"/>
    <w:rsid w:val="00D77C7A"/>
    <w:rsid w:val="00D77DFC"/>
    <w:rsid w:val="00D77E66"/>
    <w:rsid w:val="00D80056"/>
    <w:rsid w:val="00D80064"/>
    <w:rsid w:val="00D8010A"/>
    <w:rsid w:val="00D80492"/>
    <w:rsid w:val="00D80781"/>
    <w:rsid w:val="00D80D04"/>
    <w:rsid w:val="00D80D55"/>
    <w:rsid w:val="00D80D9D"/>
    <w:rsid w:val="00D80ECA"/>
    <w:rsid w:val="00D80F3E"/>
    <w:rsid w:val="00D8158A"/>
    <w:rsid w:val="00D81805"/>
    <w:rsid w:val="00D8188A"/>
    <w:rsid w:val="00D818B9"/>
    <w:rsid w:val="00D8190F"/>
    <w:rsid w:val="00D81914"/>
    <w:rsid w:val="00D8199A"/>
    <w:rsid w:val="00D81D5C"/>
    <w:rsid w:val="00D81EA3"/>
    <w:rsid w:val="00D81EFD"/>
    <w:rsid w:val="00D81FAD"/>
    <w:rsid w:val="00D820FF"/>
    <w:rsid w:val="00D826ED"/>
    <w:rsid w:val="00D82B6A"/>
    <w:rsid w:val="00D82C21"/>
    <w:rsid w:val="00D82FB9"/>
    <w:rsid w:val="00D831EC"/>
    <w:rsid w:val="00D8331D"/>
    <w:rsid w:val="00D8347D"/>
    <w:rsid w:val="00D83515"/>
    <w:rsid w:val="00D83720"/>
    <w:rsid w:val="00D837CF"/>
    <w:rsid w:val="00D8400A"/>
    <w:rsid w:val="00D849C4"/>
    <w:rsid w:val="00D84B09"/>
    <w:rsid w:val="00D84DDD"/>
    <w:rsid w:val="00D84F30"/>
    <w:rsid w:val="00D84F46"/>
    <w:rsid w:val="00D84F53"/>
    <w:rsid w:val="00D85002"/>
    <w:rsid w:val="00D8504C"/>
    <w:rsid w:val="00D851B8"/>
    <w:rsid w:val="00D85447"/>
    <w:rsid w:val="00D8574F"/>
    <w:rsid w:val="00D85852"/>
    <w:rsid w:val="00D858A9"/>
    <w:rsid w:val="00D858CF"/>
    <w:rsid w:val="00D85ADB"/>
    <w:rsid w:val="00D85D30"/>
    <w:rsid w:val="00D8620D"/>
    <w:rsid w:val="00D86971"/>
    <w:rsid w:val="00D86EAE"/>
    <w:rsid w:val="00D871B0"/>
    <w:rsid w:val="00D8749A"/>
    <w:rsid w:val="00D877DC"/>
    <w:rsid w:val="00D878CF"/>
    <w:rsid w:val="00D8791C"/>
    <w:rsid w:val="00D87A01"/>
    <w:rsid w:val="00D87D75"/>
    <w:rsid w:val="00D90803"/>
    <w:rsid w:val="00D9082E"/>
    <w:rsid w:val="00D908EB"/>
    <w:rsid w:val="00D90C11"/>
    <w:rsid w:val="00D90E81"/>
    <w:rsid w:val="00D91023"/>
    <w:rsid w:val="00D910E5"/>
    <w:rsid w:val="00D910F2"/>
    <w:rsid w:val="00D914E7"/>
    <w:rsid w:val="00D91640"/>
    <w:rsid w:val="00D9177D"/>
    <w:rsid w:val="00D917E2"/>
    <w:rsid w:val="00D91905"/>
    <w:rsid w:val="00D91B73"/>
    <w:rsid w:val="00D91C16"/>
    <w:rsid w:val="00D91E66"/>
    <w:rsid w:val="00D91FD6"/>
    <w:rsid w:val="00D922E0"/>
    <w:rsid w:val="00D923AB"/>
    <w:rsid w:val="00D9251D"/>
    <w:rsid w:val="00D925ED"/>
    <w:rsid w:val="00D9262C"/>
    <w:rsid w:val="00D92666"/>
    <w:rsid w:val="00D9269D"/>
    <w:rsid w:val="00D9288C"/>
    <w:rsid w:val="00D928F3"/>
    <w:rsid w:val="00D929AE"/>
    <w:rsid w:val="00D929F3"/>
    <w:rsid w:val="00D92C1C"/>
    <w:rsid w:val="00D93508"/>
    <w:rsid w:val="00D9353D"/>
    <w:rsid w:val="00D936C9"/>
    <w:rsid w:val="00D936D6"/>
    <w:rsid w:val="00D936D7"/>
    <w:rsid w:val="00D9380D"/>
    <w:rsid w:val="00D93826"/>
    <w:rsid w:val="00D93B9D"/>
    <w:rsid w:val="00D93CC9"/>
    <w:rsid w:val="00D93DB9"/>
    <w:rsid w:val="00D9422D"/>
    <w:rsid w:val="00D943D4"/>
    <w:rsid w:val="00D94459"/>
    <w:rsid w:val="00D944CB"/>
    <w:rsid w:val="00D947C2"/>
    <w:rsid w:val="00D94967"/>
    <w:rsid w:val="00D94AF5"/>
    <w:rsid w:val="00D94CB1"/>
    <w:rsid w:val="00D94DEE"/>
    <w:rsid w:val="00D9526B"/>
    <w:rsid w:val="00D9599A"/>
    <w:rsid w:val="00D95D07"/>
    <w:rsid w:val="00D95D8F"/>
    <w:rsid w:val="00D95D9D"/>
    <w:rsid w:val="00D96209"/>
    <w:rsid w:val="00D96501"/>
    <w:rsid w:val="00D96CE0"/>
    <w:rsid w:val="00D97033"/>
    <w:rsid w:val="00D9705B"/>
    <w:rsid w:val="00D97244"/>
    <w:rsid w:val="00D97658"/>
    <w:rsid w:val="00D97679"/>
    <w:rsid w:val="00D97C71"/>
    <w:rsid w:val="00DA052A"/>
    <w:rsid w:val="00DA0A20"/>
    <w:rsid w:val="00DA111F"/>
    <w:rsid w:val="00DA1415"/>
    <w:rsid w:val="00DA144D"/>
    <w:rsid w:val="00DA19C5"/>
    <w:rsid w:val="00DA1CB8"/>
    <w:rsid w:val="00DA23EB"/>
    <w:rsid w:val="00DA267D"/>
    <w:rsid w:val="00DA26DF"/>
    <w:rsid w:val="00DA29D9"/>
    <w:rsid w:val="00DA2AA3"/>
    <w:rsid w:val="00DA2C56"/>
    <w:rsid w:val="00DA2D0C"/>
    <w:rsid w:val="00DA2FC4"/>
    <w:rsid w:val="00DA2FEE"/>
    <w:rsid w:val="00DA31A4"/>
    <w:rsid w:val="00DA3322"/>
    <w:rsid w:val="00DA34F4"/>
    <w:rsid w:val="00DA3893"/>
    <w:rsid w:val="00DA3C11"/>
    <w:rsid w:val="00DA414E"/>
    <w:rsid w:val="00DA42E5"/>
    <w:rsid w:val="00DA42FF"/>
    <w:rsid w:val="00DA4404"/>
    <w:rsid w:val="00DA49DD"/>
    <w:rsid w:val="00DA49E8"/>
    <w:rsid w:val="00DA4BBA"/>
    <w:rsid w:val="00DA4E69"/>
    <w:rsid w:val="00DA4E9F"/>
    <w:rsid w:val="00DA4F72"/>
    <w:rsid w:val="00DA516A"/>
    <w:rsid w:val="00DA55EA"/>
    <w:rsid w:val="00DA5675"/>
    <w:rsid w:val="00DA58BE"/>
    <w:rsid w:val="00DA5A8E"/>
    <w:rsid w:val="00DA5E0E"/>
    <w:rsid w:val="00DA631F"/>
    <w:rsid w:val="00DA6503"/>
    <w:rsid w:val="00DA65B4"/>
    <w:rsid w:val="00DA6727"/>
    <w:rsid w:val="00DA6794"/>
    <w:rsid w:val="00DA6A76"/>
    <w:rsid w:val="00DA6D9D"/>
    <w:rsid w:val="00DA6EC8"/>
    <w:rsid w:val="00DA7353"/>
    <w:rsid w:val="00DA7C97"/>
    <w:rsid w:val="00DA7E22"/>
    <w:rsid w:val="00DA7EC9"/>
    <w:rsid w:val="00DB015E"/>
    <w:rsid w:val="00DB01A8"/>
    <w:rsid w:val="00DB0521"/>
    <w:rsid w:val="00DB0559"/>
    <w:rsid w:val="00DB0653"/>
    <w:rsid w:val="00DB071F"/>
    <w:rsid w:val="00DB0731"/>
    <w:rsid w:val="00DB0C0F"/>
    <w:rsid w:val="00DB0C24"/>
    <w:rsid w:val="00DB0C47"/>
    <w:rsid w:val="00DB0E16"/>
    <w:rsid w:val="00DB0E30"/>
    <w:rsid w:val="00DB1260"/>
    <w:rsid w:val="00DB1518"/>
    <w:rsid w:val="00DB1C9E"/>
    <w:rsid w:val="00DB20E9"/>
    <w:rsid w:val="00DB2229"/>
    <w:rsid w:val="00DB2384"/>
    <w:rsid w:val="00DB24CE"/>
    <w:rsid w:val="00DB256A"/>
    <w:rsid w:val="00DB25EA"/>
    <w:rsid w:val="00DB26F1"/>
    <w:rsid w:val="00DB2AD7"/>
    <w:rsid w:val="00DB2F41"/>
    <w:rsid w:val="00DB3008"/>
    <w:rsid w:val="00DB32C6"/>
    <w:rsid w:val="00DB33F7"/>
    <w:rsid w:val="00DB3439"/>
    <w:rsid w:val="00DB3618"/>
    <w:rsid w:val="00DB36A2"/>
    <w:rsid w:val="00DB3777"/>
    <w:rsid w:val="00DB37EA"/>
    <w:rsid w:val="00DB3816"/>
    <w:rsid w:val="00DB3956"/>
    <w:rsid w:val="00DB3D2C"/>
    <w:rsid w:val="00DB400B"/>
    <w:rsid w:val="00DB41AF"/>
    <w:rsid w:val="00DB41F5"/>
    <w:rsid w:val="00DB46F7"/>
    <w:rsid w:val="00DB48EE"/>
    <w:rsid w:val="00DB4B09"/>
    <w:rsid w:val="00DB4B7B"/>
    <w:rsid w:val="00DB4C9B"/>
    <w:rsid w:val="00DB4F30"/>
    <w:rsid w:val="00DB51F3"/>
    <w:rsid w:val="00DB52C7"/>
    <w:rsid w:val="00DB537B"/>
    <w:rsid w:val="00DB5450"/>
    <w:rsid w:val="00DB5663"/>
    <w:rsid w:val="00DB56EE"/>
    <w:rsid w:val="00DB596C"/>
    <w:rsid w:val="00DB5977"/>
    <w:rsid w:val="00DB5A89"/>
    <w:rsid w:val="00DB5C37"/>
    <w:rsid w:val="00DB6310"/>
    <w:rsid w:val="00DB64D0"/>
    <w:rsid w:val="00DB65B3"/>
    <w:rsid w:val="00DB66A6"/>
    <w:rsid w:val="00DB6823"/>
    <w:rsid w:val="00DB6923"/>
    <w:rsid w:val="00DB6A09"/>
    <w:rsid w:val="00DB6AC9"/>
    <w:rsid w:val="00DB727A"/>
    <w:rsid w:val="00DB74E7"/>
    <w:rsid w:val="00DB7929"/>
    <w:rsid w:val="00DB7A4C"/>
    <w:rsid w:val="00DB7A8D"/>
    <w:rsid w:val="00DB7BB3"/>
    <w:rsid w:val="00DB7D24"/>
    <w:rsid w:val="00DB7EAD"/>
    <w:rsid w:val="00DB7EF7"/>
    <w:rsid w:val="00DC0108"/>
    <w:rsid w:val="00DC03C9"/>
    <w:rsid w:val="00DC070E"/>
    <w:rsid w:val="00DC0F6E"/>
    <w:rsid w:val="00DC0F91"/>
    <w:rsid w:val="00DC1053"/>
    <w:rsid w:val="00DC1338"/>
    <w:rsid w:val="00DC15F1"/>
    <w:rsid w:val="00DC1685"/>
    <w:rsid w:val="00DC16BA"/>
    <w:rsid w:val="00DC179B"/>
    <w:rsid w:val="00DC19FE"/>
    <w:rsid w:val="00DC1A19"/>
    <w:rsid w:val="00DC1D3A"/>
    <w:rsid w:val="00DC220C"/>
    <w:rsid w:val="00DC250D"/>
    <w:rsid w:val="00DC26F9"/>
    <w:rsid w:val="00DC2AB1"/>
    <w:rsid w:val="00DC2B1E"/>
    <w:rsid w:val="00DC2E01"/>
    <w:rsid w:val="00DC2E6D"/>
    <w:rsid w:val="00DC2F70"/>
    <w:rsid w:val="00DC3019"/>
    <w:rsid w:val="00DC3079"/>
    <w:rsid w:val="00DC30C0"/>
    <w:rsid w:val="00DC30FA"/>
    <w:rsid w:val="00DC33F0"/>
    <w:rsid w:val="00DC3565"/>
    <w:rsid w:val="00DC381D"/>
    <w:rsid w:val="00DC3849"/>
    <w:rsid w:val="00DC38AF"/>
    <w:rsid w:val="00DC38D5"/>
    <w:rsid w:val="00DC3D3F"/>
    <w:rsid w:val="00DC3E3A"/>
    <w:rsid w:val="00DC4060"/>
    <w:rsid w:val="00DC4085"/>
    <w:rsid w:val="00DC44AB"/>
    <w:rsid w:val="00DC5058"/>
    <w:rsid w:val="00DC50D6"/>
    <w:rsid w:val="00DC5208"/>
    <w:rsid w:val="00DC544D"/>
    <w:rsid w:val="00DC5604"/>
    <w:rsid w:val="00DC575C"/>
    <w:rsid w:val="00DC58E4"/>
    <w:rsid w:val="00DC5A47"/>
    <w:rsid w:val="00DC5B5B"/>
    <w:rsid w:val="00DC5BB2"/>
    <w:rsid w:val="00DC5FFD"/>
    <w:rsid w:val="00DC6213"/>
    <w:rsid w:val="00DC6356"/>
    <w:rsid w:val="00DC66A2"/>
    <w:rsid w:val="00DC68B6"/>
    <w:rsid w:val="00DC6E9F"/>
    <w:rsid w:val="00DC6F93"/>
    <w:rsid w:val="00DC75BE"/>
    <w:rsid w:val="00DC7A9A"/>
    <w:rsid w:val="00DC7C51"/>
    <w:rsid w:val="00DC7CEE"/>
    <w:rsid w:val="00DC7DDC"/>
    <w:rsid w:val="00DD002C"/>
    <w:rsid w:val="00DD0473"/>
    <w:rsid w:val="00DD0B1F"/>
    <w:rsid w:val="00DD0B44"/>
    <w:rsid w:val="00DD0B64"/>
    <w:rsid w:val="00DD0C39"/>
    <w:rsid w:val="00DD0D32"/>
    <w:rsid w:val="00DD0EA0"/>
    <w:rsid w:val="00DD0F41"/>
    <w:rsid w:val="00DD1569"/>
    <w:rsid w:val="00DD1725"/>
    <w:rsid w:val="00DD18FF"/>
    <w:rsid w:val="00DD19E2"/>
    <w:rsid w:val="00DD1A3F"/>
    <w:rsid w:val="00DD1AC5"/>
    <w:rsid w:val="00DD1CA6"/>
    <w:rsid w:val="00DD1CD6"/>
    <w:rsid w:val="00DD1FCF"/>
    <w:rsid w:val="00DD20C9"/>
    <w:rsid w:val="00DD21F9"/>
    <w:rsid w:val="00DD238A"/>
    <w:rsid w:val="00DD248E"/>
    <w:rsid w:val="00DD281C"/>
    <w:rsid w:val="00DD2D15"/>
    <w:rsid w:val="00DD2D79"/>
    <w:rsid w:val="00DD2E25"/>
    <w:rsid w:val="00DD3028"/>
    <w:rsid w:val="00DD307D"/>
    <w:rsid w:val="00DD37B3"/>
    <w:rsid w:val="00DD3981"/>
    <w:rsid w:val="00DD3B9D"/>
    <w:rsid w:val="00DD3C74"/>
    <w:rsid w:val="00DD4284"/>
    <w:rsid w:val="00DD4417"/>
    <w:rsid w:val="00DD46A0"/>
    <w:rsid w:val="00DD4739"/>
    <w:rsid w:val="00DD4823"/>
    <w:rsid w:val="00DD4888"/>
    <w:rsid w:val="00DD4899"/>
    <w:rsid w:val="00DD4B44"/>
    <w:rsid w:val="00DD4C99"/>
    <w:rsid w:val="00DD4F1D"/>
    <w:rsid w:val="00DD51FB"/>
    <w:rsid w:val="00DD53BD"/>
    <w:rsid w:val="00DD55EE"/>
    <w:rsid w:val="00DD5892"/>
    <w:rsid w:val="00DD5AAD"/>
    <w:rsid w:val="00DD5BF5"/>
    <w:rsid w:val="00DD5F9A"/>
    <w:rsid w:val="00DD6034"/>
    <w:rsid w:val="00DD611F"/>
    <w:rsid w:val="00DD6570"/>
    <w:rsid w:val="00DD690E"/>
    <w:rsid w:val="00DD6F6B"/>
    <w:rsid w:val="00DD70F5"/>
    <w:rsid w:val="00DD7C31"/>
    <w:rsid w:val="00DE0444"/>
    <w:rsid w:val="00DE071B"/>
    <w:rsid w:val="00DE07BA"/>
    <w:rsid w:val="00DE0AA8"/>
    <w:rsid w:val="00DE0C29"/>
    <w:rsid w:val="00DE0C78"/>
    <w:rsid w:val="00DE0E38"/>
    <w:rsid w:val="00DE0E90"/>
    <w:rsid w:val="00DE0FE7"/>
    <w:rsid w:val="00DE1100"/>
    <w:rsid w:val="00DE13D8"/>
    <w:rsid w:val="00DE17AB"/>
    <w:rsid w:val="00DE1A3C"/>
    <w:rsid w:val="00DE2BC5"/>
    <w:rsid w:val="00DE2C94"/>
    <w:rsid w:val="00DE2D38"/>
    <w:rsid w:val="00DE2DFE"/>
    <w:rsid w:val="00DE2E51"/>
    <w:rsid w:val="00DE2EFE"/>
    <w:rsid w:val="00DE3127"/>
    <w:rsid w:val="00DE32D0"/>
    <w:rsid w:val="00DE388E"/>
    <w:rsid w:val="00DE40B4"/>
    <w:rsid w:val="00DE4944"/>
    <w:rsid w:val="00DE4B0A"/>
    <w:rsid w:val="00DE4CD6"/>
    <w:rsid w:val="00DE5735"/>
    <w:rsid w:val="00DE60AD"/>
    <w:rsid w:val="00DE6142"/>
    <w:rsid w:val="00DE656D"/>
    <w:rsid w:val="00DE6712"/>
    <w:rsid w:val="00DE6B0F"/>
    <w:rsid w:val="00DE6C1C"/>
    <w:rsid w:val="00DE6C3C"/>
    <w:rsid w:val="00DE6D9D"/>
    <w:rsid w:val="00DE6EA1"/>
    <w:rsid w:val="00DE74D1"/>
    <w:rsid w:val="00DE7689"/>
    <w:rsid w:val="00DE78A6"/>
    <w:rsid w:val="00DE7A14"/>
    <w:rsid w:val="00DE7A6D"/>
    <w:rsid w:val="00DE7B76"/>
    <w:rsid w:val="00DE7D67"/>
    <w:rsid w:val="00DF0174"/>
    <w:rsid w:val="00DF0290"/>
    <w:rsid w:val="00DF0372"/>
    <w:rsid w:val="00DF04DB"/>
    <w:rsid w:val="00DF04DD"/>
    <w:rsid w:val="00DF04F3"/>
    <w:rsid w:val="00DF07D8"/>
    <w:rsid w:val="00DF08BC"/>
    <w:rsid w:val="00DF098A"/>
    <w:rsid w:val="00DF0E5B"/>
    <w:rsid w:val="00DF0F3E"/>
    <w:rsid w:val="00DF1372"/>
    <w:rsid w:val="00DF138D"/>
    <w:rsid w:val="00DF14CC"/>
    <w:rsid w:val="00DF168B"/>
    <w:rsid w:val="00DF1A1F"/>
    <w:rsid w:val="00DF1F2A"/>
    <w:rsid w:val="00DF2011"/>
    <w:rsid w:val="00DF2022"/>
    <w:rsid w:val="00DF20B3"/>
    <w:rsid w:val="00DF2157"/>
    <w:rsid w:val="00DF2248"/>
    <w:rsid w:val="00DF2489"/>
    <w:rsid w:val="00DF24A2"/>
    <w:rsid w:val="00DF24A7"/>
    <w:rsid w:val="00DF26C7"/>
    <w:rsid w:val="00DF27EE"/>
    <w:rsid w:val="00DF2C8D"/>
    <w:rsid w:val="00DF38CF"/>
    <w:rsid w:val="00DF38D2"/>
    <w:rsid w:val="00DF391E"/>
    <w:rsid w:val="00DF3D2F"/>
    <w:rsid w:val="00DF3DB2"/>
    <w:rsid w:val="00DF3F5D"/>
    <w:rsid w:val="00DF3FD3"/>
    <w:rsid w:val="00DF40E7"/>
    <w:rsid w:val="00DF42A1"/>
    <w:rsid w:val="00DF4AC3"/>
    <w:rsid w:val="00DF4FFB"/>
    <w:rsid w:val="00DF518E"/>
    <w:rsid w:val="00DF52CC"/>
    <w:rsid w:val="00DF5496"/>
    <w:rsid w:val="00DF565F"/>
    <w:rsid w:val="00DF5718"/>
    <w:rsid w:val="00DF57F6"/>
    <w:rsid w:val="00DF5B71"/>
    <w:rsid w:val="00DF5BCD"/>
    <w:rsid w:val="00DF5CF3"/>
    <w:rsid w:val="00DF5D47"/>
    <w:rsid w:val="00DF64B9"/>
    <w:rsid w:val="00DF68CF"/>
    <w:rsid w:val="00DF69E9"/>
    <w:rsid w:val="00DF6D19"/>
    <w:rsid w:val="00DF6D21"/>
    <w:rsid w:val="00DF6D66"/>
    <w:rsid w:val="00DF71F4"/>
    <w:rsid w:val="00DF75AA"/>
    <w:rsid w:val="00DF77B7"/>
    <w:rsid w:val="00DF7A37"/>
    <w:rsid w:val="00DF866E"/>
    <w:rsid w:val="00DFAE86"/>
    <w:rsid w:val="00E0017E"/>
    <w:rsid w:val="00E00313"/>
    <w:rsid w:val="00E01434"/>
    <w:rsid w:val="00E01703"/>
    <w:rsid w:val="00E017C6"/>
    <w:rsid w:val="00E0181C"/>
    <w:rsid w:val="00E019D8"/>
    <w:rsid w:val="00E019DE"/>
    <w:rsid w:val="00E01AED"/>
    <w:rsid w:val="00E01B25"/>
    <w:rsid w:val="00E01EB8"/>
    <w:rsid w:val="00E01F19"/>
    <w:rsid w:val="00E02186"/>
    <w:rsid w:val="00E02542"/>
    <w:rsid w:val="00E02946"/>
    <w:rsid w:val="00E02BE4"/>
    <w:rsid w:val="00E02C24"/>
    <w:rsid w:val="00E02ED6"/>
    <w:rsid w:val="00E0302C"/>
    <w:rsid w:val="00E0358B"/>
    <w:rsid w:val="00E03601"/>
    <w:rsid w:val="00E0372D"/>
    <w:rsid w:val="00E037CB"/>
    <w:rsid w:val="00E0382F"/>
    <w:rsid w:val="00E03C0E"/>
    <w:rsid w:val="00E03C75"/>
    <w:rsid w:val="00E03DDC"/>
    <w:rsid w:val="00E03FDF"/>
    <w:rsid w:val="00E04766"/>
    <w:rsid w:val="00E049B4"/>
    <w:rsid w:val="00E04A78"/>
    <w:rsid w:val="00E04C4F"/>
    <w:rsid w:val="00E04D51"/>
    <w:rsid w:val="00E04E97"/>
    <w:rsid w:val="00E04FCC"/>
    <w:rsid w:val="00E0514B"/>
    <w:rsid w:val="00E051FE"/>
    <w:rsid w:val="00E055AD"/>
    <w:rsid w:val="00E056D9"/>
    <w:rsid w:val="00E05897"/>
    <w:rsid w:val="00E058EA"/>
    <w:rsid w:val="00E05A3F"/>
    <w:rsid w:val="00E05FB1"/>
    <w:rsid w:val="00E06036"/>
    <w:rsid w:val="00E06209"/>
    <w:rsid w:val="00E06DAD"/>
    <w:rsid w:val="00E07059"/>
    <w:rsid w:val="00E07544"/>
    <w:rsid w:val="00E0790B"/>
    <w:rsid w:val="00E07DD4"/>
    <w:rsid w:val="00E1013E"/>
    <w:rsid w:val="00E10143"/>
    <w:rsid w:val="00E1016C"/>
    <w:rsid w:val="00E103B0"/>
    <w:rsid w:val="00E10846"/>
    <w:rsid w:val="00E10B18"/>
    <w:rsid w:val="00E1104D"/>
    <w:rsid w:val="00E1107B"/>
    <w:rsid w:val="00E1118C"/>
    <w:rsid w:val="00E112B6"/>
    <w:rsid w:val="00E11418"/>
    <w:rsid w:val="00E1153D"/>
    <w:rsid w:val="00E11810"/>
    <w:rsid w:val="00E119FB"/>
    <w:rsid w:val="00E11C8F"/>
    <w:rsid w:val="00E121AE"/>
    <w:rsid w:val="00E12219"/>
    <w:rsid w:val="00E12587"/>
    <w:rsid w:val="00E127DD"/>
    <w:rsid w:val="00E12F3D"/>
    <w:rsid w:val="00E12F93"/>
    <w:rsid w:val="00E13575"/>
    <w:rsid w:val="00E13AB7"/>
    <w:rsid w:val="00E13CD8"/>
    <w:rsid w:val="00E13EA8"/>
    <w:rsid w:val="00E1423B"/>
    <w:rsid w:val="00E14530"/>
    <w:rsid w:val="00E1478C"/>
    <w:rsid w:val="00E147DD"/>
    <w:rsid w:val="00E14886"/>
    <w:rsid w:val="00E14955"/>
    <w:rsid w:val="00E14A2B"/>
    <w:rsid w:val="00E14A75"/>
    <w:rsid w:val="00E14AA0"/>
    <w:rsid w:val="00E14AAD"/>
    <w:rsid w:val="00E1502B"/>
    <w:rsid w:val="00E15239"/>
    <w:rsid w:val="00E153D1"/>
    <w:rsid w:val="00E15564"/>
    <w:rsid w:val="00E1595A"/>
    <w:rsid w:val="00E16078"/>
    <w:rsid w:val="00E163AA"/>
    <w:rsid w:val="00E163B7"/>
    <w:rsid w:val="00E164D0"/>
    <w:rsid w:val="00E16D1C"/>
    <w:rsid w:val="00E16D5B"/>
    <w:rsid w:val="00E16E7C"/>
    <w:rsid w:val="00E16EF3"/>
    <w:rsid w:val="00E172C6"/>
    <w:rsid w:val="00E176A6"/>
    <w:rsid w:val="00E177B3"/>
    <w:rsid w:val="00E17CED"/>
    <w:rsid w:val="00E17DC9"/>
    <w:rsid w:val="00E17F09"/>
    <w:rsid w:val="00E20043"/>
    <w:rsid w:val="00E2066D"/>
    <w:rsid w:val="00E20691"/>
    <w:rsid w:val="00E208A3"/>
    <w:rsid w:val="00E20A09"/>
    <w:rsid w:val="00E20A92"/>
    <w:rsid w:val="00E20B08"/>
    <w:rsid w:val="00E20B7B"/>
    <w:rsid w:val="00E20C54"/>
    <w:rsid w:val="00E20CEC"/>
    <w:rsid w:val="00E20EB9"/>
    <w:rsid w:val="00E211A5"/>
    <w:rsid w:val="00E21724"/>
    <w:rsid w:val="00E21958"/>
    <w:rsid w:val="00E21D27"/>
    <w:rsid w:val="00E21DB9"/>
    <w:rsid w:val="00E21E3A"/>
    <w:rsid w:val="00E22538"/>
    <w:rsid w:val="00E2261F"/>
    <w:rsid w:val="00E228F3"/>
    <w:rsid w:val="00E22E7E"/>
    <w:rsid w:val="00E230F9"/>
    <w:rsid w:val="00E2361D"/>
    <w:rsid w:val="00E2392B"/>
    <w:rsid w:val="00E23B4E"/>
    <w:rsid w:val="00E23C78"/>
    <w:rsid w:val="00E23E04"/>
    <w:rsid w:val="00E243BA"/>
    <w:rsid w:val="00E24765"/>
    <w:rsid w:val="00E24979"/>
    <w:rsid w:val="00E24B67"/>
    <w:rsid w:val="00E24B8E"/>
    <w:rsid w:val="00E24BBC"/>
    <w:rsid w:val="00E24BCD"/>
    <w:rsid w:val="00E24E15"/>
    <w:rsid w:val="00E250DA"/>
    <w:rsid w:val="00E25378"/>
    <w:rsid w:val="00E2549E"/>
    <w:rsid w:val="00E25515"/>
    <w:rsid w:val="00E2569F"/>
    <w:rsid w:val="00E260B4"/>
    <w:rsid w:val="00E261AC"/>
    <w:rsid w:val="00E261F6"/>
    <w:rsid w:val="00E264A0"/>
    <w:rsid w:val="00E2655A"/>
    <w:rsid w:val="00E2699D"/>
    <w:rsid w:val="00E26B68"/>
    <w:rsid w:val="00E26C0D"/>
    <w:rsid w:val="00E26E2E"/>
    <w:rsid w:val="00E26EE6"/>
    <w:rsid w:val="00E27100"/>
    <w:rsid w:val="00E2710C"/>
    <w:rsid w:val="00E2714B"/>
    <w:rsid w:val="00E27207"/>
    <w:rsid w:val="00E27273"/>
    <w:rsid w:val="00E27494"/>
    <w:rsid w:val="00E27AA7"/>
    <w:rsid w:val="00E27AC1"/>
    <w:rsid w:val="00E27F88"/>
    <w:rsid w:val="00E3002D"/>
    <w:rsid w:val="00E301B7"/>
    <w:rsid w:val="00E3045B"/>
    <w:rsid w:val="00E304B4"/>
    <w:rsid w:val="00E305CD"/>
    <w:rsid w:val="00E308F0"/>
    <w:rsid w:val="00E30B9F"/>
    <w:rsid w:val="00E30C14"/>
    <w:rsid w:val="00E31167"/>
    <w:rsid w:val="00E3124D"/>
    <w:rsid w:val="00E312C8"/>
    <w:rsid w:val="00E314A8"/>
    <w:rsid w:val="00E31587"/>
    <w:rsid w:val="00E31832"/>
    <w:rsid w:val="00E31AFA"/>
    <w:rsid w:val="00E31DD6"/>
    <w:rsid w:val="00E31E80"/>
    <w:rsid w:val="00E322D5"/>
    <w:rsid w:val="00E3251C"/>
    <w:rsid w:val="00E32B63"/>
    <w:rsid w:val="00E32C81"/>
    <w:rsid w:val="00E32D9C"/>
    <w:rsid w:val="00E32E41"/>
    <w:rsid w:val="00E33161"/>
    <w:rsid w:val="00E33194"/>
    <w:rsid w:val="00E3346D"/>
    <w:rsid w:val="00E33530"/>
    <w:rsid w:val="00E33685"/>
    <w:rsid w:val="00E3370E"/>
    <w:rsid w:val="00E339CB"/>
    <w:rsid w:val="00E33AFE"/>
    <w:rsid w:val="00E33FE5"/>
    <w:rsid w:val="00E34950"/>
    <w:rsid w:val="00E34A2A"/>
    <w:rsid w:val="00E34AA0"/>
    <w:rsid w:val="00E34C48"/>
    <w:rsid w:val="00E34F2D"/>
    <w:rsid w:val="00E35535"/>
    <w:rsid w:val="00E356F8"/>
    <w:rsid w:val="00E35738"/>
    <w:rsid w:val="00E35AF0"/>
    <w:rsid w:val="00E35EDC"/>
    <w:rsid w:val="00E35F3C"/>
    <w:rsid w:val="00E35FDF"/>
    <w:rsid w:val="00E362B3"/>
    <w:rsid w:val="00E36685"/>
    <w:rsid w:val="00E36839"/>
    <w:rsid w:val="00E368E5"/>
    <w:rsid w:val="00E36AE8"/>
    <w:rsid w:val="00E36E38"/>
    <w:rsid w:val="00E36EEA"/>
    <w:rsid w:val="00E36F7C"/>
    <w:rsid w:val="00E372CE"/>
    <w:rsid w:val="00E374EA"/>
    <w:rsid w:val="00E37509"/>
    <w:rsid w:val="00E376B4"/>
    <w:rsid w:val="00E3772C"/>
    <w:rsid w:val="00E378F4"/>
    <w:rsid w:val="00E37A39"/>
    <w:rsid w:val="00E37BE9"/>
    <w:rsid w:val="00E37D69"/>
    <w:rsid w:val="00E37EBF"/>
    <w:rsid w:val="00E37EE7"/>
    <w:rsid w:val="00E37EF4"/>
    <w:rsid w:val="00E400BF"/>
    <w:rsid w:val="00E40348"/>
    <w:rsid w:val="00E404D1"/>
    <w:rsid w:val="00E405D0"/>
    <w:rsid w:val="00E406C1"/>
    <w:rsid w:val="00E407E8"/>
    <w:rsid w:val="00E408E4"/>
    <w:rsid w:val="00E4091C"/>
    <w:rsid w:val="00E40A95"/>
    <w:rsid w:val="00E40B29"/>
    <w:rsid w:val="00E41829"/>
    <w:rsid w:val="00E41853"/>
    <w:rsid w:val="00E41A21"/>
    <w:rsid w:val="00E41B55"/>
    <w:rsid w:val="00E41F0B"/>
    <w:rsid w:val="00E4216B"/>
    <w:rsid w:val="00E422E3"/>
    <w:rsid w:val="00E428BB"/>
    <w:rsid w:val="00E42AEB"/>
    <w:rsid w:val="00E42B52"/>
    <w:rsid w:val="00E42BE9"/>
    <w:rsid w:val="00E43114"/>
    <w:rsid w:val="00E432BA"/>
    <w:rsid w:val="00E435FC"/>
    <w:rsid w:val="00E4364C"/>
    <w:rsid w:val="00E43668"/>
    <w:rsid w:val="00E43688"/>
    <w:rsid w:val="00E43886"/>
    <w:rsid w:val="00E43A4B"/>
    <w:rsid w:val="00E43DF6"/>
    <w:rsid w:val="00E43E2F"/>
    <w:rsid w:val="00E440AA"/>
    <w:rsid w:val="00E44330"/>
    <w:rsid w:val="00E44934"/>
    <w:rsid w:val="00E44C27"/>
    <w:rsid w:val="00E44C29"/>
    <w:rsid w:val="00E44C73"/>
    <w:rsid w:val="00E44C96"/>
    <w:rsid w:val="00E44C9C"/>
    <w:rsid w:val="00E44E8A"/>
    <w:rsid w:val="00E44EBE"/>
    <w:rsid w:val="00E45105"/>
    <w:rsid w:val="00E45317"/>
    <w:rsid w:val="00E454B4"/>
    <w:rsid w:val="00E45616"/>
    <w:rsid w:val="00E456C6"/>
    <w:rsid w:val="00E456D9"/>
    <w:rsid w:val="00E45B96"/>
    <w:rsid w:val="00E45F33"/>
    <w:rsid w:val="00E463E0"/>
    <w:rsid w:val="00E46ADB"/>
    <w:rsid w:val="00E46B3F"/>
    <w:rsid w:val="00E46DE9"/>
    <w:rsid w:val="00E47526"/>
    <w:rsid w:val="00E47639"/>
    <w:rsid w:val="00E479D9"/>
    <w:rsid w:val="00E479F4"/>
    <w:rsid w:val="00E47AAA"/>
    <w:rsid w:val="00E47B5C"/>
    <w:rsid w:val="00E5017A"/>
    <w:rsid w:val="00E50894"/>
    <w:rsid w:val="00E5090C"/>
    <w:rsid w:val="00E50C00"/>
    <w:rsid w:val="00E50C72"/>
    <w:rsid w:val="00E50E66"/>
    <w:rsid w:val="00E516A6"/>
    <w:rsid w:val="00E51E08"/>
    <w:rsid w:val="00E5270D"/>
    <w:rsid w:val="00E52720"/>
    <w:rsid w:val="00E5289B"/>
    <w:rsid w:val="00E52A1D"/>
    <w:rsid w:val="00E52D77"/>
    <w:rsid w:val="00E53160"/>
    <w:rsid w:val="00E531CE"/>
    <w:rsid w:val="00E5342F"/>
    <w:rsid w:val="00E535D3"/>
    <w:rsid w:val="00E535FA"/>
    <w:rsid w:val="00E53627"/>
    <w:rsid w:val="00E53A34"/>
    <w:rsid w:val="00E53E8D"/>
    <w:rsid w:val="00E5477A"/>
    <w:rsid w:val="00E5490D"/>
    <w:rsid w:val="00E54A45"/>
    <w:rsid w:val="00E54ABC"/>
    <w:rsid w:val="00E54D72"/>
    <w:rsid w:val="00E54F45"/>
    <w:rsid w:val="00E54FCD"/>
    <w:rsid w:val="00E54FFC"/>
    <w:rsid w:val="00E55585"/>
    <w:rsid w:val="00E557CA"/>
    <w:rsid w:val="00E55843"/>
    <w:rsid w:val="00E55B3C"/>
    <w:rsid w:val="00E55DCA"/>
    <w:rsid w:val="00E55EDB"/>
    <w:rsid w:val="00E55FF0"/>
    <w:rsid w:val="00E56282"/>
    <w:rsid w:val="00E56319"/>
    <w:rsid w:val="00E563A2"/>
    <w:rsid w:val="00E563C6"/>
    <w:rsid w:val="00E56484"/>
    <w:rsid w:val="00E564BB"/>
    <w:rsid w:val="00E56A11"/>
    <w:rsid w:val="00E56BA7"/>
    <w:rsid w:val="00E56D83"/>
    <w:rsid w:val="00E56EE3"/>
    <w:rsid w:val="00E56FB9"/>
    <w:rsid w:val="00E56FD7"/>
    <w:rsid w:val="00E57502"/>
    <w:rsid w:val="00E57703"/>
    <w:rsid w:val="00E5771D"/>
    <w:rsid w:val="00E57B3C"/>
    <w:rsid w:val="00E57DBA"/>
    <w:rsid w:val="00E60187"/>
    <w:rsid w:val="00E60566"/>
    <w:rsid w:val="00E605A4"/>
    <w:rsid w:val="00E60925"/>
    <w:rsid w:val="00E60CC4"/>
    <w:rsid w:val="00E60D67"/>
    <w:rsid w:val="00E60E88"/>
    <w:rsid w:val="00E60FB8"/>
    <w:rsid w:val="00E610C0"/>
    <w:rsid w:val="00E61326"/>
    <w:rsid w:val="00E61441"/>
    <w:rsid w:val="00E614C3"/>
    <w:rsid w:val="00E61802"/>
    <w:rsid w:val="00E6189A"/>
    <w:rsid w:val="00E61CCD"/>
    <w:rsid w:val="00E61E57"/>
    <w:rsid w:val="00E61EB2"/>
    <w:rsid w:val="00E61FBD"/>
    <w:rsid w:val="00E62006"/>
    <w:rsid w:val="00E62169"/>
    <w:rsid w:val="00E62616"/>
    <w:rsid w:val="00E628FC"/>
    <w:rsid w:val="00E6299E"/>
    <w:rsid w:val="00E630B8"/>
    <w:rsid w:val="00E63209"/>
    <w:rsid w:val="00E6335A"/>
    <w:rsid w:val="00E63466"/>
    <w:rsid w:val="00E6385D"/>
    <w:rsid w:val="00E63890"/>
    <w:rsid w:val="00E63925"/>
    <w:rsid w:val="00E63CFE"/>
    <w:rsid w:val="00E63FCD"/>
    <w:rsid w:val="00E63FF4"/>
    <w:rsid w:val="00E6413E"/>
    <w:rsid w:val="00E6463A"/>
    <w:rsid w:val="00E6477E"/>
    <w:rsid w:val="00E647A7"/>
    <w:rsid w:val="00E649FE"/>
    <w:rsid w:val="00E64F8A"/>
    <w:rsid w:val="00E651BE"/>
    <w:rsid w:val="00E652F1"/>
    <w:rsid w:val="00E6531F"/>
    <w:rsid w:val="00E6564F"/>
    <w:rsid w:val="00E656CA"/>
    <w:rsid w:val="00E65778"/>
    <w:rsid w:val="00E65969"/>
    <w:rsid w:val="00E659F4"/>
    <w:rsid w:val="00E65C61"/>
    <w:rsid w:val="00E66583"/>
    <w:rsid w:val="00E66784"/>
    <w:rsid w:val="00E667EE"/>
    <w:rsid w:val="00E6688D"/>
    <w:rsid w:val="00E66CB6"/>
    <w:rsid w:val="00E671B2"/>
    <w:rsid w:val="00E6720E"/>
    <w:rsid w:val="00E6726D"/>
    <w:rsid w:val="00E6762D"/>
    <w:rsid w:val="00E67750"/>
    <w:rsid w:val="00E677E7"/>
    <w:rsid w:val="00E67A5F"/>
    <w:rsid w:val="00E67BC1"/>
    <w:rsid w:val="00E67DFF"/>
    <w:rsid w:val="00E67FE8"/>
    <w:rsid w:val="00E70043"/>
    <w:rsid w:val="00E700D1"/>
    <w:rsid w:val="00E70454"/>
    <w:rsid w:val="00E7076F"/>
    <w:rsid w:val="00E70B2B"/>
    <w:rsid w:val="00E7101C"/>
    <w:rsid w:val="00E71094"/>
    <w:rsid w:val="00E71190"/>
    <w:rsid w:val="00E711B2"/>
    <w:rsid w:val="00E7153D"/>
    <w:rsid w:val="00E718AA"/>
    <w:rsid w:val="00E71ED4"/>
    <w:rsid w:val="00E71F8C"/>
    <w:rsid w:val="00E7213D"/>
    <w:rsid w:val="00E7227C"/>
    <w:rsid w:val="00E72975"/>
    <w:rsid w:val="00E729C8"/>
    <w:rsid w:val="00E72DDA"/>
    <w:rsid w:val="00E72E05"/>
    <w:rsid w:val="00E72E0C"/>
    <w:rsid w:val="00E72F62"/>
    <w:rsid w:val="00E73792"/>
    <w:rsid w:val="00E73D6A"/>
    <w:rsid w:val="00E73F33"/>
    <w:rsid w:val="00E73F34"/>
    <w:rsid w:val="00E73F54"/>
    <w:rsid w:val="00E741EA"/>
    <w:rsid w:val="00E74863"/>
    <w:rsid w:val="00E74B1E"/>
    <w:rsid w:val="00E750CA"/>
    <w:rsid w:val="00E7523E"/>
    <w:rsid w:val="00E7543F"/>
    <w:rsid w:val="00E754DD"/>
    <w:rsid w:val="00E756B8"/>
    <w:rsid w:val="00E75979"/>
    <w:rsid w:val="00E759E5"/>
    <w:rsid w:val="00E75A54"/>
    <w:rsid w:val="00E75BA0"/>
    <w:rsid w:val="00E75CA7"/>
    <w:rsid w:val="00E75E84"/>
    <w:rsid w:val="00E75E8A"/>
    <w:rsid w:val="00E7630A"/>
    <w:rsid w:val="00E763F4"/>
    <w:rsid w:val="00E763F5"/>
    <w:rsid w:val="00E76523"/>
    <w:rsid w:val="00E767FD"/>
    <w:rsid w:val="00E76A46"/>
    <w:rsid w:val="00E76B2E"/>
    <w:rsid w:val="00E76B5C"/>
    <w:rsid w:val="00E76C0D"/>
    <w:rsid w:val="00E77270"/>
    <w:rsid w:val="00E7732A"/>
    <w:rsid w:val="00E7745C"/>
    <w:rsid w:val="00E77522"/>
    <w:rsid w:val="00E77799"/>
    <w:rsid w:val="00E777A1"/>
    <w:rsid w:val="00E77AF3"/>
    <w:rsid w:val="00E77C39"/>
    <w:rsid w:val="00E77C43"/>
    <w:rsid w:val="00E77C8D"/>
    <w:rsid w:val="00E80670"/>
    <w:rsid w:val="00E811D9"/>
    <w:rsid w:val="00E8120C"/>
    <w:rsid w:val="00E8122C"/>
    <w:rsid w:val="00E8150D"/>
    <w:rsid w:val="00E81D6D"/>
    <w:rsid w:val="00E81EE9"/>
    <w:rsid w:val="00E81EF9"/>
    <w:rsid w:val="00E82066"/>
    <w:rsid w:val="00E820D8"/>
    <w:rsid w:val="00E82193"/>
    <w:rsid w:val="00E82350"/>
    <w:rsid w:val="00E8236A"/>
    <w:rsid w:val="00E82714"/>
    <w:rsid w:val="00E82B4C"/>
    <w:rsid w:val="00E82C84"/>
    <w:rsid w:val="00E82E1C"/>
    <w:rsid w:val="00E83200"/>
    <w:rsid w:val="00E83358"/>
    <w:rsid w:val="00E833B1"/>
    <w:rsid w:val="00E833D2"/>
    <w:rsid w:val="00E83521"/>
    <w:rsid w:val="00E836AF"/>
    <w:rsid w:val="00E83750"/>
    <w:rsid w:val="00E83974"/>
    <w:rsid w:val="00E840AE"/>
    <w:rsid w:val="00E840E3"/>
    <w:rsid w:val="00E8466C"/>
    <w:rsid w:val="00E84BC9"/>
    <w:rsid w:val="00E84BD0"/>
    <w:rsid w:val="00E8504F"/>
    <w:rsid w:val="00E85100"/>
    <w:rsid w:val="00E85151"/>
    <w:rsid w:val="00E855B6"/>
    <w:rsid w:val="00E85601"/>
    <w:rsid w:val="00E85687"/>
    <w:rsid w:val="00E8583A"/>
    <w:rsid w:val="00E85AB0"/>
    <w:rsid w:val="00E85EF4"/>
    <w:rsid w:val="00E863D8"/>
    <w:rsid w:val="00E86913"/>
    <w:rsid w:val="00E86E91"/>
    <w:rsid w:val="00E86E9C"/>
    <w:rsid w:val="00E86F64"/>
    <w:rsid w:val="00E86F82"/>
    <w:rsid w:val="00E87531"/>
    <w:rsid w:val="00E875A3"/>
    <w:rsid w:val="00E875CB"/>
    <w:rsid w:val="00E87A69"/>
    <w:rsid w:val="00E87A73"/>
    <w:rsid w:val="00E87E13"/>
    <w:rsid w:val="00E87F4B"/>
    <w:rsid w:val="00E9074F"/>
    <w:rsid w:val="00E907A0"/>
    <w:rsid w:val="00E90935"/>
    <w:rsid w:val="00E90B9F"/>
    <w:rsid w:val="00E90D4D"/>
    <w:rsid w:val="00E90E5C"/>
    <w:rsid w:val="00E91A9C"/>
    <w:rsid w:val="00E91C7F"/>
    <w:rsid w:val="00E91E7E"/>
    <w:rsid w:val="00E920C9"/>
    <w:rsid w:val="00E92640"/>
    <w:rsid w:val="00E926E3"/>
    <w:rsid w:val="00E926F6"/>
    <w:rsid w:val="00E92889"/>
    <w:rsid w:val="00E92CAA"/>
    <w:rsid w:val="00E92F1A"/>
    <w:rsid w:val="00E92F32"/>
    <w:rsid w:val="00E9306B"/>
    <w:rsid w:val="00E93207"/>
    <w:rsid w:val="00E93372"/>
    <w:rsid w:val="00E93524"/>
    <w:rsid w:val="00E935D6"/>
    <w:rsid w:val="00E93657"/>
    <w:rsid w:val="00E936E3"/>
    <w:rsid w:val="00E93902"/>
    <w:rsid w:val="00E93B53"/>
    <w:rsid w:val="00E93CFF"/>
    <w:rsid w:val="00E94046"/>
    <w:rsid w:val="00E94117"/>
    <w:rsid w:val="00E9451B"/>
    <w:rsid w:val="00E94566"/>
    <w:rsid w:val="00E94860"/>
    <w:rsid w:val="00E94975"/>
    <w:rsid w:val="00E94A1C"/>
    <w:rsid w:val="00E94B2A"/>
    <w:rsid w:val="00E94C34"/>
    <w:rsid w:val="00E9522A"/>
    <w:rsid w:val="00E9537F"/>
    <w:rsid w:val="00E9596B"/>
    <w:rsid w:val="00E95AF7"/>
    <w:rsid w:val="00E95B4E"/>
    <w:rsid w:val="00E95E4E"/>
    <w:rsid w:val="00E95F35"/>
    <w:rsid w:val="00E960E1"/>
    <w:rsid w:val="00E96137"/>
    <w:rsid w:val="00E961D8"/>
    <w:rsid w:val="00E966DF"/>
    <w:rsid w:val="00E96792"/>
    <w:rsid w:val="00E968FB"/>
    <w:rsid w:val="00E9711F"/>
    <w:rsid w:val="00E97172"/>
    <w:rsid w:val="00E97711"/>
    <w:rsid w:val="00E97771"/>
    <w:rsid w:val="00E97875"/>
    <w:rsid w:val="00E97FB3"/>
    <w:rsid w:val="00EA083C"/>
    <w:rsid w:val="00EA0AA2"/>
    <w:rsid w:val="00EA1421"/>
    <w:rsid w:val="00EA1649"/>
    <w:rsid w:val="00EA178A"/>
    <w:rsid w:val="00EA19C9"/>
    <w:rsid w:val="00EA1A6E"/>
    <w:rsid w:val="00EA1AB2"/>
    <w:rsid w:val="00EA1C44"/>
    <w:rsid w:val="00EA1DF2"/>
    <w:rsid w:val="00EA21E4"/>
    <w:rsid w:val="00EA2A0B"/>
    <w:rsid w:val="00EA2BC6"/>
    <w:rsid w:val="00EA2EE2"/>
    <w:rsid w:val="00EA3870"/>
    <w:rsid w:val="00EA3943"/>
    <w:rsid w:val="00EA3B87"/>
    <w:rsid w:val="00EA4076"/>
    <w:rsid w:val="00EA4286"/>
    <w:rsid w:val="00EA43BC"/>
    <w:rsid w:val="00EA495C"/>
    <w:rsid w:val="00EA4CD1"/>
    <w:rsid w:val="00EA4E6A"/>
    <w:rsid w:val="00EA4ED1"/>
    <w:rsid w:val="00EA4EEE"/>
    <w:rsid w:val="00EA544A"/>
    <w:rsid w:val="00EA5849"/>
    <w:rsid w:val="00EA5B5B"/>
    <w:rsid w:val="00EA5EFE"/>
    <w:rsid w:val="00EA5F3F"/>
    <w:rsid w:val="00EA6240"/>
    <w:rsid w:val="00EA63A7"/>
    <w:rsid w:val="00EA63BF"/>
    <w:rsid w:val="00EA647B"/>
    <w:rsid w:val="00EA659F"/>
    <w:rsid w:val="00EA6885"/>
    <w:rsid w:val="00EA6D67"/>
    <w:rsid w:val="00EA6F18"/>
    <w:rsid w:val="00EA7072"/>
    <w:rsid w:val="00EA70FC"/>
    <w:rsid w:val="00EA7173"/>
    <w:rsid w:val="00EA736D"/>
    <w:rsid w:val="00EA74A7"/>
    <w:rsid w:val="00EA788E"/>
    <w:rsid w:val="00EA795D"/>
    <w:rsid w:val="00EA79B7"/>
    <w:rsid w:val="00EA7B1A"/>
    <w:rsid w:val="00EA7B25"/>
    <w:rsid w:val="00EA7E1F"/>
    <w:rsid w:val="00EA7E3F"/>
    <w:rsid w:val="00EB01DF"/>
    <w:rsid w:val="00EB0341"/>
    <w:rsid w:val="00EB049D"/>
    <w:rsid w:val="00EB08D7"/>
    <w:rsid w:val="00EB08EE"/>
    <w:rsid w:val="00EB0C84"/>
    <w:rsid w:val="00EB0DC2"/>
    <w:rsid w:val="00EB11CE"/>
    <w:rsid w:val="00EB14D0"/>
    <w:rsid w:val="00EB1526"/>
    <w:rsid w:val="00EB16B5"/>
    <w:rsid w:val="00EB17DD"/>
    <w:rsid w:val="00EB1914"/>
    <w:rsid w:val="00EB1A94"/>
    <w:rsid w:val="00EB1D54"/>
    <w:rsid w:val="00EB1E10"/>
    <w:rsid w:val="00EB2095"/>
    <w:rsid w:val="00EB222B"/>
    <w:rsid w:val="00EB2282"/>
    <w:rsid w:val="00EB22F3"/>
    <w:rsid w:val="00EB236F"/>
    <w:rsid w:val="00EB2517"/>
    <w:rsid w:val="00EB2687"/>
    <w:rsid w:val="00EB26E0"/>
    <w:rsid w:val="00EB2975"/>
    <w:rsid w:val="00EB2A27"/>
    <w:rsid w:val="00EB2B71"/>
    <w:rsid w:val="00EB2EF6"/>
    <w:rsid w:val="00EB3083"/>
    <w:rsid w:val="00EB3536"/>
    <w:rsid w:val="00EB39AE"/>
    <w:rsid w:val="00EB3E93"/>
    <w:rsid w:val="00EB3F6E"/>
    <w:rsid w:val="00EB41AA"/>
    <w:rsid w:val="00EB4491"/>
    <w:rsid w:val="00EB4713"/>
    <w:rsid w:val="00EB4EFC"/>
    <w:rsid w:val="00EB5007"/>
    <w:rsid w:val="00EB5020"/>
    <w:rsid w:val="00EB50B1"/>
    <w:rsid w:val="00EB5271"/>
    <w:rsid w:val="00EB55E7"/>
    <w:rsid w:val="00EB592F"/>
    <w:rsid w:val="00EB5CA3"/>
    <w:rsid w:val="00EB618E"/>
    <w:rsid w:val="00EB61DD"/>
    <w:rsid w:val="00EB62B3"/>
    <w:rsid w:val="00EB671F"/>
    <w:rsid w:val="00EB6731"/>
    <w:rsid w:val="00EB682C"/>
    <w:rsid w:val="00EB6901"/>
    <w:rsid w:val="00EB6A24"/>
    <w:rsid w:val="00EB7547"/>
    <w:rsid w:val="00EB7684"/>
    <w:rsid w:val="00EB79BE"/>
    <w:rsid w:val="00EB7C2F"/>
    <w:rsid w:val="00EC0046"/>
    <w:rsid w:val="00EC008D"/>
    <w:rsid w:val="00EC0104"/>
    <w:rsid w:val="00EC027E"/>
    <w:rsid w:val="00EC0768"/>
    <w:rsid w:val="00EC07C7"/>
    <w:rsid w:val="00EC09AB"/>
    <w:rsid w:val="00EC0B3E"/>
    <w:rsid w:val="00EC0B9F"/>
    <w:rsid w:val="00EC0DD7"/>
    <w:rsid w:val="00EC12C6"/>
    <w:rsid w:val="00EC1ABE"/>
    <w:rsid w:val="00EC1DC5"/>
    <w:rsid w:val="00EC1DE7"/>
    <w:rsid w:val="00EC1E35"/>
    <w:rsid w:val="00EC2011"/>
    <w:rsid w:val="00EC21EC"/>
    <w:rsid w:val="00EC2242"/>
    <w:rsid w:val="00EC22AB"/>
    <w:rsid w:val="00EC25CF"/>
    <w:rsid w:val="00EC2B23"/>
    <w:rsid w:val="00EC2B69"/>
    <w:rsid w:val="00EC2B6B"/>
    <w:rsid w:val="00EC2DDB"/>
    <w:rsid w:val="00EC307B"/>
    <w:rsid w:val="00EC32E9"/>
    <w:rsid w:val="00EC3BA1"/>
    <w:rsid w:val="00EC3BD7"/>
    <w:rsid w:val="00EC3C1E"/>
    <w:rsid w:val="00EC4087"/>
    <w:rsid w:val="00EC4095"/>
    <w:rsid w:val="00EC427C"/>
    <w:rsid w:val="00EC42FB"/>
    <w:rsid w:val="00EC44B2"/>
    <w:rsid w:val="00EC44E3"/>
    <w:rsid w:val="00EC48D1"/>
    <w:rsid w:val="00EC4A17"/>
    <w:rsid w:val="00EC4AA6"/>
    <w:rsid w:val="00EC4B76"/>
    <w:rsid w:val="00EC4ECF"/>
    <w:rsid w:val="00EC5363"/>
    <w:rsid w:val="00EC5458"/>
    <w:rsid w:val="00EC5470"/>
    <w:rsid w:val="00EC5689"/>
    <w:rsid w:val="00EC56EF"/>
    <w:rsid w:val="00EC5710"/>
    <w:rsid w:val="00EC57F8"/>
    <w:rsid w:val="00EC5BCB"/>
    <w:rsid w:val="00EC5E09"/>
    <w:rsid w:val="00EC6084"/>
    <w:rsid w:val="00EC60F0"/>
    <w:rsid w:val="00EC62A7"/>
    <w:rsid w:val="00EC6E51"/>
    <w:rsid w:val="00EC6F70"/>
    <w:rsid w:val="00EC70C3"/>
    <w:rsid w:val="00EC728F"/>
    <w:rsid w:val="00EC7293"/>
    <w:rsid w:val="00EC73FB"/>
    <w:rsid w:val="00EC744D"/>
    <w:rsid w:val="00EC76DD"/>
    <w:rsid w:val="00EC78CF"/>
    <w:rsid w:val="00EC7D11"/>
    <w:rsid w:val="00EC7D6B"/>
    <w:rsid w:val="00EC7D8B"/>
    <w:rsid w:val="00ED0098"/>
    <w:rsid w:val="00ED017D"/>
    <w:rsid w:val="00ED047E"/>
    <w:rsid w:val="00ED04F7"/>
    <w:rsid w:val="00ED0720"/>
    <w:rsid w:val="00ED0D92"/>
    <w:rsid w:val="00ED0E32"/>
    <w:rsid w:val="00ED0EDF"/>
    <w:rsid w:val="00ED10BE"/>
    <w:rsid w:val="00ED1299"/>
    <w:rsid w:val="00ED13C8"/>
    <w:rsid w:val="00ED1554"/>
    <w:rsid w:val="00ED1A2E"/>
    <w:rsid w:val="00ED1AB4"/>
    <w:rsid w:val="00ED1BE2"/>
    <w:rsid w:val="00ED1D3A"/>
    <w:rsid w:val="00ED256B"/>
    <w:rsid w:val="00ED2692"/>
    <w:rsid w:val="00ED2929"/>
    <w:rsid w:val="00ED2A0C"/>
    <w:rsid w:val="00ED2BC1"/>
    <w:rsid w:val="00ED2DA7"/>
    <w:rsid w:val="00ED3003"/>
    <w:rsid w:val="00ED327C"/>
    <w:rsid w:val="00ED361A"/>
    <w:rsid w:val="00ED3673"/>
    <w:rsid w:val="00ED3732"/>
    <w:rsid w:val="00ED3751"/>
    <w:rsid w:val="00ED39D0"/>
    <w:rsid w:val="00ED3A82"/>
    <w:rsid w:val="00ED3E1A"/>
    <w:rsid w:val="00ED3E99"/>
    <w:rsid w:val="00ED3EBC"/>
    <w:rsid w:val="00ED3F92"/>
    <w:rsid w:val="00ED4140"/>
    <w:rsid w:val="00ED4170"/>
    <w:rsid w:val="00ED421D"/>
    <w:rsid w:val="00ED44D2"/>
    <w:rsid w:val="00ED4577"/>
    <w:rsid w:val="00ED4968"/>
    <w:rsid w:val="00ED497F"/>
    <w:rsid w:val="00ED4ED3"/>
    <w:rsid w:val="00ED4FEC"/>
    <w:rsid w:val="00ED51E0"/>
    <w:rsid w:val="00ED52B3"/>
    <w:rsid w:val="00ED5350"/>
    <w:rsid w:val="00ED542F"/>
    <w:rsid w:val="00ED5B0B"/>
    <w:rsid w:val="00ED5D2E"/>
    <w:rsid w:val="00ED60B8"/>
    <w:rsid w:val="00ED6164"/>
    <w:rsid w:val="00ED63EF"/>
    <w:rsid w:val="00ED677F"/>
    <w:rsid w:val="00ED68FB"/>
    <w:rsid w:val="00ED6CB8"/>
    <w:rsid w:val="00ED6FCA"/>
    <w:rsid w:val="00ED7108"/>
    <w:rsid w:val="00ED75A3"/>
    <w:rsid w:val="00ED75BE"/>
    <w:rsid w:val="00ED76B6"/>
    <w:rsid w:val="00ED7DD9"/>
    <w:rsid w:val="00ED7EDD"/>
    <w:rsid w:val="00ED7FCE"/>
    <w:rsid w:val="00EE0071"/>
    <w:rsid w:val="00EE0151"/>
    <w:rsid w:val="00EE033F"/>
    <w:rsid w:val="00EE0390"/>
    <w:rsid w:val="00EE0440"/>
    <w:rsid w:val="00EE04E0"/>
    <w:rsid w:val="00EE08E8"/>
    <w:rsid w:val="00EE0A6B"/>
    <w:rsid w:val="00EE0BEC"/>
    <w:rsid w:val="00EE0CFD"/>
    <w:rsid w:val="00EE0F3C"/>
    <w:rsid w:val="00EE0FA4"/>
    <w:rsid w:val="00EE1272"/>
    <w:rsid w:val="00EE15C0"/>
    <w:rsid w:val="00EE1818"/>
    <w:rsid w:val="00EE1A45"/>
    <w:rsid w:val="00EE1C04"/>
    <w:rsid w:val="00EE1E1E"/>
    <w:rsid w:val="00EE1ECB"/>
    <w:rsid w:val="00EE1F83"/>
    <w:rsid w:val="00EE200E"/>
    <w:rsid w:val="00EE2384"/>
    <w:rsid w:val="00EE247F"/>
    <w:rsid w:val="00EE24FA"/>
    <w:rsid w:val="00EE254A"/>
    <w:rsid w:val="00EE2806"/>
    <w:rsid w:val="00EE28D6"/>
    <w:rsid w:val="00EE2D76"/>
    <w:rsid w:val="00EE33CD"/>
    <w:rsid w:val="00EE3542"/>
    <w:rsid w:val="00EE369E"/>
    <w:rsid w:val="00EE3CC7"/>
    <w:rsid w:val="00EE3ECC"/>
    <w:rsid w:val="00EE3FFD"/>
    <w:rsid w:val="00EE42DE"/>
    <w:rsid w:val="00EE44AD"/>
    <w:rsid w:val="00EE4541"/>
    <w:rsid w:val="00EE48B0"/>
    <w:rsid w:val="00EE4A91"/>
    <w:rsid w:val="00EE4B03"/>
    <w:rsid w:val="00EE4BA2"/>
    <w:rsid w:val="00EE4E19"/>
    <w:rsid w:val="00EE4E6A"/>
    <w:rsid w:val="00EE4EF7"/>
    <w:rsid w:val="00EE53B0"/>
    <w:rsid w:val="00EE56D1"/>
    <w:rsid w:val="00EE5765"/>
    <w:rsid w:val="00EE584A"/>
    <w:rsid w:val="00EE58FF"/>
    <w:rsid w:val="00EE5D2D"/>
    <w:rsid w:val="00EE5F55"/>
    <w:rsid w:val="00EE6196"/>
    <w:rsid w:val="00EE632A"/>
    <w:rsid w:val="00EE6401"/>
    <w:rsid w:val="00EE65FC"/>
    <w:rsid w:val="00EE6600"/>
    <w:rsid w:val="00EE66D6"/>
    <w:rsid w:val="00EE66FC"/>
    <w:rsid w:val="00EE6AC3"/>
    <w:rsid w:val="00EE6BB8"/>
    <w:rsid w:val="00EE7107"/>
    <w:rsid w:val="00EE750B"/>
    <w:rsid w:val="00EE77A2"/>
    <w:rsid w:val="00EE78B7"/>
    <w:rsid w:val="00EE7A2F"/>
    <w:rsid w:val="00EE7A8A"/>
    <w:rsid w:val="00EE7E9A"/>
    <w:rsid w:val="00EF052B"/>
    <w:rsid w:val="00EF0610"/>
    <w:rsid w:val="00EF0803"/>
    <w:rsid w:val="00EF0FD3"/>
    <w:rsid w:val="00EF112E"/>
    <w:rsid w:val="00EF119F"/>
    <w:rsid w:val="00EF1D62"/>
    <w:rsid w:val="00EF1ED5"/>
    <w:rsid w:val="00EF1F7D"/>
    <w:rsid w:val="00EF20AE"/>
    <w:rsid w:val="00EF20D8"/>
    <w:rsid w:val="00EF225B"/>
    <w:rsid w:val="00EF22D7"/>
    <w:rsid w:val="00EF2A39"/>
    <w:rsid w:val="00EF2EDD"/>
    <w:rsid w:val="00EF31CF"/>
    <w:rsid w:val="00EF326A"/>
    <w:rsid w:val="00EF39C0"/>
    <w:rsid w:val="00EF3A5C"/>
    <w:rsid w:val="00EF3AEB"/>
    <w:rsid w:val="00EF3B76"/>
    <w:rsid w:val="00EF3DE8"/>
    <w:rsid w:val="00EF3EF8"/>
    <w:rsid w:val="00EF3FDD"/>
    <w:rsid w:val="00EF41D0"/>
    <w:rsid w:val="00EF41F5"/>
    <w:rsid w:val="00EF4310"/>
    <w:rsid w:val="00EF457C"/>
    <w:rsid w:val="00EF461E"/>
    <w:rsid w:val="00EF478C"/>
    <w:rsid w:val="00EF495D"/>
    <w:rsid w:val="00EF4C0F"/>
    <w:rsid w:val="00EF4E38"/>
    <w:rsid w:val="00EF5230"/>
    <w:rsid w:val="00EF5557"/>
    <w:rsid w:val="00EF55DC"/>
    <w:rsid w:val="00EF5E49"/>
    <w:rsid w:val="00EF6027"/>
    <w:rsid w:val="00EF620A"/>
    <w:rsid w:val="00EF63BE"/>
    <w:rsid w:val="00EF65D1"/>
    <w:rsid w:val="00EF6BCB"/>
    <w:rsid w:val="00EF6F71"/>
    <w:rsid w:val="00EF7692"/>
    <w:rsid w:val="00EF771E"/>
    <w:rsid w:val="00EF77D4"/>
    <w:rsid w:val="00EF796A"/>
    <w:rsid w:val="00EF7D6C"/>
    <w:rsid w:val="00F004B6"/>
    <w:rsid w:val="00F004ED"/>
    <w:rsid w:val="00F0072D"/>
    <w:rsid w:val="00F00841"/>
    <w:rsid w:val="00F00B32"/>
    <w:rsid w:val="00F00B48"/>
    <w:rsid w:val="00F00BA9"/>
    <w:rsid w:val="00F00DD5"/>
    <w:rsid w:val="00F00EFB"/>
    <w:rsid w:val="00F01236"/>
    <w:rsid w:val="00F0126B"/>
    <w:rsid w:val="00F012A7"/>
    <w:rsid w:val="00F0141D"/>
    <w:rsid w:val="00F01499"/>
    <w:rsid w:val="00F0159D"/>
    <w:rsid w:val="00F017AC"/>
    <w:rsid w:val="00F01927"/>
    <w:rsid w:val="00F01C3B"/>
    <w:rsid w:val="00F01EE9"/>
    <w:rsid w:val="00F01F4A"/>
    <w:rsid w:val="00F02195"/>
    <w:rsid w:val="00F022B0"/>
    <w:rsid w:val="00F023AC"/>
    <w:rsid w:val="00F02632"/>
    <w:rsid w:val="00F0273E"/>
    <w:rsid w:val="00F02972"/>
    <w:rsid w:val="00F029F6"/>
    <w:rsid w:val="00F02C10"/>
    <w:rsid w:val="00F02C9A"/>
    <w:rsid w:val="00F033E3"/>
    <w:rsid w:val="00F03678"/>
    <w:rsid w:val="00F03DBC"/>
    <w:rsid w:val="00F03F75"/>
    <w:rsid w:val="00F040BA"/>
    <w:rsid w:val="00F040FE"/>
    <w:rsid w:val="00F04380"/>
    <w:rsid w:val="00F04401"/>
    <w:rsid w:val="00F04B3C"/>
    <w:rsid w:val="00F04D02"/>
    <w:rsid w:val="00F04DCA"/>
    <w:rsid w:val="00F04DE7"/>
    <w:rsid w:val="00F054AD"/>
    <w:rsid w:val="00F056B7"/>
    <w:rsid w:val="00F05A67"/>
    <w:rsid w:val="00F05EB1"/>
    <w:rsid w:val="00F0617C"/>
    <w:rsid w:val="00F063A3"/>
    <w:rsid w:val="00F06650"/>
    <w:rsid w:val="00F0667A"/>
    <w:rsid w:val="00F067A4"/>
    <w:rsid w:val="00F06869"/>
    <w:rsid w:val="00F06A9F"/>
    <w:rsid w:val="00F06B22"/>
    <w:rsid w:val="00F06F31"/>
    <w:rsid w:val="00F0726D"/>
    <w:rsid w:val="00F0755E"/>
    <w:rsid w:val="00F0786D"/>
    <w:rsid w:val="00F079E2"/>
    <w:rsid w:val="00F101EE"/>
    <w:rsid w:val="00F104F8"/>
    <w:rsid w:val="00F10682"/>
    <w:rsid w:val="00F10882"/>
    <w:rsid w:val="00F1088E"/>
    <w:rsid w:val="00F10BF0"/>
    <w:rsid w:val="00F10FA8"/>
    <w:rsid w:val="00F11046"/>
    <w:rsid w:val="00F11083"/>
    <w:rsid w:val="00F111B6"/>
    <w:rsid w:val="00F111F7"/>
    <w:rsid w:val="00F123BD"/>
    <w:rsid w:val="00F125C5"/>
    <w:rsid w:val="00F12B77"/>
    <w:rsid w:val="00F12B95"/>
    <w:rsid w:val="00F12DCE"/>
    <w:rsid w:val="00F12DFA"/>
    <w:rsid w:val="00F12FAD"/>
    <w:rsid w:val="00F13337"/>
    <w:rsid w:val="00F134B3"/>
    <w:rsid w:val="00F13857"/>
    <w:rsid w:val="00F138BC"/>
    <w:rsid w:val="00F13B57"/>
    <w:rsid w:val="00F13D7C"/>
    <w:rsid w:val="00F13E32"/>
    <w:rsid w:val="00F14062"/>
    <w:rsid w:val="00F141EC"/>
    <w:rsid w:val="00F142CB"/>
    <w:rsid w:val="00F142F8"/>
    <w:rsid w:val="00F144FE"/>
    <w:rsid w:val="00F14891"/>
    <w:rsid w:val="00F1489C"/>
    <w:rsid w:val="00F14988"/>
    <w:rsid w:val="00F14DA4"/>
    <w:rsid w:val="00F157B2"/>
    <w:rsid w:val="00F15D9E"/>
    <w:rsid w:val="00F16010"/>
    <w:rsid w:val="00F16184"/>
    <w:rsid w:val="00F16840"/>
    <w:rsid w:val="00F169BF"/>
    <w:rsid w:val="00F16A17"/>
    <w:rsid w:val="00F16C94"/>
    <w:rsid w:val="00F17294"/>
    <w:rsid w:val="00F17314"/>
    <w:rsid w:val="00F176A6"/>
    <w:rsid w:val="00F178B6"/>
    <w:rsid w:val="00F17A58"/>
    <w:rsid w:val="00F17EDE"/>
    <w:rsid w:val="00F17EE7"/>
    <w:rsid w:val="00F2004B"/>
    <w:rsid w:val="00F2017F"/>
    <w:rsid w:val="00F201C4"/>
    <w:rsid w:val="00F201F2"/>
    <w:rsid w:val="00F20587"/>
    <w:rsid w:val="00F20E96"/>
    <w:rsid w:val="00F2103E"/>
    <w:rsid w:val="00F2115A"/>
    <w:rsid w:val="00F2115E"/>
    <w:rsid w:val="00F21242"/>
    <w:rsid w:val="00F218F1"/>
    <w:rsid w:val="00F21C31"/>
    <w:rsid w:val="00F21C61"/>
    <w:rsid w:val="00F21F00"/>
    <w:rsid w:val="00F21F58"/>
    <w:rsid w:val="00F21FA4"/>
    <w:rsid w:val="00F21FC4"/>
    <w:rsid w:val="00F22432"/>
    <w:rsid w:val="00F2299C"/>
    <w:rsid w:val="00F22ABE"/>
    <w:rsid w:val="00F22B85"/>
    <w:rsid w:val="00F22C33"/>
    <w:rsid w:val="00F22CAA"/>
    <w:rsid w:val="00F231CD"/>
    <w:rsid w:val="00F232DA"/>
    <w:rsid w:val="00F23733"/>
    <w:rsid w:val="00F23C26"/>
    <w:rsid w:val="00F23E69"/>
    <w:rsid w:val="00F24648"/>
    <w:rsid w:val="00F248FE"/>
    <w:rsid w:val="00F24D09"/>
    <w:rsid w:val="00F24E16"/>
    <w:rsid w:val="00F24F6E"/>
    <w:rsid w:val="00F25173"/>
    <w:rsid w:val="00F25188"/>
    <w:rsid w:val="00F25494"/>
    <w:rsid w:val="00F2559E"/>
    <w:rsid w:val="00F256CB"/>
    <w:rsid w:val="00F25EEE"/>
    <w:rsid w:val="00F260C9"/>
    <w:rsid w:val="00F26205"/>
    <w:rsid w:val="00F26379"/>
    <w:rsid w:val="00F263BA"/>
    <w:rsid w:val="00F26682"/>
    <w:rsid w:val="00F266D2"/>
    <w:rsid w:val="00F269B0"/>
    <w:rsid w:val="00F26BA8"/>
    <w:rsid w:val="00F270B5"/>
    <w:rsid w:val="00F272AC"/>
    <w:rsid w:val="00F272B2"/>
    <w:rsid w:val="00F2733E"/>
    <w:rsid w:val="00F274ED"/>
    <w:rsid w:val="00F277FE"/>
    <w:rsid w:val="00F27933"/>
    <w:rsid w:val="00F279EA"/>
    <w:rsid w:val="00F27C24"/>
    <w:rsid w:val="00F27DB5"/>
    <w:rsid w:val="00F27DE8"/>
    <w:rsid w:val="00F27E26"/>
    <w:rsid w:val="00F3027F"/>
    <w:rsid w:val="00F3040E"/>
    <w:rsid w:val="00F30773"/>
    <w:rsid w:val="00F30B11"/>
    <w:rsid w:val="00F30FE6"/>
    <w:rsid w:val="00F31418"/>
    <w:rsid w:val="00F31642"/>
    <w:rsid w:val="00F31827"/>
    <w:rsid w:val="00F31A48"/>
    <w:rsid w:val="00F31BBE"/>
    <w:rsid w:val="00F31DAA"/>
    <w:rsid w:val="00F31F3E"/>
    <w:rsid w:val="00F32274"/>
    <w:rsid w:val="00F3254D"/>
    <w:rsid w:val="00F32704"/>
    <w:rsid w:val="00F32955"/>
    <w:rsid w:val="00F32C25"/>
    <w:rsid w:val="00F32DEE"/>
    <w:rsid w:val="00F32FDD"/>
    <w:rsid w:val="00F334B6"/>
    <w:rsid w:val="00F3356F"/>
    <w:rsid w:val="00F33591"/>
    <w:rsid w:val="00F3363E"/>
    <w:rsid w:val="00F338CB"/>
    <w:rsid w:val="00F3393D"/>
    <w:rsid w:val="00F33ADD"/>
    <w:rsid w:val="00F33E0D"/>
    <w:rsid w:val="00F3400B"/>
    <w:rsid w:val="00F3404D"/>
    <w:rsid w:val="00F344ED"/>
    <w:rsid w:val="00F34519"/>
    <w:rsid w:val="00F3499D"/>
    <w:rsid w:val="00F349DF"/>
    <w:rsid w:val="00F34ABD"/>
    <w:rsid w:val="00F34B3C"/>
    <w:rsid w:val="00F34BC1"/>
    <w:rsid w:val="00F34CC0"/>
    <w:rsid w:val="00F35094"/>
    <w:rsid w:val="00F35193"/>
    <w:rsid w:val="00F3537D"/>
    <w:rsid w:val="00F353CD"/>
    <w:rsid w:val="00F35476"/>
    <w:rsid w:val="00F357EC"/>
    <w:rsid w:val="00F35998"/>
    <w:rsid w:val="00F35AB1"/>
    <w:rsid w:val="00F35EEC"/>
    <w:rsid w:val="00F3613B"/>
    <w:rsid w:val="00F362DE"/>
    <w:rsid w:val="00F363EA"/>
    <w:rsid w:val="00F36950"/>
    <w:rsid w:val="00F37166"/>
    <w:rsid w:val="00F3719E"/>
    <w:rsid w:val="00F371FA"/>
    <w:rsid w:val="00F3722A"/>
    <w:rsid w:val="00F37386"/>
    <w:rsid w:val="00F3752D"/>
    <w:rsid w:val="00F375AE"/>
    <w:rsid w:val="00F379B9"/>
    <w:rsid w:val="00F37ADD"/>
    <w:rsid w:val="00F37C74"/>
    <w:rsid w:val="00F37CF0"/>
    <w:rsid w:val="00F37F45"/>
    <w:rsid w:val="00F4000C"/>
    <w:rsid w:val="00F401B5"/>
    <w:rsid w:val="00F40514"/>
    <w:rsid w:val="00F407DA"/>
    <w:rsid w:val="00F408F1"/>
    <w:rsid w:val="00F40AAD"/>
    <w:rsid w:val="00F40E68"/>
    <w:rsid w:val="00F40F29"/>
    <w:rsid w:val="00F40F45"/>
    <w:rsid w:val="00F4116A"/>
    <w:rsid w:val="00F418D0"/>
    <w:rsid w:val="00F41A2D"/>
    <w:rsid w:val="00F41B92"/>
    <w:rsid w:val="00F41D85"/>
    <w:rsid w:val="00F422C3"/>
    <w:rsid w:val="00F42983"/>
    <w:rsid w:val="00F42B57"/>
    <w:rsid w:val="00F42E85"/>
    <w:rsid w:val="00F431C3"/>
    <w:rsid w:val="00F432DF"/>
    <w:rsid w:val="00F4331D"/>
    <w:rsid w:val="00F434A3"/>
    <w:rsid w:val="00F43855"/>
    <w:rsid w:val="00F4425D"/>
    <w:rsid w:val="00F4488E"/>
    <w:rsid w:val="00F448C9"/>
    <w:rsid w:val="00F44C19"/>
    <w:rsid w:val="00F44F26"/>
    <w:rsid w:val="00F451C8"/>
    <w:rsid w:val="00F453FD"/>
    <w:rsid w:val="00F455C2"/>
    <w:rsid w:val="00F457C3"/>
    <w:rsid w:val="00F459EC"/>
    <w:rsid w:val="00F45C7C"/>
    <w:rsid w:val="00F46289"/>
    <w:rsid w:val="00F4643F"/>
    <w:rsid w:val="00F46480"/>
    <w:rsid w:val="00F4654B"/>
    <w:rsid w:val="00F467B2"/>
    <w:rsid w:val="00F4699B"/>
    <w:rsid w:val="00F46B0B"/>
    <w:rsid w:val="00F46D8B"/>
    <w:rsid w:val="00F4777B"/>
    <w:rsid w:val="00F4779D"/>
    <w:rsid w:val="00F47822"/>
    <w:rsid w:val="00F47B27"/>
    <w:rsid w:val="00F47C3E"/>
    <w:rsid w:val="00F47CAA"/>
    <w:rsid w:val="00F47FFC"/>
    <w:rsid w:val="00F50038"/>
    <w:rsid w:val="00F50251"/>
    <w:rsid w:val="00F50673"/>
    <w:rsid w:val="00F506CF"/>
    <w:rsid w:val="00F50706"/>
    <w:rsid w:val="00F50855"/>
    <w:rsid w:val="00F509AE"/>
    <w:rsid w:val="00F50BBC"/>
    <w:rsid w:val="00F50D38"/>
    <w:rsid w:val="00F50DA9"/>
    <w:rsid w:val="00F50DD8"/>
    <w:rsid w:val="00F50ED3"/>
    <w:rsid w:val="00F51186"/>
    <w:rsid w:val="00F5138F"/>
    <w:rsid w:val="00F514C2"/>
    <w:rsid w:val="00F51A9A"/>
    <w:rsid w:val="00F51BEF"/>
    <w:rsid w:val="00F52769"/>
    <w:rsid w:val="00F52792"/>
    <w:rsid w:val="00F52949"/>
    <w:rsid w:val="00F53297"/>
    <w:rsid w:val="00F53353"/>
    <w:rsid w:val="00F5384A"/>
    <w:rsid w:val="00F5385D"/>
    <w:rsid w:val="00F53AEC"/>
    <w:rsid w:val="00F53B77"/>
    <w:rsid w:val="00F53BC7"/>
    <w:rsid w:val="00F53DE5"/>
    <w:rsid w:val="00F54246"/>
    <w:rsid w:val="00F5444A"/>
    <w:rsid w:val="00F548ED"/>
    <w:rsid w:val="00F54C7E"/>
    <w:rsid w:val="00F54F3E"/>
    <w:rsid w:val="00F550E6"/>
    <w:rsid w:val="00F55401"/>
    <w:rsid w:val="00F55458"/>
    <w:rsid w:val="00F55519"/>
    <w:rsid w:val="00F55793"/>
    <w:rsid w:val="00F557D4"/>
    <w:rsid w:val="00F55E23"/>
    <w:rsid w:val="00F561F3"/>
    <w:rsid w:val="00F56246"/>
    <w:rsid w:val="00F56319"/>
    <w:rsid w:val="00F56426"/>
    <w:rsid w:val="00F567E0"/>
    <w:rsid w:val="00F56C86"/>
    <w:rsid w:val="00F56DAB"/>
    <w:rsid w:val="00F56E5F"/>
    <w:rsid w:val="00F57332"/>
    <w:rsid w:val="00F573A4"/>
    <w:rsid w:val="00F575C2"/>
    <w:rsid w:val="00F575D3"/>
    <w:rsid w:val="00F57891"/>
    <w:rsid w:val="00F57BA9"/>
    <w:rsid w:val="00F57C78"/>
    <w:rsid w:val="00F57CB8"/>
    <w:rsid w:val="00F60877"/>
    <w:rsid w:val="00F60AAE"/>
    <w:rsid w:val="00F61095"/>
    <w:rsid w:val="00F610D7"/>
    <w:rsid w:val="00F61E75"/>
    <w:rsid w:val="00F621FD"/>
    <w:rsid w:val="00F623AF"/>
    <w:rsid w:val="00F62694"/>
    <w:rsid w:val="00F62989"/>
    <w:rsid w:val="00F629D2"/>
    <w:rsid w:val="00F63209"/>
    <w:rsid w:val="00F6326E"/>
    <w:rsid w:val="00F63487"/>
    <w:rsid w:val="00F63831"/>
    <w:rsid w:val="00F6395B"/>
    <w:rsid w:val="00F63AD6"/>
    <w:rsid w:val="00F63C79"/>
    <w:rsid w:val="00F63DB5"/>
    <w:rsid w:val="00F63E3D"/>
    <w:rsid w:val="00F64019"/>
    <w:rsid w:val="00F641B8"/>
    <w:rsid w:val="00F641FA"/>
    <w:rsid w:val="00F645E3"/>
    <w:rsid w:val="00F647E5"/>
    <w:rsid w:val="00F64978"/>
    <w:rsid w:val="00F64E75"/>
    <w:rsid w:val="00F6508B"/>
    <w:rsid w:val="00F6550E"/>
    <w:rsid w:val="00F65613"/>
    <w:rsid w:val="00F65747"/>
    <w:rsid w:val="00F657D8"/>
    <w:rsid w:val="00F65988"/>
    <w:rsid w:val="00F65AB7"/>
    <w:rsid w:val="00F65FE9"/>
    <w:rsid w:val="00F66254"/>
    <w:rsid w:val="00F6662B"/>
    <w:rsid w:val="00F66E9C"/>
    <w:rsid w:val="00F66F74"/>
    <w:rsid w:val="00F67661"/>
    <w:rsid w:val="00F6795E"/>
    <w:rsid w:val="00F67A18"/>
    <w:rsid w:val="00F67CCC"/>
    <w:rsid w:val="00F67DD9"/>
    <w:rsid w:val="00F67F0A"/>
    <w:rsid w:val="00F67FBC"/>
    <w:rsid w:val="00F7008E"/>
    <w:rsid w:val="00F7009B"/>
    <w:rsid w:val="00F709D3"/>
    <w:rsid w:val="00F70B80"/>
    <w:rsid w:val="00F70C0E"/>
    <w:rsid w:val="00F70F42"/>
    <w:rsid w:val="00F71075"/>
    <w:rsid w:val="00F710BF"/>
    <w:rsid w:val="00F7137F"/>
    <w:rsid w:val="00F71608"/>
    <w:rsid w:val="00F71792"/>
    <w:rsid w:val="00F717E3"/>
    <w:rsid w:val="00F719B1"/>
    <w:rsid w:val="00F72102"/>
    <w:rsid w:val="00F724E2"/>
    <w:rsid w:val="00F729EA"/>
    <w:rsid w:val="00F72B97"/>
    <w:rsid w:val="00F72BC1"/>
    <w:rsid w:val="00F72BFF"/>
    <w:rsid w:val="00F72F09"/>
    <w:rsid w:val="00F72F19"/>
    <w:rsid w:val="00F7314C"/>
    <w:rsid w:val="00F731E3"/>
    <w:rsid w:val="00F73835"/>
    <w:rsid w:val="00F73AF9"/>
    <w:rsid w:val="00F73F50"/>
    <w:rsid w:val="00F74278"/>
    <w:rsid w:val="00F742F9"/>
    <w:rsid w:val="00F74303"/>
    <w:rsid w:val="00F74471"/>
    <w:rsid w:val="00F74E0C"/>
    <w:rsid w:val="00F75026"/>
    <w:rsid w:val="00F751F0"/>
    <w:rsid w:val="00F7565F"/>
    <w:rsid w:val="00F75677"/>
    <w:rsid w:val="00F75B20"/>
    <w:rsid w:val="00F75C76"/>
    <w:rsid w:val="00F75D6F"/>
    <w:rsid w:val="00F75DD0"/>
    <w:rsid w:val="00F75DF5"/>
    <w:rsid w:val="00F75E19"/>
    <w:rsid w:val="00F7603A"/>
    <w:rsid w:val="00F761DE"/>
    <w:rsid w:val="00F766A7"/>
    <w:rsid w:val="00F76734"/>
    <w:rsid w:val="00F769AB"/>
    <w:rsid w:val="00F76A4A"/>
    <w:rsid w:val="00F76E0A"/>
    <w:rsid w:val="00F76FDD"/>
    <w:rsid w:val="00F7707A"/>
    <w:rsid w:val="00F771F5"/>
    <w:rsid w:val="00F77342"/>
    <w:rsid w:val="00F773B0"/>
    <w:rsid w:val="00F7764C"/>
    <w:rsid w:val="00F776F3"/>
    <w:rsid w:val="00F7791F"/>
    <w:rsid w:val="00F77A4E"/>
    <w:rsid w:val="00F77B36"/>
    <w:rsid w:val="00F77D0A"/>
    <w:rsid w:val="00F77D72"/>
    <w:rsid w:val="00F80171"/>
    <w:rsid w:val="00F80295"/>
    <w:rsid w:val="00F804AD"/>
    <w:rsid w:val="00F80653"/>
    <w:rsid w:val="00F807F4"/>
    <w:rsid w:val="00F80A0A"/>
    <w:rsid w:val="00F80A1F"/>
    <w:rsid w:val="00F80EFE"/>
    <w:rsid w:val="00F80F42"/>
    <w:rsid w:val="00F81388"/>
    <w:rsid w:val="00F81963"/>
    <w:rsid w:val="00F819EA"/>
    <w:rsid w:val="00F81B2A"/>
    <w:rsid w:val="00F81DF5"/>
    <w:rsid w:val="00F81EA4"/>
    <w:rsid w:val="00F81EA9"/>
    <w:rsid w:val="00F81F9F"/>
    <w:rsid w:val="00F824CB"/>
    <w:rsid w:val="00F825B8"/>
    <w:rsid w:val="00F825C7"/>
    <w:rsid w:val="00F82744"/>
    <w:rsid w:val="00F828C2"/>
    <w:rsid w:val="00F829C2"/>
    <w:rsid w:val="00F82B59"/>
    <w:rsid w:val="00F82F11"/>
    <w:rsid w:val="00F83196"/>
    <w:rsid w:val="00F83209"/>
    <w:rsid w:val="00F833DE"/>
    <w:rsid w:val="00F8354A"/>
    <w:rsid w:val="00F836E3"/>
    <w:rsid w:val="00F83984"/>
    <w:rsid w:val="00F83D3F"/>
    <w:rsid w:val="00F83D9C"/>
    <w:rsid w:val="00F83E62"/>
    <w:rsid w:val="00F842EA"/>
    <w:rsid w:val="00F848DA"/>
    <w:rsid w:val="00F848FF"/>
    <w:rsid w:val="00F849CA"/>
    <w:rsid w:val="00F8507F"/>
    <w:rsid w:val="00F8512F"/>
    <w:rsid w:val="00F851BE"/>
    <w:rsid w:val="00F852A6"/>
    <w:rsid w:val="00F85430"/>
    <w:rsid w:val="00F85828"/>
    <w:rsid w:val="00F859A6"/>
    <w:rsid w:val="00F859D2"/>
    <w:rsid w:val="00F85AA8"/>
    <w:rsid w:val="00F85AAF"/>
    <w:rsid w:val="00F85C53"/>
    <w:rsid w:val="00F85E48"/>
    <w:rsid w:val="00F8601C"/>
    <w:rsid w:val="00F86033"/>
    <w:rsid w:val="00F864B6"/>
    <w:rsid w:val="00F867CD"/>
    <w:rsid w:val="00F86820"/>
    <w:rsid w:val="00F8684C"/>
    <w:rsid w:val="00F8694F"/>
    <w:rsid w:val="00F870A4"/>
    <w:rsid w:val="00F87224"/>
    <w:rsid w:val="00F873E0"/>
    <w:rsid w:val="00F875D7"/>
    <w:rsid w:val="00F875D9"/>
    <w:rsid w:val="00F87689"/>
    <w:rsid w:val="00F87C83"/>
    <w:rsid w:val="00F87F3B"/>
    <w:rsid w:val="00F90152"/>
    <w:rsid w:val="00F902C1"/>
    <w:rsid w:val="00F9035A"/>
    <w:rsid w:val="00F90544"/>
    <w:rsid w:val="00F9057C"/>
    <w:rsid w:val="00F9058E"/>
    <w:rsid w:val="00F90764"/>
    <w:rsid w:val="00F90A4E"/>
    <w:rsid w:val="00F90DF4"/>
    <w:rsid w:val="00F90E64"/>
    <w:rsid w:val="00F915A8"/>
    <w:rsid w:val="00F91DFA"/>
    <w:rsid w:val="00F91F3C"/>
    <w:rsid w:val="00F92185"/>
    <w:rsid w:val="00F92385"/>
    <w:rsid w:val="00F9254F"/>
    <w:rsid w:val="00F9273E"/>
    <w:rsid w:val="00F92E5A"/>
    <w:rsid w:val="00F92F6B"/>
    <w:rsid w:val="00F931BF"/>
    <w:rsid w:val="00F93619"/>
    <w:rsid w:val="00F93A29"/>
    <w:rsid w:val="00F93B36"/>
    <w:rsid w:val="00F93E54"/>
    <w:rsid w:val="00F9421B"/>
    <w:rsid w:val="00F9480D"/>
    <w:rsid w:val="00F9484D"/>
    <w:rsid w:val="00F948F0"/>
    <w:rsid w:val="00F94B9B"/>
    <w:rsid w:val="00F94C00"/>
    <w:rsid w:val="00F94FF9"/>
    <w:rsid w:val="00F95068"/>
    <w:rsid w:val="00F95AB7"/>
    <w:rsid w:val="00F95B5F"/>
    <w:rsid w:val="00F95B66"/>
    <w:rsid w:val="00F95D36"/>
    <w:rsid w:val="00F96131"/>
    <w:rsid w:val="00F9630D"/>
    <w:rsid w:val="00F96549"/>
    <w:rsid w:val="00F9665B"/>
    <w:rsid w:val="00F96828"/>
    <w:rsid w:val="00F96BB3"/>
    <w:rsid w:val="00F97568"/>
    <w:rsid w:val="00F976AF"/>
    <w:rsid w:val="00F976E1"/>
    <w:rsid w:val="00F977AE"/>
    <w:rsid w:val="00F9785A"/>
    <w:rsid w:val="00F9791A"/>
    <w:rsid w:val="00FA0169"/>
    <w:rsid w:val="00FA0263"/>
    <w:rsid w:val="00FA02D8"/>
    <w:rsid w:val="00FA045A"/>
    <w:rsid w:val="00FA09A8"/>
    <w:rsid w:val="00FA0BE2"/>
    <w:rsid w:val="00FA1375"/>
    <w:rsid w:val="00FA1638"/>
    <w:rsid w:val="00FA1725"/>
    <w:rsid w:val="00FA174E"/>
    <w:rsid w:val="00FA18F7"/>
    <w:rsid w:val="00FA1C9F"/>
    <w:rsid w:val="00FA1E51"/>
    <w:rsid w:val="00FA1EE2"/>
    <w:rsid w:val="00FA20E8"/>
    <w:rsid w:val="00FA2127"/>
    <w:rsid w:val="00FA2258"/>
    <w:rsid w:val="00FA2300"/>
    <w:rsid w:val="00FA2355"/>
    <w:rsid w:val="00FA280B"/>
    <w:rsid w:val="00FA2933"/>
    <w:rsid w:val="00FA2A93"/>
    <w:rsid w:val="00FA2D64"/>
    <w:rsid w:val="00FA2E46"/>
    <w:rsid w:val="00FA2F20"/>
    <w:rsid w:val="00FA309C"/>
    <w:rsid w:val="00FA30D9"/>
    <w:rsid w:val="00FA315A"/>
    <w:rsid w:val="00FA3483"/>
    <w:rsid w:val="00FA374F"/>
    <w:rsid w:val="00FA3780"/>
    <w:rsid w:val="00FA3903"/>
    <w:rsid w:val="00FA3AEF"/>
    <w:rsid w:val="00FA3B8F"/>
    <w:rsid w:val="00FA3C33"/>
    <w:rsid w:val="00FA3F05"/>
    <w:rsid w:val="00FA41C4"/>
    <w:rsid w:val="00FA44DF"/>
    <w:rsid w:val="00FA45B8"/>
    <w:rsid w:val="00FA4908"/>
    <w:rsid w:val="00FA4994"/>
    <w:rsid w:val="00FA4C3A"/>
    <w:rsid w:val="00FA4FB3"/>
    <w:rsid w:val="00FA516F"/>
    <w:rsid w:val="00FA5217"/>
    <w:rsid w:val="00FA5264"/>
    <w:rsid w:val="00FA54B0"/>
    <w:rsid w:val="00FA5608"/>
    <w:rsid w:val="00FA5A88"/>
    <w:rsid w:val="00FA5AE8"/>
    <w:rsid w:val="00FA6140"/>
    <w:rsid w:val="00FA62FF"/>
    <w:rsid w:val="00FA630E"/>
    <w:rsid w:val="00FA676E"/>
    <w:rsid w:val="00FA6833"/>
    <w:rsid w:val="00FA6A7F"/>
    <w:rsid w:val="00FA6FAE"/>
    <w:rsid w:val="00FA7B6B"/>
    <w:rsid w:val="00FA7F85"/>
    <w:rsid w:val="00FB01B9"/>
    <w:rsid w:val="00FB027E"/>
    <w:rsid w:val="00FB047D"/>
    <w:rsid w:val="00FB05EA"/>
    <w:rsid w:val="00FB07BF"/>
    <w:rsid w:val="00FB0BE9"/>
    <w:rsid w:val="00FB0DD6"/>
    <w:rsid w:val="00FB0FC4"/>
    <w:rsid w:val="00FB1011"/>
    <w:rsid w:val="00FB103B"/>
    <w:rsid w:val="00FB1099"/>
    <w:rsid w:val="00FB12E6"/>
    <w:rsid w:val="00FB13CD"/>
    <w:rsid w:val="00FB13E4"/>
    <w:rsid w:val="00FB1651"/>
    <w:rsid w:val="00FB187D"/>
    <w:rsid w:val="00FB18F2"/>
    <w:rsid w:val="00FB1B14"/>
    <w:rsid w:val="00FB1F5D"/>
    <w:rsid w:val="00FB20D3"/>
    <w:rsid w:val="00FB23E3"/>
    <w:rsid w:val="00FB27AB"/>
    <w:rsid w:val="00FB2AA2"/>
    <w:rsid w:val="00FB2AE2"/>
    <w:rsid w:val="00FB2B5E"/>
    <w:rsid w:val="00FB2C44"/>
    <w:rsid w:val="00FB2D3C"/>
    <w:rsid w:val="00FB2E45"/>
    <w:rsid w:val="00FB2E4E"/>
    <w:rsid w:val="00FB2E96"/>
    <w:rsid w:val="00FB305B"/>
    <w:rsid w:val="00FB3162"/>
    <w:rsid w:val="00FB367B"/>
    <w:rsid w:val="00FB3764"/>
    <w:rsid w:val="00FB3953"/>
    <w:rsid w:val="00FB3DBD"/>
    <w:rsid w:val="00FB41B1"/>
    <w:rsid w:val="00FB42FE"/>
    <w:rsid w:val="00FB4862"/>
    <w:rsid w:val="00FB4BA5"/>
    <w:rsid w:val="00FB4DB2"/>
    <w:rsid w:val="00FB4DD9"/>
    <w:rsid w:val="00FB4EBF"/>
    <w:rsid w:val="00FB543F"/>
    <w:rsid w:val="00FB54BD"/>
    <w:rsid w:val="00FB5659"/>
    <w:rsid w:val="00FB5878"/>
    <w:rsid w:val="00FB5ACC"/>
    <w:rsid w:val="00FB5B55"/>
    <w:rsid w:val="00FB5B97"/>
    <w:rsid w:val="00FB5F6E"/>
    <w:rsid w:val="00FB5FEA"/>
    <w:rsid w:val="00FB6A48"/>
    <w:rsid w:val="00FB6A8C"/>
    <w:rsid w:val="00FB6B3D"/>
    <w:rsid w:val="00FB701B"/>
    <w:rsid w:val="00FB73DA"/>
    <w:rsid w:val="00FB7559"/>
    <w:rsid w:val="00FB766A"/>
    <w:rsid w:val="00FB7AE3"/>
    <w:rsid w:val="00FB7DCA"/>
    <w:rsid w:val="00FB7ECE"/>
    <w:rsid w:val="00FC022F"/>
    <w:rsid w:val="00FC02B4"/>
    <w:rsid w:val="00FC049C"/>
    <w:rsid w:val="00FC06CE"/>
    <w:rsid w:val="00FC0910"/>
    <w:rsid w:val="00FC0D5C"/>
    <w:rsid w:val="00FC0E90"/>
    <w:rsid w:val="00FC0F9C"/>
    <w:rsid w:val="00FC10C9"/>
    <w:rsid w:val="00FC142F"/>
    <w:rsid w:val="00FC165E"/>
    <w:rsid w:val="00FC19AA"/>
    <w:rsid w:val="00FC1CC5"/>
    <w:rsid w:val="00FC1F2D"/>
    <w:rsid w:val="00FC1FDA"/>
    <w:rsid w:val="00FC2172"/>
    <w:rsid w:val="00FC22D0"/>
    <w:rsid w:val="00FC23A3"/>
    <w:rsid w:val="00FC256F"/>
    <w:rsid w:val="00FC30A1"/>
    <w:rsid w:val="00FC313E"/>
    <w:rsid w:val="00FC32F1"/>
    <w:rsid w:val="00FC3370"/>
    <w:rsid w:val="00FC33F9"/>
    <w:rsid w:val="00FC3687"/>
    <w:rsid w:val="00FC369E"/>
    <w:rsid w:val="00FC372B"/>
    <w:rsid w:val="00FC3A8D"/>
    <w:rsid w:val="00FC3AD9"/>
    <w:rsid w:val="00FC3B8B"/>
    <w:rsid w:val="00FC3BD4"/>
    <w:rsid w:val="00FC3C0B"/>
    <w:rsid w:val="00FC3CE4"/>
    <w:rsid w:val="00FC3D9C"/>
    <w:rsid w:val="00FC3DE6"/>
    <w:rsid w:val="00FC41C0"/>
    <w:rsid w:val="00FC4361"/>
    <w:rsid w:val="00FC4398"/>
    <w:rsid w:val="00FC43F4"/>
    <w:rsid w:val="00FC4892"/>
    <w:rsid w:val="00FC4D43"/>
    <w:rsid w:val="00FC502C"/>
    <w:rsid w:val="00FC527B"/>
    <w:rsid w:val="00FC54ED"/>
    <w:rsid w:val="00FC55F6"/>
    <w:rsid w:val="00FC58EA"/>
    <w:rsid w:val="00FC5B49"/>
    <w:rsid w:val="00FC5C99"/>
    <w:rsid w:val="00FC5F19"/>
    <w:rsid w:val="00FC5FBA"/>
    <w:rsid w:val="00FC605B"/>
    <w:rsid w:val="00FC62E0"/>
    <w:rsid w:val="00FC6974"/>
    <w:rsid w:val="00FC6B18"/>
    <w:rsid w:val="00FC6BA5"/>
    <w:rsid w:val="00FC7185"/>
    <w:rsid w:val="00FC72F3"/>
    <w:rsid w:val="00FC7320"/>
    <w:rsid w:val="00FC7763"/>
    <w:rsid w:val="00FC7ADB"/>
    <w:rsid w:val="00FC7BF0"/>
    <w:rsid w:val="00FC7C80"/>
    <w:rsid w:val="00FD000F"/>
    <w:rsid w:val="00FD02D3"/>
    <w:rsid w:val="00FD0725"/>
    <w:rsid w:val="00FD0D40"/>
    <w:rsid w:val="00FD148D"/>
    <w:rsid w:val="00FD16A1"/>
    <w:rsid w:val="00FD1739"/>
    <w:rsid w:val="00FD1A08"/>
    <w:rsid w:val="00FD1C3B"/>
    <w:rsid w:val="00FD1CD4"/>
    <w:rsid w:val="00FD1D52"/>
    <w:rsid w:val="00FD1DB2"/>
    <w:rsid w:val="00FD1FEF"/>
    <w:rsid w:val="00FD2446"/>
    <w:rsid w:val="00FD2600"/>
    <w:rsid w:val="00FD27DB"/>
    <w:rsid w:val="00FD2B89"/>
    <w:rsid w:val="00FD2D0E"/>
    <w:rsid w:val="00FD2FCD"/>
    <w:rsid w:val="00FD301D"/>
    <w:rsid w:val="00FD3030"/>
    <w:rsid w:val="00FD33D9"/>
    <w:rsid w:val="00FD34DB"/>
    <w:rsid w:val="00FD3F42"/>
    <w:rsid w:val="00FD4219"/>
    <w:rsid w:val="00FD426E"/>
    <w:rsid w:val="00FD4657"/>
    <w:rsid w:val="00FD46C3"/>
    <w:rsid w:val="00FD476B"/>
    <w:rsid w:val="00FD499D"/>
    <w:rsid w:val="00FD4BF7"/>
    <w:rsid w:val="00FD4CFC"/>
    <w:rsid w:val="00FD51DA"/>
    <w:rsid w:val="00FD5319"/>
    <w:rsid w:val="00FD5580"/>
    <w:rsid w:val="00FD55BE"/>
    <w:rsid w:val="00FD598B"/>
    <w:rsid w:val="00FD5A1E"/>
    <w:rsid w:val="00FD6398"/>
    <w:rsid w:val="00FD6527"/>
    <w:rsid w:val="00FD655F"/>
    <w:rsid w:val="00FD696C"/>
    <w:rsid w:val="00FD6BCD"/>
    <w:rsid w:val="00FD72B7"/>
    <w:rsid w:val="00FD73D8"/>
    <w:rsid w:val="00FD76DF"/>
    <w:rsid w:val="00FD78CF"/>
    <w:rsid w:val="00FD7C7F"/>
    <w:rsid w:val="00FD7D52"/>
    <w:rsid w:val="00FE0076"/>
    <w:rsid w:val="00FE02ED"/>
    <w:rsid w:val="00FE0317"/>
    <w:rsid w:val="00FE0488"/>
    <w:rsid w:val="00FE0CE3"/>
    <w:rsid w:val="00FE0CEB"/>
    <w:rsid w:val="00FE1433"/>
    <w:rsid w:val="00FE16F2"/>
    <w:rsid w:val="00FE1AF5"/>
    <w:rsid w:val="00FE1D91"/>
    <w:rsid w:val="00FE1E10"/>
    <w:rsid w:val="00FE1F69"/>
    <w:rsid w:val="00FE209C"/>
    <w:rsid w:val="00FE227D"/>
    <w:rsid w:val="00FE229D"/>
    <w:rsid w:val="00FE2B72"/>
    <w:rsid w:val="00FE33A1"/>
    <w:rsid w:val="00FE343C"/>
    <w:rsid w:val="00FE34D6"/>
    <w:rsid w:val="00FE38BB"/>
    <w:rsid w:val="00FE3948"/>
    <w:rsid w:val="00FE3A05"/>
    <w:rsid w:val="00FE3A12"/>
    <w:rsid w:val="00FE3BDE"/>
    <w:rsid w:val="00FE3CCF"/>
    <w:rsid w:val="00FE41A7"/>
    <w:rsid w:val="00FE42E9"/>
    <w:rsid w:val="00FE4634"/>
    <w:rsid w:val="00FE4778"/>
    <w:rsid w:val="00FE47DF"/>
    <w:rsid w:val="00FE4844"/>
    <w:rsid w:val="00FE49B3"/>
    <w:rsid w:val="00FE4A10"/>
    <w:rsid w:val="00FE4AD9"/>
    <w:rsid w:val="00FE4B21"/>
    <w:rsid w:val="00FE520C"/>
    <w:rsid w:val="00FE544A"/>
    <w:rsid w:val="00FE55C9"/>
    <w:rsid w:val="00FE6063"/>
    <w:rsid w:val="00FE6248"/>
    <w:rsid w:val="00FE62D1"/>
    <w:rsid w:val="00FE6339"/>
    <w:rsid w:val="00FE650A"/>
    <w:rsid w:val="00FE69F0"/>
    <w:rsid w:val="00FE6A4A"/>
    <w:rsid w:val="00FE6F60"/>
    <w:rsid w:val="00FE6F9D"/>
    <w:rsid w:val="00FE7092"/>
    <w:rsid w:val="00FE71A8"/>
    <w:rsid w:val="00FE7357"/>
    <w:rsid w:val="00FE78FA"/>
    <w:rsid w:val="00FE79F5"/>
    <w:rsid w:val="00FE7A08"/>
    <w:rsid w:val="00FF0A8E"/>
    <w:rsid w:val="00FF0C34"/>
    <w:rsid w:val="00FF12ED"/>
    <w:rsid w:val="00FF16AC"/>
    <w:rsid w:val="00FF1714"/>
    <w:rsid w:val="00FF1742"/>
    <w:rsid w:val="00FF1774"/>
    <w:rsid w:val="00FF1B0A"/>
    <w:rsid w:val="00FF1C46"/>
    <w:rsid w:val="00FF1CC2"/>
    <w:rsid w:val="00FF201E"/>
    <w:rsid w:val="00FF2B19"/>
    <w:rsid w:val="00FF2E04"/>
    <w:rsid w:val="00FF3661"/>
    <w:rsid w:val="00FF3674"/>
    <w:rsid w:val="00FF382D"/>
    <w:rsid w:val="00FF3978"/>
    <w:rsid w:val="00FF3B41"/>
    <w:rsid w:val="00FF3D47"/>
    <w:rsid w:val="00FF407C"/>
    <w:rsid w:val="00FF4752"/>
    <w:rsid w:val="00FF47FC"/>
    <w:rsid w:val="00FF4D97"/>
    <w:rsid w:val="00FF500D"/>
    <w:rsid w:val="00FF521C"/>
    <w:rsid w:val="00FF5296"/>
    <w:rsid w:val="00FF54CD"/>
    <w:rsid w:val="00FF5537"/>
    <w:rsid w:val="00FF55E4"/>
    <w:rsid w:val="00FF56A1"/>
    <w:rsid w:val="00FF5F19"/>
    <w:rsid w:val="00FF5F38"/>
    <w:rsid w:val="00FF636A"/>
    <w:rsid w:val="00FF6383"/>
    <w:rsid w:val="00FF6478"/>
    <w:rsid w:val="00FF66CC"/>
    <w:rsid w:val="00FF67AE"/>
    <w:rsid w:val="00FF698A"/>
    <w:rsid w:val="00FF6C92"/>
    <w:rsid w:val="00FF6E33"/>
    <w:rsid w:val="00FF7202"/>
    <w:rsid w:val="00FF7362"/>
    <w:rsid w:val="00FF7527"/>
    <w:rsid w:val="00FF7994"/>
    <w:rsid w:val="00FF7B92"/>
    <w:rsid w:val="00FF7DBC"/>
    <w:rsid w:val="010ACDF2"/>
    <w:rsid w:val="01120A22"/>
    <w:rsid w:val="0126B1C3"/>
    <w:rsid w:val="013499E1"/>
    <w:rsid w:val="013C1EE1"/>
    <w:rsid w:val="014912DD"/>
    <w:rsid w:val="016BC748"/>
    <w:rsid w:val="01870A61"/>
    <w:rsid w:val="018E139D"/>
    <w:rsid w:val="0190B8C2"/>
    <w:rsid w:val="01912C55"/>
    <w:rsid w:val="0194BD02"/>
    <w:rsid w:val="01A889E5"/>
    <w:rsid w:val="01D95C52"/>
    <w:rsid w:val="01E8818B"/>
    <w:rsid w:val="01EEDF28"/>
    <w:rsid w:val="01F4ECB0"/>
    <w:rsid w:val="01FE3F88"/>
    <w:rsid w:val="02064447"/>
    <w:rsid w:val="020BFDCA"/>
    <w:rsid w:val="021E3C53"/>
    <w:rsid w:val="0229B035"/>
    <w:rsid w:val="02373F54"/>
    <w:rsid w:val="0239222A"/>
    <w:rsid w:val="02612246"/>
    <w:rsid w:val="02650867"/>
    <w:rsid w:val="02790289"/>
    <w:rsid w:val="027A8383"/>
    <w:rsid w:val="027AA218"/>
    <w:rsid w:val="028B38FE"/>
    <w:rsid w:val="028DA2EC"/>
    <w:rsid w:val="0290C73A"/>
    <w:rsid w:val="02A5AE3E"/>
    <w:rsid w:val="02CA0B38"/>
    <w:rsid w:val="02CB6251"/>
    <w:rsid w:val="02CC73CC"/>
    <w:rsid w:val="02DAF8F1"/>
    <w:rsid w:val="02E2681C"/>
    <w:rsid w:val="02E8E41C"/>
    <w:rsid w:val="02ECBDC6"/>
    <w:rsid w:val="02F6682D"/>
    <w:rsid w:val="032843C8"/>
    <w:rsid w:val="032F6D38"/>
    <w:rsid w:val="0335500E"/>
    <w:rsid w:val="0337871E"/>
    <w:rsid w:val="0348F21F"/>
    <w:rsid w:val="0351C171"/>
    <w:rsid w:val="036406AE"/>
    <w:rsid w:val="0365BB98"/>
    <w:rsid w:val="038E115F"/>
    <w:rsid w:val="0390B009"/>
    <w:rsid w:val="03966FFF"/>
    <w:rsid w:val="03971816"/>
    <w:rsid w:val="03A76DBE"/>
    <w:rsid w:val="03AC7FE3"/>
    <w:rsid w:val="03B15E36"/>
    <w:rsid w:val="03D40009"/>
    <w:rsid w:val="03DB57E8"/>
    <w:rsid w:val="03FC465A"/>
    <w:rsid w:val="03FE568A"/>
    <w:rsid w:val="0402F0AA"/>
    <w:rsid w:val="0403339B"/>
    <w:rsid w:val="04043946"/>
    <w:rsid w:val="040573D3"/>
    <w:rsid w:val="040A06D8"/>
    <w:rsid w:val="040B6911"/>
    <w:rsid w:val="040D2901"/>
    <w:rsid w:val="041D1F1B"/>
    <w:rsid w:val="0420ED25"/>
    <w:rsid w:val="0442AC36"/>
    <w:rsid w:val="0444EC92"/>
    <w:rsid w:val="045D2709"/>
    <w:rsid w:val="046216B1"/>
    <w:rsid w:val="046F2A69"/>
    <w:rsid w:val="04722750"/>
    <w:rsid w:val="04979E6D"/>
    <w:rsid w:val="0498B4D5"/>
    <w:rsid w:val="04AE8574"/>
    <w:rsid w:val="04B80F27"/>
    <w:rsid w:val="04C3DCC2"/>
    <w:rsid w:val="04C9FEC2"/>
    <w:rsid w:val="04E0B6FB"/>
    <w:rsid w:val="04E1FA63"/>
    <w:rsid w:val="04E27004"/>
    <w:rsid w:val="050501AB"/>
    <w:rsid w:val="050513D3"/>
    <w:rsid w:val="051BCC5D"/>
    <w:rsid w:val="051D8D60"/>
    <w:rsid w:val="051F7D17"/>
    <w:rsid w:val="0548B0AF"/>
    <w:rsid w:val="0555C371"/>
    <w:rsid w:val="057415AB"/>
    <w:rsid w:val="05A00C48"/>
    <w:rsid w:val="05C4033D"/>
    <w:rsid w:val="05CF82B8"/>
    <w:rsid w:val="05D2F37E"/>
    <w:rsid w:val="05D3A7E2"/>
    <w:rsid w:val="05DA2B66"/>
    <w:rsid w:val="05E108D0"/>
    <w:rsid w:val="05F6D9E6"/>
    <w:rsid w:val="05F7CC18"/>
    <w:rsid w:val="0601C8DA"/>
    <w:rsid w:val="0616F58C"/>
    <w:rsid w:val="0621B264"/>
    <w:rsid w:val="0622C2C2"/>
    <w:rsid w:val="06432294"/>
    <w:rsid w:val="0647D87D"/>
    <w:rsid w:val="064D0FF8"/>
    <w:rsid w:val="06500DAA"/>
    <w:rsid w:val="068C4C00"/>
    <w:rsid w:val="069D5CFF"/>
    <w:rsid w:val="06A36CA2"/>
    <w:rsid w:val="06CA7D56"/>
    <w:rsid w:val="06D05CC6"/>
    <w:rsid w:val="06D4FD76"/>
    <w:rsid w:val="06E179ED"/>
    <w:rsid w:val="06E8C942"/>
    <w:rsid w:val="06ECE4D0"/>
    <w:rsid w:val="06EE341F"/>
    <w:rsid w:val="06F06269"/>
    <w:rsid w:val="06F4AEFF"/>
    <w:rsid w:val="06FF5259"/>
    <w:rsid w:val="070F203C"/>
    <w:rsid w:val="07280921"/>
    <w:rsid w:val="072D5FC7"/>
    <w:rsid w:val="07477FF9"/>
    <w:rsid w:val="074A7E75"/>
    <w:rsid w:val="0754990F"/>
    <w:rsid w:val="07575F47"/>
    <w:rsid w:val="07627886"/>
    <w:rsid w:val="076AD7D2"/>
    <w:rsid w:val="07877AF7"/>
    <w:rsid w:val="0791929D"/>
    <w:rsid w:val="07982DDD"/>
    <w:rsid w:val="079E2364"/>
    <w:rsid w:val="07ABC21E"/>
    <w:rsid w:val="07C4F857"/>
    <w:rsid w:val="07D6ED19"/>
    <w:rsid w:val="07E46C60"/>
    <w:rsid w:val="07F01115"/>
    <w:rsid w:val="07FC14A6"/>
    <w:rsid w:val="08044AB4"/>
    <w:rsid w:val="08051FD4"/>
    <w:rsid w:val="080559CB"/>
    <w:rsid w:val="0808670D"/>
    <w:rsid w:val="0816A97D"/>
    <w:rsid w:val="08195ED2"/>
    <w:rsid w:val="0825236E"/>
    <w:rsid w:val="08357295"/>
    <w:rsid w:val="084B4F80"/>
    <w:rsid w:val="084F9022"/>
    <w:rsid w:val="0851B285"/>
    <w:rsid w:val="08575DDA"/>
    <w:rsid w:val="0864F2AA"/>
    <w:rsid w:val="086971F0"/>
    <w:rsid w:val="087C4C5D"/>
    <w:rsid w:val="088198BE"/>
    <w:rsid w:val="0894E847"/>
    <w:rsid w:val="089672E6"/>
    <w:rsid w:val="0899B91F"/>
    <w:rsid w:val="089ACEFC"/>
    <w:rsid w:val="08A3EBEA"/>
    <w:rsid w:val="08A6D078"/>
    <w:rsid w:val="08E57284"/>
    <w:rsid w:val="08E83DA6"/>
    <w:rsid w:val="08ED7C5B"/>
    <w:rsid w:val="08EF2029"/>
    <w:rsid w:val="08EF2672"/>
    <w:rsid w:val="08F912F9"/>
    <w:rsid w:val="09097E73"/>
    <w:rsid w:val="091C281B"/>
    <w:rsid w:val="094DD65C"/>
    <w:rsid w:val="0956E6F9"/>
    <w:rsid w:val="0958A49B"/>
    <w:rsid w:val="09677B58"/>
    <w:rsid w:val="096BDCF2"/>
    <w:rsid w:val="096C5716"/>
    <w:rsid w:val="0970398E"/>
    <w:rsid w:val="0986DD7F"/>
    <w:rsid w:val="098B821A"/>
    <w:rsid w:val="098ED5FD"/>
    <w:rsid w:val="0995DF37"/>
    <w:rsid w:val="0996E413"/>
    <w:rsid w:val="099AC29E"/>
    <w:rsid w:val="09A7074E"/>
    <w:rsid w:val="09BE6CCA"/>
    <w:rsid w:val="09C2D4C3"/>
    <w:rsid w:val="09CC0329"/>
    <w:rsid w:val="09CCC089"/>
    <w:rsid w:val="09E96E19"/>
    <w:rsid w:val="09ECA07F"/>
    <w:rsid w:val="09FB188B"/>
    <w:rsid w:val="0A0172DF"/>
    <w:rsid w:val="0A27A999"/>
    <w:rsid w:val="0A326274"/>
    <w:rsid w:val="0A378BBB"/>
    <w:rsid w:val="0A3F34F7"/>
    <w:rsid w:val="0A488312"/>
    <w:rsid w:val="0A56C398"/>
    <w:rsid w:val="0A744563"/>
    <w:rsid w:val="0A7AEDD9"/>
    <w:rsid w:val="0A7C3667"/>
    <w:rsid w:val="0A966895"/>
    <w:rsid w:val="0A990EA3"/>
    <w:rsid w:val="0ABED891"/>
    <w:rsid w:val="0AC9BE59"/>
    <w:rsid w:val="0AD0AD72"/>
    <w:rsid w:val="0AD43907"/>
    <w:rsid w:val="0AD72D77"/>
    <w:rsid w:val="0ADE8CC9"/>
    <w:rsid w:val="0AE2827C"/>
    <w:rsid w:val="0AEECBCD"/>
    <w:rsid w:val="0AFC6B50"/>
    <w:rsid w:val="0B0258DE"/>
    <w:rsid w:val="0B1F3CE0"/>
    <w:rsid w:val="0B20DCF5"/>
    <w:rsid w:val="0B256E87"/>
    <w:rsid w:val="0B317EAC"/>
    <w:rsid w:val="0B468A79"/>
    <w:rsid w:val="0B74295B"/>
    <w:rsid w:val="0B787607"/>
    <w:rsid w:val="0B78F6E8"/>
    <w:rsid w:val="0B8CD1F1"/>
    <w:rsid w:val="0B9A0472"/>
    <w:rsid w:val="0B9D8638"/>
    <w:rsid w:val="0BA79FE7"/>
    <w:rsid w:val="0BB2A973"/>
    <w:rsid w:val="0BB3BA58"/>
    <w:rsid w:val="0BC2C41C"/>
    <w:rsid w:val="0BDF0F09"/>
    <w:rsid w:val="0BF47AAE"/>
    <w:rsid w:val="0BFB1077"/>
    <w:rsid w:val="0C087E12"/>
    <w:rsid w:val="0C33C7C0"/>
    <w:rsid w:val="0C3EA6FC"/>
    <w:rsid w:val="0C52AC91"/>
    <w:rsid w:val="0C6E9214"/>
    <w:rsid w:val="0C8B4756"/>
    <w:rsid w:val="0C9BA443"/>
    <w:rsid w:val="0CA24EFC"/>
    <w:rsid w:val="0CACF3ED"/>
    <w:rsid w:val="0CC24487"/>
    <w:rsid w:val="0CC2DB2A"/>
    <w:rsid w:val="0CC8C80E"/>
    <w:rsid w:val="0CCC5858"/>
    <w:rsid w:val="0CEF185E"/>
    <w:rsid w:val="0CF9D4F4"/>
    <w:rsid w:val="0D0C0332"/>
    <w:rsid w:val="0D134B9E"/>
    <w:rsid w:val="0D1F6CD2"/>
    <w:rsid w:val="0D250DB0"/>
    <w:rsid w:val="0D3DB950"/>
    <w:rsid w:val="0D403226"/>
    <w:rsid w:val="0D463FC7"/>
    <w:rsid w:val="0D4D5619"/>
    <w:rsid w:val="0D52B84B"/>
    <w:rsid w:val="0D81D629"/>
    <w:rsid w:val="0DB1D7C3"/>
    <w:rsid w:val="0DBCA9DE"/>
    <w:rsid w:val="0DBD4195"/>
    <w:rsid w:val="0DC245E6"/>
    <w:rsid w:val="0DC3A30E"/>
    <w:rsid w:val="0DC52902"/>
    <w:rsid w:val="0DCA2571"/>
    <w:rsid w:val="0E226C18"/>
    <w:rsid w:val="0E251B08"/>
    <w:rsid w:val="0E31CCC8"/>
    <w:rsid w:val="0E3960E5"/>
    <w:rsid w:val="0E3B1142"/>
    <w:rsid w:val="0E41C1E9"/>
    <w:rsid w:val="0E478213"/>
    <w:rsid w:val="0E494059"/>
    <w:rsid w:val="0E6194E6"/>
    <w:rsid w:val="0EAAC612"/>
    <w:rsid w:val="0EB046FB"/>
    <w:rsid w:val="0EB23FBE"/>
    <w:rsid w:val="0EC347DD"/>
    <w:rsid w:val="0EC54229"/>
    <w:rsid w:val="0EC6754C"/>
    <w:rsid w:val="0EE2AF18"/>
    <w:rsid w:val="0EFB95DB"/>
    <w:rsid w:val="0F0F171A"/>
    <w:rsid w:val="0F194D02"/>
    <w:rsid w:val="0F32F9AE"/>
    <w:rsid w:val="0F350DCA"/>
    <w:rsid w:val="0F3EEB70"/>
    <w:rsid w:val="0F4B8373"/>
    <w:rsid w:val="0F50A730"/>
    <w:rsid w:val="0F52E0CA"/>
    <w:rsid w:val="0F56B5C4"/>
    <w:rsid w:val="0F7DAE6B"/>
    <w:rsid w:val="0F884A07"/>
    <w:rsid w:val="0F9F2C32"/>
    <w:rsid w:val="0FB31616"/>
    <w:rsid w:val="0FD106C0"/>
    <w:rsid w:val="0FD8FB82"/>
    <w:rsid w:val="0FE2EFB2"/>
    <w:rsid w:val="0FE53310"/>
    <w:rsid w:val="0FFEB120"/>
    <w:rsid w:val="10123CAC"/>
    <w:rsid w:val="104BEFC0"/>
    <w:rsid w:val="104EA240"/>
    <w:rsid w:val="10692F2A"/>
    <w:rsid w:val="10704F7F"/>
    <w:rsid w:val="10713376"/>
    <w:rsid w:val="10729C99"/>
    <w:rsid w:val="108E0B6E"/>
    <w:rsid w:val="1093BADD"/>
    <w:rsid w:val="10A3A7B7"/>
    <w:rsid w:val="10B0D7E8"/>
    <w:rsid w:val="10B38B3B"/>
    <w:rsid w:val="10D1C251"/>
    <w:rsid w:val="10D2532A"/>
    <w:rsid w:val="10E13719"/>
    <w:rsid w:val="10EBA7D9"/>
    <w:rsid w:val="10F17650"/>
    <w:rsid w:val="10F827EB"/>
    <w:rsid w:val="10FBD663"/>
    <w:rsid w:val="11051787"/>
    <w:rsid w:val="1110CF2E"/>
    <w:rsid w:val="113C2E94"/>
    <w:rsid w:val="1157BFC1"/>
    <w:rsid w:val="116A9AC7"/>
    <w:rsid w:val="117E37E8"/>
    <w:rsid w:val="118311EB"/>
    <w:rsid w:val="118DB529"/>
    <w:rsid w:val="1193B0CE"/>
    <w:rsid w:val="1197DB4C"/>
    <w:rsid w:val="11AC1789"/>
    <w:rsid w:val="11D27474"/>
    <w:rsid w:val="11E46D25"/>
    <w:rsid w:val="11F13DE8"/>
    <w:rsid w:val="11F37397"/>
    <w:rsid w:val="11FB55A6"/>
    <w:rsid w:val="12158EAB"/>
    <w:rsid w:val="1217C142"/>
    <w:rsid w:val="12273927"/>
    <w:rsid w:val="122B5346"/>
    <w:rsid w:val="12369302"/>
    <w:rsid w:val="1249CDCE"/>
    <w:rsid w:val="124DD3C8"/>
    <w:rsid w:val="125906F2"/>
    <w:rsid w:val="12651B69"/>
    <w:rsid w:val="126E64D2"/>
    <w:rsid w:val="128DC8D0"/>
    <w:rsid w:val="129EC935"/>
    <w:rsid w:val="12A107FA"/>
    <w:rsid w:val="12A7585B"/>
    <w:rsid w:val="12C3CB5B"/>
    <w:rsid w:val="12C5A316"/>
    <w:rsid w:val="12C7A25B"/>
    <w:rsid w:val="12E07EE5"/>
    <w:rsid w:val="12F3D47D"/>
    <w:rsid w:val="130A132C"/>
    <w:rsid w:val="130FB2A3"/>
    <w:rsid w:val="1310428D"/>
    <w:rsid w:val="131260B6"/>
    <w:rsid w:val="131C97B6"/>
    <w:rsid w:val="131D9B7D"/>
    <w:rsid w:val="1328E248"/>
    <w:rsid w:val="13295318"/>
    <w:rsid w:val="133921B2"/>
    <w:rsid w:val="1340F86C"/>
    <w:rsid w:val="1348D7ED"/>
    <w:rsid w:val="13530A94"/>
    <w:rsid w:val="136359DC"/>
    <w:rsid w:val="1382FEBB"/>
    <w:rsid w:val="138FDDEC"/>
    <w:rsid w:val="13944156"/>
    <w:rsid w:val="139E1A56"/>
    <w:rsid w:val="13A145FA"/>
    <w:rsid w:val="13AEE5E2"/>
    <w:rsid w:val="13C933E7"/>
    <w:rsid w:val="13D8B2DA"/>
    <w:rsid w:val="13DEF42A"/>
    <w:rsid w:val="13E6036C"/>
    <w:rsid w:val="13E8DA84"/>
    <w:rsid w:val="140859C3"/>
    <w:rsid w:val="140AE683"/>
    <w:rsid w:val="141DA284"/>
    <w:rsid w:val="143518C1"/>
    <w:rsid w:val="144AA099"/>
    <w:rsid w:val="1451CF05"/>
    <w:rsid w:val="145F082D"/>
    <w:rsid w:val="1464CFAE"/>
    <w:rsid w:val="146B7A92"/>
    <w:rsid w:val="147C58AE"/>
    <w:rsid w:val="1486A71E"/>
    <w:rsid w:val="14971145"/>
    <w:rsid w:val="149B4DAE"/>
    <w:rsid w:val="14A3A44F"/>
    <w:rsid w:val="14B428B5"/>
    <w:rsid w:val="14B7EB27"/>
    <w:rsid w:val="14DA44D2"/>
    <w:rsid w:val="14DB81D1"/>
    <w:rsid w:val="151DF189"/>
    <w:rsid w:val="152B86CF"/>
    <w:rsid w:val="152CB390"/>
    <w:rsid w:val="1537584A"/>
    <w:rsid w:val="153B1CD4"/>
    <w:rsid w:val="15425425"/>
    <w:rsid w:val="15426B79"/>
    <w:rsid w:val="154C7643"/>
    <w:rsid w:val="1555018A"/>
    <w:rsid w:val="1556C9C6"/>
    <w:rsid w:val="157A6412"/>
    <w:rsid w:val="158430FD"/>
    <w:rsid w:val="1584FB2C"/>
    <w:rsid w:val="15887375"/>
    <w:rsid w:val="15A80F31"/>
    <w:rsid w:val="15A9F05C"/>
    <w:rsid w:val="15B971E8"/>
    <w:rsid w:val="15C1DB07"/>
    <w:rsid w:val="15E28784"/>
    <w:rsid w:val="15E6EECC"/>
    <w:rsid w:val="15F86304"/>
    <w:rsid w:val="16031C6A"/>
    <w:rsid w:val="1608A945"/>
    <w:rsid w:val="160F3A6A"/>
    <w:rsid w:val="16107802"/>
    <w:rsid w:val="162045B7"/>
    <w:rsid w:val="162FE59D"/>
    <w:rsid w:val="1638E1E7"/>
    <w:rsid w:val="16406B0D"/>
    <w:rsid w:val="1641FE49"/>
    <w:rsid w:val="16520970"/>
    <w:rsid w:val="1658CAB9"/>
    <w:rsid w:val="16616F9E"/>
    <w:rsid w:val="1664B2C1"/>
    <w:rsid w:val="166653FE"/>
    <w:rsid w:val="166FC9BA"/>
    <w:rsid w:val="167B6195"/>
    <w:rsid w:val="1699AF4E"/>
    <w:rsid w:val="169FCEE0"/>
    <w:rsid w:val="16BC5BDF"/>
    <w:rsid w:val="16BE79A4"/>
    <w:rsid w:val="16C8AA9C"/>
    <w:rsid w:val="16CE28BF"/>
    <w:rsid w:val="16E739C1"/>
    <w:rsid w:val="16EF4754"/>
    <w:rsid w:val="16F4A77E"/>
    <w:rsid w:val="17123F58"/>
    <w:rsid w:val="1728EDA0"/>
    <w:rsid w:val="172A47BB"/>
    <w:rsid w:val="17303547"/>
    <w:rsid w:val="17323C9A"/>
    <w:rsid w:val="173A90C9"/>
    <w:rsid w:val="174B9357"/>
    <w:rsid w:val="17601789"/>
    <w:rsid w:val="1760D7BC"/>
    <w:rsid w:val="17865695"/>
    <w:rsid w:val="17A6DCAC"/>
    <w:rsid w:val="17AFD045"/>
    <w:rsid w:val="17B623D0"/>
    <w:rsid w:val="17C71F1E"/>
    <w:rsid w:val="17CA593B"/>
    <w:rsid w:val="17CBF079"/>
    <w:rsid w:val="17D3458D"/>
    <w:rsid w:val="17E023D3"/>
    <w:rsid w:val="17E1B8AF"/>
    <w:rsid w:val="17E7BBC1"/>
    <w:rsid w:val="17EE695B"/>
    <w:rsid w:val="17F1CF0A"/>
    <w:rsid w:val="18001B9E"/>
    <w:rsid w:val="180DFA1D"/>
    <w:rsid w:val="181F908E"/>
    <w:rsid w:val="183C919E"/>
    <w:rsid w:val="1849B7FD"/>
    <w:rsid w:val="18591444"/>
    <w:rsid w:val="185C2B32"/>
    <w:rsid w:val="18657614"/>
    <w:rsid w:val="18695152"/>
    <w:rsid w:val="186D1177"/>
    <w:rsid w:val="186DA2B9"/>
    <w:rsid w:val="188CD08F"/>
    <w:rsid w:val="188F0E82"/>
    <w:rsid w:val="1897F79B"/>
    <w:rsid w:val="18A9BC5C"/>
    <w:rsid w:val="18B307DD"/>
    <w:rsid w:val="18BB26D8"/>
    <w:rsid w:val="18D03771"/>
    <w:rsid w:val="18D0569C"/>
    <w:rsid w:val="18E08229"/>
    <w:rsid w:val="18FACBDC"/>
    <w:rsid w:val="1908C59C"/>
    <w:rsid w:val="191D4139"/>
    <w:rsid w:val="1921153E"/>
    <w:rsid w:val="193369A9"/>
    <w:rsid w:val="193E19F3"/>
    <w:rsid w:val="194CD0BA"/>
    <w:rsid w:val="195DAD59"/>
    <w:rsid w:val="1974DB41"/>
    <w:rsid w:val="197BFE6B"/>
    <w:rsid w:val="197EAC64"/>
    <w:rsid w:val="19901FB7"/>
    <w:rsid w:val="199975FC"/>
    <w:rsid w:val="19AF6841"/>
    <w:rsid w:val="19D3C814"/>
    <w:rsid w:val="1A162191"/>
    <w:rsid w:val="1A2BD054"/>
    <w:rsid w:val="1A317DEB"/>
    <w:rsid w:val="1A3D0B3B"/>
    <w:rsid w:val="1A481CC5"/>
    <w:rsid w:val="1A530C50"/>
    <w:rsid w:val="1A732707"/>
    <w:rsid w:val="1A83CFF4"/>
    <w:rsid w:val="1A8E421F"/>
    <w:rsid w:val="1AA60EDC"/>
    <w:rsid w:val="1AC19BD5"/>
    <w:rsid w:val="1AC7C74F"/>
    <w:rsid w:val="1ACBD0C4"/>
    <w:rsid w:val="1ACD4065"/>
    <w:rsid w:val="1ACE00F9"/>
    <w:rsid w:val="1AE6C64B"/>
    <w:rsid w:val="1AF98E2B"/>
    <w:rsid w:val="1B049D13"/>
    <w:rsid w:val="1B2C4BCB"/>
    <w:rsid w:val="1B4DA481"/>
    <w:rsid w:val="1B510459"/>
    <w:rsid w:val="1B83196F"/>
    <w:rsid w:val="1B8C2C50"/>
    <w:rsid w:val="1B949474"/>
    <w:rsid w:val="1B9D5B8F"/>
    <w:rsid w:val="1BAC5FD2"/>
    <w:rsid w:val="1BC2DA55"/>
    <w:rsid w:val="1BEA8AD9"/>
    <w:rsid w:val="1BF1BD12"/>
    <w:rsid w:val="1C030D81"/>
    <w:rsid w:val="1C60E681"/>
    <w:rsid w:val="1C6ACAEB"/>
    <w:rsid w:val="1C749F61"/>
    <w:rsid w:val="1C85291C"/>
    <w:rsid w:val="1C97BF3C"/>
    <w:rsid w:val="1CA22BD8"/>
    <w:rsid w:val="1CBB0B2D"/>
    <w:rsid w:val="1CCDB147"/>
    <w:rsid w:val="1CF185DB"/>
    <w:rsid w:val="1CF9CED2"/>
    <w:rsid w:val="1D1315A8"/>
    <w:rsid w:val="1D26B5AB"/>
    <w:rsid w:val="1D37CA12"/>
    <w:rsid w:val="1D45506C"/>
    <w:rsid w:val="1D4A994E"/>
    <w:rsid w:val="1D6CA977"/>
    <w:rsid w:val="1D731CFB"/>
    <w:rsid w:val="1D8CC733"/>
    <w:rsid w:val="1D978D2F"/>
    <w:rsid w:val="1DC455D5"/>
    <w:rsid w:val="1DEAB299"/>
    <w:rsid w:val="1E0992B0"/>
    <w:rsid w:val="1E34165C"/>
    <w:rsid w:val="1E4BDA86"/>
    <w:rsid w:val="1E5A6625"/>
    <w:rsid w:val="1E5B71D0"/>
    <w:rsid w:val="1E619CA9"/>
    <w:rsid w:val="1E6DE7D1"/>
    <w:rsid w:val="1E76E8FB"/>
    <w:rsid w:val="1E8FA5EE"/>
    <w:rsid w:val="1E99C075"/>
    <w:rsid w:val="1E9CFD66"/>
    <w:rsid w:val="1EA36798"/>
    <w:rsid w:val="1EB3FFC4"/>
    <w:rsid w:val="1EB73E0B"/>
    <w:rsid w:val="1EC06A1C"/>
    <w:rsid w:val="1ECAD04B"/>
    <w:rsid w:val="1ED4C551"/>
    <w:rsid w:val="1F00E36D"/>
    <w:rsid w:val="1F0BBA3F"/>
    <w:rsid w:val="1F0F9FF9"/>
    <w:rsid w:val="1F19E8FC"/>
    <w:rsid w:val="1F3DDAEC"/>
    <w:rsid w:val="1F4A5F07"/>
    <w:rsid w:val="1F60E247"/>
    <w:rsid w:val="1F6587E6"/>
    <w:rsid w:val="1F696AB2"/>
    <w:rsid w:val="1F738AF1"/>
    <w:rsid w:val="1F857687"/>
    <w:rsid w:val="1F9DFFF0"/>
    <w:rsid w:val="1FCC3B9A"/>
    <w:rsid w:val="1FD1B53A"/>
    <w:rsid w:val="1FD596A3"/>
    <w:rsid w:val="1FD743A6"/>
    <w:rsid w:val="1FDA0021"/>
    <w:rsid w:val="1FDBC5E1"/>
    <w:rsid w:val="1FDE4868"/>
    <w:rsid w:val="1FE6BDE1"/>
    <w:rsid w:val="1FF1E50E"/>
    <w:rsid w:val="2044B914"/>
    <w:rsid w:val="20539231"/>
    <w:rsid w:val="206F045C"/>
    <w:rsid w:val="2074793B"/>
    <w:rsid w:val="207882EB"/>
    <w:rsid w:val="208B8AA9"/>
    <w:rsid w:val="20AD0A7F"/>
    <w:rsid w:val="20B21AF6"/>
    <w:rsid w:val="20C9B30E"/>
    <w:rsid w:val="20DF4B65"/>
    <w:rsid w:val="20DFDC36"/>
    <w:rsid w:val="2111E6FE"/>
    <w:rsid w:val="2112FF50"/>
    <w:rsid w:val="2118A387"/>
    <w:rsid w:val="212F63A8"/>
    <w:rsid w:val="214E845B"/>
    <w:rsid w:val="215951C2"/>
    <w:rsid w:val="216749C3"/>
    <w:rsid w:val="2190323E"/>
    <w:rsid w:val="21A38373"/>
    <w:rsid w:val="21A3E096"/>
    <w:rsid w:val="21A6C4EE"/>
    <w:rsid w:val="21D9E5A5"/>
    <w:rsid w:val="21FB525A"/>
    <w:rsid w:val="2210254E"/>
    <w:rsid w:val="2228182C"/>
    <w:rsid w:val="22369631"/>
    <w:rsid w:val="223D2D87"/>
    <w:rsid w:val="22616FEA"/>
    <w:rsid w:val="2265FCEA"/>
    <w:rsid w:val="2271E937"/>
    <w:rsid w:val="2272B481"/>
    <w:rsid w:val="22799D2A"/>
    <w:rsid w:val="227B973A"/>
    <w:rsid w:val="227F980C"/>
    <w:rsid w:val="22A7C336"/>
    <w:rsid w:val="22ADE3C0"/>
    <w:rsid w:val="22C9730A"/>
    <w:rsid w:val="22D805E8"/>
    <w:rsid w:val="22DD6370"/>
    <w:rsid w:val="2303ADCE"/>
    <w:rsid w:val="23063724"/>
    <w:rsid w:val="2317704A"/>
    <w:rsid w:val="231D5DA5"/>
    <w:rsid w:val="234B685C"/>
    <w:rsid w:val="2358ED40"/>
    <w:rsid w:val="235ED5AA"/>
    <w:rsid w:val="236D006B"/>
    <w:rsid w:val="236DC794"/>
    <w:rsid w:val="23705CE9"/>
    <w:rsid w:val="237E8BFD"/>
    <w:rsid w:val="23A0BB05"/>
    <w:rsid w:val="23A48859"/>
    <w:rsid w:val="23C4DDFF"/>
    <w:rsid w:val="23C951D3"/>
    <w:rsid w:val="23CDA422"/>
    <w:rsid w:val="23FB4F7A"/>
    <w:rsid w:val="240DE49A"/>
    <w:rsid w:val="24193855"/>
    <w:rsid w:val="241C468E"/>
    <w:rsid w:val="242DD4F7"/>
    <w:rsid w:val="243A8C44"/>
    <w:rsid w:val="2445E1B6"/>
    <w:rsid w:val="244BBE84"/>
    <w:rsid w:val="2455CFDA"/>
    <w:rsid w:val="2456F0E3"/>
    <w:rsid w:val="2465A879"/>
    <w:rsid w:val="24753363"/>
    <w:rsid w:val="248B17F4"/>
    <w:rsid w:val="249851D4"/>
    <w:rsid w:val="249B4053"/>
    <w:rsid w:val="24A99876"/>
    <w:rsid w:val="24B6526D"/>
    <w:rsid w:val="24B8E098"/>
    <w:rsid w:val="24BA9CD5"/>
    <w:rsid w:val="24D161B8"/>
    <w:rsid w:val="24D6F13B"/>
    <w:rsid w:val="24F4B596"/>
    <w:rsid w:val="250DF0DC"/>
    <w:rsid w:val="2511DC82"/>
    <w:rsid w:val="25236820"/>
    <w:rsid w:val="252B44F9"/>
    <w:rsid w:val="252F8CD8"/>
    <w:rsid w:val="25398936"/>
    <w:rsid w:val="254E6418"/>
    <w:rsid w:val="255A2C5F"/>
    <w:rsid w:val="255F49DE"/>
    <w:rsid w:val="25606E12"/>
    <w:rsid w:val="2568A06C"/>
    <w:rsid w:val="257A672D"/>
    <w:rsid w:val="25817675"/>
    <w:rsid w:val="25874094"/>
    <w:rsid w:val="258916BC"/>
    <w:rsid w:val="25937906"/>
    <w:rsid w:val="25968C30"/>
    <w:rsid w:val="259A1FB7"/>
    <w:rsid w:val="259D5C2B"/>
    <w:rsid w:val="25B2424D"/>
    <w:rsid w:val="25B27E8D"/>
    <w:rsid w:val="25B69052"/>
    <w:rsid w:val="25DF3564"/>
    <w:rsid w:val="25E66BB9"/>
    <w:rsid w:val="25FAE3AB"/>
    <w:rsid w:val="25FEB15D"/>
    <w:rsid w:val="2622B306"/>
    <w:rsid w:val="262E3A90"/>
    <w:rsid w:val="26397027"/>
    <w:rsid w:val="2646CA5D"/>
    <w:rsid w:val="264E62B9"/>
    <w:rsid w:val="267951C1"/>
    <w:rsid w:val="26872EBF"/>
    <w:rsid w:val="268DC440"/>
    <w:rsid w:val="26947705"/>
    <w:rsid w:val="2694E3FC"/>
    <w:rsid w:val="269551B0"/>
    <w:rsid w:val="26A077FD"/>
    <w:rsid w:val="26A3D19A"/>
    <w:rsid w:val="26B35DD0"/>
    <w:rsid w:val="26B6EFF3"/>
    <w:rsid w:val="26BB0A4E"/>
    <w:rsid w:val="26DAFEAC"/>
    <w:rsid w:val="26DC2E44"/>
    <w:rsid w:val="26DEA66C"/>
    <w:rsid w:val="26E9619E"/>
    <w:rsid w:val="26E9D91B"/>
    <w:rsid w:val="27160CD2"/>
    <w:rsid w:val="2729284E"/>
    <w:rsid w:val="273C7551"/>
    <w:rsid w:val="273E3A70"/>
    <w:rsid w:val="27445CF2"/>
    <w:rsid w:val="2752B23B"/>
    <w:rsid w:val="2757C942"/>
    <w:rsid w:val="2759C743"/>
    <w:rsid w:val="277BB874"/>
    <w:rsid w:val="2783D6BC"/>
    <w:rsid w:val="278D9F6E"/>
    <w:rsid w:val="279D3ECF"/>
    <w:rsid w:val="27C2AC3A"/>
    <w:rsid w:val="27C92B47"/>
    <w:rsid w:val="27D85583"/>
    <w:rsid w:val="27DE5AD2"/>
    <w:rsid w:val="27F62028"/>
    <w:rsid w:val="27FA66CA"/>
    <w:rsid w:val="2800A16E"/>
    <w:rsid w:val="28028050"/>
    <w:rsid w:val="280B17B2"/>
    <w:rsid w:val="280E1672"/>
    <w:rsid w:val="281A8B0F"/>
    <w:rsid w:val="2830E9C5"/>
    <w:rsid w:val="285FB219"/>
    <w:rsid w:val="2860269D"/>
    <w:rsid w:val="28663A57"/>
    <w:rsid w:val="2868DE88"/>
    <w:rsid w:val="28757260"/>
    <w:rsid w:val="28874611"/>
    <w:rsid w:val="288B2DDA"/>
    <w:rsid w:val="289A25ED"/>
    <w:rsid w:val="289CD571"/>
    <w:rsid w:val="28A392D7"/>
    <w:rsid w:val="28B936B8"/>
    <w:rsid w:val="28DA9F05"/>
    <w:rsid w:val="28E84F12"/>
    <w:rsid w:val="28F2A11B"/>
    <w:rsid w:val="292A608A"/>
    <w:rsid w:val="295E882D"/>
    <w:rsid w:val="2977DF71"/>
    <w:rsid w:val="29843DE6"/>
    <w:rsid w:val="29866C75"/>
    <w:rsid w:val="2997A2E1"/>
    <w:rsid w:val="299887FD"/>
    <w:rsid w:val="299F474B"/>
    <w:rsid w:val="29A39A86"/>
    <w:rsid w:val="29C7A0CD"/>
    <w:rsid w:val="29CF057F"/>
    <w:rsid w:val="29D8B288"/>
    <w:rsid w:val="29DE4429"/>
    <w:rsid w:val="29DFE45E"/>
    <w:rsid w:val="29E8FAED"/>
    <w:rsid w:val="2A06DD84"/>
    <w:rsid w:val="2A106322"/>
    <w:rsid w:val="2A1D9785"/>
    <w:rsid w:val="2A22095E"/>
    <w:rsid w:val="2A302B53"/>
    <w:rsid w:val="2A4F91DD"/>
    <w:rsid w:val="2A4FAD1B"/>
    <w:rsid w:val="2A5B666E"/>
    <w:rsid w:val="2A6E8DE4"/>
    <w:rsid w:val="2A746972"/>
    <w:rsid w:val="2A7E05D6"/>
    <w:rsid w:val="2A93B769"/>
    <w:rsid w:val="2AA00CD3"/>
    <w:rsid w:val="2AA7FA8D"/>
    <w:rsid w:val="2AAC6625"/>
    <w:rsid w:val="2AAE5D83"/>
    <w:rsid w:val="2AAE921B"/>
    <w:rsid w:val="2AB4A9EA"/>
    <w:rsid w:val="2ABE8911"/>
    <w:rsid w:val="2ABFBC0D"/>
    <w:rsid w:val="2AC820D9"/>
    <w:rsid w:val="2AD2091A"/>
    <w:rsid w:val="2AF12631"/>
    <w:rsid w:val="2B123EAA"/>
    <w:rsid w:val="2B318295"/>
    <w:rsid w:val="2B32F204"/>
    <w:rsid w:val="2B415DB4"/>
    <w:rsid w:val="2B5653CA"/>
    <w:rsid w:val="2B6F0E3A"/>
    <w:rsid w:val="2B71CFAC"/>
    <w:rsid w:val="2B7638B8"/>
    <w:rsid w:val="2B85B331"/>
    <w:rsid w:val="2BA17A54"/>
    <w:rsid w:val="2BBDDD13"/>
    <w:rsid w:val="2BC394BC"/>
    <w:rsid w:val="2BC9BD11"/>
    <w:rsid w:val="2BD84AC7"/>
    <w:rsid w:val="2BF1C518"/>
    <w:rsid w:val="2BFA4E4E"/>
    <w:rsid w:val="2C0A5D59"/>
    <w:rsid w:val="2C0B1206"/>
    <w:rsid w:val="2C2B0FFD"/>
    <w:rsid w:val="2C3403D7"/>
    <w:rsid w:val="2C4BBC47"/>
    <w:rsid w:val="2C58AEEF"/>
    <w:rsid w:val="2C5951C6"/>
    <w:rsid w:val="2C59F701"/>
    <w:rsid w:val="2C6B89A6"/>
    <w:rsid w:val="2C6EFC42"/>
    <w:rsid w:val="2C764C4F"/>
    <w:rsid w:val="2C8055FE"/>
    <w:rsid w:val="2C8A9E5B"/>
    <w:rsid w:val="2C925924"/>
    <w:rsid w:val="2C983923"/>
    <w:rsid w:val="2C9C8612"/>
    <w:rsid w:val="2CA63472"/>
    <w:rsid w:val="2CA77D94"/>
    <w:rsid w:val="2CA8FBEB"/>
    <w:rsid w:val="2CAA0411"/>
    <w:rsid w:val="2CAA410D"/>
    <w:rsid w:val="2CB4ACA9"/>
    <w:rsid w:val="2CD91ACC"/>
    <w:rsid w:val="2CE59CD7"/>
    <w:rsid w:val="2CF7390C"/>
    <w:rsid w:val="2CFC00DE"/>
    <w:rsid w:val="2D0230C2"/>
    <w:rsid w:val="2D0FF306"/>
    <w:rsid w:val="2D102B49"/>
    <w:rsid w:val="2D1100F0"/>
    <w:rsid w:val="2D11D69D"/>
    <w:rsid w:val="2D1FA862"/>
    <w:rsid w:val="2D271254"/>
    <w:rsid w:val="2D2E8683"/>
    <w:rsid w:val="2D3F42EE"/>
    <w:rsid w:val="2D5A7A99"/>
    <w:rsid w:val="2D5DD801"/>
    <w:rsid w:val="2D6793C9"/>
    <w:rsid w:val="2D6DB137"/>
    <w:rsid w:val="2D875A0B"/>
    <w:rsid w:val="2D8DC8E6"/>
    <w:rsid w:val="2DA0F827"/>
    <w:rsid w:val="2DACE0BF"/>
    <w:rsid w:val="2DAD780C"/>
    <w:rsid w:val="2DBFF68A"/>
    <w:rsid w:val="2DC35868"/>
    <w:rsid w:val="2DCA769A"/>
    <w:rsid w:val="2DCE414D"/>
    <w:rsid w:val="2DDDDF77"/>
    <w:rsid w:val="2DF17926"/>
    <w:rsid w:val="2DFD2227"/>
    <w:rsid w:val="2E0C69FD"/>
    <w:rsid w:val="2E0E6790"/>
    <w:rsid w:val="2E33A161"/>
    <w:rsid w:val="2E3CA78B"/>
    <w:rsid w:val="2E43CAD7"/>
    <w:rsid w:val="2E510DF3"/>
    <w:rsid w:val="2E66070B"/>
    <w:rsid w:val="2E784AD6"/>
    <w:rsid w:val="2E874695"/>
    <w:rsid w:val="2E89BE85"/>
    <w:rsid w:val="2E908218"/>
    <w:rsid w:val="2E9BF543"/>
    <w:rsid w:val="2EB0DC3A"/>
    <w:rsid w:val="2ECAE2A3"/>
    <w:rsid w:val="2ECB019C"/>
    <w:rsid w:val="2ED13508"/>
    <w:rsid w:val="2EDE8C59"/>
    <w:rsid w:val="2EF3072B"/>
    <w:rsid w:val="2EF61703"/>
    <w:rsid w:val="2F050758"/>
    <w:rsid w:val="2F104FE9"/>
    <w:rsid w:val="2F3972FF"/>
    <w:rsid w:val="2F55CBC3"/>
    <w:rsid w:val="2F749436"/>
    <w:rsid w:val="2FA92CE8"/>
    <w:rsid w:val="2FAF9362"/>
    <w:rsid w:val="2FBA557C"/>
    <w:rsid w:val="2FCB9B9D"/>
    <w:rsid w:val="2FD9D31D"/>
    <w:rsid w:val="2FE13FAA"/>
    <w:rsid w:val="2FED0A6E"/>
    <w:rsid w:val="3008DED5"/>
    <w:rsid w:val="301152D6"/>
    <w:rsid w:val="301A47E5"/>
    <w:rsid w:val="3028B423"/>
    <w:rsid w:val="302ED5F3"/>
    <w:rsid w:val="3031FC4F"/>
    <w:rsid w:val="30496CD0"/>
    <w:rsid w:val="3052B455"/>
    <w:rsid w:val="3055D291"/>
    <w:rsid w:val="30616976"/>
    <w:rsid w:val="306672E4"/>
    <w:rsid w:val="306F594B"/>
    <w:rsid w:val="307068B3"/>
    <w:rsid w:val="307D69E6"/>
    <w:rsid w:val="308F6653"/>
    <w:rsid w:val="30966B3C"/>
    <w:rsid w:val="30A5AE7D"/>
    <w:rsid w:val="30AED9D5"/>
    <w:rsid w:val="30B006B2"/>
    <w:rsid w:val="30BCD15D"/>
    <w:rsid w:val="30C57DBF"/>
    <w:rsid w:val="30F5B3B2"/>
    <w:rsid w:val="30F6A146"/>
    <w:rsid w:val="30F6C769"/>
    <w:rsid w:val="30F8D0B7"/>
    <w:rsid w:val="30FA7914"/>
    <w:rsid w:val="310CB917"/>
    <w:rsid w:val="311A12CF"/>
    <w:rsid w:val="3127ED00"/>
    <w:rsid w:val="313268D6"/>
    <w:rsid w:val="31338547"/>
    <w:rsid w:val="31351948"/>
    <w:rsid w:val="315839DB"/>
    <w:rsid w:val="317D633B"/>
    <w:rsid w:val="31810BCE"/>
    <w:rsid w:val="31A67CA8"/>
    <w:rsid w:val="31C364BE"/>
    <w:rsid w:val="31D56238"/>
    <w:rsid w:val="31D64D6C"/>
    <w:rsid w:val="31D965B6"/>
    <w:rsid w:val="31ECD431"/>
    <w:rsid w:val="320B2B8D"/>
    <w:rsid w:val="320C9699"/>
    <w:rsid w:val="32231274"/>
    <w:rsid w:val="3223E67F"/>
    <w:rsid w:val="32410713"/>
    <w:rsid w:val="3251CE67"/>
    <w:rsid w:val="3253765F"/>
    <w:rsid w:val="3253F66F"/>
    <w:rsid w:val="325EBE2C"/>
    <w:rsid w:val="326ADC02"/>
    <w:rsid w:val="32739BD1"/>
    <w:rsid w:val="3282E6C1"/>
    <w:rsid w:val="32842F61"/>
    <w:rsid w:val="328C1D68"/>
    <w:rsid w:val="3295BBC9"/>
    <w:rsid w:val="32A35B2B"/>
    <w:rsid w:val="32AAFD86"/>
    <w:rsid w:val="32AB9776"/>
    <w:rsid w:val="32ADF8FE"/>
    <w:rsid w:val="32BE2CE3"/>
    <w:rsid w:val="32C95826"/>
    <w:rsid w:val="32CE68AB"/>
    <w:rsid w:val="32CEAC14"/>
    <w:rsid w:val="32DB0536"/>
    <w:rsid w:val="32F9DE3A"/>
    <w:rsid w:val="32FAA317"/>
    <w:rsid w:val="32FAFC6D"/>
    <w:rsid w:val="33064FCF"/>
    <w:rsid w:val="330D0B2E"/>
    <w:rsid w:val="3318C899"/>
    <w:rsid w:val="33236B15"/>
    <w:rsid w:val="332408EC"/>
    <w:rsid w:val="33469AD8"/>
    <w:rsid w:val="33486811"/>
    <w:rsid w:val="334DA762"/>
    <w:rsid w:val="33508143"/>
    <w:rsid w:val="33542690"/>
    <w:rsid w:val="33583B94"/>
    <w:rsid w:val="335ACA15"/>
    <w:rsid w:val="336ECE06"/>
    <w:rsid w:val="337195FF"/>
    <w:rsid w:val="33826B68"/>
    <w:rsid w:val="33958D96"/>
    <w:rsid w:val="33963035"/>
    <w:rsid w:val="33A9E161"/>
    <w:rsid w:val="33B358EF"/>
    <w:rsid w:val="33C224F2"/>
    <w:rsid w:val="33CAD0C5"/>
    <w:rsid w:val="33DAB726"/>
    <w:rsid w:val="33DCB5CA"/>
    <w:rsid w:val="33DD61D4"/>
    <w:rsid w:val="33F4BEFE"/>
    <w:rsid w:val="3404BD2F"/>
    <w:rsid w:val="341EEF1E"/>
    <w:rsid w:val="344FEB65"/>
    <w:rsid w:val="346D1D4D"/>
    <w:rsid w:val="347976EE"/>
    <w:rsid w:val="34863EBB"/>
    <w:rsid w:val="34884EA0"/>
    <w:rsid w:val="34B54CAA"/>
    <w:rsid w:val="34D58FD6"/>
    <w:rsid w:val="34D704A0"/>
    <w:rsid w:val="34DCA920"/>
    <w:rsid w:val="34EB1B4B"/>
    <w:rsid w:val="350C92DF"/>
    <w:rsid w:val="35107806"/>
    <w:rsid w:val="3534275E"/>
    <w:rsid w:val="35358C06"/>
    <w:rsid w:val="35426D5C"/>
    <w:rsid w:val="3549F7BB"/>
    <w:rsid w:val="355B8987"/>
    <w:rsid w:val="356BCCF5"/>
    <w:rsid w:val="356DFD7D"/>
    <w:rsid w:val="35703E2E"/>
    <w:rsid w:val="3570F1E0"/>
    <w:rsid w:val="35A7788C"/>
    <w:rsid w:val="35B3CE90"/>
    <w:rsid w:val="35BC90C6"/>
    <w:rsid w:val="35CDCF35"/>
    <w:rsid w:val="35CFE0E9"/>
    <w:rsid w:val="35D4895E"/>
    <w:rsid w:val="35E78B8C"/>
    <w:rsid w:val="35F78A84"/>
    <w:rsid w:val="35F957AC"/>
    <w:rsid w:val="35FE2DD2"/>
    <w:rsid w:val="36113CE9"/>
    <w:rsid w:val="364C3C5D"/>
    <w:rsid w:val="3687D7AB"/>
    <w:rsid w:val="36899188"/>
    <w:rsid w:val="36A19A35"/>
    <w:rsid w:val="36ABECC5"/>
    <w:rsid w:val="36B39B7E"/>
    <w:rsid w:val="36CC0BC8"/>
    <w:rsid w:val="36D8C9C8"/>
    <w:rsid w:val="36DA7E8E"/>
    <w:rsid w:val="36E1E44B"/>
    <w:rsid w:val="36E5AC0A"/>
    <w:rsid w:val="36E67736"/>
    <w:rsid w:val="36ECB90A"/>
    <w:rsid w:val="36F4D4FF"/>
    <w:rsid w:val="36FD4586"/>
    <w:rsid w:val="370991D7"/>
    <w:rsid w:val="370B6A1C"/>
    <w:rsid w:val="370FD86A"/>
    <w:rsid w:val="371B420F"/>
    <w:rsid w:val="3727B64F"/>
    <w:rsid w:val="3729B6E9"/>
    <w:rsid w:val="372C9D44"/>
    <w:rsid w:val="3730C0A3"/>
    <w:rsid w:val="374A7236"/>
    <w:rsid w:val="374B6267"/>
    <w:rsid w:val="3764E958"/>
    <w:rsid w:val="37770254"/>
    <w:rsid w:val="37837EDD"/>
    <w:rsid w:val="3795320E"/>
    <w:rsid w:val="3797CBDD"/>
    <w:rsid w:val="37A04601"/>
    <w:rsid w:val="37A22918"/>
    <w:rsid w:val="37A723DA"/>
    <w:rsid w:val="37AC01C4"/>
    <w:rsid w:val="37AEE2AE"/>
    <w:rsid w:val="37B18826"/>
    <w:rsid w:val="37C41A5A"/>
    <w:rsid w:val="37C93B29"/>
    <w:rsid w:val="37D2D2BA"/>
    <w:rsid w:val="37DB2BCB"/>
    <w:rsid w:val="37E95DA5"/>
    <w:rsid w:val="380481AA"/>
    <w:rsid w:val="3808180E"/>
    <w:rsid w:val="3810AB50"/>
    <w:rsid w:val="38112D0D"/>
    <w:rsid w:val="381292E1"/>
    <w:rsid w:val="3815F397"/>
    <w:rsid w:val="383264FA"/>
    <w:rsid w:val="384FB0BE"/>
    <w:rsid w:val="386890CB"/>
    <w:rsid w:val="38714871"/>
    <w:rsid w:val="3875C430"/>
    <w:rsid w:val="38A91B1F"/>
    <w:rsid w:val="38B107AD"/>
    <w:rsid w:val="38F51CE0"/>
    <w:rsid w:val="38FE5048"/>
    <w:rsid w:val="39164000"/>
    <w:rsid w:val="39271A0E"/>
    <w:rsid w:val="39290AF6"/>
    <w:rsid w:val="392B7E9E"/>
    <w:rsid w:val="3934D0F5"/>
    <w:rsid w:val="39681C47"/>
    <w:rsid w:val="397996FB"/>
    <w:rsid w:val="397A9024"/>
    <w:rsid w:val="3987A9D1"/>
    <w:rsid w:val="3992407C"/>
    <w:rsid w:val="399A4F78"/>
    <w:rsid w:val="39AFA76F"/>
    <w:rsid w:val="39CFE5F3"/>
    <w:rsid w:val="39D02343"/>
    <w:rsid w:val="39DA000F"/>
    <w:rsid w:val="39F82098"/>
    <w:rsid w:val="3A0C03D1"/>
    <w:rsid w:val="3A276D94"/>
    <w:rsid w:val="3A38C931"/>
    <w:rsid w:val="3A5354FB"/>
    <w:rsid w:val="3A60938A"/>
    <w:rsid w:val="3A60E232"/>
    <w:rsid w:val="3A654E41"/>
    <w:rsid w:val="3A6A8C47"/>
    <w:rsid w:val="3A6AF126"/>
    <w:rsid w:val="3A80498A"/>
    <w:rsid w:val="3AA40104"/>
    <w:rsid w:val="3AABE2FF"/>
    <w:rsid w:val="3AB9A2AF"/>
    <w:rsid w:val="3AC3EBAF"/>
    <w:rsid w:val="3AC53507"/>
    <w:rsid w:val="3ACE59BB"/>
    <w:rsid w:val="3AD8D42B"/>
    <w:rsid w:val="3ADF1A17"/>
    <w:rsid w:val="3AF1AF49"/>
    <w:rsid w:val="3AF44E24"/>
    <w:rsid w:val="3AFB0BFD"/>
    <w:rsid w:val="3B2DCDA6"/>
    <w:rsid w:val="3B2FB67E"/>
    <w:rsid w:val="3B342486"/>
    <w:rsid w:val="3B3A4F0A"/>
    <w:rsid w:val="3B485EA9"/>
    <w:rsid w:val="3B73BE90"/>
    <w:rsid w:val="3B7480CE"/>
    <w:rsid w:val="3B85BB03"/>
    <w:rsid w:val="3B87C59E"/>
    <w:rsid w:val="3B88F27A"/>
    <w:rsid w:val="3BA92A61"/>
    <w:rsid w:val="3BAFE7FA"/>
    <w:rsid w:val="3BB39795"/>
    <w:rsid w:val="3BBDF58C"/>
    <w:rsid w:val="3BE6E92B"/>
    <w:rsid w:val="3BFB57DC"/>
    <w:rsid w:val="3BFC85A6"/>
    <w:rsid w:val="3BFF5332"/>
    <w:rsid w:val="3C1513DC"/>
    <w:rsid w:val="3C39CD68"/>
    <w:rsid w:val="3C474449"/>
    <w:rsid w:val="3C563895"/>
    <w:rsid w:val="3C63CEF0"/>
    <w:rsid w:val="3C6CE43F"/>
    <w:rsid w:val="3C79DB34"/>
    <w:rsid w:val="3C860749"/>
    <w:rsid w:val="3C8A062B"/>
    <w:rsid w:val="3C9AC27D"/>
    <w:rsid w:val="3CA48C1A"/>
    <w:rsid w:val="3CC942F0"/>
    <w:rsid w:val="3CD399F1"/>
    <w:rsid w:val="3CE608BE"/>
    <w:rsid w:val="3CEDD25A"/>
    <w:rsid w:val="3CF44AD4"/>
    <w:rsid w:val="3D12E594"/>
    <w:rsid w:val="3D187FE1"/>
    <w:rsid w:val="3D19BF9B"/>
    <w:rsid w:val="3D1C97A4"/>
    <w:rsid w:val="3D1F6533"/>
    <w:rsid w:val="3D373B07"/>
    <w:rsid w:val="3D48C6B2"/>
    <w:rsid w:val="3D5C85FE"/>
    <w:rsid w:val="3D649D98"/>
    <w:rsid w:val="3D80CCF4"/>
    <w:rsid w:val="3D88BD90"/>
    <w:rsid w:val="3D94104A"/>
    <w:rsid w:val="3DAE6747"/>
    <w:rsid w:val="3DB4961D"/>
    <w:rsid w:val="3DB8D686"/>
    <w:rsid w:val="3DB9A68E"/>
    <w:rsid w:val="3DBEA840"/>
    <w:rsid w:val="3DC5B744"/>
    <w:rsid w:val="3DC75C13"/>
    <w:rsid w:val="3DCCB660"/>
    <w:rsid w:val="3DCE47F0"/>
    <w:rsid w:val="3DCF20B2"/>
    <w:rsid w:val="3DD94320"/>
    <w:rsid w:val="3E0827B1"/>
    <w:rsid w:val="3E10EAFF"/>
    <w:rsid w:val="3E32C4A7"/>
    <w:rsid w:val="3E3D6CF5"/>
    <w:rsid w:val="3E3DFD1E"/>
    <w:rsid w:val="3E4DC082"/>
    <w:rsid w:val="3E4EFE70"/>
    <w:rsid w:val="3E6406B9"/>
    <w:rsid w:val="3E66F50D"/>
    <w:rsid w:val="3E723BCF"/>
    <w:rsid w:val="3E78B2B1"/>
    <w:rsid w:val="3E7ABEFF"/>
    <w:rsid w:val="3E7C97F4"/>
    <w:rsid w:val="3EAC9757"/>
    <w:rsid w:val="3ED95F5A"/>
    <w:rsid w:val="3EDCEF7E"/>
    <w:rsid w:val="3F0AB589"/>
    <w:rsid w:val="3F20514A"/>
    <w:rsid w:val="3F29F574"/>
    <w:rsid w:val="3F399AF4"/>
    <w:rsid w:val="3F3A4168"/>
    <w:rsid w:val="3F4FC63A"/>
    <w:rsid w:val="3F5C6707"/>
    <w:rsid w:val="3F629296"/>
    <w:rsid w:val="3F62A900"/>
    <w:rsid w:val="3F795752"/>
    <w:rsid w:val="3F7BBFEE"/>
    <w:rsid w:val="3F7CDF2F"/>
    <w:rsid w:val="3F7D65FD"/>
    <w:rsid w:val="3F977613"/>
    <w:rsid w:val="3FD2B312"/>
    <w:rsid w:val="3FE3865A"/>
    <w:rsid w:val="402D9382"/>
    <w:rsid w:val="404A183E"/>
    <w:rsid w:val="40669AF1"/>
    <w:rsid w:val="4074E311"/>
    <w:rsid w:val="4076B56B"/>
    <w:rsid w:val="4077121D"/>
    <w:rsid w:val="407B639E"/>
    <w:rsid w:val="407DECFF"/>
    <w:rsid w:val="408B8836"/>
    <w:rsid w:val="4090AFE3"/>
    <w:rsid w:val="40A56F73"/>
    <w:rsid w:val="40AEA0C0"/>
    <w:rsid w:val="40B1F630"/>
    <w:rsid w:val="40CB2D71"/>
    <w:rsid w:val="40D08523"/>
    <w:rsid w:val="40D30BE5"/>
    <w:rsid w:val="40D4CB98"/>
    <w:rsid w:val="40F267A7"/>
    <w:rsid w:val="40F83F88"/>
    <w:rsid w:val="41053C9F"/>
    <w:rsid w:val="410BB185"/>
    <w:rsid w:val="412C9825"/>
    <w:rsid w:val="413C9C19"/>
    <w:rsid w:val="4144865A"/>
    <w:rsid w:val="41572E54"/>
    <w:rsid w:val="41952975"/>
    <w:rsid w:val="41AA5973"/>
    <w:rsid w:val="41AE05C7"/>
    <w:rsid w:val="41C91B44"/>
    <w:rsid w:val="41D23439"/>
    <w:rsid w:val="41DFAF2B"/>
    <w:rsid w:val="41EDA06E"/>
    <w:rsid w:val="41EF30EE"/>
    <w:rsid w:val="41F6EB76"/>
    <w:rsid w:val="4211F996"/>
    <w:rsid w:val="4215C00A"/>
    <w:rsid w:val="4222B396"/>
    <w:rsid w:val="422319DD"/>
    <w:rsid w:val="4232DFF7"/>
    <w:rsid w:val="42350A24"/>
    <w:rsid w:val="42365FA9"/>
    <w:rsid w:val="423FA7AA"/>
    <w:rsid w:val="424903A7"/>
    <w:rsid w:val="425F010F"/>
    <w:rsid w:val="428A8E8D"/>
    <w:rsid w:val="428C6871"/>
    <w:rsid w:val="42ABB8E0"/>
    <w:rsid w:val="42AEE977"/>
    <w:rsid w:val="42D14E7B"/>
    <w:rsid w:val="42D64D01"/>
    <w:rsid w:val="42EEDB6E"/>
    <w:rsid w:val="430DDC0C"/>
    <w:rsid w:val="4318065C"/>
    <w:rsid w:val="43224A2B"/>
    <w:rsid w:val="43240CFC"/>
    <w:rsid w:val="433902A0"/>
    <w:rsid w:val="4358AD61"/>
    <w:rsid w:val="435A4C89"/>
    <w:rsid w:val="435ED66C"/>
    <w:rsid w:val="43699685"/>
    <w:rsid w:val="4372331C"/>
    <w:rsid w:val="43824236"/>
    <w:rsid w:val="438E9CD0"/>
    <w:rsid w:val="4393B35B"/>
    <w:rsid w:val="43B74016"/>
    <w:rsid w:val="43BC0CAE"/>
    <w:rsid w:val="43C7FF81"/>
    <w:rsid w:val="43CFA219"/>
    <w:rsid w:val="43E76B6B"/>
    <w:rsid w:val="43EBDA08"/>
    <w:rsid w:val="43F2F0C2"/>
    <w:rsid w:val="44259315"/>
    <w:rsid w:val="442BCEB0"/>
    <w:rsid w:val="442CF052"/>
    <w:rsid w:val="445EB1CA"/>
    <w:rsid w:val="4462A1D6"/>
    <w:rsid w:val="446881E9"/>
    <w:rsid w:val="447CF09A"/>
    <w:rsid w:val="4484479D"/>
    <w:rsid w:val="44904105"/>
    <w:rsid w:val="44932E4C"/>
    <w:rsid w:val="44A594B4"/>
    <w:rsid w:val="44AE0C0E"/>
    <w:rsid w:val="44B81F99"/>
    <w:rsid w:val="44BAAAEB"/>
    <w:rsid w:val="44C51B80"/>
    <w:rsid w:val="44CEC5F8"/>
    <w:rsid w:val="44F0FF65"/>
    <w:rsid w:val="45157874"/>
    <w:rsid w:val="451D4A84"/>
    <w:rsid w:val="4520376B"/>
    <w:rsid w:val="45549B26"/>
    <w:rsid w:val="45560478"/>
    <w:rsid w:val="455964E1"/>
    <w:rsid w:val="4563BEF9"/>
    <w:rsid w:val="45717962"/>
    <w:rsid w:val="45C6C31B"/>
    <w:rsid w:val="45DACF3A"/>
    <w:rsid w:val="45DEB953"/>
    <w:rsid w:val="4614AA62"/>
    <w:rsid w:val="463C447D"/>
    <w:rsid w:val="464E80C0"/>
    <w:rsid w:val="465C1588"/>
    <w:rsid w:val="466490FC"/>
    <w:rsid w:val="46683D67"/>
    <w:rsid w:val="46714E97"/>
    <w:rsid w:val="4695ACC4"/>
    <w:rsid w:val="46CA38B8"/>
    <w:rsid w:val="46F94489"/>
    <w:rsid w:val="47006BF4"/>
    <w:rsid w:val="47020BD1"/>
    <w:rsid w:val="47067B8C"/>
    <w:rsid w:val="4717C25E"/>
    <w:rsid w:val="471FEC3C"/>
    <w:rsid w:val="475764AD"/>
    <w:rsid w:val="476731CF"/>
    <w:rsid w:val="47753332"/>
    <w:rsid w:val="477A10C8"/>
    <w:rsid w:val="47855C2D"/>
    <w:rsid w:val="47AA2DE5"/>
    <w:rsid w:val="47B1C643"/>
    <w:rsid w:val="47B2BA9D"/>
    <w:rsid w:val="47BED42E"/>
    <w:rsid w:val="47F4D453"/>
    <w:rsid w:val="4801322F"/>
    <w:rsid w:val="4805AD58"/>
    <w:rsid w:val="4813C7E8"/>
    <w:rsid w:val="481D1ABA"/>
    <w:rsid w:val="4822FBD7"/>
    <w:rsid w:val="48259548"/>
    <w:rsid w:val="483499DB"/>
    <w:rsid w:val="4849B8DD"/>
    <w:rsid w:val="484A90FC"/>
    <w:rsid w:val="485E32F3"/>
    <w:rsid w:val="4867B662"/>
    <w:rsid w:val="4876EF4F"/>
    <w:rsid w:val="4886F705"/>
    <w:rsid w:val="4887FBC3"/>
    <w:rsid w:val="489C69C4"/>
    <w:rsid w:val="489DDDBF"/>
    <w:rsid w:val="48AA424C"/>
    <w:rsid w:val="48AAFA6D"/>
    <w:rsid w:val="48ACB86B"/>
    <w:rsid w:val="48AF0F76"/>
    <w:rsid w:val="48B83342"/>
    <w:rsid w:val="48D5FC5E"/>
    <w:rsid w:val="48E066B0"/>
    <w:rsid w:val="48EA99EB"/>
    <w:rsid w:val="49023263"/>
    <w:rsid w:val="4905EBF4"/>
    <w:rsid w:val="490C8DCD"/>
    <w:rsid w:val="490DA88C"/>
    <w:rsid w:val="491A57EC"/>
    <w:rsid w:val="49300516"/>
    <w:rsid w:val="4934A7A8"/>
    <w:rsid w:val="4962B2B1"/>
    <w:rsid w:val="496AEE7C"/>
    <w:rsid w:val="496F6028"/>
    <w:rsid w:val="49854F97"/>
    <w:rsid w:val="49904BA6"/>
    <w:rsid w:val="49950307"/>
    <w:rsid w:val="49959DFF"/>
    <w:rsid w:val="49975C5E"/>
    <w:rsid w:val="499B7D9F"/>
    <w:rsid w:val="49AED513"/>
    <w:rsid w:val="49CA9612"/>
    <w:rsid w:val="49E46F8A"/>
    <w:rsid w:val="49F91596"/>
    <w:rsid w:val="4A0C6D4B"/>
    <w:rsid w:val="4A32F0F5"/>
    <w:rsid w:val="4A398A28"/>
    <w:rsid w:val="4A479BF7"/>
    <w:rsid w:val="4A4B9FAB"/>
    <w:rsid w:val="4A52CC31"/>
    <w:rsid w:val="4A53A970"/>
    <w:rsid w:val="4A67E944"/>
    <w:rsid w:val="4A83B10A"/>
    <w:rsid w:val="4A8BD979"/>
    <w:rsid w:val="4A8E45F3"/>
    <w:rsid w:val="4AA587E4"/>
    <w:rsid w:val="4AB9BD03"/>
    <w:rsid w:val="4AC5B95F"/>
    <w:rsid w:val="4ACC7AA2"/>
    <w:rsid w:val="4ACF82B2"/>
    <w:rsid w:val="4B0C376B"/>
    <w:rsid w:val="4B174056"/>
    <w:rsid w:val="4B1C1772"/>
    <w:rsid w:val="4B1EE43E"/>
    <w:rsid w:val="4B297CF0"/>
    <w:rsid w:val="4B346813"/>
    <w:rsid w:val="4B3BC1A7"/>
    <w:rsid w:val="4B4B0CF8"/>
    <w:rsid w:val="4B5E73A2"/>
    <w:rsid w:val="4B5E9C4F"/>
    <w:rsid w:val="4B6125AC"/>
    <w:rsid w:val="4B72D4C4"/>
    <w:rsid w:val="4B94DDCC"/>
    <w:rsid w:val="4B9C9D89"/>
    <w:rsid w:val="4BA59D89"/>
    <w:rsid w:val="4BA78545"/>
    <w:rsid w:val="4BB7A374"/>
    <w:rsid w:val="4BBABFF6"/>
    <w:rsid w:val="4BC6515F"/>
    <w:rsid w:val="4BDDB380"/>
    <w:rsid w:val="4BF20F4F"/>
    <w:rsid w:val="4BF9B982"/>
    <w:rsid w:val="4BFAC221"/>
    <w:rsid w:val="4C02255C"/>
    <w:rsid w:val="4C15F6B9"/>
    <w:rsid w:val="4C212CCE"/>
    <w:rsid w:val="4C249D3E"/>
    <w:rsid w:val="4C3F0018"/>
    <w:rsid w:val="4C40C180"/>
    <w:rsid w:val="4C641ECA"/>
    <w:rsid w:val="4C76B423"/>
    <w:rsid w:val="4C8A85BD"/>
    <w:rsid w:val="4C8F287B"/>
    <w:rsid w:val="4C92F921"/>
    <w:rsid w:val="4C96C710"/>
    <w:rsid w:val="4CA221CA"/>
    <w:rsid w:val="4CA69C61"/>
    <w:rsid w:val="4CB91121"/>
    <w:rsid w:val="4CBB2D28"/>
    <w:rsid w:val="4CBE8647"/>
    <w:rsid w:val="4CBF1C80"/>
    <w:rsid w:val="4CDBA3EE"/>
    <w:rsid w:val="4CDC8AF7"/>
    <w:rsid w:val="4CF75668"/>
    <w:rsid w:val="4D0E23BB"/>
    <w:rsid w:val="4D222583"/>
    <w:rsid w:val="4D2A56B2"/>
    <w:rsid w:val="4D2F93D5"/>
    <w:rsid w:val="4D470C65"/>
    <w:rsid w:val="4D4F31F4"/>
    <w:rsid w:val="4D5AC0F4"/>
    <w:rsid w:val="4D5ADC48"/>
    <w:rsid w:val="4D6B38C4"/>
    <w:rsid w:val="4D824323"/>
    <w:rsid w:val="4D83DC71"/>
    <w:rsid w:val="4D8DDFD0"/>
    <w:rsid w:val="4D963271"/>
    <w:rsid w:val="4DA70B2C"/>
    <w:rsid w:val="4DAA9933"/>
    <w:rsid w:val="4DAC3663"/>
    <w:rsid w:val="4DB8F71A"/>
    <w:rsid w:val="4DD29108"/>
    <w:rsid w:val="4DE6544A"/>
    <w:rsid w:val="4DE9EFFC"/>
    <w:rsid w:val="4DF913CA"/>
    <w:rsid w:val="4E108B40"/>
    <w:rsid w:val="4E12534A"/>
    <w:rsid w:val="4E47E43E"/>
    <w:rsid w:val="4E549D03"/>
    <w:rsid w:val="4EAB8973"/>
    <w:rsid w:val="4EBFECEF"/>
    <w:rsid w:val="4EDF45EE"/>
    <w:rsid w:val="4F062067"/>
    <w:rsid w:val="4F0A14C1"/>
    <w:rsid w:val="4F175D91"/>
    <w:rsid w:val="4F27D1ED"/>
    <w:rsid w:val="4F3046A3"/>
    <w:rsid w:val="4F4B177B"/>
    <w:rsid w:val="4F564133"/>
    <w:rsid w:val="4F76256E"/>
    <w:rsid w:val="4F83D2EF"/>
    <w:rsid w:val="4F83F2C8"/>
    <w:rsid w:val="4F939EF3"/>
    <w:rsid w:val="4FADDCAB"/>
    <w:rsid w:val="4FCBF9BE"/>
    <w:rsid w:val="4FE78D9F"/>
    <w:rsid w:val="4FE888CA"/>
    <w:rsid w:val="4FEB83BB"/>
    <w:rsid w:val="4FF2C8F4"/>
    <w:rsid w:val="50045718"/>
    <w:rsid w:val="5006E283"/>
    <w:rsid w:val="5018CD48"/>
    <w:rsid w:val="501C0896"/>
    <w:rsid w:val="501C5F84"/>
    <w:rsid w:val="50383CE7"/>
    <w:rsid w:val="5038681E"/>
    <w:rsid w:val="504431A6"/>
    <w:rsid w:val="50585952"/>
    <w:rsid w:val="5059F96E"/>
    <w:rsid w:val="505A6AD4"/>
    <w:rsid w:val="5073F6F1"/>
    <w:rsid w:val="50859BAC"/>
    <w:rsid w:val="50C19F59"/>
    <w:rsid w:val="50CCFA5D"/>
    <w:rsid w:val="50D7CE67"/>
    <w:rsid w:val="50F18670"/>
    <w:rsid w:val="50F506D7"/>
    <w:rsid w:val="50FA03EF"/>
    <w:rsid w:val="50FB19B6"/>
    <w:rsid w:val="50FB3D1C"/>
    <w:rsid w:val="5101E10A"/>
    <w:rsid w:val="51054773"/>
    <w:rsid w:val="51066D50"/>
    <w:rsid w:val="510FF814"/>
    <w:rsid w:val="51121DA2"/>
    <w:rsid w:val="51250B2D"/>
    <w:rsid w:val="51562C31"/>
    <w:rsid w:val="515C8931"/>
    <w:rsid w:val="515E51F3"/>
    <w:rsid w:val="5160DE1A"/>
    <w:rsid w:val="51746D65"/>
    <w:rsid w:val="517B59CD"/>
    <w:rsid w:val="517F9752"/>
    <w:rsid w:val="51835043"/>
    <w:rsid w:val="5197BEA7"/>
    <w:rsid w:val="51985499"/>
    <w:rsid w:val="51AB3FD3"/>
    <w:rsid w:val="51CE5178"/>
    <w:rsid w:val="51DE604B"/>
    <w:rsid w:val="51F5253A"/>
    <w:rsid w:val="51FD0212"/>
    <w:rsid w:val="51FFA11E"/>
    <w:rsid w:val="5217002F"/>
    <w:rsid w:val="5217B29B"/>
    <w:rsid w:val="521A82F2"/>
    <w:rsid w:val="521DBDD7"/>
    <w:rsid w:val="521EB84B"/>
    <w:rsid w:val="5241BB71"/>
    <w:rsid w:val="527B624E"/>
    <w:rsid w:val="52820CCC"/>
    <w:rsid w:val="5298F64A"/>
    <w:rsid w:val="529E0BB1"/>
    <w:rsid w:val="52B3355E"/>
    <w:rsid w:val="52C6C562"/>
    <w:rsid w:val="52CDE766"/>
    <w:rsid w:val="52DC843E"/>
    <w:rsid w:val="52E46F78"/>
    <w:rsid w:val="52EBDCFA"/>
    <w:rsid w:val="52EEB6E2"/>
    <w:rsid w:val="52EEF157"/>
    <w:rsid w:val="52FBBB4A"/>
    <w:rsid w:val="52FEF945"/>
    <w:rsid w:val="530A5B45"/>
    <w:rsid w:val="5311E03D"/>
    <w:rsid w:val="5326D43B"/>
    <w:rsid w:val="53307FBE"/>
    <w:rsid w:val="53340175"/>
    <w:rsid w:val="5346A030"/>
    <w:rsid w:val="5347041D"/>
    <w:rsid w:val="535C5F62"/>
    <w:rsid w:val="536CE00B"/>
    <w:rsid w:val="536DF829"/>
    <w:rsid w:val="5387EDBC"/>
    <w:rsid w:val="5392DB42"/>
    <w:rsid w:val="53981BB9"/>
    <w:rsid w:val="53A6C0EF"/>
    <w:rsid w:val="53B39479"/>
    <w:rsid w:val="53B41CF6"/>
    <w:rsid w:val="53B60F7E"/>
    <w:rsid w:val="53C3AF76"/>
    <w:rsid w:val="53D9B01A"/>
    <w:rsid w:val="53DC6114"/>
    <w:rsid w:val="53F5FDF5"/>
    <w:rsid w:val="54069A9B"/>
    <w:rsid w:val="54165BC2"/>
    <w:rsid w:val="541740A6"/>
    <w:rsid w:val="542C8883"/>
    <w:rsid w:val="5434B98E"/>
    <w:rsid w:val="54583590"/>
    <w:rsid w:val="545B816A"/>
    <w:rsid w:val="546CC81B"/>
    <w:rsid w:val="54826873"/>
    <w:rsid w:val="548634D2"/>
    <w:rsid w:val="54948765"/>
    <w:rsid w:val="54B42CD1"/>
    <w:rsid w:val="54B71A7B"/>
    <w:rsid w:val="54C1D4C2"/>
    <w:rsid w:val="54C24C6D"/>
    <w:rsid w:val="54E636D4"/>
    <w:rsid w:val="54E650C8"/>
    <w:rsid w:val="54F6C3F9"/>
    <w:rsid w:val="54FDE7BD"/>
    <w:rsid w:val="55115303"/>
    <w:rsid w:val="55190992"/>
    <w:rsid w:val="55268EEE"/>
    <w:rsid w:val="552838C1"/>
    <w:rsid w:val="55413CAA"/>
    <w:rsid w:val="554C5B4B"/>
    <w:rsid w:val="5563B11C"/>
    <w:rsid w:val="556A11F0"/>
    <w:rsid w:val="556E4C22"/>
    <w:rsid w:val="557DF5C9"/>
    <w:rsid w:val="557F2DB5"/>
    <w:rsid w:val="5590EA7A"/>
    <w:rsid w:val="55A1A170"/>
    <w:rsid w:val="55A5DAA0"/>
    <w:rsid w:val="55A99D8B"/>
    <w:rsid w:val="55B0FD4F"/>
    <w:rsid w:val="55CAD65A"/>
    <w:rsid w:val="55CDA54E"/>
    <w:rsid w:val="55DC847E"/>
    <w:rsid w:val="55F3533B"/>
    <w:rsid w:val="55F4CAA1"/>
    <w:rsid w:val="55FE3203"/>
    <w:rsid w:val="560C2F44"/>
    <w:rsid w:val="56180080"/>
    <w:rsid w:val="56545F39"/>
    <w:rsid w:val="568A72F1"/>
    <w:rsid w:val="568E31C8"/>
    <w:rsid w:val="569039C2"/>
    <w:rsid w:val="569B7218"/>
    <w:rsid w:val="56BF8A94"/>
    <w:rsid w:val="56C60915"/>
    <w:rsid w:val="56DDFD0A"/>
    <w:rsid w:val="57012848"/>
    <w:rsid w:val="570EDD86"/>
    <w:rsid w:val="57105A0A"/>
    <w:rsid w:val="573359C1"/>
    <w:rsid w:val="573A386B"/>
    <w:rsid w:val="5753FEB9"/>
    <w:rsid w:val="575AF1EB"/>
    <w:rsid w:val="576CEAB0"/>
    <w:rsid w:val="5795A562"/>
    <w:rsid w:val="57A83968"/>
    <w:rsid w:val="57B52BEC"/>
    <w:rsid w:val="57C7EDB9"/>
    <w:rsid w:val="57D1B2CC"/>
    <w:rsid w:val="57D81713"/>
    <w:rsid w:val="57D8B146"/>
    <w:rsid w:val="57DEF1DD"/>
    <w:rsid w:val="57E2C353"/>
    <w:rsid w:val="57E5D9AE"/>
    <w:rsid w:val="57EC000F"/>
    <w:rsid w:val="57EE499E"/>
    <w:rsid w:val="580090C0"/>
    <w:rsid w:val="58022533"/>
    <w:rsid w:val="5815BCF3"/>
    <w:rsid w:val="5823F5E5"/>
    <w:rsid w:val="5831D46C"/>
    <w:rsid w:val="5837B4EE"/>
    <w:rsid w:val="584BF126"/>
    <w:rsid w:val="584F9F6A"/>
    <w:rsid w:val="5852627C"/>
    <w:rsid w:val="585C3AE4"/>
    <w:rsid w:val="586AC3F4"/>
    <w:rsid w:val="588618F6"/>
    <w:rsid w:val="5891842B"/>
    <w:rsid w:val="5896CB5A"/>
    <w:rsid w:val="58A5F3C4"/>
    <w:rsid w:val="58B2202F"/>
    <w:rsid w:val="58DD2708"/>
    <w:rsid w:val="58EF01FB"/>
    <w:rsid w:val="58F5633A"/>
    <w:rsid w:val="590EC0C5"/>
    <w:rsid w:val="5925517A"/>
    <w:rsid w:val="59522BC6"/>
    <w:rsid w:val="5955B26C"/>
    <w:rsid w:val="5956F5E1"/>
    <w:rsid w:val="595A543C"/>
    <w:rsid w:val="595C7041"/>
    <w:rsid w:val="595DD95B"/>
    <w:rsid w:val="5973952C"/>
    <w:rsid w:val="5982B7F3"/>
    <w:rsid w:val="59832323"/>
    <w:rsid w:val="599849FB"/>
    <w:rsid w:val="59AB90BA"/>
    <w:rsid w:val="59ABE220"/>
    <w:rsid w:val="59AE501C"/>
    <w:rsid w:val="59B221AB"/>
    <w:rsid w:val="59B69870"/>
    <w:rsid w:val="59CD130A"/>
    <w:rsid w:val="59D9EFF8"/>
    <w:rsid w:val="59E88C59"/>
    <w:rsid w:val="59EC4C35"/>
    <w:rsid w:val="59EE3DB9"/>
    <w:rsid w:val="59F0FD79"/>
    <w:rsid w:val="5A0426BC"/>
    <w:rsid w:val="5A14F420"/>
    <w:rsid w:val="5A17F12E"/>
    <w:rsid w:val="5A24A759"/>
    <w:rsid w:val="5A4624AF"/>
    <w:rsid w:val="5A48DC3D"/>
    <w:rsid w:val="5A53A13F"/>
    <w:rsid w:val="5A54CD86"/>
    <w:rsid w:val="5A6D5C52"/>
    <w:rsid w:val="5A78B598"/>
    <w:rsid w:val="5A8F3B67"/>
    <w:rsid w:val="5A92AC3D"/>
    <w:rsid w:val="5A9314E3"/>
    <w:rsid w:val="5A9DE41A"/>
    <w:rsid w:val="5AAAEC40"/>
    <w:rsid w:val="5AB3AF39"/>
    <w:rsid w:val="5AB731AC"/>
    <w:rsid w:val="5AD2968C"/>
    <w:rsid w:val="5ADD1D37"/>
    <w:rsid w:val="5AF10D3E"/>
    <w:rsid w:val="5AF5FCF2"/>
    <w:rsid w:val="5B00CDA5"/>
    <w:rsid w:val="5B0104EC"/>
    <w:rsid w:val="5B07CEA7"/>
    <w:rsid w:val="5B09138A"/>
    <w:rsid w:val="5B140E8A"/>
    <w:rsid w:val="5B1FAE55"/>
    <w:rsid w:val="5B2E4F60"/>
    <w:rsid w:val="5B312747"/>
    <w:rsid w:val="5B35A9CC"/>
    <w:rsid w:val="5B37B48D"/>
    <w:rsid w:val="5B3EB34A"/>
    <w:rsid w:val="5B3FE3F5"/>
    <w:rsid w:val="5B40C39C"/>
    <w:rsid w:val="5B575DD1"/>
    <w:rsid w:val="5B5913C7"/>
    <w:rsid w:val="5B59EEDD"/>
    <w:rsid w:val="5B67F0D6"/>
    <w:rsid w:val="5B6CC3A6"/>
    <w:rsid w:val="5B7ABFDF"/>
    <w:rsid w:val="5B87DEFA"/>
    <w:rsid w:val="5B9BB562"/>
    <w:rsid w:val="5BAD9A00"/>
    <w:rsid w:val="5BB1A738"/>
    <w:rsid w:val="5BD200A4"/>
    <w:rsid w:val="5BE7ABDB"/>
    <w:rsid w:val="5BEE3E04"/>
    <w:rsid w:val="5C1F80DA"/>
    <w:rsid w:val="5C38CD1B"/>
    <w:rsid w:val="5C41D5A6"/>
    <w:rsid w:val="5C49DF4F"/>
    <w:rsid w:val="5C4DDB1F"/>
    <w:rsid w:val="5C5B9949"/>
    <w:rsid w:val="5C6711ED"/>
    <w:rsid w:val="5C723296"/>
    <w:rsid w:val="5C8C441F"/>
    <w:rsid w:val="5C8CFFB6"/>
    <w:rsid w:val="5C94A991"/>
    <w:rsid w:val="5CAA8F6E"/>
    <w:rsid w:val="5CBC08D5"/>
    <w:rsid w:val="5CC7D308"/>
    <w:rsid w:val="5CDBAEC4"/>
    <w:rsid w:val="5CF19515"/>
    <w:rsid w:val="5D01AF3E"/>
    <w:rsid w:val="5D2838A0"/>
    <w:rsid w:val="5D29570F"/>
    <w:rsid w:val="5D29EBBD"/>
    <w:rsid w:val="5D2C9F22"/>
    <w:rsid w:val="5D2EC76F"/>
    <w:rsid w:val="5D390596"/>
    <w:rsid w:val="5D5CCB43"/>
    <w:rsid w:val="5D5DF9FF"/>
    <w:rsid w:val="5D601C88"/>
    <w:rsid w:val="5D75032A"/>
    <w:rsid w:val="5D7844CA"/>
    <w:rsid w:val="5D788B90"/>
    <w:rsid w:val="5D7C5A7D"/>
    <w:rsid w:val="5D7FD213"/>
    <w:rsid w:val="5D8F46A0"/>
    <w:rsid w:val="5DA7E8BE"/>
    <w:rsid w:val="5DC0DCA1"/>
    <w:rsid w:val="5DCE9E77"/>
    <w:rsid w:val="5DE0B0B4"/>
    <w:rsid w:val="5DE3DA3E"/>
    <w:rsid w:val="5DE48754"/>
    <w:rsid w:val="5DE916F9"/>
    <w:rsid w:val="5DFDED14"/>
    <w:rsid w:val="5E038660"/>
    <w:rsid w:val="5E19E70B"/>
    <w:rsid w:val="5E2E97B5"/>
    <w:rsid w:val="5E310CDC"/>
    <w:rsid w:val="5E3D4F37"/>
    <w:rsid w:val="5E475A08"/>
    <w:rsid w:val="5E4961C5"/>
    <w:rsid w:val="5E510D68"/>
    <w:rsid w:val="5E514D73"/>
    <w:rsid w:val="5E569B2D"/>
    <w:rsid w:val="5E5E6240"/>
    <w:rsid w:val="5E7BD891"/>
    <w:rsid w:val="5E7E3F3B"/>
    <w:rsid w:val="5E809153"/>
    <w:rsid w:val="5EA9795A"/>
    <w:rsid w:val="5EA9AB55"/>
    <w:rsid w:val="5EACCED4"/>
    <w:rsid w:val="5EB85CAB"/>
    <w:rsid w:val="5EB8706B"/>
    <w:rsid w:val="5EC4D0C6"/>
    <w:rsid w:val="5ECC2D9B"/>
    <w:rsid w:val="5ED7025D"/>
    <w:rsid w:val="5EDAE884"/>
    <w:rsid w:val="5EE993EA"/>
    <w:rsid w:val="5F07F8C8"/>
    <w:rsid w:val="5F30DF71"/>
    <w:rsid w:val="5F43C4A0"/>
    <w:rsid w:val="5F4688AA"/>
    <w:rsid w:val="5F4A23F1"/>
    <w:rsid w:val="5F653C0A"/>
    <w:rsid w:val="5F733BF2"/>
    <w:rsid w:val="5F779561"/>
    <w:rsid w:val="5F79177D"/>
    <w:rsid w:val="5F934BD9"/>
    <w:rsid w:val="5FB77E30"/>
    <w:rsid w:val="5FC013C4"/>
    <w:rsid w:val="5FD44F71"/>
    <w:rsid w:val="60129C57"/>
    <w:rsid w:val="6013F856"/>
    <w:rsid w:val="6022A31D"/>
    <w:rsid w:val="602559EA"/>
    <w:rsid w:val="60301718"/>
    <w:rsid w:val="60361C7B"/>
    <w:rsid w:val="605407E2"/>
    <w:rsid w:val="6057B63B"/>
    <w:rsid w:val="609DA668"/>
    <w:rsid w:val="609F8511"/>
    <w:rsid w:val="60A24068"/>
    <w:rsid w:val="60A99725"/>
    <w:rsid w:val="60B81FE9"/>
    <w:rsid w:val="60EFC682"/>
    <w:rsid w:val="60F38E26"/>
    <w:rsid w:val="60FA376E"/>
    <w:rsid w:val="611B67B2"/>
    <w:rsid w:val="613F4FC8"/>
    <w:rsid w:val="615ADE87"/>
    <w:rsid w:val="617FC353"/>
    <w:rsid w:val="61809EAE"/>
    <w:rsid w:val="6192D050"/>
    <w:rsid w:val="61BE0309"/>
    <w:rsid w:val="61BF5DEC"/>
    <w:rsid w:val="61C192CE"/>
    <w:rsid w:val="61CC91D7"/>
    <w:rsid w:val="61CDCDE0"/>
    <w:rsid w:val="61EF062E"/>
    <w:rsid w:val="61F9B2B3"/>
    <w:rsid w:val="61FB3F99"/>
    <w:rsid w:val="61FE9196"/>
    <w:rsid w:val="6218C114"/>
    <w:rsid w:val="6222A9B8"/>
    <w:rsid w:val="62319741"/>
    <w:rsid w:val="62321C02"/>
    <w:rsid w:val="623A248F"/>
    <w:rsid w:val="623D6D5A"/>
    <w:rsid w:val="62493FFC"/>
    <w:rsid w:val="624D3BBA"/>
    <w:rsid w:val="62556E50"/>
    <w:rsid w:val="62567D53"/>
    <w:rsid w:val="625990CE"/>
    <w:rsid w:val="625D31E8"/>
    <w:rsid w:val="62729C6D"/>
    <w:rsid w:val="627A98C3"/>
    <w:rsid w:val="62927FC0"/>
    <w:rsid w:val="6296B156"/>
    <w:rsid w:val="6296F1BB"/>
    <w:rsid w:val="629F1920"/>
    <w:rsid w:val="629FA9A8"/>
    <w:rsid w:val="629FF5C9"/>
    <w:rsid w:val="62C765D5"/>
    <w:rsid w:val="62CC3232"/>
    <w:rsid w:val="62D068B2"/>
    <w:rsid w:val="62E210E0"/>
    <w:rsid w:val="62EE6493"/>
    <w:rsid w:val="6308F536"/>
    <w:rsid w:val="63187048"/>
    <w:rsid w:val="631DAC94"/>
    <w:rsid w:val="633A6D10"/>
    <w:rsid w:val="63470EBC"/>
    <w:rsid w:val="634BFF07"/>
    <w:rsid w:val="6351AD46"/>
    <w:rsid w:val="6351C58A"/>
    <w:rsid w:val="6353F4FD"/>
    <w:rsid w:val="635E6043"/>
    <w:rsid w:val="636FF0D9"/>
    <w:rsid w:val="638EE765"/>
    <w:rsid w:val="63A4D4AE"/>
    <w:rsid w:val="63B19D59"/>
    <w:rsid w:val="63B51734"/>
    <w:rsid w:val="63BA1B35"/>
    <w:rsid w:val="63E6586A"/>
    <w:rsid w:val="63EA118F"/>
    <w:rsid w:val="6403F00A"/>
    <w:rsid w:val="64060B9E"/>
    <w:rsid w:val="64117217"/>
    <w:rsid w:val="641924D5"/>
    <w:rsid w:val="6430944E"/>
    <w:rsid w:val="6447373E"/>
    <w:rsid w:val="64505C88"/>
    <w:rsid w:val="645F4419"/>
    <w:rsid w:val="64698EBA"/>
    <w:rsid w:val="647E7023"/>
    <w:rsid w:val="647F5EC0"/>
    <w:rsid w:val="6486922E"/>
    <w:rsid w:val="64905C6E"/>
    <w:rsid w:val="649E2A52"/>
    <w:rsid w:val="64AC6C8A"/>
    <w:rsid w:val="64B0A6B5"/>
    <w:rsid w:val="64E0CC5C"/>
    <w:rsid w:val="64F7DDCD"/>
    <w:rsid w:val="650B6CE1"/>
    <w:rsid w:val="653DCFA1"/>
    <w:rsid w:val="656B212E"/>
    <w:rsid w:val="65776C22"/>
    <w:rsid w:val="65829AE1"/>
    <w:rsid w:val="65920A04"/>
    <w:rsid w:val="65A4D3A2"/>
    <w:rsid w:val="65B6B5B9"/>
    <w:rsid w:val="65C02F4C"/>
    <w:rsid w:val="65D689C2"/>
    <w:rsid w:val="65E306DB"/>
    <w:rsid w:val="65E9B6B5"/>
    <w:rsid w:val="65ECEBD6"/>
    <w:rsid w:val="6607D462"/>
    <w:rsid w:val="663B6A52"/>
    <w:rsid w:val="66421345"/>
    <w:rsid w:val="6642E688"/>
    <w:rsid w:val="6660E52B"/>
    <w:rsid w:val="6662C097"/>
    <w:rsid w:val="666439AA"/>
    <w:rsid w:val="6664ACDB"/>
    <w:rsid w:val="666B77F8"/>
    <w:rsid w:val="666C1DA8"/>
    <w:rsid w:val="666D71E1"/>
    <w:rsid w:val="667D7834"/>
    <w:rsid w:val="6699352C"/>
    <w:rsid w:val="66A5FE99"/>
    <w:rsid w:val="66ACF080"/>
    <w:rsid w:val="66BCEBDC"/>
    <w:rsid w:val="66DA74D5"/>
    <w:rsid w:val="66E9C32C"/>
    <w:rsid w:val="66FD5996"/>
    <w:rsid w:val="670304D8"/>
    <w:rsid w:val="673399F2"/>
    <w:rsid w:val="67484D72"/>
    <w:rsid w:val="6749D7D9"/>
    <w:rsid w:val="6749F9AF"/>
    <w:rsid w:val="675A06C0"/>
    <w:rsid w:val="677B7352"/>
    <w:rsid w:val="6785DD13"/>
    <w:rsid w:val="67A7736A"/>
    <w:rsid w:val="67BBFD3A"/>
    <w:rsid w:val="67DDED24"/>
    <w:rsid w:val="6800B562"/>
    <w:rsid w:val="6802D2FC"/>
    <w:rsid w:val="680B2223"/>
    <w:rsid w:val="680EE4BC"/>
    <w:rsid w:val="68194782"/>
    <w:rsid w:val="68594A33"/>
    <w:rsid w:val="68758460"/>
    <w:rsid w:val="687877C0"/>
    <w:rsid w:val="689319FF"/>
    <w:rsid w:val="68B168A8"/>
    <w:rsid w:val="68C0E8C6"/>
    <w:rsid w:val="68C643A5"/>
    <w:rsid w:val="68C99CF7"/>
    <w:rsid w:val="68DDEF11"/>
    <w:rsid w:val="6900018D"/>
    <w:rsid w:val="6900D3BD"/>
    <w:rsid w:val="6933D19E"/>
    <w:rsid w:val="6937752B"/>
    <w:rsid w:val="693D573C"/>
    <w:rsid w:val="693E559B"/>
    <w:rsid w:val="694F0662"/>
    <w:rsid w:val="6952411B"/>
    <w:rsid w:val="696026D3"/>
    <w:rsid w:val="6965A515"/>
    <w:rsid w:val="697030C5"/>
    <w:rsid w:val="697CCC56"/>
    <w:rsid w:val="6980806E"/>
    <w:rsid w:val="69812434"/>
    <w:rsid w:val="69897DD7"/>
    <w:rsid w:val="6991E256"/>
    <w:rsid w:val="69BB4C0A"/>
    <w:rsid w:val="69C985BC"/>
    <w:rsid w:val="69D28B9B"/>
    <w:rsid w:val="69E70851"/>
    <w:rsid w:val="69E779C3"/>
    <w:rsid w:val="69F475DB"/>
    <w:rsid w:val="69F8061D"/>
    <w:rsid w:val="69FB3FF4"/>
    <w:rsid w:val="69FCFDAC"/>
    <w:rsid w:val="6A02177E"/>
    <w:rsid w:val="6A398200"/>
    <w:rsid w:val="6A3E187F"/>
    <w:rsid w:val="6A547A44"/>
    <w:rsid w:val="6A6AF236"/>
    <w:rsid w:val="6A7A5AAB"/>
    <w:rsid w:val="6A81DD71"/>
    <w:rsid w:val="6A9A3FAD"/>
    <w:rsid w:val="6A9C78F9"/>
    <w:rsid w:val="6AA762BC"/>
    <w:rsid w:val="6AA8441D"/>
    <w:rsid w:val="6ABA2775"/>
    <w:rsid w:val="6AC35E5A"/>
    <w:rsid w:val="6AE22401"/>
    <w:rsid w:val="6AEAB732"/>
    <w:rsid w:val="6AEC50AF"/>
    <w:rsid w:val="6AF62458"/>
    <w:rsid w:val="6AF87E39"/>
    <w:rsid w:val="6B0DAECB"/>
    <w:rsid w:val="6B128332"/>
    <w:rsid w:val="6B13A440"/>
    <w:rsid w:val="6B2DCE88"/>
    <w:rsid w:val="6B316207"/>
    <w:rsid w:val="6B3E3758"/>
    <w:rsid w:val="6B4817F6"/>
    <w:rsid w:val="6B50181C"/>
    <w:rsid w:val="6B57634A"/>
    <w:rsid w:val="6B722B4A"/>
    <w:rsid w:val="6B79D646"/>
    <w:rsid w:val="6B9C5B27"/>
    <w:rsid w:val="6BC6CF97"/>
    <w:rsid w:val="6BD669DA"/>
    <w:rsid w:val="6BFCC742"/>
    <w:rsid w:val="6C04A93C"/>
    <w:rsid w:val="6C18E4DA"/>
    <w:rsid w:val="6C254E10"/>
    <w:rsid w:val="6C386CDF"/>
    <w:rsid w:val="6C446871"/>
    <w:rsid w:val="6C70F84A"/>
    <w:rsid w:val="6C7CF70B"/>
    <w:rsid w:val="6C854CBB"/>
    <w:rsid w:val="6C8BC85C"/>
    <w:rsid w:val="6C8E0281"/>
    <w:rsid w:val="6CB1614B"/>
    <w:rsid w:val="6CBDAE18"/>
    <w:rsid w:val="6CC3CCB3"/>
    <w:rsid w:val="6CC56287"/>
    <w:rsid w:val="6CCC2686"/>
    <w:rsid w:val="6CD595B9"/>
    <w:rsid w:val="6CDFAB13"/>
    <w:rsid w:val="6CE2B655"/>
    <w:rsid w:val="6CE3C6B7"/>
    <w:rsid w:val="6CF19644"/>
    <w:rsid w:val="6CFE0435"/>
    <w:rsid w:val="6D013561"/>
    <w:rsid w:val="6D029CE1"/>
    <w:rsid w:val="6D0E19AD"/>
    <w:rsid w:val="6D264E46"/>
    <w:rsid w:val="6D3680C1"/>
    <w:rsid w:val="6D490B0B"/>
    <w:rsid w:val="6D67E9FC"/>
    <w:rsid w:val="6D68C5BB"/>
    <w:rsid w:val="6D7C49C2"/>
    <w:rsid w:val="6D7E9D17"/>
    <w:rsid w:val="6D819B9C"/>
    <w:rsid w:val="6DA07D53"/>
    <w:rsid w:val="6DA24EA7"/>
    <w:rsid w:val="6DB771A0"/>
    <w:rsid w:val="6DC05F15"/>
    <w:rsid w:val="6DD84E33"/>
    <w:rsid w:val="6DECD0EB"/>
    <w:rsid w:val="6E07911B"/>
    <w:rsid w:val="6E0B0369"/>
    <w:rsid w:val="6E0F144B"/>
    <w:rsid w:val="6E12F719"/>
    <w:rsid w:val="6E25AB40"/>
    <w:rsid w:val="6E26C63E"/>
    <w:rsid w:val="6E2C5451"/>
    <w:rsid w:val="6E2CA92D"/>
    <w:rsid w:val="6E2DB590"/>
    <w:rsid w:val="6E3C39A8"/>
    <w:rsid w:val="6E47EFAD"/>
    <w:rsid w:val="6E620172"/>
    <w:rsid w:val="6E6E2171"/>
    <w:rsid w:val="6E725CFB"/>
    <w:rsid w:val="6E7F2A08"/>
    <w:rsid w:val="6E854EBA"/>
    <w:rsid w:val="6E871890"/>
    <w:rsid w:val="6E8B76C5"/>
    <w:rsid w:val="6E99AB32"/>
    <w:rsid w:val="6EB4B5FC"/>
    <w:rsid w:val="6EBB30E5"/>
    <w:rsid w:val="6EBEEED1"/>
    <w:rsid w:val="6ED3FB15"/>
    <w:rsid w:val="6EF345A0"/>
    <w:rsid w:val="6EF9539A"/>
    <w:rsid w:val="6EF96B3D"/>
    <w:rsid w:val="6F0100CF"/>
    <w:rsid w:val="6F2B7BF3"/>
    <w:rsid w:val="6F2DF1CB"/>
    <w:rsid w:val="6F47024E"/>
    <w:rsid w:val="6F4AADC8"/>
    <w:rsid w:val="6F5F7EE0"/>
    <w:rsid w:val="6F888F8A"/>
    <w:rsid w:val="6F8F1288"/>
    <w:rsid w:val="6F9016E0"/>
    <w:rsid w:val="6F9B197C"/>
    <w:rsid w:val="6FA32960"/>
    <w:rsid w:val="6FA650C8"/>
    <w:rsid w:val="6FB7808D"/>
    <w:rsid w:val="6FBE5960"/>
    <w:rsid w:val="6FD5153C"/>
    <w:rsid w:val="6FE306B1"/>
    <w:rsid w:val="6FF855A8"/>
    <w:rsid w:val="700AAE62"/>
    <w:rsid w:val="700AE57D"/>
    <w:rsid w:val="70174BD5"/>
    <w:rsid w:val="70324C74"/>
    <w:rsid w:val="7036AC52"/>
    <w:rsid w:val="703BE9AD"/>
    <w:rsid w:val="70803554"/>
    <w:rsid w:val="7084E800"/>
    <w:rsid w:val="70967A2B"/>
    <w:rsid w:val="709ACAF2"/>
    <w:rsid w:val="70AC65A0"/>
    <w:rsid w:val="70B00838"/>
    <w:rsid w:val="70BA67C7"/>
    <w:rsid w:val="70DE6E0E"/>
    <w:rsid w:val="70E0D195"/>
    <w:rsid w:val="70E8667E"/>
    <w:rsid w:val="70F2E43C"/>
    <w:rsid w:val="70FE0F3A"/>
    <w:rsid w:val="70FF27D5"/>
    <w:rsid w:val="71028F9E"/>
    <w:rsid w:val="711851BA"/>
    <w:rsid w:val="711F51C2"/>
    <w:rsid w:val="71224650"/>
    <w:rsid w:val="712D157A"/>
    <w:rsid w:val="714ECDF9"/>
    <w:rsid w:val="7157F0F4"/>
    <w:rsid w:val="715A577D"/>
    <w:rsid w:val="715FBB88"/>
    <w:rsid w:val="716A3B3F"/>
    <w:rsid w:val="717A2627"/>
    <w:rsid w:val="718A0302"/>
    <w:rsid w:val="71993BAF"/>
    <w:rsid w:val="719ADFC8"/>
    <w:rsid w:val="71A072D5"/>
    <w:rsid w:val="71A452C5"/>
    <w:rsid w:val="71A56B53"/>
    <w:rsid w:val="71A5B4E1"/>
    <w:rsid w:val="71A6E6DF"/>
    <w:rsid w:val="71A75151"/>
    <w:rsid w:val="71A7647B"/>
    <w:rsid w:val="71A95FE9"/>
    <w:rsid w:val="71D6E002"/>
    <w:rsid w:val="71E64641"/>
    <w:rsid w:val="71FC0408"/>
    <w:rsid w:val="720C14A0"/>
    <w:rsid w:val="721EC2C1"/>
    <w:rsid w:val="72348112"/>
    <w:rsid w:val="7237AFD1"/>
    <w:rsid w:val="72542825"/>
    <w:rsid w:val="72557487"/>
    <w:rsid w:val="725C7CB2"/>
    <w:rsid w:val="72770A0C"/>
    <w:rsid w:val="727E2B7D"/>
    <w:rsid w:val="727F1B54"/>
    <w:rsid w:val="72954766"/>
    <w:rsid w:val="729E93BB"/>
    <w:rsid w:val="72B8FC02"/>
    <w:rsid w:val="72C368A0"/>
    <w:rsid w:val="72D32805"/>
    <w:rsid w:val="72D8345B"/>
    <w:rsid w:val="72D86D83"/>
    <w:rsid w:val="72E71700"/>
    <w:rsid w:val="72EF0599"/>
    <w:rsid w:val="72F83696"/>
    <w:rsid w:val="731FBFE0"/>
    <w:rsid w:val="732645B7"/>
    <w:rsid w:val="73288FEF"/>
    <w:rsid w:val="7328D07D"/>
    <w:rsid w:val="733A2D4A"/>
    <w:rsid w:val="7345D7B0"/>
    <w:rsid w:val="734E3BBB"/>
    <w:rsid w:val="734F1E85"/>
    <w:rsid w:val="7362D222"/>
    <w:rsid w:val="7366F84A"/>
    <w:rsid w:val="736FE4AA"/>
    <w:rsid w:val="7371BAA5"/>
    <w:rsid w:val="7371FC81"/>
    <w:rsid w:val="73820FE6"/>
    <w:rsid w:val="73AB3A99"/>
    <w:rsid w:val="73C07673"/>
    <w:rsid w:val="73D26852"/>
    <w:rsid w:val="73E5C93F"/>
    <w:rsid w:val="73E83B08"/>
    <w:rsid w:val="7401C5D6"/>
    <w:rsid w:val="7428D5AA"/>
    <w:rsid w:val="74333995"/>
    <w:rsid w:val="7434AA91"/>
    <w:rsid w:val="7454DA10"/>
    <w:rsid w:val="7456FB7D"/>
    <w:rsid w:val="7462766E"/>
    <w:rsid w:val="746F9BDC"/>
    <w:rsid w:val="748BDDAF"/>
    <w:rsid w:val="749ED5A7"/>
    <w:rsid w:val="74A75CD9"/>
    <w:rsid w:val="74E18DBA"/>
    <w:rsid w:val="74EB64DB"/>
    <w:rsid w:val="74FD8A70"/>
    <w:rsid w:val="75061C5C"/>
    <w:rsid w:val="75104F6A"/>
    <w:rsid w:val="751D3E82"/>
    <w:rsid w:val="752834CF"/>
    <w:rsid w:val="752A99CB"/>
    <w:rsid w:val="752F480B"/>
    <w:rsid w:val="7544EDB9"/>
    <w:rsid w:val="7575E09D"/>
    <w:rsid w:val="75936531"/>
    <w:rsid w:val="75A92B9B"/>
    <w:rsid w:val="75AB2F3D"/>
    <w:rsid w:val="75BCEAAA"/>
    <w:rsid w:val="75C33ABE"/>
    <w:rsid w:val="75CADAD3"/>
    <w:rsid w:val="75CD2EE3"/>
    <w:rsid w:val="75ECF942"/>
    <w:rsid w:val="76031593"/>
    <w:rsid w:val="761193B9"/>
    <w:rsid w:val="761346F3"/>
    <w:rsid w:val="761D555B"/>
    <w:rsid w:val="76309A16"/>
    <w:rsid w:val="7636703D"/>
    <w:rsid w:val="76402D7E"/>
    <w:rsid w:val="764CE8CA"/>
    <w:rsid w:val="76501418"/>
    <w:rsid w:val="767213F9"/>
    <w:rsid w:val="769F6832"/>
    <w:rsid w:val="76AD23F9"/>
    <w:rsid w:val="76B1C886"/>
    <w:rsid w:val="76C9C4F1"/>
    <w:rsid w:val="76CCC882"/>
    <w:rsid w:val="76D60DF4"/>
    <w:rsid w:val="77368977"/>
    <w:rsid w:val="77372535"/>
    <w:rsid w:val="77396B2F"/>
    <w:rsid w:val="7746BBF5"/>
    <w:rsid w:val="77599336"/>
    <w:rsid w:val="775D6337"/>
    <w:rsid w:val="77610BAE"/>
    <w:rsid w:val="7773F9F5"/>
    <w:rsid w:val="777D941A"/>
    <w:rsid w:val="7799AA8E"/>
    <w:rsid w:val="779C079E"/>
    <w:rsid w:val="779C781A"/>
    <w:rsid w:val="77ADEE55"/>
    <w:rsid w:val="77C6FC78"/>
    <w:rsid w:val="77CADB52"/>
    <w:rsid w:val="77E61FB0"/>
    <w:rsid w:val="780B01F3"/>
    <w:rsid w:val="781CF0C0"/>
    <w:rsid w:val="7831F57F"/>
    <w:rsid w:val="783C2072"/>
    <w:rsid w:val="78568DDD"/>
    <w:rsid w:val="7858D040"/>
    <w:rsid w:val="7863EFA8"/>
    <w:rsid w:val="7864C143"/>
    <w:rsid w:val="786B9FD6"/>
    <w:rsid w:val="7871B80B"/>
    <w:rsid w:val="78727456"/>
    <w:rsid w:val="78B0053B"/>
    <w:rsid w:val="78BDEE7A"/>
    <w:rsid w:val="78CFC4C7"/>
    <w:rsid w:val="78F3C037"/>
    <w:rsid w:val="78FA1836"/>
    <w:rsid w:val="78FA758A"/>
    <w:rsid w:val="790D29BE"/>
    <w:rsid w:val="7911D7D5"/>
    <w:rsid w:val="7949289D"/>
    <w:rsid w:val="794B30F2"/>
    <w:rsid w:val="796B0EA6"/>
    <w:rsid w:val="79C358CC"/>
    <w:rsid w:val="79C70A15"/>
    <w:rsid w:val="79EEFE4E"/>
    <w:rsid w:val="7A127D82"/>
    <w:rsid w:val="7A132705"/>
    <w:rsid w:val="7A19C851"/>
    <w:rsid w:val="7A1D4D75"/>
    <w:rsid w:val="7A6465A6"/>
    <w:rsid w:val="7A7513BF"/>
    <w:rsid w:val="7A829288"/>
    <w:rsid w:val="7AA953E1"/>
    <w:rsid w:val="7ABDA96E"/>
    <w:rsid w:val="7AC83A3C"/>
    <w:rsid w:val="7ACB2A97"/>
    <w:rsid w:val="7ADA6551"/>
    <w:rsid w:val="7B03BAED"/>
    <w:rsid w:val="7B1CF463"/>
    <w:rsid w:val="7B1FC965"/>
    <w:rsid w:val="7B29CF5E"/>
    <w:rsid w:val="7B30D63B"/>
    <w:rsid w:val="7B3AC2BD"/>
    <w:rsid w:val="7B5A274E"/>
    <w:rsid w:val="7B5A4ED2"/>
    <w:rsid w:val="7B701FA2"/>
    <w:rsid w:val="7B7FED20"/>
    <w:rsid w:val="7B902378"/>
    <w:rsid w:val="7B99CED1"/>
    <w:rsid w:val="7BA6F8AF"/>
    <w:rsid w:val="7BC1F915"/>
    <w:rsid w:val="7BD933B9"/>
    <w:rsid w:val="7BDE270E"/>
    <w:rsid w:val="7BE35EC0"/>
    <w:rsid w:val="7BFA20BA"/>
    <w:rsid w:val="7C0115A7"/>
    <w:rsid w:val="7C0C3514"/>
    <w:rsid w:val="7C33C22A"/>
    <w:rsid w:val="7C64747A"/>
    <w:rsid w:val="7C668DBF"/>
    <w:rsid w:val="7C757CAC"/>
    <w:rsid w:val="7C7A9250"/>
    <w:rsid w:val="7CB38275"/>
    <w:rsid w:val="7CBB2876"/>
    <w:rsid w:val="7CBBFF9F"/>
    <w:rsid w:val="7CBC961E"/>
    <w:rsid w:val="7CD825E6"/>
    <w:rsid w:val="7D06C8C8"/>
    <w:rsid w:val="7D074137"/>
    <w:rsid w:val="7D0BAD4D"/>
    <w:rsid w:val="7D1510D5"/>
    <w:rsid w:val="7D156EE9"/>
    <w:rsid w:val="7D3E1E2F"/>
    <w:rsid w:val="7D407964"/>
    <w:rsid w:val="7D416594"/>
    <w:rsid w:val="7D4F8D60"/>
    <w:rsid w:val="7D65E802"/>
    <w:rsid w:val="7D706C92"/>
    <w:rsid w:val="7D7483A5"/>
    <w:rsid w:val="7D8DD6F4"/>
    <w:rsid w:val="7D95EE33"/>
    <w:rsid w:val="7DA51669"/>
    <w:rsid w:val="7DA9448C"/>
    <w:rsid w:val="7DAC2217"/>
    <w:rsid w:val="7DAF8CFF"/>
    <w:rsid w:val="7DCE21A3"/>
    <w:rsid w:val="7DCE99C9"/>
    <w:rsid w:val="7DD77341"/>
    <w:rsid w:val="7DD886C2"/>
    <w:rsid w:val="7DF7EDB8"/>
    <w:rsid w:val="7E039220"/>
    <w:rsid w:val="7E0BE529"/>
    <w:rsid w:val="7E139A62"/>
    <w:rsid w:val="7E14EEBA"/>
    <w:rsid w:val="7E1D5C79"/>
    <w:rsid w:val="7E2100BC"/>
    <w:rsid w:val="7E42344C"/>
    <w:rsid w:val="7E58870A"/>
    <w:rsid w:val="7E58EA45"/>
    <w:rsid w:val="7E61757B"/>
    <w:rsid w:val="7E85521E"/>
    <w:rsid w:val="7E93AAC6"/>
    <w:rsid w:val="7EA66F0A"/>
    <w:rsid w:val="7EB053C4"/>
    <w:rsid w:val="7EBBE355"/>
    <w:rsid w:val="7EC4CC16"/>
    <w:rsid w:val="7EC5D2C1"/>
    <w:rsid w:val="7ED36410"/>
    <w:rsid w:val="7EDBB98F"/>
    <w:rsid w:val="7EEDED0D"/>
    <w:rsid w:val="7EF3490D"/>
    <w:rsid w:val="7F2EAA35"/>
    <w:rsid w:val="7F39A584"/>
    <w:rsid w:val="7F4F2ACE"/>
    <w:rsid w:val="7F905580"/>
    <w:rsid w:val="7F908B8C"/>
    <w:rsid w:val="7FAC80F1"/>
    <w:rsid w:val="7FB495C7"/>
    <w:rsid w:val="7FC47233"/>
    <w:rsid w:val="7FDD5160"/>
    <w:rsid w:val="7FE33686"/>
    <w:rsid w:val="7FE7F540"/>
    <w:rsid w:val="7FFD3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09F6FB"/>
  <w15:docId w15:val="{8A217E85-4282-4851-B62C-19E125CE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F6E"/>
    <w:pPr>
      <w:suppressAutoHyphens/>
      <w:spacing w:line="240" w:lineRule="exact"/>
    </w:pPr>
    <w:rPr>
      <w:spacing w:val="4"/>
      <w:w w:val="103"/>
      <w:kern w:val="14"/>
      <w:lang w:val="en-GB"/>
    </w:rPr>
  </w:style>
  <w:style w:type="paragraph" w:styleId="Heading1">
    <w:name w:val="heading 1"/>
    <w:basedOn w:val="Normal"/>
    <w:next w:val="Normal"/>
    <w:link w:val="Heading1Char"/>
    <w:qFormat/>
    <w:rsid w:val="00321C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semiHidden/>
    <w:unhideWhenUsed/>
    <w:qFormat/>
    <w:rsid w:val="00E605A4"/>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605A4"/>
    <w:pPr>
      <w:keepNext/>
      <w:keepLines/>
      <w:numPr>
        <w:ilvl w:val="7"/>
        <w:numId w:val="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605A4"/>
    <w:pPr>
      <w:keepNext/>
      <w:keepLines/>
      <w:numPr>
        <w:ilvl w:val="8"/>
        <w:numId w:val="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link w:val="H23Char"/>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link w:val="SingleTxtChar"/>
    <w:qFormat/>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rsid w:val="00546F5D"/>
    <w:rPr>
      <w:sz w:val="6"/>
    </w:rPr>
  </w:style>
  <w:style w:type="character" w:styleId="FootnoteReference">
    <w:name w:val="footnote reference"/>
    <w:aliases w:val="ftref,Carattere Char1,Carattere Char Char Carattere Carattere Char Char, Carattere Char1, Carattere Char Char Carattere Carattere Char Char,16 Point,Superscript 6 Point,fr,referencia nota al pie,Ref. de nota al pie2,BVI fnr,heading1"/>
    <w:link w:val="BVIfnrCarCar"/>
    <w:uiPriority w:val="99"/>
    <w:qFormat/>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Footnote Text Char1,Footnote Text Char2,Footnote Text Char1 Char1,Footnote Text Char Char Char1,Footnote Text Char1 Char Char,Footnote Text Char Char Char Char,Footnote Text Char Char1 Char,Footnote Text Char Char2,ft,single space,Char,f"/>
    <w:basedOn w:val="Normal"/>
    <w:link w:val="FootnoteTextChar"/>
    <w:uiPriority w:val="99"/>
    <w:qFormat/>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link w:val="FooterChar"/>
    <w:uiPriority w:val="99"/>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link w:val="PlainTextChar"/>
    <w:uiPriority w:val="99"/>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uiPriority w:val="99"/>
    <w:rsid w:val="00AC3BFA"/>
    <w:rPr>
      <w:color w:val="0000FF"/>
      <w:u w:val="none"/>
    </w:rPr>
  </w:style>
  <w:style w:type="paragraph" w:customStyle="1" w:styleId="Bullet1">
    <w:name w:val="Bullet 1"/>
    <w:basedOn w:val="Normal"/>
    <w:qFormat/>
    <w:rsid w:val="00BA2886"/>
    <w:pPr>
      <w:numPr>
        <w:numId w:val="2"/>
      </w:numPr>
      <w:spacing w:after="120" w:line="240" w:lineRule="atLeast"/>
      <w:ind w:right="1267"/>
      <w:jc w:val="both"/>
    </w:pPr>
  </w:style>
  <w:style w:type="paragraph" w:customStyle="1" w:styleId="Bullet2">
    <w:name w:val="Bullet 2"/>
    <w:basedOn w:val="Normal"/>
    <w:qFormat/>
    <w:rsid w:val="00BA2886"/>
    <w:pPr>
      <w:numPr>
        <w:numId w:val="1"/>
      </w:numPr>
      <w:spacing w:after="120"/>
      <w:ind w:right="1264"/>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ommentText">
    <w:name w:val="annotation text"/>
    <w:aliases w:val=" Char"/>
    <w:basedOn w:val="Normal"/>
    <w:link w:val="CommentTextChar"/>
    <w:uiPriority w:val="99"/>
    <w:rsid w:val="00943B33"/>
    <w:pPr>
      <w:spacing w:line="240" w:lineRule="auto"/>
    </w:pPr>
  </w:style>
  <w:style w:type="character" w:customStyle="1" w:styleId="CommentTextChar">
    <w:name w:val="Comment Text Char"/>
    <w:aliases w:val=" Char Char"/>
    <w:basedOn w:val="DefaultParagraphFont"/>
    <w:link w:val="CommentText"/>
    <w:uiPriority w:val="99"/>
    <w:rsid w:val="00943B33"/>
    <w:rPr>
      <w:spacing w:val="4"/>
      <w:w w:val="103"/>
      <w:kern w:val="14"/>
      <w:lang w:val="en-GB"/>
    </w:rPr>
  </w:style>
  <w:style w:type="paragraph" w:styleId="CommentSubject">
    <w:name w:val="annotation subject"/>
    <w:basedOn w:val="CommentText"/>
    <w:next w:val="CommentText"/>
    <w:link w:val="CommentSubjectChar"/>
    <w:rsid w:val="00943B33"/>
    <w:rPr>
      <w:b/>
      <w:bCs/>
    </w:rPr>
  </w:style>
  <w:style w:type="character" w:customStyle="1" w:styleId="CommentSubjectChar">
    <w:name w:val="Comment Subject Char"/>
    <w:basedOn w:val="CommentTextChar"/>
    <w:link w:val="CommentSubject"/>
    <w:rsid w:val="00943B33"/>
    <w:rPr>
      <w:b/>
      <w:bCs/>
      <w:spacing w:val="4"/>
      <w:w w:val="103"/>
      <w:kern w:val="14"/>
      <w:lang w:val="en-GB"/>
    </w:rPr>
  </w:style>
  <w:style w:type="character" w:customStyle="1" w:styleId="Heading7Char">
    <w:name w:val="Heading 7 Char"/>
    <w:basedOn w:val="DefaultParagraphFont"/>
    <w:link w:val="Heading7"/>
    <w:semiHidden/>
    <w:rsid w:val="00E605A4"/>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E605A4"/>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E605A4"/>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aliases w:val="WB Para,List 100s,L,3,Paragraphe de liste1,List Paragraph (numbered (a)),Lapis Bulleted List,Dot pt,F5 List Paragraph,List Paragraph1,No Spacing1,List Paragraph Char Char Char,Indicator Text,Numbered Para 1,List Paragraph12,Bullet Points"/>
    <w:basedOn w:val="Normal"/>
    <w:link w:val="ListParagraphChar"/>
    <w:uiPriority w:val="34"/>
    <w:qFormat/>
    <w:rsid w:val="00E605A4"/>
    <w:pPr>
      <w:ind w:left="720"/>
      <w:contextualSpacing/>
    </w:pPr>
  </w:style>
  <w:style w:type="character" w:styleId="FollowedHyperlink">
    <w:name w:val="FollowedHyperlink"/>
    <w:basedOn w:val="DefaultParagraphFont"/>
    <w:rsid w:val="00E605A4"/>
    <w:rPr>
      <w:color w:val="0000FF"/>
      <w:u w:val="none"/>
    </w:rPr>
  </w:style>
  <w:style w:type="paragraph" w:styleId="Revision">
    <w:name w:val="Revision"/>
    <w:hidden/>
    <w:uiPriority w:val="99"/>
    <w:semiHidden/>
    <w:rsid w:val="000C6C71"/>
    <w:rPr>
      <w:spacing w:val="4"/>
      <w:w w:val="103"/>
      <w:kern w:val="14"/>
      <w:lang w:val="en-GB"/>
    </w:rPr>
  </w:style>
  <w:style w:type="character" w:styleId="Emphasis">
    <w:name w:val="Emphasis"/>
    <w:basedOn w:val="DefaultParagraphFont"/>
    <w:uiPriority w:val="20"/>
    <w:qFormat/>
    <w:rsid w:val="003B6469"/>
    <w:rPr>
      <w:i/>
      <w:iCs/>
    </w:rPr>
  </w:style>
  <w:style w:type="paragraph" w:styleId="NormalWeb">
    <w:name w:val="Normal (Web)"/>
    <w:basedOn w:val="Normal"/>
    <w:uiPriority w:val="99"/>
    <w:unhideWhenUsed/>
    <w:rsid w:val="00395270"/>
    <w:pPr>
      <w:suppressAutoHyphens w:val="0"/>
      <w:spacing w:line="240" w:lineRule="auto"/>
    </w:pPr>
    <w:rPr>
      <w:spacing w:val="0"/>
      <w:w w:val="100"/>
      <w:kern w:val="0"/>
      <w:sz w:val="24"/>
      <w:szCs w:val="24"/>
      <w:lang w:val="en-US"/>
    </w:rPr>
  </w:style>
  <w:style w:type="character" w:styleId="Strong">
    <w:name w:val="Strong"/>
    <w:basedOn w:val="DefaultParagraphFont"/>
    <w:uiPriority w:val="22"/>
    <w:qFormat/>
    <w:rsid w:val="00680341"/>
    <w:rPr>
      <w:b/>
      <w:bCs/>
    </w:rPr>
  </w:style>
  <w:style w:type="paragraph" w:customStyle="1" w:styleId="Default">
    <w:name w:val="Default"/>
    <w:basedOn w:val="Normal"/>
    <w:rsid w:val="00C76EB7"/>
    <w:pPr>
      <w:suppressAutoHyphens w:val="0"/>
      <w:autoSpaceDE w:val="0"/>
      <w:autoSpaceDN w:val="0"/>
      <w:spacing w:line="240" w:lineRule="auto"/>
    </w:pPr>
    <w:rPr>
      <w:color w:val="000000"/>
      <w:spacing w:val="0"/>
      <w:w w:val="100"/>
      <w:kern w:val="0"/>
      <w:sz w:val="24"/>
      <w:szCs w:val="24"/>
      <w:lang w:val="en-US"/>
    </w:rPr>
  </w:style>
  <w:style w:type="character" w:customStyle="1" w:styleId="PlainTextChar">
    <w:name w:val="Plain Text Char"/>
    <w:basedOn w:val="DefaultParagraphFont"/>
    <w:link w:val="PlainText"/>
    <w:uiPriority w:val="99"/>
    <w:rsid w:val="00E52A1D"/>
    <w:rPr>
      <w:rFonts w:ascii="Courier New" w:eastAsia="Times New Roman" w:hAnsi="Courier New"/>
      <w:lang w:eastAsia="en-GB"/>
    </w:rPr>
  </w:style>
  <w:style w:type="character" w:customStyle="1" w:styleId="Heading1Char">
    <w:name w:val="Heading 1 Char"/>
    <w:basedOn w:val="DefaultParagraphFont"/>
    <w:link w:val="Heading1"/>
    <w:rsid w:val="00321CFC"/>
    <w:rPr>
      <w:rFonts w:asciiTheme="majorHAnsi" w:eastAsiaTheme="majorEastAsia" w:hAnsiTheme="majorHAnsi" w:cstheme="majorBidi"/>
      <w:color w:val="365F91" w:themeColor="accent1" w:themeShade="BF"/>
      <w:spacing w:val="4"/>
      <w:w w:val="103"/>
      <w:kern w:val="14"/>
      <w:sz w:val="32"/>
      <w:szCs w:val="32"/>
      <w:lang w:val="en-GB"/>
    </w:rPr>
  </w:style>
  <w:style w:type="character" w:customStyle="1" w:styleId="FootnoteTextChar">
    <w:name w:val="Footnote Text Char"/>
    <w:aliases w:val="Footnote Text Char1 Char,Footnote Text Char2 Char,Footnote Text Char1 Char1 Char,Footnote Text Char Char Char1 Char,Footnote Text Char1 Char Char Char,Footnote Text Char Char Char Char Char,Footnote Text Char Char1 Char Char,ft Char"/>
    <w:basedOn w:val="DefaultParagraphFont"/>
    <w:link w:val="FootnoteText"/>
    <w:uiPriority w:val="99"/>
    <w:rsid w:val="00F467B2"/>
    <w:rPr>
      <w:spacing w:val="5"/>
      <w:w w:val="103"/>
      <w:kern w:val="14"/>
      <w:sz w:val="17"/>
      <w:lang w:val="en-GB"/>
    </w:rPr>
  </w:style>
  <w:style w:type="character" w:customStyle="1" w:styleId="FooterChar">
    <w:name w:val="Footer Char"/>
    <w:link w:val="Footer"/>
    <w:uiPriority w:val="99"/>
    <w:rsid w:val="00101CA3"/>
    <w:rPr>
      <w:b/>
      <w:noProof/>
      <w:sz w:val="17"/>
    </w:rPr>
  </w:style>
  <w:style w:type="paragraph" w:styleId="TOCHeading">
    <w:name w:val="TOC Heading"/>
    <w:basedOn w:val="Heading1"/>
    <w:next w:val="Normal"/>
    <w:uiPriority w:val="39"/>
    <w:unhideWhenUsed/>
    <w:qFormat/>
    <w:rsid w:val="002E6FA7"/>
    <w:pPr>
      <w:suppressAutoHyphens w:val="0"/>
      <w:spacing w:line="259" w:lineRule="auto"/>
      <w:outlineLvl w:val="9"/>
    </w:pPr>
    <w:rPr>
      <w:spacing w:val="0"/>
      <w:w w:val="100"/>
      <w:kern w:val="0"/>
      <w:lang w:val="en-US"/>
    </w:rPr>
  </w:style>
  <w:style w:type="paragraph" w:styleId="TOC1">
    <w:name w:val="toc 1"/>
    <w:basedOn w:val="Normal"/>
    <w:next w:val="Normal"/>
    <w:autoRedefine/>
    <w:uiPriority w:val="39"/>
    <w:unhideWhenUsed/>
    <w:rsid w:val="005761CD"/>
    <w:pPr>
      <w:tabs>
        <w:tab w:val="left" w:pos="660"/>
        <w:tab w:val="right" w:leader="dot" w:pos="10045"/>
      </w:tabs>
      <w:spacing w:after="100"/>
    </w:pPr>
  </w:style>
  <w:style w:type="paragraph" w:styleId="TOC2">
    <w:name w:val="toc 2"/>
    <w:basedOn w:val="Normal"/>
    <w:next w:val="Normal"/>
    <w:autoRedefine/>
    <w:uiPriority w:val="39"/>
    <w:unhideWhenUsed/>
    <w:rsid w:val="005761CD"/>
    <w:pPr>
      <w:tabs>
        <w:tab w:val="left" w:pos="660"/>
        <w:tab w:val="right" w:leader="dot" w:pos="10045"/>
      </w:tabs>
      <w:spacing w:after="100"/>
      <w:ind w:left="200"/>
    </w:pPr>
  </w:style>
  <w:style w:type="paragraph" w:styleId="TOC3">
    <w:name w:val="toc 3"/>
    <w:basedOn w:val="Normal"/>
    <w:next w:val="Normal"/>
    <w:autoRedefine/>
    <w:uiPriority w:val="39"/>
    <w:unhideWhenUsed/>
    <w:rsid w:val="00EF2A39"/>
    <w:pPr>
      <w:tabs>
        <w:tab w:val="right" w:leader="dot" w:pos="10045"/>
      </w:tabs>
      <w:spacing w:after="100"/>
      <w:ind w:left="400"/>
    </w:pPr>
  </w:style>
  <w:style w:type="character" w:styleId="UnresolvedMention">
    <w:name w:val="Unresolved Mention"/>
    <w:basedOn w:val="DefaultParagraphFont"/>
    <w:uiPriority w:val="99"/>
    <w:unhideWhenUsed/>
    <w:rsid w:val="00E2710C"/>
    <w:rPr>
      <w:color w:val="605E5C"/>
      <w:shd w:val="clear" w:color="auto" w:fill="E1DFDD"/>
    </w:rPr>
  </w:style>
  <w:style w:type="character" w:styleId="Mention">
    <w:name w:val="Mention"/>
    <w:basedOn w:val="DefaultParagraphFont"/>
    <w:uiPriority w:val="99"/>
    <w:unhideWhenUsed/>
    <w:rsid w:val="00E2710C"/>
    <w:rPr>
      <w:color w:val="2B579A"/>
      <w:shd w:val="clear" w:color="auto" w:fill="E1DFDD"/>
    </w:rPr>
  </w:style>
  <w:style w:type="character" w:customStyle="1" w:styleId="SingleTxtChar">
    <w:name w:val="__Single Txt Char"/>
    <w:link w:val="SingleTxt"/>
    <w:rsid w:val="00ED4FEC"/>
    <w:rPr>
      <w:spacing w:val="4"/>
      <w:w w:val="103"/>
      <w:kern w:val="14"/>
      <w:lang w:val="en-GB"/>
    </w:rPr>
  </w:style>
  <w:style w:type="character" w:customStyle="1" w:styleId="H23Char">
    <w:name w:val="_ H_2/3 Char"/>
    <w:link w:val="H23"/>
    <w:locked/>
    <w:rsid w:val="00DC33F0"/>
    <w:rPr>
      <w:b/>
      <w:spacing w:val="2"/>
      <w:w w:val="103"/>
      <w:kern w:val="14"/>
      <w:lang w:val="en-GB"/>
    </w:rPr>
  </w:style>
  <w:style w:type="paragraph" w:styleId="BodyText">
    <w:name w:val="Body Text"/>
    <w:basedOn w:val="Normal"/>
    <w:link w:val="BodyTextChar"/>
    <w:rsid w:val="00156F3B"/>
    <w:pPr>
      <w:suppressAutoHyphens w:val="0"/>
      <w:spacing w:after="120" w:line="240" w:lineRule="auto"/>
    </w:pPr>
    <w:rPr>
      <w:rFonts w:eastAsia="Calibri"/>
      <w:spacing w:val="0"/>
      <w:w w:val="100"/>
      <w:kern w:val="0"/>
      <w:szCs w:val="24"/>
      <w:lang w:val="en-US" w:eastAsia="zh-CN"/>
    </w:rPr>
  </w:style>
  <w:style w:type="character" w:customStyle="1" w:styleId="BodyTextChar">
    <w:name w:val="Body Text Char"/>
    <w:basedOn w:val="DefaultParagraphFont"/>
    <w:link w:val="BodyText"/>
    <w:rsid w:val="00156F3B"/>
    <w:rPr>
      <w:rFonts w:eastAsia="Calibri"/>
      <w:szCs w:val="24"/>
      <w:lang w:eastAsia="zh-CN"/>
    </w:rPr>
  </w:style>
  <w:style w:type="paragraph" w:customStyle="1" w:styleId="BVIfnrCarCar">
    <w:name w:val="BVI fnr Car Car"/>
    <w:aliases w:val="BVI fnr Car,BVI fnr Car Car Car Car,BVI fnr Car Car Car Car Char,BVI fnr Car Car Car Car Char Char Char Char Char"/>
    <w:basedOn w:val="Normal"/>
    <w:link w:val="FootnoteReference"/>
    <w:uiPriority w:val="99"/>
    <w:rsid w:val="000F345E"/>
    <w:pPr>
      <w:suppressAutoHyphens w:val="0"/>
      <w:spacing w:after="160"/>
    </w:pPr>
    <w:rPr>
      <w:color w:val="943634" w:themeColor="accent2" w:themeShade="BF"/>
      <w:spacing w:val="5"/>
      <w:vertAlign w:val="superscript"/>
      <w:lang w:val="en-US"/>
    </w:rPr>
  </w:style>
  <w:style w:type="character" w:customStyle="1" w:styleId="ListParagraphChar">
    <w:name w:val="List Paragraph Char"/>
    <w:aliases w:val="WB Para Char,List 100s Char,L Char,3 Char,Paragraphe de liste1 Char,List Paragraph (numbered (a)) Char,Lapis Bulleted List Char,Dot pt Char,F5 List Paragraph Char,List Paragraph1 Char,No Spacing1 Char,Indicator Text Char"/>
    <w:basedOn w:val="DefaultParagraphFont"/>
    <w:link w:val="ListParagraph"/>
    <w:uiPriority w:val="34"/>
    <w:qFormat/>
    <w:locked/>
    <w:rsid w:val="00C02F24"/>
    <w:rPr>
      <w:spacing w:val="4"/>
      <w:w w:val="103"/>
      <w:kern w:val="14"/>
      <w:lang w:val="en-GB"/>
    </w:rPr>
  </w:style>
  <w:style w:type="character" w:customStyle="1" w:styleId="normaltextrun">
    <w:name w:val="normaltextrun"/>
    <w:basedOn w:val="DefaultParagraphFont"/>
    <w:rsid w:val="00162628"/>
  </w:style>
  <w:style w:type="character" w:customStyle="1" w:styleId="apple-converted-space">
    <w:name w:val="apple-converted-space"/>
    <w:basedOn w:val="DefaultParagraphFont"/>
    <w:rsid w:val="00676458"/>
  </w:style>
  <w:style w:type="paragraph" w:customStyle="1" w:styleId="paragraph">
    <w:name w:val="paragraph"/>
    <w:basedOn w:val="Normal"/>
    <w:rsid w:val="00842B7A"/>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eop">
    <w:name w:val="eop"/>
    <w:basedOn w:val="DefaultParagraphFont"/>
    <w:rsid w:val="00842B7A"/>
  </w:style>
  <w:style w:type="paragraph" w:customStyle="1" w:styleId="xmsonormal">
    <w:name w:val="x_msonormal"/>
    <w:basedOn w:val="Normal"/>
    <w:rsid w:val="000237E6"/>
    <w:pPr>
      <w:suppressAutoHyphens w:val="0"/>
      <w:spacing w:line="240" w:lineRule="auto"/>
    </w:pPr>
    <w:rPr>
      <w:rFonts w:ascii="Calibri" w:eastAsiaTheme="minorEastAsia" w:hAnsi="Calibri" w:cs="Calibri"/>
      <w:spacing w:val="0"/>
      <w:w w:val="100"/>
      <w:kern w:val="0"/>
      <w:sz w:val="22"/>
      <w:szCs w:val="22"/>
      <w:lang w:val="en-US" w:eastAsia="zh-CN"/>
    </w:rPr>
  </w:style>
  <w:style w:type="paragraph" w:customStyle="1" w:styleId="xelementtoproof">
    <w:name w:val="x_elementtoproof"/>
    <w:basedOn w:val="Normal"/>
    <w:rsid w:val="000237E6"/>
    <w:pPr>
      <w:suppressAutoHyphens w:val="0"/>
      <w:spacing w:before="100" w:beforeAutospacing="1" w:after="100" w:afterAutospacing="1" w:line="240" w:lineRule="auto"/>
    </w:pPr>
    <w:rPr>
      <w:rFonts w:ascii="Calibri" w:eastAsiaTheme="minorEastAsia" w:hAnsi="Calibri" w:cs="Calibri"/>
      <w:spacing w:val="0"/>
      <w:w w:val="100"/>
      <w:kern w:val="0"/>
      <w:sz w:val="22"/>
      <w:szCs w:val="22"/>
      <w:lang w:val="en-US" w:eastAsia="zh-CN"/>
    </w:rPr>
  </w:style>
  <w:style w:type="character" w:customStyle="1" w:styleId="contentpasted0">
    <w:name w:val="contentpasted0"/>
    <w:basedOn w:val="DefaultParagraphFont"/>
    <w:rsid w:val="002A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919">
      <w:bodyDiv w:val="1"/>
      <w:marLeft w:val="0"/>
      <w:marRight w:val="0"/>
      <w:marTop w:val="0"/>
      <w:marBottom w:val="0"/>
      <w:divBdr>
        <w:top w:val="none" w:sz="0" w:space="0" w:color="auto"/>
        <w:left w:val="none" w:sz="0" w:space="0" w:color="auto"/>
        <w:bottom w:val="none" w:sz="0" w:space="0" w:color="auto"/>
        <w:right w:val="none" w:sz="0" w:space="0" w:color="auto"/>
      </w:divBdr>
    </w:div>
    <w:div w:id="15205818">
      <w:bodyDiv w:val="1"/>
      <w:marLeft w:val="0"/>
      <w:marRight w:val="0"/>
      <w:marTop w:val="0"/>
      <w:marBottom w:val="0"/>
      <w:divBdr>
        <w:top w:val="none" w:sz="0" w:space="0" w:color="auto"/>
        <w:left w:val="none" w:sz="0" w:space="0" w:color="auto"/>
        <w:bottom w:val="none" w:sz="0" w:space="0" w:color="auto"/>
        <w:right w:val="none" w:sz="0" w:space="0" w:color="auto"/>
      </w:divBdr>
    </w:div>
    <w:div w:id="21444593">
      <w:bodyDiv w:val="1"/>
      <w:marLeft w:val="0"/>
      <w:marRight w:val="0"/>
      <w:marTop w:val="0"/>
      <w:marBottom w:val="0"/>
      <w:divBdr>
        <w:top w:val="none" w:sz="0" w:space="0" w:color="auto"/>
        <w:left w:val="none" w:sz="0" w:space="0" w:color="auto"/>
        <w:bottom w:val="none" w:sz="0" w:space="0" w:color="auto"/>
        <w:right w:val="none" w:sz="0" w:space="0" w:color="auto"/>
      </w:divBdr>
    </w:div>
    <w:div w:id="43994504">
      <w:bodyDiv w:val="1"/>
      <w:marLeft w:val="0"/>
      <w:marRight w:val="0"/>
      <w:marTop w:val="0"/>
      <w:marBottom w:val="0"/>
      <w:divBdr>
        <w:top w:val="none" w:sz="0" w:space="0" w:color="auto"/>
        <w:left w:val="none" w:sz="0" w:space="0" w:color="auto"/>
        <w:bottom w:val="none" w:sz="0" w:space="0" w:color="auto"/>
        <w:right w:val="none" w:sz="0" w:space="0" w:color="auto"/>
      </w:divBdr>
    </w:div>
    <w:div w:id="44261467">
      <w:bodyDiv w:val="1"/>
      <w:marLeft w:val="0"/>
      <w:marRight w:val="0"/>
      <w:marTop w:val="0"/>
      <w:marBottom w:val="0"/>
      <w:divBdr>
        <w:top w:val="none" w:sz="0" w:space="0" w:color="auto"/>
        <w:left w:val="none" w:sz="0" w:space="0" w:color="auto"/>
        <w:bottom w:val="none" w:sz="0" w:space="0" w:color="auto"/>
        <w:right w:val="none" w:sz="0" w:space="0" w:color="auto"/>
      </w:divBdr>
    </w:div>
    <w:div w:id="57672162">
      <w:bodyDiv w:val="1"/>
      <w:marLeft w:val="0"/>
      <w:marRight w:val="0"/>
      <w:marTop w:val="0"/>
      <w:marBottom w:val="0"/>
      <w:divBdr>
        <w:top w:val="none" w:sz="0" w:space="0" w:color="auto"/>
        <w:left w:val="none" w:sz="0" w:space="0" w:color="auto"/>
        <w:bottom w:val="none" w:sz="0" w:space="0" w:color="auto"/>
        <w:right w:val="none" w:sz="0" w:space="0" w:color="auto"/>
      </w:divBdr>
    </w:div>
    <w:div w:id="88934858">
      <w:bodyDiv w:val="1"/>
      <w:marLeft w:val="0"/>
      <w:marRight w:val="0"/>
      <w:marTop w:val="0"/>
      <w:marBottom w:val="0"/>
      <w:divBdr>
        <w:top w:val="none" w:sz="0" w:space="0" w:color="auto"/>
        <w:left w:val="none" w:sz="0" w:space="0" w:color="auto"/>
        <w:bottom w:val="none" w:sz="0" w:space="0" w:color="auto"/>
        <w:right w:val="none" w:sz="0" w:space="0" w:color="auto"/>
      </w:divBdr>
    </w:div>
    <w:div w:id="111944180">
      <w:bodyDiv w:val="1"/>
      <w:marLeft w:val="0"/>
      <w:marRight w:val="0"/>
      <w:marTop w:val="0"/>
      <w:marBottom w:val="0"/>
      <w:divBdr>
        <w:top w:val="none" w:sz="0" w:space="0" w:color="auto"/>
        <w:left w:val="none" w:sz="0" w:space="0" w:color="auto"/>
        <w:bottom w:val="none" w:sz="0" w:space="0" w:color="auto"/>
        <w:right w:val="none" w:sz="0" w:space="0" w:color="auto"/>
      </w:divBdr>
    </w:div>
    <w:div w:id="140849214">
      <w:bodyDiv w:val="1"/>
      <w:marLeft w:val="0"/>
      <w:marRight w:val="0"/>
      <w:marTop w:val="0"/>
      <w:marBottom w:val="0"/>
      <w:divBdr>
        <w:top w:val="none" w:sz="0" w:space="0" w:color="auto"/>
        <w:left w:val="none" w:sz="0" w:space="0" w:color="auto"/>
        <w:bottom w:val="none" w:sz="0" w:space="0" w:color="auto"/>
        <w:right w:val="none" w:sz="0" w:space="0" w:color="auto"/>
      </w:divBdr>
    </w:div>
    <w:div w:id="143469192">
      <w:bodyDiv w:val="1"/>
      <w:marLeft w:val="0"/>
      <w:marRight w:val="0"/>
      <w:marTop w:val="0"/>
      <w:marBottom w:val="0"/>
      <w:divBdr>
        <w:top w:val="none" w:sz="0" w:space="0" w:color="auto"/>
        <w:left w:val="none" w:sz="0" w:space="0" w:color="auto"/>
        <w:bottom w:val="none" w:sz="0" w:space="0" w:color="auto"/>
        <w:right w:val="none" w:sz="0" w:space="0" w:color="auto"/>
      </w:divBdr>
    </w:div>
    <w:div w:id="148907430">
      <w:bodyDiv w:val="1"/>
      <w:marLeft w:val="0"/>
      <w:marRight w:val="0"/>
      <w:marTop w:val="0"/>
      <w:marBottom w:val="0"/>
      <w:divBdr>
        <w:top w:val="none" w:sz="0" w:space="0" w:color="auto"/>
        <w:left w:val="none" w:sz="0" w:space="0" w:color="auto"/>
        <w:bottom w:val="none" w:sz="0" w:space="0" w:color="auto"/>
        <w:right w:val="none" w:sz="0" w:space="0" w:color="auto"/>
      </w:divBdr>
    </w:div>
    <w:div w:id="199709246">
      <w:bodyDiv w:val="1"/>
      <w:marLeft w:val="0"/>
      <w:marRight w:val="0"/>
      <w:marTop w:val="0"/>
      <w:marBottom w:val="0"/>
      <w:divBdr>
        <w:top w:val="none" w:sz="0" w:space="0" w:color="auto"/>
        <w:left w:val="none" w:sz="0" w:space="0" w:color="auto"/>
        <w:bottom w:val="none" w:sz="0" w:space="0" w:color="auto"/>
        <w:right w:val="none" w:sz="0" w:space="0" w:color="auto"/>
      </w:divBdr>
    </w:div>
    <w:div w:id="210314975">
      <w:bodyDiv w:val="1"/>
      <w:marLeft w:val="0"/>
      <w:marRight w:val="0"/>
      <w:marTop w:val="0"/>
      <w:marBottom w:val="0"/>
      <w:divBdr>
        <w:top w:val="none" w:sz="0" w:space="0" w:color="auto"/>
        <w:left w:val="none" w:sz="0" w:space="0" w:color="auto"/>
        <w:bottom w:val="none" w:sz="0" w:space="0" w:color="auto"/>
        <w:right w:val="none" w:sz="0" w:space="0" w:color="auto"/>
      </w:divBdr>
    </w:div>
    <w:div w:id="219829713">
      <w:bodyDiv w:val="1"/>
      <w:marLeft w:val="0"/>
      <w:marRight w:val="0"/>
      <w:marTop w:val="0"/>
      <w:marBottom w:val="0"/>
      <w:divBdr>
        <w:top w:val="none" w:sz="0" w:space="0" w:color="auto"/>
        <w:left w:val="none" w:sz="0" w:space="0" w:color="auto"/>
        <w:bottom w:val="none" w:sz="0" w:space="0" w:color="auto"/>
        <w:right w:val="none" w:sz="0" w:space="0" w:color="auto"/>
      </w:divBdr>
    </w:div>
    <w:div w:id="221062197">
      <w:bodyDiv w:val="1"/>
      <w:marLeft w:val="0"/>
      <w:marRight w:val="0"/>
      <w:marTop w:val="0"/>
      <w:marBottom w:val="0"/>
      <w:divBdr>
        <w:top w:val="none" w:sz="0" w:space="0" w:color="auto"/>
        <w:left w:val="none" w:sz="0" w:space="0" w:color="auto"/>
        <w:bottom w:val="none" w:sz="0" w:space="0" w:color="auto"/>
        <w:right w:val="none" w:sz="0" w:space="0" w:color="auto"/>
      </w:divBdr>
    </w:div>
    <w:div w:id="267735662">
      <w:bodyDiv w:val="1"/>
      <w:marLeft w:val="0"/>
      <w:marRight w:val="0"/>
      <w:marTop w:val="0"/>
      <w:marBottom w:val="0"/>
      <w:divBdr>
        <w:top w:val="none" w:sz="0" w:space="0" w:color="auto"/>
        <w:left w:val="none" w:sz="0" w:space="0" w:color="auto"/>
        <w:bottom w:val="none" w:sz="0" w:space="0" w:color="auto"/>
        <w:right w:val="none" w:sz="0" w:space="0" w:color="auto"/>
      </w:divBdr>
    </w:div>
    <w:div w:id="288633713">
      <w:bodyDiv w:val="1"/>
      <w:marLeft w:val="0"/>
      <w:marRight w:val="0"/>
      <w:marTop w:val="0"/>
      <w:marBottom w:val="0"/>
      <w:divBdr>
        <w:top w:val="none" w:sz="0" w:space="0" w:color="auto"/>
        <w:left w:val="none" w:sz="0" w:space="0" w:color="auto"/>
        <w:bottom w:val="none" w:sz="0" w:space="0" w:color="auto"/>
        <w:right w:val="none" w:sz="0" w:space="0" w:color="auto"/>
      </w:divBdr>
    </w:div>
    <w:div w:id="299043538">
      <w:bodyDiv w:val="1"/>
      <w:marLeft w:val="0"/>
      <w:marRight w:val="0"/>
      <w:marTop w:val="0"/>
      <w:marBottom w:val="0"/>
      <w:divBdr>
        <w:top w:val="none" w:sz="0" w:space="0" w:color="auto"/>
        <w:left w:val="none" w:sz="0" w:space="0" w:color="auto"/>
        <w:bottom w:val="none" w:sz="0" w:space="0" w:color="auto"/>
        <w:right w:val="none" w:sz="0" w:space="0" w:color="auto"/>
      </w:divBdr>
    </w:div>
    <w:div w:id="322202402">
      <w:bodyDiv w:val="1"/>
      <w:marLeft w:val="0"/>
      <w:marRight w:val="0"/>
      <w:marTop w:val="0"/>
      <w:marBottom w:val="0"/>
      <w:divBdr>
        <w:top w:val="none" w:sz="0" w:space="0" w:color="auto"/>
        <w:left w:val="none" w:sz="0" w:space="0" w:color="auto"/>
        <w:bottom w:val="none" w:sz="0" w:space="0" w:color="auto"/>
        <w:right w:val="none" w:sz="0" w:space="0" w:color="auto"/>
      </w:divBdr>
    </w:div>
    <w:div w:id="335501437">
      <w:bodyDiv w:val="1"/>
      <w:marLeft w:val="0"/>
      <w:marRight w:val="0"/>
      <w:marTop w:val="0"/>
      <w:marBottom w:val="0"/>
      <w:divBdr>
        <w:top w:val="none" w:sz="0" w:space="0" w:color="auto"/>
        <w:left w:val="none" w:sz="0" w:space="0" w:color="auto"/>
        <w:bottom w:val="none" w:sz="0" w:space="0" w:color="auto"/>
        <w:right w:val="none" w:sz="0" w:space="0" w:color="auto"/>
      </w:divBdr>
    </w:div>
    <w:div w:id="344672816">
      <w:bodyDiv w:val="1"/>
      <w:marLeft w:val="0"/>
      <w:marRight w:val="0"/>
      <w:marTop w:val="0"/>
      <w:marBottom w:val="0"/>
      <w:divBdr>
        <w:top w:val="none" w:sz="0" w:space="0" w:color="auto"/>
        <w:left w:val="none" w:sz="0" w:space="0" w:color="auto"/>
        <w:bottom w:val="none" w:sz="0" w:space="0" w:color="auto"/>
        <w:right w:val="none" w:sz="0" w:space="0" w:color="auto"/>
      </w:divBdr>
    </w:div>
    <w:div w:id="453401686">
      <w:bodyDiv w:val="1"/>
      <w:marLeft w:val="0"/>
      <w:marRight w:val="0"/>
      <w:marTop w:val="0"/>
      <w:marBottom w:val="0"/>
      <w:divBdr>
        <w:top w:val="none" w:sz="0" w:space="0" w:color="auto"/>
        <w:left w:val="none" w:sz="0" w:space="0" w:color="auto"/>
        <w:bottom w:val="none" w:sz="0" w:space="0" w:color="auto"/>
        <w:right w:val="none" w:sz="0" w:space="0" w:color="auto"/>
      </w:divBdr>
    </w:div>
    <w:div w:id="461197717">
      <w:bodyDiv w:val="1"/>
      <w:marLeft w:val="0"/>
      <w:marRight w:val="0"/>
      <w:marTop w:val="0"/>
      <w:marBottom w:val="0"/>
      <w:divBdr>
        <w:top w:val="none" w:sz="0" w:space="0" w:color="auto"/>
        <w:left w:val="none" w:sz="0" w:space="0" w:color="auto"/>
        <w:bottom w:val="none" w:sz="0" w:space="0" w:color="auto"/>
        <w:right w:val="none" w:sz="0" w:space="0" w:color="auto"/>
      </w:divBdr>
    </w:div>
    <w:div w:id="482818656">
      <w:bodyDiv w:val="1"/>
      <w:marLeft w:val="0"/>
      <w:marRight w:val="0"/>
      <w:marTop w:val="0"/>
      <w:marBottom w:val="0"/>
      <w:divBdr>
        <w:top w:val="none" w:sz="0" w:space="0" w:color="auto"/>
        <w:left w:val="none" w:sz="0" w:space="0" w:color="auto"/>
        <w:bottom w:val="none" w:sz="0" w:space="0" w:color="auto"/>
        <w:right w:val="none" w:sz="0" w:space="0" w:color="auto"/>
      </w:divBdr>
    </w:div>
    <w:div w:id="492796789">
      <w:bodyDiv w:val="1"/>
      <w:marLeft w:val="0"/>
      <w:marRight w:val="0"/>
      <w:marTop w:val="0"/>
      <w:marBottom w:val="0"/>
      <w:divBdr>
        <w:top w:val="none" w:sz="0" w:space="0" w:color="auto"/>
        <w:left w:val="none" w:sz="0" w:space="0" w:color="auto"/>
        <w:bottom w:val="none" w:sz="0" w:space="0" w:color="auto"/>
        <w:right w:val="none" w:sz="0" w:space="0" w:color="auto"/>
      </w:divBdr>
    </w:div>
    <w:div w:id="496531381">
      <w:bodyDiv w:val="1"/>
      <w:marLeft w:val="0"/>
      <w:marRight w:val="0"/>
      <w:marTop w:val="0"/>
      <w:marBottom w:val="0"/>
      <w:divBdr>
        <w:top w:val="none" w:sz="0" w:space="0" w:color="auto"/>
        <w:left w:val="none" w:sz="0" w:space="0" w:color="auto"/>
        <w:bottom w:val="none" w:sz="0" w:space="0" w:color="auto"/>
        <w:right w:val="none" w:sz="0" w:space="0" w:color="auto"/>
      </w:divBdr>
    </w:div>
    <w:div w:id="523246829">
      <w:bodyDiv w:val="1"/>
      <w:marLeft w:val="0"/>
      <w:marRight w:val="0"/>
      <w:marTop w:val="0"/>
      <w:marBottom w:val="0"/>
      <w:divBdr>
        <w:top w:val="none" w:sz="0" w:space="0" w:color="auto"/>
        <w:left w:val="none" w:sz="0" w:space="0" w:color="auto"/>
        <w:bottom w:val="none" w:sz="0" w:space="0" w:color="auto"/>
        <w:right w:val="none" w:sz="0" w:space="0" w:color="auto"/>
      </w:divBdr>
    </w:div>
    <w:div w:id="540634161">
      <w:bodyDiv w:val="1"/>
      <w:marLeft w:val="0"/>
      <w:marRight w:val="0"/>
      <w:marTop w:val="0"/>
      <w:marBottom w:val="0"/>
      <w:divBdr>
        <w:top w:val="none" w:sz="0" w:space="0" w:color="auto"/>
        <w:left w:val="none" w:sz="0" w:space="0" w:color="auto"/>
        <w:bottom w:val="none" w:sz="0" w:space="0" w:color="auto"/>
        <w:right w:val="none" w:sz="0" w:space="0" w:color="auto"/>
      </w:divBdr>
    </w:div>
    <w:div w:id="544146758">
      <w:bodyDiv w:val="1"/>
      <w:marLeft w:val="0"/>
      <w:marRight w:val="0"/>
      <w:marTop w:val="0"/>
      <w:marBottom w:val="0"/>
      <w:divBdr>
        <w:top w:val="none" w:sz="0" w:space="0" w:color="auto"/>
        <w:left w:val="none" w:sz="0" w:space="0" w:color="auto"/>
        <w:bottom w:val="none" w:sz="0" w:space="0" w:color="auto"/>
        <w:right w:val="none" w:sz="0" w:space="0" w:color="auto"/>
      </w:divBdr>
    </w:div>
    <w:div w:id="560791671">
      <w:bodyDiv w:val="1"/>
      <w:marLeft w:val="0"/>
      <w:marRight w:val="0"/>
      <w:marTop w:val="0"/>
      <w:marBottom w:val="0"/>
      <w:divBdr>
        <w:top w:val="none" w:sz="0" w:space="0" w:color="auto"/>
        <w:left w:val="none" w:sz="0" w:space="0" w:color="auto"/>
        <w:bottom w:val="none" w:sz="0" w:space="0" w:color="auto"/>
        <w:right w:val="none" w:sz="0" w:space="0" w:color="auto"/>
      </w:divBdr>
    </w:div>
    <w:div w:id="567804146">
      <w:bodyDiv w:val="1"/>
      <w:marLeft w:val="0"/>
      <w:marRight w:val="0"/>
      <w:marTop w:val="0"/>
      <w:marBottom w:val="0"/>
      <w:divBdr>
        <w:top w:val="none" w:sz="0" w:space="0" w:color="auto"/>
        <w:left w:val="none" w:sz="0" w:space="0" w:color="auto"/>
        <w:bottom w:val="none" w:sz="0" w:space="0" w:color="auto"/>
        <w:right w:val="none" w:sz="0" w:space="0" w:color="auto"/>
      </w:divBdr>
    </w:div>
    <w:div w:id="584416013">
      <w:bodyDiv w:val="1"/>
      <w:marLeft w:val="0"/>
      <w:marRight w:val="0"/>
      <w:marTop w:val="0"/>
      <w:marBottom w:val="0"/>
      <w:divBdr>
        <w:top w:val="none" w:sz="0" w:space="0" w:color="auto"/>
        <w:left w:val="none" w:sz="0" w:space="0" w:color="auto"/>
        <w:bottom w:val="none" w:sz="0" w:space="0" w:color="auto"/>
        <w:right w:val="none" w:sz="0" w:space="0" w:color="auto"/>
      </w:divBdr>
    </w:div>
    <w:div w:id="584652872">
      <w:bodyDiv w:val="1"/>
      <w:marLeft w:val="0"/>
      <w:marRight w:val="0"/>
      <w:marTop w:val="0"/>
      <w:marBottom w:val="0"/>
      <w:divBdr>
        <w:top w:val="none" w:sz="0" w:space="0" w:color="auto"/>
        <w:left w:val="none" w:sz="0" w:space="0" w:color="auto"/>
        <w:bottom w:val="none" w:sz="0" w:space="0" w:color="auto"/>
        <w:right w:val="none" w:sz="0" w:space="0" w:color="auto"/>
      </w:divBdr>
    </w:div>
    <w:div w:id="609627120">
      <w:bodyDiv w:val="1"/>
      <w:marLeft w:val="0"/>
      <w:marRight w:val="0"/>
      <w:marTop w:val="0"/>
      <w:marBottom w:val="0"/>
      <w:divBdr>
        <w:top w:val="none" w:sz="0" w:space="0" w:color="auto"/>
        <w:left w:val="none" w:sz="0" w:space="0" w:color="auto"/>
        <w:bottom w:val="none" w:sz="0" w:space="0" w:color="auto"/>
        <w:right w:val="none" w:sz="0" w:space="0" w:color="auto"/>
      </w:divBdr>
    </w:div>
    <w:div w:id="630284858">
      <w:bodyDiv w:val="1"/>
      <w:marLeft w:val="0"/>
      <w:marRight w:val="0"/>
      <w:marTop w:val="0"/>
      <w:marBottom w:val="0"/>
      <w:divBdr>
        <w:top w:val="none" w:sz="0" w:space="0" w:color="auto"/>
        <w:left w:val="none" w:sz="0" w:space="0" w:color="auto"/>
        <w:bottom w:val="none" w:sz="0" w:space="0" w:color="auto"/>
        <w:right w:val="none" w:sz="0" w:space="0" w:color="auto"/>
      </w:divBdr>
    </w:div>
    <w:div w:id="662853135">
      <w:bodyDiv w:val="1"/>
      <w:marLeft w:val="0"/>
      <w:marRight w:val="0"/>
      <w:marTop w:val="0"/>
      <w:marBottom w:val="0"/>
      <w:divBdr>
        <w:top w:val="none" w:sz="0" w:space="0" w:color="auto"/>
        <w:left w:val="none" w:sz="0" w:space="0" w:color="auto"/>
        <w:bottom w:val="none" w:sz="0" w:space="0" w:color="auto"/>
        <w:right w:val="none" w:sz="0" w:space="0" w:color="auto"/>
      </w:divBdr>
    </w:div>
    <w:div w:id="673190805">
      <w:bodyDiv w:val="1"/>
      <w:marLeft w:val="0"/>
      <w:marRight w:val="0"/>
      <w:marTop w:val="0"/>
      <w:marBottom w:val="0"/>
      <w:divBdr>
        <w:top w:val="none" w:sz="0" w:space="0" w:color="auto"/>
        <w:left w:val="none" w:sz="0" w:space="0" w:color="auto"/>
        <w:bottom w:val="none" w:sz="0" w:space="0" w:color="auto"/>
        <w:right w:val="none" w:sz="0" w:space="0" w:color="auto"/>
      </w:divBdr>
    </w:div>
    <w:div w:id="720635107">
      <w:bodyDiv w:val="1"/>
      <w:marLeft w:val="0"/>
      <w:marRight w:val="0"/>
      <w:marTop w:val="0"/>
      <w:marBottom w:val="0"/>
      <w:divBdr>
        <w:top w:val="none" w:sz="0" w:space="0" w:color="auto"/>
        <w:left w:val="none" w:sz="0" w:space="0" w:color="auto"/>
        <w:bottom w:val="none" w:sz="0" w:space="0" w:color="auto"/>
        <w:right w:val="none" w:sz="0" w:space="0" w:color="auto"/>
      </w:divBdr>
    </w:div>
    <w:div w:id="757560560">
      <w:bodyDiv w:val="1"/>
      <w:marLeft w:val="0"/>
      <w:marRight w:val="0"/>
      <w:marTop w:val="0"/>
      <w:marBottom w:val="0"/>
      <w:divBdr>
        <w:top w:val="none" w:sz="0" w:space="0" w:color="auto"/>
        <w:left w:val="none" w:sz="0" w:space="0" w:color="auto"/>
        <w:bottom w:val="none" w:sz="0" w:space="0" w:color="auto"/>
        <w:right w:val="none" w:sz="0" w:space="0" w:color="auto"/>
      </w:divBdr>
    </w:div>
    <w:div w:id="761147047">
      <w:bodyDiv w:val="1"/>
      <w:marLeft w:val="0"/>
      <w:marRight w:val="0"/>
      <w:marTop w:val="0"/>
      <w:marBottom w:val="0"/>
      <w:divBdr>
        <w:top w:val="none" w:sz="0" w:space="0" w:color="auto"/>
        <w:left w:val="none" w:sz="0" w:space="0" w:color="auto"/>
        <w:bottom w:val="none" w:sz="0" w:space="0" w:color="auto"/>
        <w:right w:val="none" w:sz="0" w:space="0" w:color="auto"/>
      </w:divBdr>
    </w:div>
    <w:div w:id="825703120">
      <w:bodyDiv w:val="1"/>
      <w:marLeft w:val="0"/>
      <w:marRight w:val="0"/>
      <w:marTop w:val="0"/>
      <w:marBottom w:val="0"/>
      <w:divBdr>
        <w:top w:val="none" w:sz="0" w:space="0" w:color="auto"/>
        <w:left w:val="none" w:sz="0" w:space="0" w:color="auto"/>
        <w:bottom w:val="none" w:sz="0" w:space="0" w:color="auto"/>
        <w:right w:val="none" w:sz="0" w:space="0" w:color="auto"/>
      </w:divBdr>
    </w:div>
    <w:div w:id="837967286">
      <w:bodyDiv w:val="1"/>
      <w:marLeft w:val="0"/>
      <w:marRight w:val="0"/>
      <w:marTop w:val="0"/>
      <w:marBottom w:val="0"/>
      <w:divBdr>
        <w:top w:val="none" w:sz="0" w:space="0" w:color="auto"/>
        <w:left w:val="none" w:sz="0" w:space="0" w:color="auto"/>
        <w:bottom w:val="none" w:sz="0" w:space="0" w:color="auto"/>
        <w:right w:val="none" w:sz="0" w:space="0" w:color="auto"/>
      </w:divBdr>
    </w:div>
    <w:div w:id="970289760">
      <w:bodyDiv w:val="1"/>
      <w:marLeft w:val="0"/>
      <w:marRight w:val="0"/>
      <w:marTop w:val="0"/>
      <w:marBottom w:val="0"/>
      <w:divBdr>
        <w:top w:val="none" w:sz="0" w:space="0" w:color="auto"/>
        <w:left w:val="none" w:sz="0" w:space="0" w:color="auto"/>
        <w:bottom w:val="none" w:sz="0" w:space="0" w:color="auto"/>
        <w:right w:val="none" w:sz="0" w:space="0" w:color="auto"/>
      </w:divBdr>
    </w:div>
    <w:div w:id="1017275177">
      <w:bodyDiv w:val="1"/>
      <w:marLeft w:val="0"/>
      <w:marRight w:val="0"/>
      <w:marTop w:val="0"/>
      <w:marBottom w:val="0"/>
      <w:divBdr>
        <w:top w:val="none" w:sz="0" w:space="0" w:color="auto"/>
        <w:left w:val="none" w:sz="0" w:space="0" w:color="auto"/>
        <w:bottom w:val="none" w:sz="0" w:space="0" w:color="auto"/>
        <w:right w:val="none" w:sz="0" w:space="0" w:color="auto"/>
      </w:divBdr>
    </w:div>
    <w:div w:id="1057899529">
      <w:bodyDiv w:val="1"/>
      <w:marLeft w:val="0"/>
      <w:marRight w:val="0"/>
      <w:marTop w:val="0"/>
      <w:marBottom w:val="0"/>
      <w:divBdr>
        <w:top w:val="none" w:sz="0" w:space="0" w:color="auto"/>
        <w:left w:val="none" w:sz="0" w:space="0" w:color="auto"/>
        <w:bottom w:val="none" w:sz="0" w:space="0" w:color="auto"/>
        <w:right w:val="none" w:sz="0" w:space="0" w:color="auto"/>
      </w:divBdr>
    </w:div>
    <w:div w:id="1094743978">
      <w:bodyDiv w:val="1"/>
      <w:marLeft w:val="0"/>
      <w:marRight w:val="0"/>
      <w:marTop w:val="0"/>
      <w:marBottom w:val="0"/>
      <w:divBdr>
        <w:top w:val="none" w:sz="0" w:space="0" w:color="auto"/>
        <w:left w:val="none" w:sz="0" w:space="0" w:color="auto"/>
        <w:bottom w:val="none" w:sz="0" w:space="0" w:color="auto"/>
        <w:right w:val="none" w:sz="0" w:space="0" w:color="auto"/>
      </w:divBdr>
    </w:div>
    <w:div w:id="1096360441">
      <w:bodyDiv w:val="1"/>
      <w:marLeft w:val="0"/>
      <w:marRight w:val="0"/>
      <w:marTop w:val="0"/>
      <w:marBottom w:val="0"/>
      <w:divBdr>
        <w:top w:val="none" w:sz="0" w:space="0" w:color="auto"/>
        <w:left w:val="none" w:sz="0" w:space="0" w:color="auto"/>
        <w:bottom w:val="none" w:sz="0" w:space="0" w:color="auto"/>
        <w:right w:val="none" w:sz="0" w:space="0" w:color="auto"/>
      </w:divBdr>
    </w:div>
    <w:div w:id="1162549790">
      <w:bodyDiv w:val="1"/>
      <w:marLeft w:val="0"/>
      <w:marRight w:val="0"/>
      <w:marTop w:val="0"/>
      <w:marBottom w:val="0"/>
      <w:divBdr>
        <w:top w:val="none" w:sz="0" w:space="0" w:color="auto"/>
        <w:left w:val="none" w:sz="0" w:space="0" w:color="auto"/>
        <w:bottom w:val="none" w:sz="0" w:space="0" w:color="auto"/>
        <w:right w:val="none" w:sz="0" w:space="0" w:color="auto"/>
      </w:divBdr>
    </w:div>
    <w:div w:id="1165903608">
      <w:bodyDiv w:val="1"/>
      <w:marLeft w:val="0"/>
      <w:marRight w:val="0"/>
      <w:marTop w:val="0"/>
      <w:marBottom w:val="0"/>
      <w:divBdr>
        <w:top w:val="none" w:sz="0" w:space="0" w:color="auto"/>
        <w:left w:val="none" w:sz="0" w:space="0" w:color="auto"/>
        <w:bottom w:val="none" w:sz="0" w:space="0" w:color="auto"/>
        <w:right w:val="none" w:sz="0" w:space="0" w:color="auto"/>
      </w:divBdr>
    </w:div>
    <w:div w:id="1216551961">
      <w:bodyDiv w:val="1"/>
      <w:marLeft w:val="0"/>
      <w:marRight w:val="0"/>
      <w:marTop w:val="0"/>
      <w:marBottom w:val="0"/>
      <w:divBdr>
        <w:top w:val="none" w:sz="0" w:space="0" w:color="auto"/>
        <w:left w:val="none" w:sz="0" w:space="0" w:color="auto"/>
        <w:bottom w:val="none" w:sz="0" w:space="0" w:color="auto"/>
        <w:right w:val="none" w:sz="0" w:space="0" w:color="auto"/>
      </w:divBdr>
    </w:div>
    <w:div w:id="1224292856">
      <w:bodyDiv w:val="1"/>
      <w:marLeft w:val="0"/>
      <w:marRight w:val="0"/>
      <w:marTop w:val="0"/>
      <w:marBottom w:val="0"/>
      <w:divBdr>
        <w:top w:val="none" w:sz="0" w:space="0" w:color="auto"/>
        <w:left w:val="none" w:sz="0" w:space="0" w:color="auto"/>
        <w:bottom w:val="none" w:sz="0" w:space="0" w:color="auto"/>
        <w:right w:val="none" w:sz="0" w:space="0" w:color="auto"/>
      </w:divBdr>
    </w:div>
    <w:div w:id="1261989613">
      <w:bodyDiv w:val="1"/>
      <w:marLeft w:val="0"/>
      <w:marRight w:val="0"/>
      <w:marTop w:val="0"/>
      <w:marBottom w:val="0"/>
      <w:divBdr>
        <w:top w:val="none" w:sz="0" w:space="0" w:color="auto"/>
        <w:left w:val="none" w:sz="0" w:space="0" w:color="auto"/>
        <w:bottom w:val="none" w:sz="0" w:space="0" w:color="auto"/>
        <w:right w:val="none" w:sz="0" w:space="0" w:color="auto"/>
      </w:divBdr>
    </w:div>
    <w:div w:id="1268735996">
      <w:bodyDiv w:val="1"/>
      <w:marLeft w:val="0"/>
      <w:marRight w:val="0"/>
      <w:marTop w:val="0"/>
      <w:marBottom w:val="0"/>
      <w:divBdr>
        <w:top w:val="none" w:sz="0" w:space="0" w:color="auto"/>
        <w:left w:val="none" w:sz="0" w:space="0" w:color="auto"/>
        <w:bottom w:val="none" w:sz="0" w:space="0" w:color="auto"/>
        <w:right w:val="none" w:sz="0" w:space="0" w:color="auto"/>
      </w:divBdr>
    </w:div>
    <w:div w:id="1317297861">
      <w:bodyDiv w:val="1"/>
      <w:marLeft w:val="0"/>
      <w:marRight w:val="0"/>
      <w:marTop w:val="0"/>
      <w:marBottom w:val="0"/>
      <w:divBdr>
        <w:top w:val="none" w:sz="0" w:space="0" w:color="auto"/>
        <w:left w:val="none" w:sz="0" w:space="0" w:color="auto"/>
        <w:bottom w:val="none" w:sz="0" w:space="0" w:color="auto"/>
        <w:right w:val="none" w:sz="0" w:space="0" w:color="auto"/>
      </w:divBdr>
    </w:div>
    <w:div w:id="1327706074">
      <w:bodyDiv w:val="1"/>
      <w:marLeft w:val="0"/>
      <w:marRight w:val="0"/>
      <w:marTop w:val="0"/>
      <w:marBottom w:val="0"/>
      <w:divBdr>
        <w:top w:val="none" w:sz="0" w:space="0" w:color="auto"/>
        <w:left w:val="none" w:sz="0" w:space="0" w:color="auto"/>
        <w:bottom w:val="none" w:sz="0" w:space="0" w:color="auto"/>
        <w:right w:val="none" w:sz="0" w:space="0" w:color="auto"/>
      </w:divBdr>
    </w:div>
    <w:div w:id="1333533813">
      <w:bodyDiv w:val="1"/>
      <w:marLeft w:val="0"/>
      <w:marRight w:val="0"/>
      <w:marTop w:val="0"/>
      <w:marBottom w:val="0"/>
      <w:divBdr>
        <w:top w:val="none" w:sz="0" w:space="0" w:color="auto"/>
        <w:left w:val="none" w:sz="0" w:space="0" w:color="auto"/>
        <w:bottom w:val="none" w:sz="0" w:space="0" w:color="auto"/>
        <w:right w:val="none" w:sz="0" w:space="0" w:color="auto"/>
      </w:divBdr>
    </w:div>
    <w:div w:id="1353267204">
      <w:bodyDiv w:val="1"/>
      <w:marLeft w:val="0"/>
      <w:marRight w:val="0"/>
      <w:marTop w:val="0"/>
      <w:marBottom w:val="0"/>
      <w:divBdr>
        <w:top w:val="none" w:sz="0" w:space="0" w:color="auto"/>
        <w:left w:val="none" w:sz="0" w:space="0" w:color="auto"/>
        <w:bottom w:val="none" w:sz="0" w:space="0" w:color="auto"/>
        <w:right w:val="none" w:sz="0" w:space="0" w:color="auto"/>
      </w:divBdr>
    </w:div>
    <w:div w:id="1387337571">
      <w:bodyDiv w:val="1"/>
      <w:marLeft w:val="0"/>
      <w:marRight w:val="0"/>
      <w:marTop w:val="0"/>
      <w:marBottom w:val="0"/>
      <w:divBdr>
        <w:top w:val="none" w:sz="0" w:space="0" w:color="auto"/>
        <w:left w:val="none" w:sz="0" w:space="0" w:color="auto"/>
        <w:bottom w:val="none" w:sz="0" w:space="0" w:color="auto"/>
        <w:right w:val="none" w:sz="0" w:space="0" w:color="auto"/>
      </w:divBdr>
    </w:div>
    <w:div w:id="1450125079">
      <w:bodyDiv w:val="1"/>
      <w:marLeft w:val="0"/>
      <w:marRight w:val="0"/>
      <w:marTop w:val="0"/>
      <w:marBottom w:val="0"/>
      <w:divBdr>
        <w:top w:val="none" w:sz="0" w:space="0" w:color="auto"/>
        <w:left w:val="none" w:sz="0" w:space="0" w:color="auto"/>
        <w:bottom w:val="none" w:sz="0" w:space="0" w:color="auto"/>
        <w:right w:val="none" w:sz="0" w:space="0" w:color="auto"/>
      </w:divBdr>
    </w:div>
    <w:div w:id="1482310608">
      <w:bodyDiv w:val="1"/>
      <w:marLeft w:val="0"/>
      <w:marRight w:val="0"/>
      <w:marTop w:val="0"/>
      <w:marBottom w:val="0"/>
      <w:divBdr>
        <w:top w:val="none" w:sz="0" w:space="0" w:color="auto"/>
        <w:left w:val="none" w:sz="0" w:space="0" w:color="auto"/>
        <w:bottom w:val="none" w:sz="0" w:space="0" w:color="auto"/>
        <w:right w:val="none" w:sz="0" w:space="0" w:color="auto"/>
      </w:divBdr>
    </w:div>
    <w:div w:id="1495224620">
      <w:bodyDiv w:val="1"/>
      <w:marLeft w:val="0"/>
      <w:marRight w:val="0"/>
      <w:marTop w:val="0"/>
      <w:marBottom w:val="0"/>
      <w:divBdr>
        <w:top w:val="none" w:sz="0" w:space="0" w:color="auto"/>
        <w:left w:val="none" w:sz="0" w:space="0" w:color="auto"/>
        <w:bottom w:val="none" w:sz="0" w:space="0" w:color="auto"/>
        <w:right w:val="none" w:sz="0" w:space="0" w:color="auto"/>
      </w:divBdr>
    </w:div>
    <w:div w:id="1497527868">
      <w:bodyDiv w:val="1"/>
      <w:marLeft w:val="0"/>
      <w:marRight w:val="0"/>
      <w:marTop w:val="0"/>
      <w:marBottom w:val="0"/>
      <w:divBdr>
        <w:top w:val="none" w:sz="0" w:space="0" w:color="auto"/>
        <w:left w:val="none" w:sz="0" w:space="0" w:color="auto"/>
        <w:bottom w:val="none" w:sz="0" w:space="0" w:color="auto"/>
        <w:right w:val="none" w:sz="0" w:space="0" w:color="auto"/>
      </w:divBdr>
    </w:div>
    <w:div w:id="1527527092">
      <w:bodyDiv w:val="1"/>
      <w:marLeft w:val="0"/>
      <w:marRight w:val="0"/>
      <w:marTop w:val="0"/>
      <w:marBottom w:val="0"/>
      <w:divBdr>
        <w:top w:val="none" w:sz="0" w:space="0" w:color="auto"/>
        <w:left w:val="none" w:sz="0" w:space="0" w:color="auto"/>
        <w:bottom w:val="none" w:sz="0" w:space="0" w:color="auto"/>
        <w:right w:val="none" w:sz="0" w:space="0" w:color="auto"/>
      </w:divBdr>
    </w:div>
    <w:div w:id="1533108430">
      <w:bodyDiv w:val="1"/>
      <w:marLeft w:val="0"/>
      <w:marRight w:val="0"/>
      <w:marTop w:val="0"/>
      <w:marBottom w:val="0"/>
      <w:divBdr>
        <w:top w:val="none" w:sz="0" w:space="0" w:color="auto"/>
        <w:left w:val="none" w:sz="0" w:space="0" w:color="auto"/>
        <w:bottom w:val="none" w:sz="0" w:space="0" w:color="auto"/>
        <w:right w:val="none" w:sz="0" w:space="0" w:color="auto"/>
      </w:divBdr>
    </w:div>
    <w:div w:id="1548376633">
      <w:bodyDiv w:val="1"/>
      <w:marLeft w:val="0"/>
      <w:marRight w:val="0"/>
      <w:marTop w:val="0"/>
      <w:marBottom w:val="0"/>
      <w:divBdr>
        <w:top w:val="none" w:sz="0" w:space="0" w:color="auto"/>
        <w:left w:val="none" w:sz="0" w:space="0" w:color="auto"/>
        <w:bottom w:val="none" w:sz="0" w:space="0" w:color="auto"/>
        <w:right w:val="none" w:sz="0" w:space="0" w:color="auto"/>
      </w:divBdr>
    </w:div>
    <w:div w:id="1568806521">
      <w:bodyDiv w:val="1"/>
      <w:marLeft w:val="0"/>
      <w:marRight w:val="0"/>
      <w:marTop w:val="0"/>
      <w:marBottom w:val="0"/>
      <w:divBdr>
        <w:top w:val="none" w:sz="0" w:space="0" w:color="auto"/>
        <w:left w:val="none" w:sz="0" w:space="0" w:color="auto"/>
        <w:bottom w:val="none" w:sz="0" w:space="0" w:color="auto"/>
        <w:right w:val="none" w:sz="0" w:space="0" w:color="auto"/>
      </w:divBdr>
    </w:div>
    <w:div w:id="1576815512">
      <w:bodyDiv w:val="1"/>
      <w:marLeft w:val="0"/>
      <w:marRight w:val="0"/>
      <w:marTop w:val="0"/>
      <w:marBottom w:val="0"/>
      <w:divBdr>
        <w:top w:val="none" w:sz="0" w:space="0" w:color="auto"/>
        <w:left w:val="none" w:sz="0" w:space="0" w:color="auto"/>
        <w:bottom w:val="none" w:sz="0" w:space="0" w:color="auto"/>
        <w:right w:val="none" w:sz="0" w:space="0" w:color="auto"/>
      </w:divBdr>
    </w:div>
    <w:div w:id="1653829618">
      <w:bodyDiv w:val="1"/>
      <w:marLeft w:val="0"/>
      <w:marRight w:val="0"/>
      <w:marTop w:val="0"/>
      <w:marBottom w:val="0"/>
      <w:divBdr>
        <w:top w:val="none" w:sz="0" w:space="0" w:color="auto"/>
        <w:left w:val="none" w:sz="0" w:space="0" w:color="auto"/>
        <w:bottom w:val="none" w:sz="0" w:space="0" w:color="auto"/>
        <w:right w:val="none" w:sz="0" w:space="0" w:color="auto"/>
      </w:divBdr>
    </w:div>
    <w:div w:id="1724212367">
      <w:bodyDiv w:val="1"/>
      <w:marLeft w:val="0"/>
      <w:marRight w:val="0"/>
      <w:marTop w:val="0"/>
      <w:marBottom w:val="0"/>
      <w:divBdr>
        <w:top w:val="none" w:sz="0" w:space="0" w:color="auto"/>
        <w:left w:val="none" w:sz="0" w:space="0" w:color="auto"/>
        <w:bottom w:val="none" w:sz="0" w:space="0" w:color="auto"/>
        <w:right w:val="none" w:sz="0" w:space="0" w:color="auto"/>
      </w:divBdr>
    </w:div>
    <w:div w:id="1726636349">
      <w:bodyDiv w:val="1"/>
      <w:marLeft w:val="0"/>
      <w:marRight w:val="0"/>
      <w:marTop w:val="0"/>
      <w:marBottom w:val="0"/>
      <w:divBdr>
        <w:top w:val="none" w:sz="0" w:space="0" w:color="auto"/>
        <w:left w:val="none" w:sz="0" w:space="0" w:color="auto"/>
        <w:bottom w:val="none" w:sz="0" w:space="0" w:color="auto"/>
        <w:right w:val="none" w:sz="0" w:space="0" w:color="auto"/>
      </w:divBdr>
    </w:div>
    <w:div w:id="1746757244">
      <w:bodyDiv w:val="1"/>
      <w:marLeft w:val="0"/>
      <w:marRight w:val="0"/>
      <w:marTop w:val="0"/>
      <w:marBottom w:val="0"/>
      <w:divBdr>
        <w:top w:val="none" w:sz="0" w:space="0" w:color="auto"/>
        <w:left w:val="none" w:sz="0" w:space="0" w:color="auto"/>
        <w:bottom w:val="none" w:sz="0" w:space="0" w:color="auto"/>
        <w:right w:val="none" w:sz="0" w:space="0" w:color="auto"/>
      </w:divBdr>
    </w:div>
    <w:div w:id="1782533186">
      <w:bodyDiv w:val="1"/>
      <w:marLeft w:val="0"/>
      <w:marRight w:val="0"/>
      <w:marTop w:val="0"/>
      <w:marBottom w:val="0"/>
      <w:divBdr>
        <w:top w:val="none" w:sz="0" w:space="0" w:color="auto"/>
        <w:left w:val="none" w:sz="0" w:space="0" w:color="auto"/>
        <w:bottom w:val="none" w:sz="0" w:space="0" w:color="auto"/>
        <w:right w:val="none" w:sz="0" w:space="0" w:color="auto"/>
      </w:divBdr>
    </w:div>
    <w:div w:id="1806509736">
      <w:bodyDiv w:val="1"/>
      <w:marLeft w:val="0"/>
      <w:marRight w:val="0"/>
      <w:marTop w:val="0"/>
      <w:marBottom w:val="0"/>
      <w:divBdr>
        <w:top w:val="none" w:sz="0" w:space="0" w:color="auto"/>
        <w:left w:val="none" w:sz="0" w:space="0" w:color="auto"/>
        <w:bottom w:val="none" w:sz="0" w:space="0" w:color="auto"/>
        <w:right w:val="none" w:sz="0" w:space="0" w:color="auto"/>
      </w:divBdr>
    </w:div>
    <w:div w:id="1811748365">
      <w:bodyDiv w:val="1"/>
      <w:marLeft w:val="0"/>
      <w:marRight w:val="0"/>
      <w:marTop w:val="0"/>
      <w:marBottom w:val="0"/>
      <w:divBdr>
        <w:top w:val="none" w:sz="0" w:space="0" w:color="auto"/>
        <w:left w:val="none" w:sz="0" w:space="0" w:color="auto"/>
        <w:bottom w:val="none" w:sz="0" w:space="0" w:color="auto"/>
        <w:right w:val="none" w:sz="0" w:space="0" w:color="auto"/>
      </w:divBdr>
    </w:div>
    <w:div w:id="1834906993">
      <w:bodyDiv w:val="1"/>
      <w:marLeft w:val="0"/>
      <w:marRight w:val="0"/>
      <w:marTop w:val="0"/>
      <w:marBottom w:val="0"/>
      <w:divBdr>
        <w:top w:val="none" w:sz="0" w:space="0" w:color="auto"/>
        <w:left w:val="none" w:sz="0" w:space="0" w:color="auto"/>
        <w:bottom w:val="none" w:sz="0" w:space="0" w:color="auto"/>
        <w:right w:val="none" w:sz="0" w:space="0" w:color="auto"/>
      </w:divBdr>
    </w:div>
    <w:div w:id="1846166203">
      <w:bodyDiv w:val="1"/>
      <w:marLeft w:val="0"/>
      <w:marRight w:val="0"/>
      <w:marTop w:val="0"/>
      <w:marBottom w:val="0"/>
      <w:divBdr>
        <w:top w:val="none" w:sz="0" w:space="0" w:color="auto"/>
        <w:left w:val="none" w:sz="0" w:space="0" w:color="auto"/>
        <w:bottom w:val="none" w:sz="0" w:space="0" w:color="auto"/>
        <w:right w:val="none" w:sz="0" w:space="0" w:color="auto"/>
      </w:divBdr>
    </w:div>
    <w:div w:id="1850215631">
      <w:bodyDiv w:val="1"/>
      <w:marLeft w:val="0"/>
      <w:marRight w:val="0"/>
      <w:marTop w:val="0"/>
      <w:marBottom w:val="0"/>
      <w:divBdr>
        <w:top w:val="none" w:sz="0" w:space="0" w:color="auto"/>
        <w:left w:val="none" w:sz="0" w:space="0" w:color="auto"/>
        <w:bottom w:val="none" w:sz="0" w:space="0" w:color="auto"/>
        <w:right w:val="none" w:sz="0" w:space="0" w:color="auto"/>
      </w:divBdr>
      <w:divsChild>
        <w:div w:id="1939219351">
          <w:marLeft w:val="0"/>
          <w:marRight w:val="0"/>
          <w:marTop w:val="0"/>
          <w:marBottom w:val="0"/>
          <w:divBdr>
            <w:top w:val="none" w:sz="0" w:space="0" w:color="auto"/>
            <w:left w:val="none" w:sz="0" w:space="0" w:color="auto"/>
            <w:bottom w:val="none" w:sz="0" w:space="0" w:color="auto"/>
            <w:right w:val="none" w:sz="0" w:space="0" w:color="auto"/>
          </w:divBdr>
        </w:div>
      </w:divsChild>
    </w:div>
    <w:div w:id="1883444744">
      <w:bodyDiv w:val="1"/>
      <w:marLeft w:val="0"/>
      <w:marRight w:val="0"/>
      <w:marTop w:val="0"/>
      <w:marBottom w:val="0"/>
      <w:divBdr>
        <w:top w:val="none" w:sz="0" w:space="0" w:color="auto"/>
        <w:left w:val="none" w:sz="0" w:space="0" w:color="auto"/>
        <w:bottom w:val="none" w:sz="0" w:space="0" w:color="auto"/>
        <w:right w:val="none" w:sz="0" w:space="0" w:color="auto"/>
      </w:divBdr>
    </w:div>
    <w:div w:id="1914849994">
      <w:bodyDiv w:val="1"/>
      <w:marLeft w:val="0"/>
      <w:marRight w:val="0"/>
      <w:marTop w:val="0"/>
      <w:marBottom w:val="0"/>
      <w:divBdr>
        <w:top w:val="none" w:sz="0" w:space="0" w:color="auto"/>
        <w:left w:val="none" w:sz="0" w:space="0" w:color="auto"/>
        <w:bottom w:val="none" w:sz="0" w:space="0" w:color="auto"/>
        <w:right w:val="none" w:sz="0" w:space="0" w:color="auto"/>
      </w:divBdr>
    </w:div>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 w:id="1940982970">
      <w:bodyDiv w:val="1"/>
      <w:marLeft w:val="0"/>
      <w:marRight w:val="0"/>
      <w:marTop w:val="0"/>
      <w:marBottom w:val="0"/>
      <w:divBdr>
        <w:top w:val="none" w:sz="0" w:space="0" w:color="auto"/>
        <w:left w:val="none" w:sz="0" w:space="0" w:color="auto"/>
        <w:bottom w:val="none" w:sz="0" w:space="0" w:color="auto"/>
        <w:right w:val="none" w:sz="0" w:space="0" w:color="auto"/>
      </w:divBdr>
    </w:div>
    <w:div w:id="1944605470">
      <w:bodyDiv w:val="1"/>
      <w:marLeft w:val="0"/>
      <w:marRight w:val="0"/>
      <w:marTop w:val="0"/>
      <w:marBottom w:val="0"/>
      <w:divBdr>
        <w:top w:val="none" w:sz="0" w:space="0" w:color="auto"/>
        <w:left w:val="none" w:sz="0" w:space="0" w:color="auto"/>
        <w:bottom w:val="none" w:sz="0" w:space="0" w:color="auto"/>
        <w:right w:val="none" w:sz="0" w:space="0" w:color="auto"/>
      </w:divBdr>
    </w:div>
    <w:div w:id="1958826425">
      <w:bodyDiv w:val="1"/>
      <w:marLeft w:val="0"/>
      <w:marRight w:val="0"/>
      <w:marTop w:val="0"/>
      <w:marBottom w:val="0"/>
      <w:divBdr>
        <w:top w:val="none" w:sz="0" w:space="0" w:color="auto"/>
        <w:left w:val="none" w:sz="0" w:space="0" w:color="auto"/>
        <w:bottom w:val="none" w:sz="0" w:space="0" w:color="auto"/>
        <w:right w:val="none" w:sz="0" w:space="0" w:color="auto"/>
      </w:divBdr>
    </w:div>
    <w:div w:id="2040278563">
      <w:bodyDiv w:val="1"/>
      <w:marLeft w:val="0"/>
      <w:marRight w:val="0"/>
      <w:marTop w:val="0"/>
      <w:marBottom w:val="0"/>
      <w:divBdr>
        <w:top w:val="none" w:sz="0" w:space="0" w:color="auto"/>
        <w:left w:val="none" w:sz="0" w:space="0" w:color="auto"/>
        <w:bottom w:val="none" w:sz="0" w:space="0" w:color="auto"/>
        <w:right w:val="none" w:sz="0" w:space="0" w:color="auto"/>
      </w:divBdr>
    </w:div>
    <w:div w:id="2054847484">
      <w:bodyDiv w:val="1"/>
      <w:marLeft w:val="0"/>
      <w:marRight w:val="0"/>
      <w:marTop w:val="0"/>
      <w:marBottom w:val="0"/>
      <w:divBdr>
        <w:top w:val="none" w:sz="0" w:space="0" w:color="auto"/>
        <w:left w:val="none" w:sz="0" w:space="0" w:color="auto"/>
        <w:bottom w:val="none" w:sz="0" w:space="0" w:color="auto"/>
        <w:right w:val="none" w:sz="0" w:space="0" w:color="auto"/>
      </w:divBdr>
    </w:div>
    <w:div w:id="2082097639">
      <w:bodyDiv w:val="1"/>
      <w:marLeft w:val="0"/>
      <w:marRight w:val="0"/>
      <w:marTop w:val="0"/>
      <w:marBottom w:val="0"/>
      <w:divBdr>
        <w:top w:val="none" w:sz="0" w:space="0" w:color="auto"/>
        <w:left w:val="none" w:sz="0" w:space="0" w:color="auto"/>
        <w:bottom w:val="none" w:sz="0" w:space="0" w:color="auto"/>
        <w:right w:val="none" w:sz="0" w:space="0" w:color="auto"/>
      </w:divBdr>
    </w:div>
    <w:div w:id="2099861336">
      <w:bodyDiv w:val="1"/>
      <w:marLeft w:val="0"/>
      <w:marRight w:val="0"/>
      <w:marTop w:val="0"/>
      <w:marBottom w:val="0"/>
      <w:divBdr>
        <w:top w:val="none" w:sz="0" w:space="0" w:color="auto"/>
        <w:left w:val="none" w:sz="0" w:space="0" w:color="auto"/>
        <w:bottom w:val="none" w:sz="0" w:space="0" w:color="auto"/>
        <w:right w:val="none" w:sz="0" w:space="0" w:color="auto"/>
      </w:divBdr>
    </w:div>
    <w:div w:id="2118984824">
      <w:bodyDiv w:val="1"/>
      <w:marLeft w:val="0"/>
      <w:marRight w:val="0"/>
      <w:marTop w:val="0"/>
      <w:marBottom w:val="0"/>
      <w:divBdr>
        <w:top w:val="none" w:sz="0" w:space="0" w:color="auto"/>
        <w:left w:val="none" w:sz="0" w:space="0" w:color="auto"/>
        <w:bottom w:val="none" w:sz="0" w:space="0" w:color="auto"/>
        <w:right w:val="none" w:sz="0" w:space="0" w:color="auto"/>
      </w:divBdr>
    </w:div>
    <w:div w:id="2128234885">
      <w:bodyDiv w:val="1"/>
      <w:marLeft w:val="0"/>
      <w:marRight w:val="0"/>
      <w:marTop w:val="0"/>
      <w:marBottom w:val="0"/>
      <w:divBdr>
        <w:top w:val="none" w:sz="0" w:space="0" w:color="auto"/>
        <w:left w:val="none" w:sz="0" w:space="0" w:color="auto"/>
        <w:bottom w:val="none" w:sz="0" w:space="0" w:color="auto"/>
        <w:right w:val="none" w:sz="0" w:space="0" w:color="auto"/>
      </w:divBdr>
    </w:div>
    <w:div w:id="21461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0.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s-dds-ny.un.org/doc/UNDOC/GEN/N20/177/48/PDF/N2017748.pdf?OpenEle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2.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1.xml"/><Relationship Id="rId30" Type="http://schemas.openxmlformats.org/officeDocument/2006/relationships/hyperlink" Target="http://undocs.org/DP/2015/26/Add.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undp-my.sharepoint.com/personal/hongxing_jiang_undp_org/Documents/PDI/Donor%20Reporting/ARFS/2022/2022%20ARFS%20Master%20table%20-15%20Jun%202023%20update.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undp-my.sharepoint.com/personal/hongxing_jiang_undp_org/Documents/PDI/Donor%20Reporting/ARFS/2022/2022%20ARFS%20Master%20table%20-15%20Jun%202023%20updat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openxmlformats.org/officeDocument/2006/relationships/oleObject" Target="https://undp-my.sharepoint.com/personal/hongxing_jiang_undp_org/Documents/PDI/Donor%20Reporting/ARFS/2022/2022%20ARFS%20Master%20table%20-1%20Jun%202023%20update.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https://undp-my.sharepoint.com/personal/hongxing_jiang_undp_org/Documents/PDI/Donor%20Reporting/ARFS/2022/2022%20ARFS%20Master%20table%20-15%20Jun%202023%20updat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'ARFS Tables - Rev'!$A$30</c:f>
              <c:strCache>
                <c:ptCount val="1"/>
                <c:pt idx="0">
                  <c:v>Contributions</c:v>
                </c:pt>
              </c:strCache>
            </c:strRef>
          </c:tx>
          <c:spPr>
            <a:solidFill>
              <a:srgbClr val="B8E08C"/>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Rev'!$C$29:$G$29</c:f>
              <c:numCache>
                <c:formatCode>General</c:formatCode>
                <c:ptCount val="5"/>
                <c:pt idx="0">
                  <c:v>2018</c:v>
                </c:pt>
                <c:pt idx="1">
                  <c:v>2019</c:v>
                </c:pt>
                <c:pt idx="2">
                  <c:v>2020</c:v>
                </c:pt>
                <c:pt idx="3">
                  <c:v>2021</c:v>
                </c:pt>
                <c:pt idx="4">
                  <c:v>2022</c:v>
                </c:pt>
              </c:numCache>
              <c:extLst/>
            </c:numRef>
          </c:cat>
          <c:val>
            <c:numRef>
              <c:f>'ARFS Tables - Rev'!$C$30:$G$30</c:f>
              <c:numCache>
                <c:formatCode>#,##0_);\(#,##0\)</c:formatCode>
                <c:ptCount val="5"/>
                <c:pt idx="0">
                  <c:v>5360</c:v>
                </c:pt>
                <c:pt idx="1">
                  <c:v>4473</c:v>
                </c:pt>
                <c:pt idx="2">
                  <c:v>6273</c:v>
                </c:pt>
                <c:pt idx="3">
                  <c:v>5304</c:v>
                </c:pt>
                <c:pt idx="4" formatCode="General">
                  <c:v>4998</c:v>
                </c:pt>
              </c:numCache>
              <c:extLst/>
            </c:numRef>
          </c:val>
          <c:extLst>
            <c:ext xmlns:c16="http://schemas.microsoft.com/office/drawing/2014/chart" uri="{C3380CC4-5D6E-409C-BE32-E72D297353CC}">
              <c16:uniqueId val="{00000000-782C-4CB9-AA48-67853AF2CB4E}"/>
            </c:ext>
          </c:extLst>
        </c:ser>
        <c:ser>
          <c:idx val="1"/>
          <c:order val="1"/>
          <c:tx>
            <c:strRef>
              <c:f>'ARFS Tables - Rev'!$A$31</c:f>
              <c:strCache>
                <c:ptCount val="1"/>
                <c:pt idx="0">
                  <c:v>Non-contributions </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Rev'!$C$29:$G$29</c:f>
              <c:numCache>
                <c:formatCode>General</c:formatCode>
                <c:ptCount val="5"/>
                <c:pt idx="0">
                  <c:v>2018</c:v>
                </c:pt>
                <c:pt idx="1">
                  <c:v>2019</c:v>
                </c:pt>
                <c:pt idx="2">
                  <c:v>2020</c:v>
                </c:pt>
                <c:pt idx="3">
                  <c:v>2021</c:v>
                </c:pt>
                <c:pt idx="4">
                  <c:v>2022</c:v>
                </c:pt>
              </c:numCache>
              <c:extLst/>
            </c:numRef>
          </c:cat>
          <c:val>
            <c:numRef>
              <c:f>'ARFS Tables - Rev'!$C$31:$G$31</c:f>
              <c:numCache>
                <c:formatCode>#,##0_);\(#,##0\)</c:formatCode>
                <c:ptCount val="5"/>
                <c:pt idx="0">
                  <c:v>332</c:v>
                </c:pt>
                <c:pt idx="1">
                  <c:v>356</c:v>
                </c:pt>
                <c:pt idx="2">
                  <c:v>345</c:v>
                </c:pt>
                <c:pt idx="3">
                  <c:v>333</c:v>
                </c:pt>
                <c:pt idx="4" formatCode="General">
                  <c:v>324</c:v>
                </c:pt>
              </c:numCache>
              <c:extLst/>
            </c:numRef>
          </c:val>
          <c:extLst>
            <c:ext xmlns:c16="http://schemas.microsoft.com/office/drawing/2014/chart" uri="{C3380CC4-5D6E-409C-BE32-E72D297353CC}">
              <c16:uniqueId val="{00000001-782C-4CB9-AA48-67853AF2CB4E}"/>
            </c:ext>
          </c:extLst>
        </c:ser>
        <c:ser>
          <c:idx val="3"/>
          <c:order val="3"/>
          <c:tx>
            <c:strRef>
              <c:f>'ARFS Tables - Rev'!$A$33</c:f>
              <c:strCache>
                <c:ptCount val="1"/>
                <c:pt idx="0">
                  <c:v>total revenue </c:v>
                </c:pt>
              </c:strCache>
            </c:strRef>
          </c:tx>
          <c:spPr>
            <a:solidFill>
              <a:schemeClr val="bg1"/>
            </a:solidFill>
            <a:ln>
              <a:solidFill>
                <a:schemeClr val="bg1"/>
              </a:solid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Rev'!$C$29:$G$29</c:f>
              <c:numCache>
                <c:formatCode>General</c:formatCode>
                <c:ptCount val="5"/>
                <c:pt idx="0">
                  <c:v>2018</c:v>
                </c:pt>
                <c:pt idx="1">
                  <c:v>2019</c:v>
                </c:pt>
                <c:pt idx="2">
                  <c:v>2020</c:v>
                </c:pt>
                <c:pt idx="3">
                  <c:v>2021</c:v>
                </c:pt>
                <c:pt idx="4">
                  <c:v>2022</c:v>
                </c:pt>
              </c:numCache>
              <c:extLst/>
            </c:numRef>
          </c:cat>
          <c:val>
            <c:numRef>
              <c:f>'ARFS Tables - Rev'!$C$33:$G$33</c:f>
              <c:numCache>
                <c:formatCode>#,##0_);\(#,##0\)</c:formatCode>
                <c:ptCount val="5"/>
                <c:pt idx="0">
                  <c:v>5692</c:v>
                </c:pt>
                <c:pt idx="1">
                  <c:v>4829</c:v>
                </c:pt>
                <c:pt idx="2">
                  <c:v>6618</c:v>
                </c:pt>
                <c:pt idx="3">
                  <c:v>5637</c:v>
                </c:pt>
                <c:pt idx="4" formatCode="General">
                  <c:v>5322</c:v>
                </c:pt>
              </c:numCache>
              <c:extLst/>
            </c:numRef>
          </c:val>
          <c:extLst>
            <c:ext xmlns:c16="http://schemas.microsoft.com/office/drawing/2014/chart" uri="{C3380CC4-5D6E-409C-BE32-E72D297353CC}">
              <c16:uniqueId val="{00000002-782C-4CB9-AA48-67853AF2CB4E}"/>
            </c:ext>
          </c:extLst>
        </c:ser>
        <c:dLbls>
          <c:showLegendKey val="0"/>
          <c:showVal val="0"/>
          <c:showCatName val="0"/>
          <c:showSerName val="0"/>
          <c:showPercent val="0"/>
          <c:showBubbleSize val="0"/>
        </c:dLbls>
        <c:gapWidth val="60"/>
        <c:overlap val="100"/>
        <c:axId val="858933152"/>
        <c:axId val="858920672"/>
        <c:extLst>
          <c:ext xmlns:c15="http://schemas.microsoft.com/office/drawing/2012/chart" uri="{02D57815-91ED-43cb-92C2-25804820EDAC}">
            <c15:filteredBarSeries>
              <c15:ser>
                <c:idx val="2"/>
                <c:order val="2"/>
                <c:tx>
                  <c:strRef>
                    <c:extLst>
                      <c:ext uri="{02D57815-91ED-43cb-92C2-25804820EDAC}">
                        <c15:formulaRef>
                          <c15:sqref>'ARFS Tables - Rev'!$A$32</c15:sqref>
                        </c15:formulaRef>
                      </c:ext>
                    </c:extLst>
                    <c:strCache>
                      <c:ptCount val="1"/>
                    </c:strCache>
                  </c:strRef>
                </c:tx>
                <c:spPr>
                  <a:solidFill>
                    <a:schemeClr val="accent3"/>
                  </a:solidFill>
                  <a:ln>
                    <a:noFill/>
                  </a:ln>
                  <a:effectLst/>
                </c:spPr>
                <c:invertIfNegative val="0"/>
                <c:cat>
                  <c:numRef>
                    <c:extLst>
                      <c:ext uri="{02D57815-91ED-43cb-92C2-25804820EDAC}">
                        <c15:formulaRef>
                          <c15:sqref>'ARFS Tables - Rev'!$C$29:$G$29</c15:sqref>
                        </c15:formulaRef>
                      </c:ext>
                    </c:extLst>
                    <c:numCache>
                      <c:formatCode>General</c:formatCode>
                      <c:ptCount val="5"/>
                      <c:pt idx="0">
                        <c:v>2018</c:v>
                      </c:pt>
                      <c:pt idx="1">
                        <c:v>2019</c:v>
                      </c:pt>
                      <c:pt idx="2">
                        <c:v>2020</c:v>
                      </c:pt>
                      <c:pt idx="3">
                        <c:v>2021</c:v>
                      </c:pt>
                      <c:pt idx="4">
                        <c:v>2022</c:v>
                      </c:pt>
                    </c:numCache>
                  </c:numRef>
                </c:cat>
                <c:val>
                  <c:numRef>
                    <c:extLst>
                      <c:ext uri="{02D57815-91ED-43cb-92C2-25804820EDAC}">
                        <c15:formulaRef>
                          <c15:sqref>'ARFS Tables - Rev'!$C$32:$G$32</c15:sqref>
                        </c15:formulaRef>
                      </c:ext>
                    </c:extLst>
                    <c:numCache>
                      <c:formatCode>General</c:formatCode>
                      <c:ptCount val="5"/>
                    </c:numCache>
                  </c:numRef>
                </c:val>
                <c:extLst>
                  <c:ext xmlns:c16="http://schemas.microsoft.com/office/drawing/2014/chart" uri="{C3380CC4-5D6E-409C-BE32-E72D297353CC}">
                    <c16:uniqueId val="{00000003-782C-4CB9-AA48-67853AF2CB4E}"/>
                  </c:ext>
                </c:extLst>
              </c15:ser>
            </c15:filteredBarSeries>
          </c:ext>
        </c:extLst>
      </c:barChart>
      <c:catAx>
        <c:axId val="858933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858920672"/>
        <c:crosses val="autoZero"/>
        <c:auto val="1"/>
        <c:lblAlgn val="ctr"/>
        <c:lblOffset val="100"/>
        <c:noMultiLvlLbl val="0"/>
      </c:catAx>
      <c:valAx>
        <c:axId val="858920672"/>
        <c:scaling>
          <c:orientation val="minMax"/>
          <c:max val="7000"/>
        </c:scaling>
        <c:delete val="1"/>
        <c:axPos val="b"/>
        <c:numFmt formatCode="#,##0_);\(#,##0\)" sourceLinked="1"/>
        <c:majorTickMark val="none"/>
        <c:minorTickMark val="none"/>
        <c:tickLblPos val="nextTo"/>
        <c:crossAx val="85893315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21430362605948E-2"/>
          <c:y val="5.8481292779579017E-2"/>
          <c:w val="0.91650532362699944"/>
          <c:h val="0.63552879419484343"/>
        </c:manualLayout>
      </c:layout>
      <c:barChart>
        <c:barDir val="col"/>
        <c:grouping val="clustered"/>
        <c:varyColors val="0"/>
        <c:ser>
          <c:idx val="0"/>
          <c:order val="0"/>
          <c:tx>
            <c:strRef>
              <c:f>'[2022 ARFS Master table -15 Jun 2023 update.xlsx]ARFS Tables - Asset &amp; Liability'!$C$30</c:f>
              <c:strCache>
                <c:ptCount val="1"/>
                <c:pt idx="0">
                  <c:v>2022</c:v>
                </c:pt>
              </c:strCache>
            </c:strRef>
          </c:tx>
          <c:spPr>
            <a:solidFill>
              <a:srgbClr val="4472C4">
                <a:lumMod val="60000"/>
                <a:lumOff val="40000"/>
              </a:srgbClr>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update.xlsx]ARFS Tables - Asset &amp; Liability'!$B$31:$B$36</c:f>
              <c:strCache>
                <c:ptCount val="6"/>
                <c:pt idx="0">
                  <c:v>Cash and cash equivalents</c:v>
                </c:pt>
                <c:pt idx="1">
                  <c:v>Investments</c:v>
                </c:pt>
                <c:pt idx="2">
                  <c:v>Cash and investments – funds held-in-trust</c:v>
                </c:pt>
                <c:pt idx="3">
                  <c:v>Contributiions receivable</c:v>
                </c:pt>
                <c:pt idx="4">
                  <c:v>Property, plant and equipment</c:v>
                </c:pt>
                <c:pt idx="5">
                  <c:v>Other assets and receivables</c:v>
                </c:pt>
              </c:strCache>
            </c:strRef>
          </c:cat>
          <c:val>
            <c:numRef>
              <c:f>'[2022 ARFS Master table -15 Jun 2023 update.xlsx]ARFS Tables - Asset &amp; Liability'!$C$31:$C$36</c:f>
              <c:numCache>
                <c:formatCode>_(* #,##0_);_(* \(#,##0\);_(* "-"??_);_(@_)</c:formatCode>
                <c:ptCount val="6"/>
                <c:pt idx="0">
                  <c:v>620986715.68299973</c:v>
                </c:pt>
                <c:pt idx="1">
                  <c:v>7488497685.4600105</c:v>
                </c:pt>
                <c:pt idx="2">
                  <c:v>1300537175.04</c:v>
                </c:pt>
                <c:pt idx="3">
                  <c:v>4966117278.9779978</c:v>
                </c:pt>
                <c:pt idx="4">
                  <c:v>119975586.69999923</c:v>
                </c:pt>
                <c:pt idx="5">
                  <c:v>326118766.56799316</c:v>
                </c:pt>
              </c:numCache>
            </c:numRef>
          </c:val>
          <c:extLst>
            <c:ext xmlns:c16="http://schemas.microsoft.com/office/drawing/2014/chart" uri="{C3380CC4-5D6E-409C-BE32-E72D297353CC}">
              <c16:uniqueId val="{00000000-426B-4243-91B2-D7D4C9C135F5}"/>
            </c:ext>
          </c:extLst>
        </c:ser>
        <c:ser>
          <c:idx val="1"/>
          <c:order val="1"/>
          <c:tx>
            <c:strRef>
              <c:f>'[2022 ARFS Master table -15 Jun 2023 update.xlsx]ARFS Tables - Asset &amp; Liability'!$D$30</c:f>
              <c:strCache>
                <c:ptCount val="1"/>
                <c:pt idx="0">
                  <c:v>2021</c:v>
                </c:pt>
              </c:strCache>
            </c:strRef>
          </c:tx>
          <c:spPr>
            <a:solidFill>
              <a:srgbClr val="70AD47">
                <a:lumMod val="60000"/>
                <a:lumOff val="40000"/>
              </a:srgbClr>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update.xlsx]ARFS Tables - Asset &amp; Liability'!$B$31:$B$36</c:f>
              <c:strCache>
                <c:ptCount val="6"/>
                <c:pt idx="0">
                  <c:v>Cash and cash equivalents</c:v>
                </c:pt>
                <c:pt idx="1">
                  <c:v>Investments</c:v>
                </c:pt>
                <c:pt idx="2">
                  <c:v>Cash and investments – funds held-in-trust</c:v>
                </c:pt>
                <c:pt idx="3">
                  <c:v>Contributiions receivable</c:v>
                </c:pt>
                <c:pt idx="4">
                  <c:v>Property, plant and equipment</c:v>
                </c:pt>
                <c:pt idx="5">
                  <c:v>Other assets and receivables</c:v>
                </c:pt>
              </c:strCache>
            </c:strRef>
          </c:cat>
          <c:val>
            <c:numRef>
              <c:f>'[2022 ARFS Master table -15 Jun 2023 update.xlsx]ARFS Tables - Asset &amp; Liability'!$D$31:$D$36</c:f>
              <c:numCache>
                <c:formatCode>_(* #,##0_);_(* \(#,##0\);_(* "-"??_);_(@_)</c:formatCode>
                <c:ptCount val="6"/>
                <c:pt idx="0">
                  <c:v>566484629.1329987</c:v>
                </c:pt>
                <c:pt idx="1">
                  <c:v>7892806737.9999943</c:v>
                </c:pt>
                <c:pt idx="2">
                  <c:v>1458733469.1000001</c:v>
                </c:pt>
                <c:pt idx="3">
                  <c:v>4742479048.9299994</c:v>
                </c:pt>
                <c:pt idx="4">
                  <c:v>121588298.08800089</c:v>
                </c:pt>
                <c:pt idx="5">
                  <c:v>368789766.48600006</c:v>
                </c:pt>
              </c:numCache>
            </c:numRef>
          </c:val>
          <c:extLst>
            <c:ext xmlns:c16="http://schemas.microsoft.com/office/drawing/2014/chart" uri="{C3380CC4-5D6E-409C-BE32-E72D297353CC}">
              <c16:uniqueId val="{00000001-426B-4243-91B2-D7D4C9C135F5}"/>
            </c:ext>
          </c:extLst>
        </c:ser>
        <c:dLbls>
          <c:dLblPos val="outEnd"/>
          <c:showLegendKey val="0"/>
          <c:showVal val="1"/>
          <c:showCatName val="0"/>
          <c:showSerName val="0"/>
          <c:showPercent val="0"/>
          <c:showBubbleSize val="0"/>
        </c:dLbls>
        <c:gapWidth val="155"/>
        <c:overlap val="-27"/>
        <c:axId val="385417024"/>
        <c:axId val="385417416"/>
      </c:barChart>
      <c:catAx>
        <c:axId val="38541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IT"/>
          </a:p>
        </c:txPr>
        <c:crossAx val="385417416"/>
        <c:crosses val="autoZero"/>
        <c:auto val="1"/>
        <c:lblAlgn val="ctr"/>
        <c:lblOffset val="100"/>
        <c:noMultiLvlLbl val="0"/>
      </c:catAx>
      <c:valAx>
        <c:axId val="385417416"/>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crossAx val="385417024"/>
        <c:crosses val="autoZero"/>
        <c:crossBetween val="between"/>
        <c:majorUnit val="2000000000"/>
      </c:valAx>
      <c:spPr>
        <a:noFill/>
        <a:ln>
          <a:noFill/>
        </a:ln>
        <a:effectLst/>
      </c:spPr>
    </c:plotArea>
    <c:legend>
      <c:legendPos val="b"/>
      <c:layout>
        <c:manualLayout>
          <c:xMode val="edge"/>
          <c:yMode val="edge"/>
          <c:x val="0.28934739761303424"/>
          <c:y val="0.93152445380947102"/>
          <c:w val="0.36742851101580781"/>
          <c:h val="5.678670763804190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legend>
    <c:plotVisOnly val="1"/>
    <c:dispBlanksAs val="gap"/>
    <c:showDLblsOverMax val="0"/>
  </c:chart>
  <c:spPr>
    <a:solidFill>
      <a:schemeClr val="bg1"/>
    </a:solidFill>
    <a:ln w="9525" cap="flat" cmpd="sng" algn="ctr">
      <a:solidFill>
        <a:sysClr val="window" lastClr="FFFFFF">
          <a:lumMod val="85000"/>
        </a:sysClr>
      </a:solidFill>
      <a:round/>
    </a:ln>
    <a:effectLst/>
  </c:spPr>
  <c:txPr>
    <a:bodyPr/>
    <a:lstStyle/>
    <a:p>
      <a:pPr>
        <a:defRPr/>
      </a:pPr>
      <a:endParaRPr lang="en-I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35264102217401"/>
          <c:y val="7.7998499606604169E-2"/>
          <c:w val="0.86305026313484101"/>
          <c:h val="0.64877464311377198"/>
        </c:manualLayout>
      </c:layout>
      <c:barChart>
        <c:barDir val="col"/>
        <c:grouping val="clustered"/>
        <c:varyColors val="0"/>
        <c:ser>
          <c:idx val="0"/>
          <c:order val="0"/>
          <c:tx>
            <c:strRef>
              <c:f>'[2022 ARFS Master table -15 Jun 2023 update.xlsx]ARFS Tables - Asset &amp; Liability'!$J$32</c:f>
              <c:strCache>
                <c:ptCount val="1"/>
                <c:pt idx="0">
                  <c:v>2022</c:v>
                </c:pt>
              </c:strCache>
            </c:strRef>
          </c:tx>
          <c:spPr>
            <a:solidFill>
              <a:schemeClr val="accent1">
                <a:lumMod val="60000"/>
                <a:lumOff val="40000"/>
              </a:schemeClr>
            </a:solidFill>
            <a:ln>
              <a:noFill/>
            </a:ln>
            <a:effectLst/>
          </c:spPr>
          <c:invertIfNegative val="0"/>
          <c:dLbls>
            <c:dLbl>
              <c:idx val="2"/>
              <c:layout>
                <c:manualLayout>
                  <c:x val="0"/>
                  <c:y val="3.96039727462299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7B-4771-B6DB-19D74B89B700}"/>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update.xlsx]ARFS Tables - Asset &amp; Liability'!$I$33:$I$36</c:f>
              <c:strCache>
                <c:ptCount val="4"/>
                <c:pt idx="0">
                  <c:v>Employee benefits</c:v>
                </c:pt>
                <c:pt idx="1">
                  <c:v>Payables - funds held-in-trust</c:v>
                </c:pt>
                <c:pt idx="2">
                  <c:v>Funds received in advance and deferred revenue</c:v>
                </c:pt>
                <c:pt idx="3">
                  <c:v>Other liabilities </c:v>
                </c:pt>
              </c:strCache>
            </c:strRef>
          </c:cat>
          <c:val>
            <c:numRef>
              <c:f>'[2022 ARFS Master table -15 Jun 2023 update.xlsx]ARFS Tables - Asset &amp; Liability'!$J$33:$J$36</c:f>
              <c:numCache>
                <c:formatCode>#,##0_);\(#,##0\)</c:formatCode>
                <c:ptCount val="4"/>
                <c:pt idx="0">
                  <c:v>1240401836.0399997</c:v>
                </c:pt>
                <c:pt idx="1">
                  <c:v>1292177181.51</c:v>
                </c:pt>
                <c:pt idx="2">
                  <c:v>281494925.42500001</c:v>
                </c:pt>
                <c:pt idx="3">
                  <c:v>258666172.52699995</c:v>
                </c:pt>
              </c:numCache>
            </c:numRef>
          </c:val>
          <c:extLst>
            <c:ext xmlns:c16="http://schemas.microsoft.com/office/drawing/2014/chart" uri="{C3380CC4-5D6E-409C-BE32-E72D297353CC}">
              <c16:uniqueId val="{00000001-547B-4771-B6DB-19D74B89B700}"/>
            </c:ext>
          </c:extLst>
        </c:ser>
        <c:ser>
          <c:idx val="1"/>
          <c:order val="1"/>
          <c:tx>
            <c:strRef>
              <c:f>'[2022 ARFS Master table -15 Jun 2023 update.xlsx]ARFS Tables - Asset &amp; Liability'!$K$32</c:f>
              <c:strCache>
                <c:ptCount val="1"/>
                <c:pt idx="0">
                  <c:v>2021</c:v>
                </c:pt>
              </c:strCache>
            </c:strRef>
          </c:tx>
          <c:spPr>
            <a:solidFill>
              <a:srgbClr val="ABDB77"/>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update.xlsx]ARFS Tables - Asset &amp; Liability'!$I$33:$I$36</c:f>
              <c:strCache>
                <c:ptCount val="4"/>
                <c:pt idx="0">
                  <c:v>Employee benefits</c:v>
                </c:pt>
                <c:pt idx="1">
                  <c:v>Payables - funds held-in-trust</c:v>
                </c:pt>
                <c:pt idx="2">
                  <c:v>Funds received in advance and deferred revenue</c:v>
                </c:pt>
                <c:pt idx="3">
                  <c:v>Other liabilities </c:v>
                </c:pt>
              </c:strCache>
            </c:strRef>
          </c:cat>
          <c:val>
            <c:numRef>
              <c:f>'[2022 ARFS Master table -15 Jun 2023 update.xlsx]ARFS Tables - Asset &amp; Liability'!$K$33:$K$36</c:f>
              <c:numCache>
                <c:formatCode>#,##0_);\(#,##0\)</c:formatCode>
                <c:ptCount val="4"/>
                <c:pt idx="0">
                  <c:v>1550242357.05</c:v>
                </c:pt>
                <c:pt idx="1">
                  <c:v>1446945079.0999999</c:v>
                </c:pt>
                <c:pt idx="2">
                  <c:v>256917799.90500009</c:v>
                </c:pt>
                <c:pt idx="3">
                  <c:v>320195707.90199995</c:v>
                </c:pt>
              </c:numCache>
            </c:numRef>
          </c:val>
          <c:extLst>
            <c:ext xmlns:c16="http://schemas.microsoft.com/office/drawing/2014/chart" uri="{C3380CC4-5D6E-409C-BE32-E72D297353CC}">
              <c16:uniqueId val="{00000002-547B-4771-B6DB-19D74B89B700}"/>
            </c:ext>
          </c:extLst>
        </c:ser>
        <c:dLbls>
          <c:showLegendKey val="0"/>
          <c:showVal val="0"/>
          <c:showCatName val="0"/>
          <c:showSerName val="0"/>
          <c:showPercent val="0"/>
          <c:showBubbleSize val="0"/>
        </c:dLbls>
        <c:gapWidth val="219"/>
        <c:overlap val="-27"/>
        <c:axId val="385781232"/>
        <c:axId val="385781624"/>
      </c:barChart>
      <c:catAx>
        <c:axId val="38578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IT"/>
          </a:p>
        </c:txPr>
        <c:crossAx val="385781624"/>
        <c:crosses val="autoZero"/>
        <c:auto val="1"/>
        <c:lblAlgn val="ctr"/>
        <c:lblOffset val="100"/>
        <c:noMultiLvlLbl val="0"/>
      </c:catAx>
      <c:valAx>
        <c:axId val="385781624"/>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IT"/>
          </a:p>
        </c:txPr>
        <c:crossAx val="385781232"/>
        <c:crosses val="autoZero"/>
        <c:crossBetween val="between"/>
        <c:majorUnit val="400000000"/>
      </c:valAx>
      <c:spPr>
        <a:noFill/>
        <a:ln>
          <a:noFill/>
        </a:ln>
        <a:effectLst/>
      </c:spPr>
    </c:plotArea>
    <c:legend>
      <c:legendPos val="b"/>
      <c:layout>
        <c:manualLayout>
          <c:xMode val="edge"/>
          <c:yMode val="edge"/>
          <c:x val="0.42117344027648718"/>
          <c:y val="0.90258014804694731"/>
          <c:w val="0.15765292765514285"/>
          <c:h val="8.1927985183106955E-2"/>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76373872955"/>
          <c:y val="5.7658923069398911E-2"/>
          <c:w val="0.84842621680062014"/>
          <c:h val="0.65559465936323191"/>
        </c:manualLayout>
      </c:layout>
      <c:lineChart>
        <c:grouping val="standard"/>
        <c:varyColors val="0"/>
        <c:ser>
          <c:idx val="0"/>
          <c:order val="0"/>
          <c:tx>
            <c:strRef>
              <c:f>'[2022 ARFS Master table -15 Jun 2023 update.xlsx]ARFS Tables - Asset &amp; Liability'!$AC$45</c:f>
              <c:strCache>
                <c:ptCount val="1"/>
                <c:pt idx="0">
                  <c:v> Regular Resources </c:v>
                </c:pt>
              </c:strCache>
            </c:strRef>
          </c:tx>
          <c:spPr>
            <a:ln w="28575" cap="rnd">
              <a:solidFill>
                <a:schemeClr val="accent1">
                  <a:lumMod val="60000"/>
                  <a:lumOff val="40000"/>
                </a:schemeClr>
              </a:solidFill>
              <a:round/>
            </a:ln>
            <a:effectLst/>
          </c:spPr>
          <c:marker>
            <c:symbol val="circle"/>
            <c:size val="5"/>
            <c:spPr>
              <a:solidFill>
                <a:schemeClr val="accent1">
                  <a:lumMod val="60000"/>
                  <a:lumOff val="40000"/>
                </a:schemeClr>
              </a:solidFill>
              <a:ln w="9525">
                <a:noFill/>
              </a:ln>
              <a:effectLst/>
            </c:spPr>
          </c:marker>
          <c:dLbls>
            <c:dLbl>
              <c:idx val="0"/>
              <c:layout>
                <c:manualLayout>
                  <c:x val="6.7484653883431861E-3"/>
                  <c:y val="-3.5312992678810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9E-4635-839F-23DC9D6B7CEB}"/>
                </c:ext>
              </c:extLst>
            </c:dLbl>
            <c:dLbl>
              <c:idx val="1"/>
              <c:layout>
                <c:manualLayout>
                  <c:x val="-2.2494884627810622E-3"/>
                  <c:y val="-4.4141240848512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9E-4635-839F-23DC9D6B7CEB}"/>
                </c:ext>
              </c:extLst>
            </c:dLbl>
            <c:dLbl>
              <c:idx val="2"/>
              <c:layout>
                <c:manualLayout>
                  <c:x val="-4.7239257718402303E-2"/>
                  <c:y val="-3.8255742068711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9E-4635-839F-23DC9D6B7CEB}"/>
                </c:ext>
              </c:extLst>
            </c:dLbl>
            <c:dLbl>
              <c:idx val="3"/>
              <c:layout>
                <c:manualLayout>
                  <c:x val="-2.6993861553372744E-2"/>
                  <c:y val="-3.8255742068711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9E-4635-839F-23DC9D6B7CEB}"/>
                </c:ext>
              </c:extLst>
            </c:dLbl>
            <c:dLbl>
              <c:idx val="4"/>
              <c:layout>
                <c:manualLayout>
                  <c:x val="-4.4989769255621244E-3"/>
                  <c:y val="-4.1198491458611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9E-4635-839F-23DC9D6B7CE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'[2022 ARFS Master table -15 Jun 2023 update.xlsx]ARFS Tables - Asset &amp; Liability'!$AB$46:$AB$50</c:f>
              <c:numCache>
                <c:formatCode>General</c:formatCode>
                <c:ptCount val="5"/>
                <c:pt idx="0">
                  <c:v>2018</c:v>
                </c:pt>
                <c:pt idx="1">
                  <c:v>2019</c:v>
                </c:pt>
                <c:pt idx="2">
                  <c:v>2020</c:v>
                </c:pt>
                <c:pt idx="3">
                  <c:v>2021</c:v>
                </c:pt>
                <c:pt idx="4">
                  <c:v>2022</c:v>
                </c:pt>
              </c:numCache>
            </c:numRef>
          </c:cat>
          <c:val>
            <c:numRef>
              <c:f>'[2022 ARFS Master table -15 Jun 2023 update.xlsx]ARFS Tables - Asset &amp; Liability'!$AC$46:$AC$50</c:f>
              <c:numCache>
                <c:formatCode>_(* #,##0_);_(* \(#,##0\);_(* "-"??_);_(@_)</c:formatCode>
                <c:ptCount val="5"/>
                <c:pt idx="0">
                  <c:v>570</c:v>
                </c:pt>
                <c:pt idx="1">
                  <c:v>757</c:v>
                </c:pt>
                <c:pt idx="2">
                  <c:v>679</c:v>
                </c:pt>
                <c:pt idx="3">
                  <c:v>872.64407382399997</c:v>
                </c:pt>
                <c:pt idx="4">
                  <c:v>784.24434772200175</c:v>
                </c:pt>
              </c:numCache>
            </c:numRef>
          </c:val>
          <c:smooth val="0"/>
          <c:extLst>
            <c:ext xmlns:c16="http://schemas.microsoft.com/office/drawing/2014/chart" uri="{C3380CC4-5D6E-409C-BE32-E72D297353CC}">
              <c16:uniqueId val="{00000005-819E-4635-839F-23DC9D6B7CEB}"/>
            </c:ext>
          </c:extLst>
        </c:ser>
        <c:ser>
          <c:idx val="1"/>
          <c:order val="1"/>
          <c:tx>
            <c:strRef>
              <c:f>'[2022 ARFS Master table -15 Jun 2023 update.xlsx]ARFS Tables - Asset &amp; Liability'!$AD$45</c:f>
              <c:strCache>
                <c:ptCount val="1"/>
                <c:pt idx="0">
                  <c:v> Regular Resources excluding total receivables of non-exchange transactions (net of past due)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'[2022 ARFS Master table -15 Jun 2023 update.xlsx]ARFS Tables - Asset &amp; Liability'!$AB$46:$AB$50</c:f>
              <c:numCache>
                <c:formatCode>General</c:formatCode>
                <c:ptCount val="5"/>
                <c:pt idx="0">
                  <c:v>2018</c:v>
                </c:pt>
                <c:pt idx="1">
                  <c:v>2019</c:v>
                </c:pt>
                <c:pt idx="2">
                  <c:v>2020</c:v>
                </c:pt>
                <c:pt idx="3">
                  <c:v>2021</c:v>
                </c:pt>
                <c:pt idx="4">
                  <c:v>2022</c:v>
                </c:pt>
              </c:numCache>
            </c:numRef>
          </c:cat>
          <c:val>
            <c:numRef>
              <c:f>'[2022 ARFS Master table -15 Jun 2023 update.xlsx]ARFS Tables - Asset &amp; Liability'!$AD$46:$AD$50</c:f>
              <c:numCache>
                <c:formatCode>_(* #,##0_);_(* \(#,##0\);_(* "-"??_);_(@_)</c:formatCode>
                <c:ptCount val="5"/>
                <c:pt idx="0">
                  <c:v>255</c:v>
                </c:pt>
                <c:pt idx="1">
                  <c:v>398</c:v>
                </c:pt>
                <c:pt idx="2">
                  <c:v>487</c:v>
                </c:pt>
                <c:pt idx="3">
                  <c:v>493.31688424399999</c:v>
                </c:pt>
                <c:pt idx="4">
                  <c:v>415.20927386200174</c:v>
                </c:pt>
              </c:numCache>
            </c:numRef>
          </c:val>
          <c:smooth val="0"/>
          <c:extLst>
            <c:ext xmlns:c16="http://schemas.microsoft.com/office/drawing/2014/chart" uri="{C3380CC4-5D6E-409C-BE32-E72D297353CC}">
              <c16:uniqueId val="{0000000B-819E-4635-839F-23DC9D6B7CEB}"/>
            </c:ext>
          </c:extLst>
        </c:ser>
        <c:ser>
          <c:idx val="2"/>
          <c:order val="2"/>
          <c:tx>
            <c:strRef>
              <c:f>'[2022 ARFS Master table -15 Jun 2023 update.xlsx]ARFS Tables - Asset &amp; Liability'!$AE$45</c:f>
              <c:strCache>
                <c:ptCount val="1"/>
                <c:pt idx="0">
                  <c:v> Other Resources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2.2494884627810598E-2"/>
                  <c:y val="-5.0026739628314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19E-4635-839F-23DC9D6B7CEB}"/>
                </c:ext>
              </c:extLst>
            </c:dLbl>
            <c:dLbl>
              <c:idx val="1"/>
              <c:layout>
                <c:manualLayout>
                  <c:x val="-2.9243350016153805E-2"/>
                  <c:y val="-5.0026739628314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9E-4635-839F-23DC9D6B7CEB}"/>
                </c:ext>
              </c:extLst>
            </c:dLbl>
            <c:dLbl>
              <c:idx val="2"/>
              <c:layout>
                <c:manualLayout>
                  <c:x val="-7.1983630808994073E-2"/>
                  <c:y val="-6.179773718791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19E-4635-839F-23DC9D6B7CEB}"/>
                </c:ext>
              </c:extLst>
            </c:dLbl>
            <c:dLbl>
              <c:idx val="3"/>
              <c:layout>
                <c:manualLayout>
                  <c:x val="-1.5746419239467433E-2"/>
                  <c:y val="-3.5312992678810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9E-4635-839F-23DC9D6B7CEB}"/>
                </c:ext>
              </c:extLst>
            </c:dLbl>
            <c:dLbl>
              <c:idx val="4"/>
              <c:layout>
                <c:manualLayout>
                  <c:x val="-2.9243350016153805E-2"/>
                  <c:y val="-4.4141240848512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19E-4635-839F-23DC9D6B7CEB}"/>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'[2022 ARFS Master table -15 Jun 2023 update.xlsx]ARFS Tables - Asset &amp; Liability'!$AB$46:$AB$50</c:f>
              <c:numCache>
                <c:formatCode>General</c:formatCode>
                <c:ptCount val="5"/>
                <c:pt idx="0">
                  <c:v>2018</c:v>
                </c:pt>
                <c:pt idx="1">
                  <c:v>2019</c:v>
                </c:pt>
                <c:pt idx="2">
                  <c:v>2020</c:v>
                </c:pt>
                <c:pt idx="3">
                  <c:v>2021</c:v>
                </c:pt>
                <c:pt idx="4">
                  <c:v>2022</c:v>
                </c:pt>
              </c:numCache>
            </c:numRef>
          </c:cat>
          <c:val>
            <c:numRef>
              <c:f>'[2022 ARFS Master table -15 Jun 2023 update.xlsx]ARFS Tables - Asset &amp; Liability'!$AE$46:$AE$50</c:f>
              <c:numCache>
                <c:formatCode>_(* #,##0_);_(* \(#,##0\);_(* "-"??_);_(@_)</c:formatCode>
                <c:ptCount val="5"/>
                <c:pt idx="0">
                  <c:v>8767</c:v>
                </c:pt>
                <c:pt idx="1">
                  <c:v>8653</c:v>
                </c:pt>
                <c:pt idx="2">
                  <c:v>10289</c:v>
                </c:pt>
                <c:pt idx="3">
                  <c:v>10402.479869800005</c:v>
                </c:pt>
                <c:pt idx="4">
                  <c:v>10655.947783731002</c:v>
                </c:pt>
              </c:numCache>
            </c:numRef>
          </c:val>
          <c:smooth val="0"/>
          <c:extLst>
            <c:ext xmlns:c16="http://schemas.microsoft.com/office/drawing/2014/chart" uri="{C3380CC4-5D6E-409C-BE32-E72D297353CC}">
              <c16:uniqueId val="{00000011-819E-4635-839F-23DC9D6B7CEB}"/>
            </c:ext>
          </c:extLst>
        </c:ser>
        <c:ser>
          <c:idx val="3"/>
          <c:order val="3"/>
          <c:tx>
            <c:strRef>
              <c:f>'[2022 ARFS Master table -15 Jun 2023 update.xlsx]ARFS Tables - Asset &amp; Liability'!$AF$45</c:f>
              <c:strCache>
                <c:ptCount val="1"/>
                <c:pt idx="0">
                  <c:v> Other Resources excluding total receivables of non-exchange transactions (net of past due) </c:v>
                </c:pt>
              </c:strCache>
            </c:strRef>
          </c:tx>
          <c:spPr>
            <a:ln w="28575" cap="rnd">
              <a:solidFill>
                <a:srgbClr val="FFC000"/>
              </a:solidFill>
              <a:round/>
            </a:ln>
            <a:effectLst/>
          </c:spPr>
          <c:marker>
            <c:symbol val="circle"/>
            <c:size val="5"/>
            <c:spPr>
              <a:solidFill>
                <a:srgbClr val="FFC000"/>
              </a:solidFill>
              <a:ln w="9525">
                <a:noFill/>
              </a:ln>
              <a:effectLst/>
            </c:spPr>
          </c:marker>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'[2022 ARFS Master table -15 Jun 2023 update.xlsx]ARFS Tables - Asset &amp; Liability'!$AB$46:$AB$50</c:f>
              <c:numCache>
                <c:formatCode>General</c:formatCode>
                <c:ptCount val="5"/>
                <c:pt idx="0">
                  <c:v>2018</c:v>
                </c:pt>
                <c:pt idx="1">
                  <c:v>2019</c:v>
                </c:pt>
                <c:pt idx="2">
                  <c:v>2020</c:v>
                </c:pt>
                <c:pt idx="3">
                  <c:v>2021</c:v>
                </c:pt>
                <c:pt idx="4">
                  <c:v>2022</c:v>
                </c:pt>
              </c:numCache>
            </c:numRef>
          </c:cat>
          <c:val>
            <c:numRef>
              <c:f>'[2022 ARFS Master table -15 Jun 2023 update.xlsx]ARFS Tables - Asset &amp; Liability'!$AF$46:$AF$50</c:f>
              <c:numCache>
                <c:formatCode>_(* #,##0_);_(* \(#,##0\);_(* "-"??_);_(@_)</c:formatCode>
                <c:ptCount val="5"/>
                <c:pt idx="0">
                  <c:v>4659</c:v>
                </c:pt>
                <c:pt idx="1">
                  <c:v>4960</c:v>
                </c:pt>
                <c:pt idx="2">
                  <c:v>5675</c:v>
                </c:pt>
                <c:pt idx="3">
                  <c:v>6040.3280104500027</c:v>
                </c:pt>
                <c:pt idx="4">
                  <c:v>6058.8655786130003</c:v>
                </c:pt>
              </c:numCache>
            </c:numRef>
          </c:val>
          <c:smooth val="0"/>
          <c:extLst>
            <c:ext xmlns:c16="http://schemas.microsoft.com/office/drawing/2014/chart" uri="{C3380CC4-5D6E-409C-BE32-E72D297353CC}">
              <c16:uniqueId val="{00000017-819E-4635-839F-23DC9D6B7CEB}"/>
            </c:ext>
          </c:extLst>
        </c:ser>
        <c:dLbls>
          <c:showLegendKey val="0"/>
          <c:showVal val="0"/>
          <c:showCatName val="0"/>
          <c:showSerName val="0"/>
          <c:showPercent val="0"/>
          <c:showBubbleSize val="0"/>
        </c:dLbls>
        <c:marker val="1"/>
        <c:smooth val="0"/>
        <c:axId val="1014345576"/>
        <c:axId val="1014341968"/>
      </c:lineChart>
      <c:catAx>
        <c:axId val="101434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014341968"/>
        <c:crosses val="autoZero"/>
        <c:auto val="1"/>
        <c:lblAlgn val="ctr"/>
        <c:lblOffset val="100"/>
        <c:noMultiLvlLbl val="0"/>
      </c:catAx>
      <c:valAx>
        <c:axId val="1014341968"/>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014345576"/>
        <c:crosses val="autoZero"/>
        <c:crossBetween val="between"/>
      </c:valAx>
      <c:spPr>
        <a:noFill/>
        <a:ln>
          <a:noFill/>
        </a:ln>
        <a:effectLst/>
      </c:spPr>
    </c:plotArea>
    <c:legend>
      <c:legendPos val="b"/>
      <c:layout>
        <c:manualLayout>
          <c:xMode val="edge"/>
          <c:yMode val="edge"/>
          <c:x val="9.3522791660967941E-2"/>
          <c:y val="0.79993270406416594"/>
          <c:w val="0.88315218161413378"/>
          <c:h val="0.1625348873470024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I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 ARFS Master table -15 Jun 2023 update.xlsx]ARFS Tables - Asset &amp; Liability'!$AN$45</c:f>
              <c:strCache>
                <c:ptCount val="1"/>
                <c:pt idx="0">
                  <c:v>2022</c:v>
                </c:pt>
              </c:strCache>
            </c:strRef>
          </c:tx>
          <c:spPr>
            <a:solidFill>
              <a:schemeClr val="accent1">
                <a:lumMod val="60000"/>
                <a:lumOff val="4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update.xlsx]ARFS Tables - Asset &amp; Liability'!$AM$46:$AM$51</c:f>
              <c:strCache>
                <c:ptCount val="6"/>
                <c:pt idx="0">
                  <c:v>Donor cost-sharing</c:v>
                </c:pt>
                <c:pt idx="1">
                  <c:v>Vertical funds</c:v>
                </c:pt>
                <c:pt idx="2">
                  <c:v>Programme government cost-sharing</c:v>
                </c:pt>
                <c:pt idx="3">
                  <c:v>Regular resources</c:v>
                </c:pt>
                <c:pt idx="4">
                  <c:v>Trust funds</c:v>
                </c:pt>
                <c:pt idx="5">
                  <c:v>RSS</c:v>
                </c:pt>
              </c:strCache>
            </c:strRef>
          </c:cat>
          <c:val>
            <c:numRef>
              <c:f>'[2022 ARFS Master table -15 Jun 2023 update.xlsx]ARFS Tables - Asset &amp; Liability'!$AN$46:$AN$51</c:f>
              <c:numCache>
                <c:formatCode>_(* #,##0_);_(* \(#,##0\);_(* "-"??_);_(@_)</c:formatCode>
                <c:ptCount val="6"/>
                <c:pt idx="0">
                  <c:v>4661758464.79</c:v>
                </c:pt>
                <c:pt idx="1">
                  <c:v>3432208395.0100002</c:v>
                </c:pt>
                <c:pt idx="2">
                  <c:v>1135213690.1199999</c:v>
                </c:pt>
                <c:pt idx="3">
                  <c:v>784244347.67999995</c:v>
                </c:pt>
                <c:pt idx="4" formatCode="0.00">
                  <c:v>652515427.16999996</c:v>
                </c:pt>
                <c:pt idx="5" formatCode="0.00">
                  <c:v>774251806.57000005</c:v>
                </c:pt>
              </c:numCache>
            </c:numRef>
          </c:val>
          <c:extLst>
            <c:ext xmlns:c16="http://schemas.microsoft.com/office/drawing/2014/chart" uri="{C3380CC4-5D6E-409C-BE32-E72D297353CC}">
              <c16:uniqueId val="{00000000-81CC-495A-BF8A-F5695D6F14B7}"/>
            </c:ext>
          </c:extLst>
        </c:ser>
        <c:ser>
          <c:idx val="1"/>
          <c:order val="1"/>
          <c:tx>
            <c:strRef>
              <c:f>'[2022 ARFS Master table -15 Jun 2023 update.xlsx]ARFS Tables - Asset &amp; Liability'!$AO$45</c:f>
              <c:strCache>
                <c:ptCount val="1"/>
                <c:pt idx="0">
                  <c:v>2021</c:v>
                </c:pt>
              </c:strCache>
            </c:strRef>
          </c:tx>
          <c:spPr>
            <a:solidFill>
              <a:schemeClr val="accent3">
                <a:lumMod val="40000"/>
                <a:lumOff val="6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update.xlsx]ARFS Tables - Asset &amp; Liability'!$AM$46:$AM$51</c:f>
              <c:strCache>
                <c:ptCount val="6"/>
                <c:pt idx="0">
                  <c:v>Donor cost-sharing</c:v>
                </c:pt>
                <c:pt idx="1">
                  <c:v>Vertical funds</c:v>
                </c:pt>
                <c:pt idx="2">
                  <c:v>Programme government cost-sharing</c:v>
                </c:pt>
                <c:pt idx="3">
                  <c:v>Regular resources</c:v>
                </c:pt>
                <c:pt idx="4">
                  <c:v>Trust funds</c:v>
                </c:pt>
                <c:pt idx="5">
                  <c:v>RSS</c:v>
                </c:pt>
              </c:strCache>
            </c:strRef>
          </c:cat>
          <c:val>
            <c:numRef>
              <c:f>'[2022 ARFS Master table -15 Jun 2023 update.xlsx]ARFS Tables - Asset &amp; Liability'!$AO$46:$AO$51</c:f>
              <c:numCache>
                <c:formatCode>_(* #,##0_);_(* \(#,##0\);_(* "-"??_);_(@_)</c:formatCode>
                <c:ptCount val="6"/>
                <c:pt idx="0">
                  <c:v>4368633573.1400003</c:v>
                </c:pt>
                <c:pt idx="1">
                  <c:v>3772766182.6999998</c:v>
                </c:pt>
                <c:pt idx="2">
                  <c:v>1086341538.6500001</c:v>
                </c:pt>
                <c:pt idx="3">
                  <c:v>872644073.78999996</c:v>
                </c:pt>
                <c:pt idx="4">
                  <c:v>603236017.75</c:v>
                </c:pt>
                <c:pt idx="5">
                  <c:v>571502557.57000005</c:v>
                </c:pt>
              </c:numCache>
            </c:numRef>
          </c:val>
          <c:extLst>
            <c:ext xmlns:c16="http://schemas.microsoft.com/office/drawing/2014/chart" uri="{C3380CC4-5D6E-409C-BE32-E72D297353CC}">
              <c16:uniqueId val="{00000001-81CC-495A-BF8A-F5695D6F14B7}"/>
            </c:ext>
          </c:extLst>
        </c:ser>
        <c:dLbls>
          <c:showLegendKey val="0"/>
          <c:showVal val="0"/>
          <c:showCatName val="0"/>
          <c:showSerName val="0"/>
          <c:showPercent val="0"/>
          <c:showBubbleSize val="0"/>
        </c:dLbls>
        <c:gapWidth val="120"/>
        <c:overlap val="-27"/>
        <c:axId val="1661994912"/>
        <c:axId val="1661998240"/>
      </c:barChart>
      <c:catAx>
        <c:axId val="166199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661998240"/>
        <c:crosses val="autoZero"/>
        <c:auto val="1"/>
        <c:lblAlgn val="ctr"/>
        <c:lblOffset val="100"/>
        <c:noMultiLvlLbl val="0"/>
      </c:catAx>
      <c:valAx>
        <c:axId val="16619982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661994912"/>
        <c:crosses val="autoZero"/>
        <c:crossBetween val="between"/>
        <c:majorUnit val="1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65430336511062E-2"/>
          <c:y val="7.6511749507874011E-2"/>
          <c:w val="0.87290569255652928"/>
          <c:h val="0.7830703535104987"/>
        </c:manualLayout>
      </c:layout>
      <c:barChart>
        <c:barDir val="bar"/>
        <c:grouping val="stacked"/>
        <c:varyColors val="0"/>
        <c:ser>
          <c:idx val="0"/>
          <c:order val="0"/>
          <c:tx>
            <c:strRef>
              <c:f>'ARFS Tables - Rev'!$J$30</c:f>
              <c:strCache>
                <c:ptCount val="1"/>
                <c:pt idx="0">
                  <c:v>Programme</c:v>
                </c:pt>
              </c:strCache>
            </c:strRef>
          </c:tx>
          <c:spPr>
            <a:solidFill>
              <a:srgbClr val="B8E08C"/>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Rev'!$L$29:$P$29</c:f>
              <c:numCache>
                <c:formatCode>General</c:formatCode>
                <c:ptCount val="5"/>
                <c:pt idx="0">
                  <c:v>2018</c:v>
                </c:pt>
                <c:pt idx="1">
                  <c:v>2019</c:v>
                </c:pt>
                <c:pt idx="2">
                  <c:v>2020</c:v>
                </c:pt>
                <c:pt idx="3">
                  <c:v>2021</c:v>
                </c:pt>
                <c:pt idx="4">
                  <c:v>2022</c:v>
                </c:pt>
              </c:numCache>
              <c:extLst/>
            </c:numRef>
          </c:cat>
          <c:val>
            <c:numRef>
              <c:f>'ARFS Tables - Rev'!$L$30:$P$30</c:f>
              <c:numCache>
                <c:formatCode>#,##0_);\(#,##0\)</c:formatCode>
                <c:ptCount val="5"/>
                <c:pt idx="0">
                  <c:v>4409</c:v>
                </c:pt>
                <c:pt idx="1">
                  <c:v>4323</c:v>
                </c:pt>
                <c:pt idx="2">
                  <c:v>4389</c:v>
                </c:pt>
                <c:pt idx="3">
                  <c:v>4652</c:v>
                </c:pt>
                <c:pt idx="4">
                  <c:v>4632</c:v>
                </c:pt>
              </c:numCache>
              <c:extLst/>
            </c:numRef>
          </c:val>
          <c:extLst>
            <c:ext xmlns:c16="http://schemas.microsoft.com/office/drawing/2014/chart" uri="{C3380CC4-5D6E-409C-BE32-E72D297353CC}">
              <c16:uniqueId val="{00000000-0938-44E7-AF82-57D5D7E40D9F}"/>
            </c:ext>
          </c:extLst>
        </c:ser>
        <c:ser>
          <c:idx val="1"/>
          <c:order val="1"/>
          <c:tx>
            <c:strRef>
              <c:f>'ARFS Tables - Rev'!$J$31</c:f>
              <c:strCache>
                <c:ptCount val="1"/>
                <c:pt idx="0">
                  <c:v>Non-programme</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Rev'!$L$29:$P$29</c:f>
              <c:numCache>
                <c:formatCode>General</c:formatCode>
                <c:ptCount val="5"/>
                <c:pt idx="0">
                  <c:v>2018</c:v>
                </c:pt>
                <c:pt idx="1">
                  <c:v>2019</c:v>
                </c:pt>
                <c:pt idx="2">
                  <c:v>2020</c:v>
                </c:pt>
                <c:pt idx="3">
                  <c:v>2021</c:v>
                </c:pt>
                <c:pt idx="4">
                  <c:v>2022</c:v>
                </c:pt>
              </c:numCache>
              <c:extLst/>
            </c:numRef>
          </c:cat>
          <c:val>
            <c:numRef>
              <c:f>'ARFS Tables - Rev'!$L$31:$P$31</c:f>
              <c:numCache>
                <c:formatCode>#,##0_);\(#,##0\)</c:formatCode>
                <c:ptCount val="5"/>
                <c:pt idx="0">
                  <c:v>688</c:v>
                </c:pt>
                <c:pt idx="1">
                  <c:v>601</c:v>
                </c:pt>
                <c:pt idx="2">
                  <c:v>662</c:v>
                </c:pt>
                <c:pt idx="3">
                  <c:v>733</c:v>
                </c:pt>
                <c:pt idx="4">
                  <c:v>715</c:v>
                </c:pt>
              </c:numCache>
              <c:extLst/>
            </c:numRef>
          </c:val>
          <c:extLst>
            <c:ext xmlns:c16="http://schemas.microsoft.com/office/drawing/2014/chart" uri="{C3380CC4-5D6E-409C-BE32-E72D297353CC}">
              <c16:uniqueId val="{00000001-0938-44E7-AF82-57D5D7E40D9F}"/>
            </c:ext>
          </c:extLst>
        </c:ser>
        <c:ser>
          <c:idx val="2"/>
          <c:order val="2"/>
          <c:tx>
            <c:strRef>
              <c:f>'ARFS Tables - Rev'!$J$32</c:f>
              <c:strCache>
                <c:ptCount val="1"/>
              </c:strCache>
            </c:strRef>
          </c:tx>
          <c:spPr>
            <a:solidFill>
              <a:schemeClr val="accent3"/>
            </a:solidFill>
            <a:ln>
              <a:noFill/>
            </a:ln>
            <a:effectLst/>
          </c:spPr>
          <c:invertIfNegative val="0"/>
          <c:cat>
            <c:numRef>
              <c:f>'ARFS Tables - Rev'!$L$29:$P$29</c:f>
              <c:numCache>
                <c:formatCode>General</c:formatCode>
                <c:ptCount val="5"/>
                <c:pt idx="0">
                  <c:v>2018</c:v>
                </c:pt>
                <c:pt idx="1">
                  <c:v>2019</c:v>
                </c:pt>
                <c:pt idx="2">
                  <c:v>2020</c:v>
                </c:pt>
                <c:pt idx="3">
                  <c:v>2021</c:v>
                </c:pt>
                <c:pt idx="4">
                  <c:v>2022</c:v>
                </c:pt>
              </c:numCache>
              <c:extLst/>
            </c:numRef>
          </c:cat>
          <c:val>
            <c:numRef>
              <c:f>'ARFS Tables - Rev'!$L$32:$P$32</c:f>
              <c:numCache>
                <c:formatCode>General</c:formatCode>
                <c:ptCount val="5"/>
              </c:numCache>
              <c:extLst/>
            </c:numRef>
          </c:val>
          <c:extLst xmlns:c15="http://schemas.microsoft.com/office/drawing/2012/chart">
            <c:ext xmlns:c16="http://schemas.microsoft.com/office/drawing/2014/chart" uri="{C3380CC4-5D6E-409C-BE32-E72D297353CC}">
              <c16:uniqueId val="{00000002-0938-44E7-AF82-57D5D7E40D9F}"/>
            </c:ext>
          </c:extLst>
        </c:ser>
        <c:ser>
          <c:idx val="3"/>
          <c:order val="3"/>
          <c:tx>
            <c:strRef>
              <c:f>'ARFS Tables - Rev'!$J$33</c:f>
              <c:strCache>
                <c:ptCount val="1"/>
                <c:pt idx="0">
                  <c:v>total expense</c:v>
                </c:pt>
              </c:strCache>
            </c:strRef>
          </c:tx>
          <c:spPr>
            <a:solidFill>
              <a:schemeClr val="bg1"/>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Rev'!$L$29:$P$29</c:f>
              <c:numCache>
                <c:formatCode>General</c:formatCode>
                <c:ptCount val="5"/>
                <c:pt idx="0">
                  <c:v>2018</c:v>
                </c:pt>
                <c:pt idx="1">
                  <c:v>2019</c:v>
                </c:pt>
                <c:pt idx="2">
                  <c:v>2020</c:v>
                </c:pt>
                <c:pt idx="3">
                  <c:v>2021</c:v>
                </c:pt>
                <c:pt idx="4">
                  <c:v>2022</c:v>
                </c:pt>
              </c:numCache>
              <c:extLst/>
            </c:numRef>
          </c:cat>
          <c:val>
            <c:numRef>
              <c:f>'ARFS Tables - Rev'!$L$33:$P$33</c:f>
              <c:numCache>
                <c:formatCode>#,##0_);\(#,##0\)</c:formatCode>
                <c:ptCount val="5"/>
                <c:pt idx="0">
                  <c:v>5097</c:v>
                </c:pt>
                <c:pt idx="1">
                  <c:v>4924</c:v>
                </c:pt>
                <c:pt idx="2">
                  <c:v>5051</c:v>
                </c:pt>
                <c:pt idx="3">
                  <c:v>5385</c:v>
                </c:pt>
                <c:pt idx="4">
                  <c:v>5347</c:v>
                </c:pt>
              </c:numCache>
              <c:extLst/>
            </c:numRef>
          </c:val>
          <c:extLst>
            <c:ext xmlns:c16="http://schemas.microsoft.com/office/drawing/2014/chart" uri="{C3380CC4-5D6E-409C-BE32-E72D297353CC}">
              <c16:uniqueId val="{00000003-0938-44E7-AF82-57D5D7E40D9F}"/>
            </c:ext>
          </c:extLst>
        </c:ser>
        <c:dLbls>
          <c:showLegendKey val="0"/>
          <c:showVal val="0"/>
          <c:showCatName val="0"/>
          <c:showSerName val="0"/>
          <c:showPercent val="0"/>
          <c:showBubbleSize val="0"/>
        </c:dLbls>
        <c:gapWidth val="60"/>
        <c:overlap val="100"/>
        <c:axId val="961257743"/>
        <c:axId val="961260239"/>
        <c:extLst/>
      </c:barChart>
      <c:catAx>
        <c:axId val="96125774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961260239"/>
        <c:crosses val="autoZero"/>
        <c:auto val="1"/>
        <c:lblAlgn val="ctr"/>
        <c:lblOffset val="100"/>
        <c:noMultiLvlLbl val="0"/>
      </c:catAx>
      <c:valAx>
        <c:axId val="961260239"/>
        <c:scaling>
          <c:orientation val="minMax"/>
          <c:max val="6000"/>
        </c:scaling>
        <c:delete val="1"/>
        <c:axPos val="b"/>
        <c:numFmt formatCode="#,##0_);\(#,##0\)" sourceLinked="1"/>
        <c:majorTickMark val="out"/>
        <c:minorTickMark val="none"/>
        <c:tickLblPos val="nextTo"/>
        <c:crossAx val="961257743"/>
        <c:crosses val="autoZero"/>
        <c:crossBetween val="between"/>
      </c:valAx>
      <c:spPr>
        <a:noFill/>
        <a:ln>
          <a:noFill/>
        </a:ln>
        <a:effectLst/>
      </c:spPr>
    </c:plotArea>
    <c:legend>
      <c:legendPos val="b"/>
      <c:legendEntry>
        <c:idx val="2"/>
        <c:delete val="1"/>
      </c:legendEntry>
      <c:legendEntry>
        <c:idx val="3"/>
        <c:delete val="1"/>
      </c:legendEntry>
      <c:layout>
        <c:manualLayout>
          <c:xMode val="edge"/>
          <c:yMode val="edge"/>
          <c:x val="0.30936067070486106"/>
          <c:y val="0.87117301126832825"/>
          <c:w val="0.28478159094776634"/>
          <c:h val="8.5408713115406015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68502480879213E-2"/>
          <c:y val="6.3437139561707032E-2"/>
          <c:w val="0.90220385073225073"/>
          <c:h val="0.76421863789517663"/>
        </c:manualLayout>
      </c:layout>
      <c:lineChart>
        <c:grouping val="standard"/>
        <c:varyColors val="0"/>
        <c:ser>
          <c:idx val="0"/>
          <c:order val="0"/>
          <c:tx>
            <c:strRef>
              <c:f>'ARFS Tables - Rev'!$T$29</c:f>
              <c:strCache>
                <c:ptCount val="1"/>
                <c:pt idx="0">
                  <c:v>Total revenue </c:v>
                </c:pt>
              </c:strCache>
            </c:strRef>
          </c:tx>
          <c:spPr>
            <a:ln w="12700" cap="rnd">
              <a:solidFill>
                <a:srgbClr val="C00000"/>
              </a:solidFill>
              <a:prstDash val="dash"/>
              <a:round/>
            </a:ln>
            <a:effectLst/>
          </c:spPr>
          <c:marker>
            <c:symbol val="none"/>
          </c:marker>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Rev'!$S$37:$S$40,'ARFS Tables - Rev'!$S$41)</c:f>
              <c:numCache>
                <c:formatCode>General</c:formatCode>
                <c:ptCount val="5"/>
                <c:pt idx="0">
                  <c:v>2018</c:v>
                </c:pt>
                <c:pt idx="1">
                  <c:v>2019</c:v>
                </c:pt>
                <c:pt idx="2">
                  <c:v>2020</c:v>
                </c:pt>
                <c:pt idx="3">
                  <c:v>2021</c:v>
                </c:pt>
                <c:pt idx="4">
                  <c:v>2022</c:v>
                </c:pt>
              </c:numCache>
              <c:extLst/>
            </c:numRef>
          </c:cat>
          <c:val>
            <c:numRef>
              <c:f>('ARFS Tables - Rev'!$T$37:$T$40,'ARFS Tables - Rev'!$T$41)</c:f>
              <c:numCache>
                <c:formatCode>#,##0</c:formatCode>
                <c:ptCount val="5"/>
                <c:pt idx="0">
                  <c:v>5691608</c:v>
                </c:pt>
                <c:pt idx="1">
                  <c:v>4829130</c:v>
                </c:pt>
                <c:pt idx="2">
                  <c:v>6618047</c:v>
                </c:pt>
                <c:pt idx="3">
                  <c:v>5636865</c:v>
                </c:pt>
                <c:pt idx="4">
                  <c:v>5322106</c:v>
                </c:pt>
              </c:numCache>
              <c:extLst/>
            </c:numRef>
          </c:val>
          <c:smooth val="0"/>
          <c:extLst>
            <c:ext xmlns:c16="http://schemas.microsoft.com/office/drawing/2014/chart" uri="{C3380CC4-5D6E-409C-BE32-E72D297353CC}">
              <c16:uniqueId val="{00000000-8343-4D77-A736-F5E5E70ACADF}"/>
            </c:ext>
          </c:extLst>
        </c:ser>
        <c:ser>
          <c:idx val="1"/>
          <c:order val="1"/>
          <c:tx>
            <c:strRef>
              <c:f>'ARFS Tables - Rev'!$U$29</c:f>
              <c:strCache>
                <c:ptCount val="1"/>
                <c:pt idx="0">
                  <c:v>Total expense</c:v>
                </c:pt>
              </c:strCache>
            </c:strRef>
          </c:tx>
          <c:spPr>
            <a:ln w="22225" cap="rnd">
              <a:solidFill>
                <a:schemeClr val="accent1"/>
              </a:solidFill>
              <a:prstDash val="sysDot"/>
              <a:round/>
            </a:ln>
            <a:effectLst/>
          </c:spPr>
          <c:marker>
            <c:symbol val="none"/>
          </c:marker>
          <c:dLbls>
            <c:dLbl>
              <c:idx val="4"/>
              <c:tx>
                <c:rich>
                  <a:bodyPr/>
                  <a:lstStyle/>
                  <a:p>
                    <a:r>
                      <a:rPr lang="en-US"/>
                      <a:t>5</a:t>
                    </a:r>
                    <a:r>
                      <a:rPr lang="en-US" baseline="0"/>
                      <a:t> 347</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0EE-49EA-BCDF-96F19CF68A7A}"/>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('ARFS Tables - Rev'!$S$37:$S$40,'ARFS Tables - Rev'!$S$41)</c:f>
              <c:numCache>
                <c:formatCode>General</c:formatCode>
                <c:ptCount val="5"/>
                <c:pt idx="0">
                  <c:v>2018</c:v>
                </c:pt>
                <c:pt idx="1">
                  <c:v>2019</c:v>
                </c:pt>
                <c:pt idx="2">
                  <c:v>2020</c:v>
                </c:pt>
                <c:pt idx="3">
                  <c:v>2021</c:v>
                </c:pt>
                <c:pt idx="4">
                  <c:v>2022</c:v>
                </c:pt>
              </c:numCache>
              <c:extLst/>
            </c:numRef>
          </c:cat>
          <c:val>
            <c:numRef>
              <c:f>('ARFS Tables - Rev'!$U$37:$U$40,'ARFS Tables - Rev'!$U$41)</c:f>
              <c:numCache>
                <c:formatCode>#,##0</c:formatCode>
                <c:ptCount val="5"/>
                <c:pt idx="0">
                  <c:v>5096827</c:v>
                </c:pt>
                <c:pt idx="1">
                  <c:v>4923673</c:v>
                </c:pt>
                <c:pt idx="2">
                  <c:v>5050846</c:v>
                </c:pt>
                <c:pt idx="3">
                  <c:v>5384859</c:v>
                </c:pt>
                <c:pt idx="4">
                  <c:v>5347552</c:v>
                </c:pt>
              </c:numCache>
              <c:extLst/>
            </c:numRef>
          </c:val>
          <c:smooth val="0"/>
          <c:extLst>
            <c:ext xmlns:c16="http://schemas.microsoft.com/office/drawing/2014/chart" uri="{C3380CC4-5D6E-409C-BE32-E72D297353CC}">
              <c16:uniqueId val="{00000001-8343-4D77-A736-F5E5E70ACADF}"/>
            </c:ext>
          </c:extLst>
        </c:ser>
        <c:dLbls>
          <c:showLegendKey val="0"/>
          <c:showVal val="0"/>
          <c:showCatName val="0"/>
          <c:showSerName val="0"/>
          <c:showPercent val="0"/>
          <c:showBubbleSize val="0"/>
        </c:dLbls>
        <c:smooth val="0"/>
        <c:axId val="12595952"/>
        <c:axId val="12580560"/>
      </c:lineChart>
      <c:catAx>
        <c:axId val="1259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2580560"/>
        <c:crosses val="autoZero"/>
        <c:auto val="1"/>
        <c:lblAlgn val="ctr"/>
        <c:lblOffset val="100"/>
        <c:noMultiLvlLbl val="0"/>
      </c:catAx>
      <c:valAx>
        <c:axId val="12580560"/>
        <c:scaling>
          <c:orientation val="minMax"/>
          <c:min val="400000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2595952"/>
        <c:crosses val="autoZero"/>
        <c:crossBetween val="between"/>
      </c:valAx>
      <c:spPr>
        <a:noFill/>
        <a:ln>
          <a:noFill/>
        </a:ln>
        <a:effectLst/>
      </c:spPr>
    </c:plotArea>
    <c:legend>
      <c:legendPos val="b"/>
      <c:layout>
        <c:manualLayout>
          <c:xMode val="edge"/>
          <c:yMode val="edge"/>
          <c:x val="0.25225408717114245"/>
          <c:y val="0.93223714682723491"/>
          <c:w val="0.50432488414676324"/>
          <c:h val="6.7762853172765175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71729947783676E-2"/>
          <c:y val="7.8014184397163122E-2"/>
          <c:w val="0.8986761835766004"/>
          <c:h val="0.78885631317361926"/>
        </c:manualLayout>
      </c:layout>
      <c:barChart>
        <c:barDir val="bar"/>
        <c:grouping val="clustered"/>
        <c:varyColors val="0"/>
        <c:ser>
          <c:idx val="1"/>
          <c:order val="0"/>
          <c:tx>
            <c:strRef>
              <c:f>'SFD tables'!$R$7</c:f>
              <c:strCache>
                <c:ptCount val="1"/>
                <c:pt idx="0">
                  <c:v>Other Resources</c:v>
                </c:pt>
              </c:strCache>
            </c:strRef>
          </c:tx>
          <c:spPr>
            <a:solidFill>
              <a:srgbClr val="92D050"/>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'SFD tables'!$V$5:$W$5</c:f>
              <c:numCache>
                <c:formatCode>General</c:formatCode>
                <c:ptCount val="2"/>
                <c:pt idx="0">
                  <c:v>2021</c:v>
                </c:pt>
                <c:pt idx="1">
                  <c:v>2022</c:v>
                </c:pt>
              </c:numCache>
            </c:numRef>
          </c:cat>
          <c:val>
            <c:numRef>
              <c:f>'SFD tables'!$V$7:$W$7</c:f>
              <c:numCache>
                <c:formatCode>_(* #,##0.00_);_(* \(#,##0.00\);_(* "-"??_);_(@_)</c:formatCode>
                <c:ptCount val="2"/>
                <c:pt idx="0">
                  <c:v>4667843020.3000088</c:v>
                </c:pt>
                <c:pt idx="1">
                  <c:v>4343073591.6100044</c:v>
                </c:pt>
              </c:numCache>
            </c:numRef>
          </c:val>
          <c:extLst>
            <c:ext xmlns:c16="http://schemas.microsoft.com/office/drawing/2014/chart" uri="{C3380CC4-5D6E-409C-BE32-E72D297353CC}">
              <c16:uniqueId val="{00000000-D978-4A19-827C-93556337B38C}"/>
            </c:ext>
          </c:extLst>
        </c:ser>
        <c:ser>
          <c:idx val="0"/>
          <c:order val="1"/>
          <c:tx>
            <c:strRef>
              <c:f>'SFD tables'!$R$6</c:f>
              <c:strCache>
                <c:ptCount val="1"/>
                <c:pt idx="0">
                  <c:v>Regular Resources</c:v>
                </c:pt>
              </c:strCache>
            </c:strRef>
          </c:tx>
          <c:spPr>
            <a:solidFill>
              <a:srgbClr val="FFC000"/>
            </a:solidFill>
            <a:ln>
              <a:noFill/>
            </a:ln>
            <a:effectLst/>
          </c:spPr>
          <c:invertIfNegative val="0"/>
          <c:dLbls>
            <c:numFmt formatCode="#\ ##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'SFD tables'!$V$5:$W$5</c:f>
              <c:numCache>
                <c:formatCode>General</c:formatCode>
                <c:ptCount val="2"/>
                <c:pt idx="0">
                  <c:v>2021</c:v>
                </c:pt>
                <c:pt idx="1">
                  <c:v>2022</c:v>
                </c:pt>
              </c:numCache>
            </c:numRef>
          </c:cat>
          <c:val>
            <c:numRef>
              <c:f>'SFD tables'!$V$6:$W$6</c:f>
              <c:numCache>
                <c:formatCode>_(* #,##0.00_);_(* \(#,##0.00\);_(* "-"??_);_(@_)</c:formatCode>
                <c:ptCount val="2"/>
                <c:pt idx="0">
                  <c:v>647584975.65999997</c:v>
                </c:pt>
                <c:pt idx="1">
                  <c:v>590680758.58999956</c:v>
                </c:pt>
              </c:numCache>
            </c:numRef>
          </c:val>
          <c:extLst>
            <c:ext xmlns:c16="http://schemas.microsoft.com/office/drawing/2014/chart" uri="{C3380CC4-5D6E-409C-BE32-E72D297353CC}">
              <c16:uniqueId val="{00000001-D978-4A19-827C-93556337B38C}"/>
            </c:ext>
          </c:extLst>
        </c:ser>
        <c:dLbls>
          <c:showLegendKey val="0"/>
          <c:showVal val="0"/>
          <c:showCatName val="0"/>
          <c:showSerName val="0"/>
          <c:showPercent val="0"/>
          <c:showBubbleSize val="0"/>
        </c:dLbls>
        <c:gapWidth val="154"/>
        <c:axId val="650305728"/>
        <c:axId val="650300928"/>
      </c:barChart>
      <c:catAx>
        <c:axId val="65030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650300928"/>
        <c:crosses val="autoZero"/>
        <c:auto val="1"/>
        <c:lblAlgn val="ctr"/>
        <c:lblOffset val="100"/>
        <c:noMultiLvlLbl val="0"/>
      </c:catAx>
      <c:valAx>
        <c:axId val="650300928"/>
        <c:scaling>
          <c:orientation val="minMax"/>
        </c:scaling>
        <c:delete val="1"/>
        <c:axPos val="b"/>
        <c:numFmt formatCode="&quot;$&quot;#,##0,," sourceLinked="0"/>
        <c:majorTickMark val="none"/>
        <c:minorTickMark val="none"/>
        <c:tickLblPos val="nextTo"/>
        <c:crossAx val="650305728"/>
        <c:crosses val="autoZero"/>
        <c:crossBetween val="between"/>
      </c:valAx>
      <c:spPr>
        <a:noFill/>
        <a:ln>
          <a:noFill/>
        </a:ln>
        <a:effectLst/>
      </c:spPr>
    </c:plotArea>
    <c:legend>
      <c:legendPos val="b"/>
      <c:layout>
        <c:manualLayout>
          <c:xMode val="edge"/>
          <c:yMode val="edge"/>
          <c:x val="0.30053047667684074"/>
          <c:y val="0.87396269615234268"/>
          <c:w val="0.41402180496668683"/>
          <c:h val="0.1047607081029765"/>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n-I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624678638019283E-2"/>
          <c:y val="6.7508613448894847E-2"/>
          <c:w val="0.98250548161648688"/>
          <c:h val="0.88474730191688944"/>
        </c:manualLayout>
      </c:layout>
      <c:ofPieChart>
        <c:ofPieType val="bar"/>
        <c:varyColors val="1"/>
        <c:ser>
          <c:idx val="0"/>
          <c:order val="0"/>
          <c:explosion val="2"/>
          <c:dPt>
            <c:idx val="0"/>
            <c:bubble3D val="0"/>
            <c:spPr>
              <a:solidFill>
                <a:srgbClr val="56B1CA"/>
              </a:solidFill>
              <a:ln w="19050">
                <a:solidFill>
                  <a:schemeClr val="lt1"/>
                </a:solidFill>
              </a:ln>
              <a:effectLst/>
            </c:spPr>
            <c:extLst>
              <c:ext xmlns:c16="http://schemas.microsoft.com/office/drawing/2014/chart" uri="{C3380CC4-5D6E-409C-BE32-E72D297353CC}">
                <c16:uniqueId val="{00000001-E059-41CF-9DAA-2A5B00C4C761}"/>
              </c:ext>
            </c:extLst>
          </c:dPt>
          <c:dPt>
            <c:idx val="1"/>
            <c:bubble3D val="0"/>
            <c:spPr>
              <a:solidFill>
                <a:srgbClr val="D0CB00"/>
              </a:solidFill>
              <a:ln w="19050">
                <a:solidFill>
                  <a:schemeClr val="lt1"/>
                </a:solidFill>
              </a:ln>
              <a:effectLst/>
            </c:spPr>
            <c:extLst>
              <c:ext xmlns:c16="http://schemas.microsoft.com/office/drawing/2014/chart" uri="{C3380CC4-5D6E-409C-BE32-E72D297353CC}">
                <c16:uniqueId val="{00000003-E059-41CF-9DAA-2A5B00C4C761}"/>
              </c:ext>
            </c:extLst>
          </c:dPt>
          <c:dPt>
            <c:idx val="2"/>
            <c:bubble3D val="0"/>
            <c:spPr>
              <a:solidFill>
                <a:srgbClr val="FF7C80"/>
              </a:solidFill>
              <a:ln w="19050">
                <a:solidFill>
                  <a:schemeClr val="lt1"/>
                </a:solidFill>
              </a:ln>
              <a:effectLst/>
            </c:spPr>
            <c:extLst>
              <c:ext xmlns:c16="http://schemas.microsoft.com/office/drawing/2014/chart" uri="{C3380CC4-5D6E-409C-BE32-E72D297353CC}">
                <c16:uniqueId val="{00000005-E059-41CF-9DAA-2A5B00C4C761}"/>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E059-41CF-9DAA-2A5B00C4C761}"/>
              </c:ext>
            </c:extLst>
          </c:dPt>
          <c:dPt>
            <c:idx val="4"/>
            <c:bubble3D val="0"/>
            <c:spPr>
              <a:solidFill>
                <a:srgbClr val="C08040"/>
              </a:solidFill>
              <a:ln w="19050">
                <a:solidFill>
                  <a:schemeClr val="lt1"/>
                </a:solidFill>
              </a:ln>
              <a:effectLst/>
            </c:spPr>
            <c:extLst>
              <c:ext xmlns:c16="http://schemas.microsoft.com/office/drawing/2014/chart" uri="{C3380CC4-5D6E-409C-BE32-E72D297353CC}">
                <c16:uniqueId val="{00000009-E059-41CF-9DAA-2A5B00C4C761}"/>
              </c:ext>
            </c:extLst>
          </c:dPt>
          <c:dPt>
            <c:idx val="5"/>
            <c:bubble3D val="0"/>
            <c:spPr>
              <a:solidFill>
                <a:srgbClr val="FFFF66"/>
              </a:solidFill>
              <a:ln w="19050">
                <a:solidFill>
                  <a:schemeClr val="lt1"/>
                </a:solidFill>
              </a:ln>
              <a:effectLst/>
            </c:spPr>
            <c:extLst>
              <c:ext xmlns:c16="http://schemas.microsoft.com/office/drawing/2014/chart" uri="{C3380CC4-5D6E-409C-BE32-E72D297353CC}">
                <c16:uniqueId val="{0000000B-E059-41CF-9DAA-2A5B00C4C761}"/>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E059-41CF-9DAA-2A5B00C4C761}"/>
              </c:ext>
            </c:extLst>
          </c:dPt>
          <c:dPt>
            <c:idx val="7"/>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F-E059-41CF-9DAA-2A5B00C4C761}"/>
              </c:ext>
            </c:extLst>
          </c:dPt>
          <c:dPt>
            <c:idx val="8"/>
            <c:bubble3D val="0"/>
            <c:spPr>
              <a:solidFill>
                <a:srgbClr val="0000FF"/>
              </a:solidFill>
              <a:ln w="19050">
                <a:solidFill>
                  <a:schemeClr val="lt1"/>
                </a:solidFill>
              </a:ln>
              <a:effectLst/>
            </c:spPr>
            <c:extLst>
              <c:ext xmlns:c16="http://schemas.microsoft.com/office/drawing/2014/chart" uri="{C3380CC4-5D6E-409C-BE32-E72D297353CC}">
                <c16:uniqueId val="{00000011-E059-41CF-9DAA-2A5B00C4C761}"/>
              </c:ext>
            </c:extLst>
          </c:dPt>
          <c:dPt>
            <c:idx val="9"/>
            <c:bubble3D val="0"/>
            <c:spPr>
              <a:solidFill>
                <a:srgbClr val="957DB1"/>
              </a:solidFill>
              <a:ln w="19050">
                <a:solidFill>
                  <a:schemeClr val="lt1"/>
                </a:solidFill>
              </a:ln>
              <a:effectLst/>
            </c:spPr>
            <c:extLst>
              <c:ext xmlns:c16="http://schemas.microsoft.com/office/drawing/2014/chart" uri="{C3380CC4-5D6E-409C-BE32-E72D297353CC}">
                <c16:uniqueId val="{00000013-E059-41CF-9DAA-2A5B00C4C761}"/>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059-41CF-9DAA-2A5B00C4C761}"/>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059-41CF-9DAA-2A5B00C4C761}"/>
              </c:ext>
            </c:extLst>
          </c:dPt>
          <c:dPt>
            <c:idx val="12"/>
            <c:bubble3D val="0"/>
            <c:spPr>
              <a:solidFill>
                <a:srgbClr val="0000FF"/>
              </a:solidFill>
              <a:ln w="19050">
                <a:solidFill>
                  <a:schemeClr val="lt1"/>
                </a:solidFill>
              </a:ln>
              <a:effectLst/>
            </c:spPr>
            <c:extLst>
              <c:ext xmlns:c16="http://schemas.microsoft.com/office/drawing/2014/chart" uri="{C3380CC4-5D6E-409C-BE32-E72D297353CC}">
                <c16:uniqueId val="{00000019-E059-41CF-9DAA-2A5B00C4C761}"/>
              </c:ext>
            </c:extLst>
          </c:dPt>
          <c:dPt>
            <c:idx val="13"/>
            <c:bubble3D val="0"/>
            <c:spPr>
              <a:solidFill>
                <a:srgbClr val="00FFFF"/>
              </a:solidFill>
              <a:ln w="19050">
                <a:solidFill>
                  <a:schemeClr val="lt1"/>
                </a:solidFill>
              </a:ln>
              <a:effectLst/>
            </c:spPr>
            <c:extLst>
              <c:ext xmlns:c16="http://schemas.microsoft.com/office/drawing/2014/chart" uri="{C3380CC4-5D6E-409C-BE32-E72D297353CC}">
                <c16:uniqueId val="{0000001B-E059-41CF-9DAA-2A5B00C4C761}"/>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E059-41CF-9DAA-2A5B00C4C761}"/>
              </c:ext>
            </c:extLst>
          </c:dPt>
          <c:dLbls>
            <c:dLbl>
              <c:idx val="0"/>
              <c:tx>
                <c:rich>
                  <a:bodyPr/>
                  <a:lstStyle/>
                  <a:p>
                    <a:fld id="{105ECBF4-CADC-4D30-99B8-DDFB952F947D}" type="CATEGORYNAME">
                      <a:rPr lang="en-US"/>
                      <a:pPr/>
                      <a:t>[CATEGORY NAME]</a:t>
                    </a:fld>
                    <a:r>
                      <a:rPr lang="en-US" baseline="0"/>
                      <a:t>, 2 005</a:t>
                    </a:r>
                  </a:p>
                  <a:p>
                    <a:r>
                      <a:rPr lang="en-US" baseline="0"/>
                      <a:t>            (</a:t>
                    </a:r>
                    <a:fld id="{72E0E17D-AB46-46F2-9C3E-3E1C48A78EC8}" type="PERCENTAGE">
                      <a:rPr lang="en-US" baseline="0"/>
                      <a:pPr/>
                      <a:t>[PERCENTAGE]</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59-41CF-9DAA-2A5B00C4C761}"/>
                </c:ext>
              </c:extLst>
            </c:dLbl>
            <c:dLbl>
              <c:idx val="1"/>
              <c:layout>
                <c:manualLayout>
                  <c:x val="0.14327497452331567"/>
                  <c:y val="0.23147592318286947"/>
                </c:manualLayout>
              </c:layout>
              <c:tx>
                <c:rich>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fld id="{13604F55-2EC1-4AB5-A2F5-34306F459AF3}" type="CATEGORYNAME">
                      <a:rPr lang="en-US" sz="650" b="1"/>
                      <a:pPr algn="l">
                        <a:defRPr sz="650" b="1">
                          <a:latin typeface="Times New Roman" panose="02020603050405020304" pitchFamily="18" charset="0"/>
                          <a:cs typeface="Times New Roman" panose="02020603050405020304" pitchFamily="18" charset="0"/>
                        </a:defRPr>
                      </a:pPr>
                      <a:t>[CATEGORY NAME]</a:t>
                    </a:fld>
                    <a:r>
                      <a:rPr lang="en-US" sz="650" b="1" baseline="0"/>
                      <a:t>, 1 200</a:t>
                    </a:r>
                  </a:p>
                  <a:p>
                    <a:pPr algn="l">
                      <a:defRPr sz="650" b="1">
                        <a:latin typeface="Times New Roman" panose="02020603050405020304" pitchFamily="18" charset="0"/>
                        <a:cs typeface="Times New Roman" panose="02020603050405020304" pitchFamily="18" charset="0"/>
                      </a:defRPr>
                    </a:pPr>
                    <a:r>
                      <a:rPr lang="en-US" sz="650" b="1" baseline="0"/>
                      <a:t>                  (</a:t>
                    </a:r>
                    <a:fld id="{8C6B2611-3CCD-453C-83FB-3137C225137F}" type="PERCENTAGE">
                      <a:rPr lang="en-US" sz="650" b="1" baseline="0"/>
                      <a:pPr algn="l">
                        <a:defRPr sz="650" b="1">
                          <a:latin typeface="Times New Roman" panose="02020603050405020304" pitchFamily="18" charset="0"/>
                          <a:cs typeface="Times New Roman" panose="02020603050405020304" pitchFamily="18" charset="0"/>
                        </a:defRPr>
                      </a:pPr>
                      <a:t>[PERCENTAGE]</a:t>
                    </a:fld>
                    <a:r>
                      <a:rPr lang="en-US" sz="650" b="1" baseline="0"/>
                      <a:t>)</a:t>
                    </a:r>
                  </a:p>
                </c:rich>
              </c:tx>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1"/>
              <c:showBubbleSize val="0"/>
              <c:extLst>
                <c:ext xmlns:c15="http://schemas.microsoft.com/office/drawing/2012/chart" uri="{CE6537A1-D6FC-4f65-9D91-7224C49458BB}">
                  <c15:layout>
                    <c:manualLayout>
                      <c:w val="0.18362398052303386"/>
                      <c:h val="0.15564694264702059"/>
                    </c:manualLayout>
                  </c15:layout>
                  <c15:dlblFieldTable/>
                  <c15:showDataLabelsRange val="0"/>
                </c:ext>
                <c:ext xmlns:c16="http://schemas.microsoft.com/office/drawing/2014/chart" uri="{C3380CC4-5D6E-409C-BE32-E72D297353CC}">
                  <c16:uniqueId val="{00000003-E059-41CF-9DAA-2A5B00C4C761}"/>
                </c:ext>
              </c:extLst>
            </c:dLbl>
            <c:dLbl>
              <c:idx val="2"/>
              <c:layout>
                <c:manualLayout>
                  <c:x val="-9.3804506768809373E-2"/>
                  <c:y val="0.2047974545634626"/>
                </c:manualLayout>
              </c:layout>
              <c:tx>
                <c:rich>
                  <a:bodyPr/>
                  <a:lstStyle/>
                  <a:p>
                    <a:fld id="{1D493C29-1F3D-4213-B1F0-2C50E1A5CB5C}" type="CATEGORYNAME">
                      <a:rPr lang="en-US"/>
                      <a:pPr/>
                      <a:t>[CATEGORY NAME]</a:t>
                    </a:fld>
                    <a:r>
                      <a:rPr lang="en-US" baseline="0"/>
                      <a:t>, </a:t>
                    </a:r>
                    <a:fld id="{839A24F7-C363-4744-A6B5-0907DFFEDDF8}" type="VALUE">
                      <a:rPr lang="en-US" baseline="0"/>
                      <a:pPr/>
                      <a:t>[VALUE]</a:t>
                    </a:fld>
                    <a:endParaRPr lang="en-US" baseline="0"/>
                  </a:p>
                  <a:p>
                    <a:r>
                      <a:rPr lang="en-US" baseline="0"/>
                      <a:t>           (</a:t>
                    </a:r>
                    <a:fld id="{38AB29D7-C06F-4DC7-84CA-0DB875B95875}" type="PERCENTAGE">
                      <a:rPr lang="en-US" baseline="0"/>
                      <a:pPr/>
                      <a:t>[PERCENTAGE]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59-41CF-9DAA-2A5B00C4C761}"/>
                </c:ext>
              </c:extLst>
            </c:dLbl>
            <c:dLbl>
              <c:idx val="3"/>
              <c:layout>
                <c:manualLayout>
                  <c:x val="-1.6452890385168285E-3"/>
                  <c:y val="-2.0964360587002146E-2"/>
                </c:manualLayout>
              </c:layout>
              <c:tx>
                <c:rich>
                  <a:bodyPr/>
                  <a:lstStyle/>
                  <a:p>
                    <a:r>
                      <a:rPr lang="en-US" sz="65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Mutlilateral - European Union</a:t>
                    </a:r>
                    <a:r>
                      <a:rPr lang="en-US" baseline="0"/>
                      <a:t>, </a:t>
                    </a:r>
                    <a:fld id="{DFFB349A-AF65-4F20-862F-84A6338C2AC5}" type="VALUE">
                      <a:rPr lang="en-US" baseline="0"/>
                      <a:pPr/>
                      <a:t>[VALUE]</a:t>
                    </a:fld>
                    <a:r>
                      <a:rPr lang="en-US" baseline="0"/>
                      <a:t> (</a:t>
                    </a:r>
                    <a:fld id="{BAD0F9B0-F8C9-4E3A-85D4-196A1006A920}" type="PERCENTAGE">
                      <a:rPr lang="en-US" baseline="0"/>
                      <a:pPr/>
                      <a:t>[PERCENTAGE]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59-41CF-9DAA-2A5B00C4C761}"/>
                </c:ext>
              </c:extLst>
            </c:dLbl>
            <c:dLbl>
              <c:idx val="4"/>
              <c:layout>
                <c:manualLayout>
                  <c:x val="1.455085340480843E-3"/>
                  <c:y val="-5.2412964888823767E-3"/>
                </c:manualLayout>
              </c:layout>
              <c:tx>
                <c:rich>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650" b="1"/>
                      <a:t>MPTF and Joint Programmes</a:t>
                    </a:r>
                    <a:r>
                      <a:rPr lang="en-US" sz="650" b="1" baseline="0"/>
                      <a:t>, </a:t>
                    </a:r>
                    <a:fld id="{575C6D30-422B-450A-B6AE-D951F3626161}" type="VALUE">
                      <a:rPr lang="en-US" sz="650" b="1" baseline="0"/>
                      <a:pPr algn="l">
                        <a:defRPr sz="650" b="1">
                          <a:latin typeface="Times New Roman" panose="02020603050405020304" pitchFamily="18" charset="0"/>
                          <a:cs typeface="Times New Roman" panose="02020603050405020304" pitchFamily="18" charset="0"/>
                        </a:defRPr>
                      </a:pPr>
                      <a:t>[VALUE]</a:t>
                    </a:fld>
                    <a:r>
                      <a:rPr lang="en-US" sz="650" b="1" baseline="0"/>
                      <a:t> (</a:t>
                    </a:r>
                    <a:fld id="{91E18177-E8FB-4E71-AB30-53CEAC27E39F}" type="PERCENTAGE">
                      <a:rPr lang="en-US" sz="650" b="1" baseline="0"/>
                      <a:pPr algn="l">
                        <a:defRPr sz="650" b="1">
                          <a:latin typeface="Times New Roman" panose="02020603050405020304" pitchFamily="18" charset="0"/>
                          <a:cs typeface="Times New Roman" panose="02020603050405020304" pitchFamily="18" charset="0"/>
                        </a:defRPr>
                      </a:pPr>
                      <a:t>[PERCENTAGE]</a:t>
                    </a:fld>
                    <a:r>
                      <a:rPr lang="en-US" sz="650" b="1" baseline="0"/>
                      <a:t>)</a:t>
                    </a:r>
                  </a:p>
                </c:rich>
              </c:tx>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1"/>
              <c:showBubbleSize val="0"/>
              <c:extLst>
                <c:ext xmlns:c15="http://schemas.microsoft.com/office/drawing/2012/chart" uri="{CE6537A1-D6FC-4f65-9D91-7224C49458BB}">
                  <c15:layout>
                    <c:manualLayout>
                      <c:w val="0.24542382732193807"/>
                      <c:h val="9.9594744053219761E-2"/>
                    </c:manualLayout>
                  </c15:layout>
                  <c15:dlblFieldTable/>
                  <c15:showDataLabelsRange val="0"/>
                </c:ext>
                <c:ext xmlns:c16="http://schemas.microsoft.com/office/drawing/2014/chart" uri="{C3380CC4-5D6E-409C-BE32-E72D297353CC}">
                  <c16:uniqueId val="{00000009-E059-41CF-9DAA-2A5B00C4C761}"/>
                </c:ext>
              </c:extLst>
            </c:dLbl>
            <c:dLbl>
              <c:idx val="5"/>
              <c:layout>
                <c:manualLayout>
                  <c:x val="-1.1781654501667857E-3"/>
                  <c:y val="-1.572285775598805E-2"/>
                </c:manualLayout>
              </c:layout>
              <c:tx>
                <c:rich>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Multilateral</a:t>
                    </a:r>
                    <a:r>
                      <a:rPr lang="en-US" baseline="0"/>
                      <a:t> Int'l Fin inst., </a:t>
                    </a:r>
                    <a:fld id="{8086CA49-9317-42F6-B200-DCED9D12EB2B}" type="VALUE">
                      <a:rPr lang="en-US" baseline="0"/>
                      <a:pPr algn="l">
                        <a:defRPr sz="650" b="1">
                          <a:latin typeface="Times New Roman" panose="02020603050405020304" pitchFamily="18" charset="0"/>
                          <a:cs typeface="Times New Roman" panose="02020603050405020304" pitchFamily="18" charset="0"/>
                        </a:defRPr>
                      </a:pPr>
                      <a:t>[VALUE]</a:t>
                    </a:fld>
                    <a:r>
                      <a:rPr lang="en-US" baseline="0"/>
                      <a:t> (</a:t>
                    </a:r>
                    <a:fld id="{DF4B246E-849B-45E1-8866-63E131739C0A}" type="PERCENTAGE">
                      <a:rPr lang="en-US" baseline="0"/>
                      <a:pPr algn="l">
                        <a:defRPr sz="650" b="1">
                          <a:latin typeface="Times New Roman" panose="02020603050405020304" pitchFamily="18" charset="0"/>
                          <a:cs typeface="Times New Roman" panose="02020603050405020304" pitchFamily="18" charset="0"/>
                        </a:defRPr>
                      </a:pPr>
                      <a:t>[PERCENTAGE]</a:t>
                    </a:fld>
                    <a:r>
                      <a:rPr lang="en-US" baseline="0"/>
                      <a:t>)</a:t>
                    </a:r>
                  </a:p>
                </c:rich>
              </c:tx>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1"/>
              <c:showBubbleSize val="0"/>
              <c:extLst>
                <c:ext xmlns:c15="http://schemas.microsoft.com/office/drawing/2012/chart" uri="{CE6537A1-D6FC-4f65-9D91-7224C49458BB}">
                  <c15:layout>
                    <c:manualLayout>
                      <c:w val="0.22279151943462897"/>
                      <c:h val="6.535639412997904E-2"/>
                    </c:manualLayout>
                  </c15:layout>
                  <c15:dlblFieldTable/>
                  <c15:showDataLabelsRange val="0"/>
                </c:ext>
                <c:ext xmlns:c16="http://schemas.microsoft.com/office/drawing/2014/chart" uri="{C3380CC4-5D6E-409C-BE32-E72D297353CC}">
                  <c16:uniqueId val="{0000000B-E059-41CF-9DAA-2A5B00C4C761}"/>
                </c:ext>
              </c:extLst>
            </c:dLbl>
            <c:dLbl>
              <c:idx val="6"/>
              <c:layout>
                <c:manualLayout>
                  <c:x val="-2.0193588875596939E-3"/>
                  <c:y val="-5.2412964888822857E-3"/>
                </c:manualLayout>
              </c:layout>
              <c:tx>
                <c:rich>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Untied Nations System</a:t>
                    </a:r>
                    <a:r>
                      <a:rPr lang="en-US" baseline="0"/>
                      <a:t>, </a:t>
                    </a:r>
                    <a:fld id="{231E36B8-E487-46AF-81C0-ECCF55CAEE75}" type="VALUE">
                      <a:rPr lang="en-US" baseline="0"/>
                      <a:pPr algn="l">
                        <a:defRPr sz="650" b="1">
                          <a:latin typeface="Times New Roman" panose="02020603050405020304" pitchFamily="18" charset="0"/>
                          <a:cs typeface="Times New Roman" panose="02020603050405020304" pitchFamily="18" charset="0"/>
                        </a:defRPr>
                      </a:pPr>
                      <a:t>[VALUE]</a:t>
                    </a:fld>
                    <a:r>
                      <a:rPr lang="en-US" baseline="0"/>
                      <a:t> (</a:t>
                    </a:r>
                    <a:fld id="{D5994BF5-8CC1-4D0D-9E44-30C0902F1820}" type="PERCENTAGE">
                      <a:rPr lang="en-US" baseline="0"/>
                      <a:pPr algn="l">
                        <a:defRPr sz="650" b="1">
                          <a:latin typeface="Times New Roman" panose="02020603050405020304" pitchFamily="18" charset="0"/>
                          <a:cs typeface="Times New Roman" panose="02020603050405020304" pitchFamily="18" charset="0"/>
                        </a:defRPr>
                      </a:pPr>
                      <a:t>[PERCENTAGE]</a:t>
                    </a:fld>
                    <a:r>
                      <a:rPr lang="en-US" baseline="0"/>
                      <a:t>)</a:t>
                    </a:r>
                  </a:p>
                </c:rich>
              </c:tx>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1"/>
              <c:showBubbleSize val="0"/>
              <c:extLst>
                <c:ext xmlns:c15="http://schemas.microsoft.com/office/drawing/2012/chart" uri="{CE6537A1-D6FC-4f65-9D91-7224C49458BB}">
                  <c15:layout>
                    <c:manualLayout>
                      <c:w val="0.2186592841972492"/>
                      <c:h val="8.3542976939203345E-2"/>
                    </c:manualLayout>
                  </c15:layout>
                  <c15:dlblFieldTable/>
                  <c15:showDataLabelsRange val="0"/>
                </c:ext>
                <c:ext xmlns:c16="http://schemas.microsoft.com/office/drawing/2014/chart" uri="{C3380CC4-5D6E-409C-BE32-E72D297353CC}">
                  <c16:uniqueId val="{0000000D-E059-41CF-9DAA-2A5B00C4C761}"/>
                </c:ext>
              </c:extLst>
            </c:dLbl>
            <c:dLbl>
              <c:idx val="7"/>
              <c:layout>
                <c:manualLayout>
                  <c:x val="-1.808519518099107E-5"/>
                  <c:y val="1.310272536687631E-2"/>
                </c:manualLayout>
              </c:layout>
              <c:tx>
                <c:rich>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fld id="{51EBF508-81CA-471B-A1CB-F779D90B267F}" type="CATEGORYNAME">
                      <a:rPr lang="en-US" sz="650" b="1"/>
                      <a:pPr algn="l">
                        <a:defRPr sz="650" b="1">
                          <a:latin typeface="Times New Roman" panose="02020603050405020304" pitchFamily="18" charset="0"/>
                          <a:cs typeface="Times New Roman" panose="02020603050405020304" pitchFamily="18" charset="0"/>
                        </a:defRPr>
                      </a:pPr>
                      <a:t>[CATEGORY NAME]</a:t>
                    </a:fld>
                    <a:r>
                      <a:rPr lang="en-US" sz="650" b="1" baseline="0"/>
                      <a:t>, </a:t>
                    </a:r>
                    <a:fld id="{5F121990-CC54-421E-955E-01FD033AA64A}" type="VALUE">
                      <a:rPr lang="en-US" sz="650" b="1" baseline="0"/>
                      <a:pPr algn="l">
                        <a:defRPr sz="650" b="1">
                          <a:latin typeface="Times New Roman" panose="02020603050405020304" pitchFamily="18" charset="0"/>
                          <a:cs typeface="Times New Roman" panose="02020603050405020304" pitchFamily="18" charset="0"/>
                        </a:defRPr>
                      </a:pPr>
                      <a:t>[VALUE]</a:t>
                    </a:fld>
                    <a:r>
                      <a:rPr lang="en-US" sz="650" b="1" baseline="0"/>
                      <a:t>, (</a:t>
                    </a:r>
                    <a:fld id="{0F61457E-21B4-406E-A323-F891376E5CA1}" type="PERCENTAGE">
                      <a:rPr lang="en-US" sz="650" b="1" baseline="0"/>
                      <a:pPr algn="l">
                        <a:defRPr sz="650" b="1">
                          <a:latin typeface="Times New Roman" panose="02020603050405020304" pitchFamily="18" charset="0"/>
                          <a:cs typeface="Times New Roman" panose="02020603050405020304" pitchFamily="18" charset="0"/>
                        </a:defRPr>
                      </a:pPr>
                      <a:t>[PERCENTAGE]</a:t>
                    </a:fld>
                    <a:r>
                      <a:rPr lang="en-US" sz="650" b="1" baseline="0"/>
                      <a:t>)</a:t>
                    </a:r>
                  </a:p>
                </c:rich>
              </c:tx>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1"/>
              <c:showBubbleSize val="0"/>
              <c:extLst>
                <c:ext xmlns:c15="http://schemas.microsoft.com/office/drawing/2012/chart" uri="{CE6537A1-D6FC-4f65-9D91-7224C49458BB}">
                  <c15:layout>
                    <c:manualLayout>
                      <c:w val="0.17563104965236237"/>
                      <c:h val="5.4488354050083364E-2"/>
                    </c:manualLayout>
                  </c15:layout>
                  <c15:dlblFieldTable/>
                  <c15:showDataLabelsRange val="0"/>
                </c:ext>
                <c:ext xmlns:c16="http://schemas.microsoft.com/office/drawing/2014/chart" uri="{C3380CC4-5D6E-409C-BE32-E72D297353CC}">
                  <c16:uniqueId val="{0000000F-E059-41CF-9DAA-2A5B00C4C761}"/>
                </c:ext>
              </c:extLst>
            </c:dLbl>
            <c:dLbl>
              <c:idx val="8"/>
              <c:layout>
                <c:manualLayout>
                  <c:x val="1.4522257156018043E-3"/>
                  <c:y val="4.7169811320754713E-2"/>
                </c:manualLayout>
              </c:layout>
              <c:tx>
                <c:rich>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fld id="{B1C96644-E84F-44BA-9699-C14B42150A86}" type="CATEGORYNAME">
                      <a:rPr lang="en-US" sz="650" b="1"/>
                      <a:pPr algn="l">
                        <a:defRPr sz="650" b="1">
                          <a:latin typeface="Times New Roman" panose="02020603050405020304" pitchFamily="18" charset="0"/>
                          <a:cs typeface="Times New Roman" panose="02020603050405020304" pitchFamily="18" charset="0"/>
                        </a:defRPr>
                      </a:pPr>
                      <a:t>[CATEGORY NAME]</a:t>
                    </a:fld>
                    <a:r>
                      <a:rPr lang="en-US" sz="650" b="1" baseline="0"/>
                      <a:t>, </a:t>
                    </a:r>
                    <a:fld id="{80B2A8E4-E4EA-4D81-A394-864D021B6EA4}" type="VALUE">
                      <a:rPr lang="en-US" sz="650" b="1" baseline="0"/>
                      <a:pPr algn="l">
                        <a:defRPr sz="650" b="1">
                          <a:latin typeface="Times New Roman" panose="02020603050405020304" pitchFamily="18" charset="0"/>
                          <a:cs typeface="Times New Roman" panose="02020603050405020304" pitchFamily="18" charset="0"/>
                        </a:defRPr>
                      </a:pPr>
                      <a:t>[VALUE]</a:t>
                    </a:fld>
                    <a:r>
                      <a:rPr lang="en-US" sz="650" b="1" baseline="0"/>
                      <a:t>, (</a:t>
                    </a:r>
                    <a:fld id="{F32EDF08-FE4B-4DFE-A0D5-D07C43611F8E}" type="PERCENTAGE">
                      <a:rPr lang="en-US" sz="650" b="1" baseline="0"/>
                      <a:pPr algn="l">
                        <a:defRPr sz="650" b="1">
                          <a:latin typeface="Times New Roman" panose="02020603050405020304" pitchFamily="18" charset="0"/>
                          <a:cs typeface="Times New Roman" panose="02020603050405020304" pitchFamily="18" charset="0"/>
                        </a:defRPr>
                      </a:pPr>
                      <a:t>[PERCENTAGE]</a:t>
                    </a:fld>
                    <a:r>
                      <a:rPr lang="en-US" sz="650" b="1" baseline="0"/>
                      <a:t>)</a:t>
                    </a:r>
                  </a:p>
                </c:rich>
              </c:tx>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1"/>
              <c:showBubbleSize val="0"/>
              <c:extLst>
                <c:ext xmlns:c15="http://schemas.microsoft.com/office/drawing/2012/chart" uri="{CE6537A1-D6FC-4f65-9D91-7224C49458BB}">
                  <c15:layout>
                    <c:manualLayout>
                      <c:w val="0.18643641276289227"/>
                      <c:h val="6.7340167384737276E-2"/>
                    </c:manualLayout>
                  </c15:layout>
                  <c15:dlblFieldTable/>
                  <c15:showDataLabelsRange val="0"/>
                </c:ext>
                <c:ext xmlns:c16="http://schemas.microsoft.com/office/drawing/2014/chart" uri="{C3380CC4-5D6E-409C-BE32-E72D297353CC}">
                  <c16:uniqueId val="{00000011-E059-41CF-9DAA-2A5B00C4C761}"/>
                </c:ext>
              </c:extLst>
            </c:dLbl>
            <c:dLbl>
              <c:idx val="9"/>
              <c:layout>
                <c:manualLayout>
                  <c:x val="-0.10874596947466372"/>
                  <c:y val="0"/>
                </c:manualLayout>
              </c:layout>
              <c:tx>
                <c:rich>
                  <a:bodyPr/>
                  <a:lstStyle/>
                  <a:p>
                    <a:fld id="{9D32DF3D-5E57-42C8-B710-9CF13EBD9058}" type="CATEGORYNAME">
                      <a:rPr lang="en-US"/>
                      <a:pPr/>
                      <a:t>[CATEGORY NAME]</a:t>
                    </a:fld>
                    <a:r>
                      <a:rPr lang="en-US" baseline="0"/>
                      <a:t>, </a:t>
                    </a:r>
                    <a:fld id="{E067283B-C013-4F90-9890-3FD105760E37}" type="VALUE">
                      <a:rPr lang="en-US" baseline="0"/>
                      <a:pPr/>
                      <a:t>[VALUE]</a:t>
                    </a:fld>
                    <a:endParaRPr lang="en-US" baseline="0"/>
                  </a:p>
                  <a:p>
                    <a:r>
                      <a:rPr lang="en-US" baseline="0"/>
                      <a:t>     (</a:t>
                    </a:r>
                    <a:fld id="{2293F660-848E-435F-8C45-EB6D41C3280E}" type="PERCENTAGE">
                      <a:rPr lang="en-US" baseline="0"/>
                      <a:pPr/>
                      <a:t>[PERCENTAGE]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E059-41CF-9DAA-2A5B00C4C761}"/>
                </c:ext>
              </c:extLst>
            </c:dLbl>
            <c:dLbl>
              <c:idx val="10"/>
              <c:numFmt formatCode="General" sourceLinked="0"/>
              <c:spPr>
                <a:noFill/>
                <a:ln>
                  <a:noFill/>
                </a:ln>
                <a:effectLst/>
              </c:spPr>
              <c:txPr>
                <a:bodyPr rot="0" spcFirstLastPara="1" vertOverflow="ellipsis" vert="horz" wrap="square" lIns="38100" tIns="19050" rIns="38100" bIns="19050" anchor="ctr" anchorCtr="0">
                  <a:no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ctr"/>
              <c:showLegendKey val="0"/>
              <c:showVal val="1"/>
              <c:showCatName val="1"/>
              <c:showSerName val="0"/>
              <c:showPercent val="1"/>
              <c:showBubbleSize val="0"/>
              <c:extLst>
                <c:ext xmlns:c15="http://schemas.microsoft.com/office/drawing/2012/chart" uri="{CE6537A1-D6FC-4f65-9D91-7224C49458BB}">
                  <c15:layout>
                    <c:manualLayout>
                      <c:w val="0.17895870701744387"/>
                      <c:h val="5.5994244338849621E-2"/>
                    </c:manualLayout>
                  </c15:layout>
                </c:ext>
                <c:ext xmlns:c16="http://schemas.microsoft.com/office/drawing/2014/chart" uri="{C3380CC4-5D6E-409C-BE32-E72D297353CC}">
                  <c16:uniqueId val="{00000015-E059-41CF-9DAA-2A5B00C4C761}"/>
                </c:ext>
              </c:extLst>
            </c:dLbl>
            <c:numFmt formatCode="General" sourceLinked="0"/>
            <c:spPr>
              <a:noFill/>
              <a:ln>
                <a:noFill/>
              </a:ln>
              <a:effectLst/>
            </c:spPr>
            <c:txPr>
              <a:bodyPr rot="0" spcFirstLastPara="1" vertOverflow="ellipsis" vert="horz" wrap="square" lIns="38100" tIns="19050" rIns="38100" bIns="19050" anchor="ctr" anchorCtr="0">
                <a:spAutoFit/>
              </a:bodyPr>
              <a:lstStyle/>
              <a:p>
                <a:pPr algn="l">
                  <a:defRPr sz="6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'ARFS Tables - Rev'!$AL$32:$AL$40</c:f>
              <c:strCache>
                <c:ptCount val="9"/>
                <c:pt idx="0">
                  <c:v>Donor Countries</c:v>
                </c:pt>
                <c:pt idx="1">
                  <c:v>Programme countries</c:v>
                </c:pt>
                <c:pt idx="2">
                  <c:v>Vertical funds</c:v>
                </c:pt>
                <c:pt idx="3">
                  <c:v>MPTFs and Joint Programmes</c:v>
                </c:pt>
                <c:pt idx="4">
                  <c:v>Multilateral - European Union</c:v>
                </c:pt>
                <c:pt idx="5">
                  <c:v>United Nations System</c:v>
                </c:pt>
                <c:pt idx="6">
                  <c:v>Multilateral-Int'l Fin Inst.</c:v>
                </c:pt>
                <c:pt idx="7">
                  <c:v>Private Sector</c:v>
                </c:pt>
                <c:pt idx="8">
                  <c:v>Others</c:v>
                </c:pt>
              </c:strCache>
            </c:strRef>
          </c:cat>
          <c:val>
            <c:numRef>
              <c:f>'ARFS Tables - Rev'!$AM$32:$AM$40</c:f>
              <c:numCache>
                <c:formatCode>#,##0,,</c:formatCode>
                <c:ptCount val="9"/>
                <c:pt idx="0">
                  <c:v>2004822702.6199992</c:v>
                </c:pt>
                <c:pt idx="1">
                  <c:v>1200124339.4299989</c:v>
                </c:pt>
                <c:pt idx="2">
                  <c:v>885152917.29999995</c:v>
                </c:pt>
                <c:pt idx="3">
                  <c:v>363049925.56999999</c:v>
                </c:pt>
                <c:pt idx="4">
                  <c:v>249287300.08999997</c:v>
                </c:pt>
                <c:pt idx="5">
                  <c:v>88663081.759999931</c:v>
                </c:pt>
                <c:pt idx="6">
                  <c:v>77216350.079999909</c:v>
                </c:pt>
                <c:pt idx="7">
                  <c:v>32808551.68</c:v>
                </c:pt>
                <c:pt idx="8">
                  <c:v>32629181.669999991</c:v>
                </c:pt>
              </c:numCache>
            </c:numRef>
          </c:val>
          <c:extLst>
            <c:ext xmlns:c16="http://schemas.microsoft.com/office/drawing/2014/chart" uri="{C3380CC4-5D6E-409C-BE32-E72D297353CC}">
              <c16:uniqueId val="{0000001E-E059-41CF-9DAA-2A5B00C4C761}"/>
            </c:ext>
          </c:extLst>
        </c:ser>
        <c:dLbls>
          <c:showLegendKey val="0"/>
          <c:showVal val="0"/>
          <c:showCatName val="0"/>
          <c:showSerName val="0"/>
          <c:showPercent val="0"/>
          <c:showBubbleSize val="0"/>
          <c:showLeaderLines val="0"/>
        </c:dLbls>
        <c:gapWidth val="67"/>
        <c:splitType val="pos"/>
        <c:splitPos val="6"/>
        <c:secondPieSize val="65"/>
        <c:serLines>
          <c:spPr>
            <a:ln w="12700" cap="flat" cmpd="sng" algn="ctr">
              <a:solidFill>
                <a:schemeClr val="accent3">
                  <a:lumMod val="75000"/>
                </a:schemeClr>
              </a:solidFill>
              <a:prstDash val="solid"/>
              <a:round/>
            </a:ln>
            <a:effectLst/>
          </c:spPr>
        </c:serLines>
      </c:of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I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586763163158266E-2"/>
          <c:y val="6.8507883882935675E-2"/>
          <c:w val="0.89628675277949821"/>
          <c:h val="0.61495718288497236"/>
        </c:manualLayout>
      </c:layout>
      <c:bar3DChart>
        <c:barDir val="col"/>
        <c:grouping val="stacked"/>
        <c:varyColors val="0"/>
        <c:ser>
          <c:idx val="0"/>
          <c:order val="0"/>
          <c:tx>
            <c:strRef>
              <c:f>'[2022 ARFS Master table -15 Jun 2023 update.xlsx]ARFS Tables - Rev'!$AW$32</c:f>
              <c:strCache>
                <c:ptCount val="1"/>
                <c:pt idx="0">
                  <c:v>Current Year Payment</c:v>
                </c:pt>
              </c:strCache>
            </c:strRef>
          </c:tx>
          <c:spPr>
            <a:solidFill>
              <a:srgbClr val="92D050"/>
            </a:solidFill>
            <a:ln>
              <a:noFill/>
            </a:ln>
            <a:effectLst/>
            <a:sp3d/>
          </c:spPr>
          <c:invertIfNegative val="0"/>
          <c:dLbls>
            <c:delete val="1"/>
          </c:dLbls>
          <c:cat>
            <c:strRef>
              <c:f>'[2022 ARFS Master table -15 Jun 2023 update.xlsx]ARFS Tables - Rev'!$AV$33:$AV$42</c:f>
              <c:strCache>
                <c:ptCount val="10"/>
                <c:pt idx="0">
                  <c:v>Congo (the)</c:v>
                </c:pt>
                <c:pt idx="1">
                  <c:v>Peru</c:v>
                </c:pt>
                <c:pt idx="2">
                  <c:v>Rwanda</c:v>
                </c:pt>
                <c:pt idx="3">
                  <c:v>South Africa</c:v>
                </c:pt>
                <c:pt idx="4">
                  <c:v>Democratic Republic of the Congo </c:v>
                </c:pt>
                <c:pt idx="5">
                  <c:v>Angola</c:v>
                </c:pt>
                <c:pt idx="6">
                  <c:v>Indonesia</c:v>
                </c:pt>
                <c:pt idx="7">
                  <c:v>Bosnia and Herzegovina </c:v>
                </c:pt>
                <c:pt idx="8">
                  <c:v>Philippines</c:v>
                </c:pt>
                <c:pt idx="9">
                  <c:v>Libya</c:v>
                </c:pt>
              </c:strCache>
            </c:strRef>
          </c:cat>
          <c:val>
            <c:numRef>
              <c:f>'[2022 ARFS Master table -15 Jun 2023 update.xlsx]ARFS Tables - Rev'!$AW$33:$AW$42</c:f>
              <c:numCache>
                <c:formatCode>General</c:formatCode>
                <c:ptCount val="10"/>
                <c:pt idx="0">
                  <c:v>1556048</c:v>
                </c:pt>
                <c:pt idx="1">
                  <c:v>605454</c:v>
                </c:pt>
                <c:pt idx="2">
                  <c:v>5359</c:v>
                </c:pt>
                <c:pt idx="3">
                  <c:v>1047269</c:v>
                </c:pt>
                <c:pt idx="4">
                  <c:v>325361</c:v>
                </c:pt>
                <c:pt idx="5">
                  <c:v>943437</c:v>
                </c:pt>
                <c:pt idx="6">
                  <c:v>851201</c:v>
                </c:pt>
                <c:pt idx="7">
                  <c:v>217371</c:v>
                </c:pt>
                <c:pt idx="8">
                  <c:v>803982</c:v>
                </c:pt>
                <c:pt idx="9">
                  <c:v>381178</c:v>
                </c:pt>
              </c:numCache>
            </c:numRef>
          </c:val>
          <c:extLst>
            <c:ext xmlns:c16="http://schemas.microsoft.com/office/drawing/2014/chart" uri="{C3380CC4-5D6E-409C-BE32-E72D297353CC}">
              <c16:uniqueId val="{00000000-FF4C-4F4D-83C6-945920FA3DDC}"/>
            </c:ext>
          </c:extLst>
        </c:ser>
        <c:ser>
          <c:idx val="1"/>
          <c:order val="1"/>
          <c:tx>
            <c:strRef>
              <c:f>'[2022 ARFS Master table -15 Jun 2023 update.xlsx]ARFS Tables - Rev'!$AX$32</c:f>
              <c:strCache>
                <c:ptCount val="1"/>
                <c:pt idx="0">
                  <c:v>Arrears</c:v>
                </c:pt>
              </c:strCache>
            </c:strRef>
          </c:tx>
          <c:spPr>
            <a:solidFill>
              <a:schemeClr val="accent6"/>
            </a:solidFill>
            <a:ln>
              <a:noFill/>
            </a:ln>
            <a:effectLst/>
            <a:sp3d/>
          </c:spPr>
          <c:invertIfNegative val="0"/>
          <c:dLbls>
            <c:delete val="1"/>
          </c:dLbls>
          <c:cat>
            <c:strRef>
              <c:f>'[2022 ARFS Master table -15 Jun 2023 update.xlsx]ARFS Tables - Rev'!$AV$33:$AV$42</c:f>
              <c:strCache>
                <c:ptCount val="10"/>
                <c:pt idx="0">
                  <c:v>Congo (the)</c:v>
                </c:pt>
                <c:pt idx="1">
                  <c:v>Peru</c:v>
                </c:pt>
                <c:pt idx="2">
                  <c:v>Rwanda</c:v>
                </c:pt>
                <c:pt idx="3">
                  <c:v>South Africa</c:v>
                </c:pt>
                <c:pt idx="4">
                  <c:v>Democratic Republic of the Congo </c:v>
                </c:pt>
                <c:pt idx="5">
                  <c:v>Angola</c:v>
                </c:pt>
                <c:pt idx="6">
                  <c:v>Indonesia</c:v>
                </c:pt>
                <c:pt idx="7">
                  <c:v>Bosnia and Herzegovina </c:v>
                </c:pt>
                <c:pt idx="8">
                  <c:v>Philippines</c:v>
                </c:pt>
                <c:pt idx="9">
                  <c:v>Libya</c:v>
                </c:pt>
              </c:strCache>
            </c:strRef>
          </c:cat>
          <c:val>
            <c:numRef>
              <c:f>'[2022 ARFS Master table -15 Jun 2023 update.xlsx]ARFS Tables - Rev'!$AX$33:$AX$42</c:f>
              <c:numCache>
                <c:formatCode>General</c:formatCode>
                <c:ptCount val="10"/>
                <c:pt idx="0">
                  <c:v>175114</c:v>
                </c:pt>
                <c:pt idx="1">
                  <c:v>917666</c:v>
                </c:pt>
                <c:pt idx="2">
                  <c:v>1147635</c:v>
                </c:pt>
                <c:pt idx="3">
                  <c:v>0</c:v>
                </c:pt>
                <c:pt idx="4">
                  <c:v>972849</c:v>
                </c:pt>
                <c:pt idx="5">
                  <c:v>0</c:v>
                </c:pt>
                <c:pt idx="6">
                  <c:v>0</c:v>
                </c:pt>
                <c:pt idx="7">
                  <c:v>599909</c:v>
                </c:pt>
                <c:pt idx="8">
                  <c:v>0</c:v>
                </c:pt>
                <c:pt idx="9">
                  <c:v>353412</c:v>
                </c:pt>
              </c:numCache>
            </c:numRef>
          </c:val>
          <c:extLst>
            <c:ext xmlns:c16="http://schemas.microsoft.com/office/drawing/2014/chart" uri="{C3380CC4-5D6E-409C-BE32-E72D297353CC}">
              <c16:uniqueId val="{00000001-FF4C-4F4D-83C6-945920FA3DDC}"/>
            </c:ext>
          </c:extLst>
        </c:ser>
        <c:ser>
          <c:idx val="2"/>
          <c:order val="2"/>
          <c:tx>
            <c:strRef>
              <c:f>'[2022 ARFS Master table -15 Jun 2023 update.xlsx]ARFS Tables - Rev'!$AY$32</c:f>
              <c:strCache>
                <c:ptCount val="1"/>
                <c:pt idx="0">
                  <c:v>In-kind</c:v>
                </c:pt>
              </c:strCache>
            </c:strRef>
          </c:tx>
          <c:spPr>
            <a:solidFill>
              <a:schemeClr val="accent1"/>
            </a:solidFill>
            <a:ln>
              <a:noFill/>
            </a:ln>
            <a:effectLst/>
            <a:sp3d/>
          </c:spPr>
          <c:invertIfNegative val="0"/>
          <c:dLbls>
            <c:delete val="1"/>
          </c:dLbls>
          <c:cat>
            <c:strRef>
              <c:f>'[2022 ARFS Master table -15 Jun 2023 update.xlsx]ARFS Tables - Rev'!$AV$33:$AV$42</c:f>
              <c:strCache>
                <c:ptCount val="10"/>
                <c:pt idx="0">
                  <c:v>Congo (the)</c:v>
                </c:pt>
                <c:pt idx="1">
                  <c:v>Peru</c:v>
                </c:pt>
                <c:pt idx="2">
                  <c:v>Rwanda</c:v>
                </c:pt>
                <c:pt idx="3">
                  <c:v>South Africa</c:v>
                </c:pt>
                <c:pt idx="4">
                  <c:v>Democratic Republic of the Congo </c:v>
                </c:pt>
                <c:pt idx="5">
                  <c:v>Angola</c:v>
                </c:pt>
                <c:pt idx="6">
                  <c:v>Indonesia</c:v>
                </c:pt>
                <c:pt idx="7">
                  <c:v>Bosnia and Herzegovina </c:v>
                </c:pt>
                <c:pt idx="8">
                  <c:v>Philippines</c:v>
                </c:pt>
                <c:pt idx="9">
                  <c:v>Libya</c:v>
                </c:pt>
              </c:strCache>
            </c:strRef>
          </c:cat>
          <c:val>
            <c:numRef>
              <c:f>'[2022 ARFS Master table -15 Jun 2023 update.xlsx]ARFS Tables - Rev'!$AY$33:$AY$42</c:f>
              <c:numCache>
                <c:formatCode>General</c:formatCode>
                <c:ptCount val="10"/>
                <c:pt idx="0">
                  <c:v>0</c:v>
                </c:pt>
                <c:pt idx="1">
                  <c:v>0</c:v>
                </c:pt>
                <c:pt idx="2">
                  <c:v>157917</c:v>
                </c:pt>
                <c:pt idx="3">
                  <c:v>253538</c:v>
                </c:pt>
                <c:pt idx="4">
                  <c:v>0</c:v>
                </c:pt>
                <c:pt idx="5">
                  <c:v>74215</c:v>
                </c:pt>
                <c:pt idx="6">
                  <c:v>0</c:v>
                </c:pt>
                <c:pt idx="7">
                  <c:v>0</c:v>
                </c:pt>
                <c:pt idx="8">
                  <c:v>0</c:v>
                </c:pt>
                <c:pt idx="9">
                  <c:v>0</c:v>
                </c:pt>
              </c:numCache>
            </c:numRef>
          </c:val>
          <c:extLst>
            <c:ext xmlns:c16="http://schemas.microsoft.com/office/drawing/2014/chart" uri="{C3380CC4-5D6E-409C-BE32-E72D297353CC}">
              <c16:uniqueId val="{00000002-FF4C-4F4D-83C6-945920FA3DDC}"/>
            </c:ext>
          </c:extLst>
        </c:ser>
        <c:dLbls>
          <c:showLegendKey val="0"/>
          <c:showVal val="1"/>
          <c:showCatName val="0"/>
          <c:showSerName val="0"/>
          <c:showPercent val="0"/>
          <c:showBubbleSize val="0"/>
        </c:dLbls>
        <c:gapWidth val="150"/>
        <c:shape val="box"/>
        <c:axId val="75099279"/>
        <c:axId val="75102191"/>
        <c:axId val="0"/>
        <c:extLst/>
      </c:bar3DChart>
      <c:catAx>
        <c:axId val="75099279"/>
        <c:scaling>
          <c:orientation val="minMax"/>
        </c:scaling>
        <c:delete val="0"/>
        <c:axPos val="b"/>
        <c:numFmt formatCode="General" sourceLinked="1"/>
        <c:majorTickMark val="none"/>
        <c:minorTickMark val="none"/>
        <c:tickLblPos val="nextTo"/>
        <c:spPr>
          <a:noFill/>
          <a:ln>
            <a:noFill/>
          </a:ln>
          <a:effectLst/>
        </c:spPr>
        <c:txPr>
          <a:bodyPr rot="-138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IT"/>
          </a:p>
        </c:txPr>
        <c:crossAx val="75102191"/>
        <c:crosses val="autoZero"/>
        <c:auto val="1"/>
        <c:lblAlgn val="ctr"/>
        <c:lblOffset val="100"/>
        <c:noMultiLvlLbl val="0"/>
      </c:catAx>
      <c:valAx>
        <c:axId val="75102191"/>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T"/>
          </a:p>
        </c:txPr>
        <c:crossAx val="75099279"/>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092526312998735E-2"/>
          <c:y val="6.7994096157827602E-2"/>
          <c:w val="0.91232569360643201"/>
          <c:h val="0.87287478165993504"/>
        </c:manualLayout>
      </c:layout>
      <c:ofPieChart>
        <c:ofPieType val="bar"/>
        <c:varyColors val="1"/>
        <c:ser>
          <c:idx val="0"/>
          <c:order val="0"/>
          <c:explosion val="5"/>
          <c:dPt>
            <c:idx val="0"/>
            <c:bubble3D val="0"/>
            <c:spPr>
              <a:solidFill>
                <a:srgbClr val="7030A0"/>
              </a:solidFill>
              <a:ln w="19050">
                <a:solidFill>
                  <a:schemeClr val="lt1"/>
                </a:solidFill>
              </a:ln>
              <a:effectLst/>
            </c:spPr>
            <c:extLst>
              <c:ext xmlns:c16="http://schemas.microsoft.com/office/drawing/2014/chart" uri="{C3380CC4-5D6E-409C-BE32-E72D297353CC}">
                <c16:uniqueId val="{00000001-35F2-4D8B-8469-5C3F22C09B8D}"/>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35F2-4D8B-8469-5C3F22C09B8D}"/>
              </c:ext>
            </c:extLst>
          </c:dPt>
          <c:dPt>
            <c:idx val="2"/>
            <c:bubble3D val="0"/>
            <c:spPr>
              <a:solidFill>
                <a:srgbClr val="FFCCCC"/>
              </a:solidFill>
              <a:ln w="19050">
                <a:solidFill>
                  <a:schemeClr val="lt1"/>
                </a:solidFill>
              </a:ln>
              <a:effectLst/>
            </c:spPr>
            <c:extLst>
              <c:ext xmlns:c16="http://schemas.microsoft.com/office/drawing/2014/chart" uri="{C3380CC4-5D6E-409C-BE32-E72D297353CC}">
                <c16:uniqueId val="{00000005-35F2-4D8B-8469-5C3F22C09B8D}"/>
              </c:ext>
            </c:extLst>
          </c:dPt>
          <c:dPt>
            <c:idx val="3"/>
            <c:bubble3D val="0"/>
            <c:spPr>
              <a:solidFill>
                <a:srgbClr val="0033CC"/>
              </a:solidFill>
              <a:ln w="19050">
                <a:solidFill>
                  <a:schemeClr val="lt1"/>
                </a:solidFill>
              </a:ln>
              <a:effectLst/>
            </c:spPr>
            <c:extLst>
              <c:ext xmlns:c16="http://schemas.microsoft.com/office/drawing/2014/chart" uri="{C3380CC4-5D6E-409C-BE32-E72D297353CC}">
                <c16:uniqueId val="{00000007-35F2-4D8B-8469-5C3F22C09B8D}"/>
              </c:ext>
            </c:extLst>
          </c:dPt>
          <c:dPt>
            <c:idx val="4"/>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9-35F2-4D8B-8469-5C3F22C09B8D}"/>
              </c:ext>
            </c:extLst>
          </c:dPt>
          <c:dPt>
            <c:idx val="5"/>
            <c:bubble3D val="0"/>
            <c:spPr>
              <a:solidFill>
                <a:srgbClr val="CCFF33"/>
              </a:solidFill>
              <a:ln w="19050">
                <a:noFill/>
              </a:ln>
              <a:effectLst/>
            </c:spPr>
            <c:extLst>
              <c:ext xmlns:c16="http://schemas.microsoft.com/office/drawing/2014/chart" uri="{C3380CC4-5D6E-409C-BE32-E72D297353CC}">
                <c16:uniqueId val="{0000000B-35F2-4D8B-8469-5C3F22C09B8D}"/>
              </c:ext>
            </c:extLst>
          </c:dPt>
          <c:dPt>
            <c:idx val="6"/>
            <c:bubble3D val="0"/>
            <c:explosion val="9"/>
            <c:spPr>
              <a:solidFill>
                <a:srgbClr val="B1FB93"/>
              </a:solidFill>
              <a:ln w="19050">
                <a:solidFill>
                  <a:schemeClr val="lt1"/>
                </a:solidFill>
              </a:ln>
              <a:effectLst/>
            </c:spPr>
            <c:extLst>
              <c:ext xmlns:c16="http://schemas.microsoft.com/office/drawing/2014/chart" uri="{C3380CC4-5D6E-409C-BE32-E72D297353CC}">
                <c16:uniqueId val="{0000000D-35F2-4D8B-8469-5C3F22C09B8D}"/>
              </c:ext>
            </c:extLst>
          </c:dPt>
          <c:dPt>
            <c:idx val="7"/>
            <c:bubble3D val="0"/>
            <c:spPr>
              <a:solidFill>
                <a:srgbClr val="FFC000"/>
              </a:solidFill>
              <a:ln w="19050">
                <a:solidFill>
                  <a:schemeClr val="lt1"/>
                </a:solidFill>
              </a:ln>
              <a:effectLst/>
            </c:spPr>
            <c:extLst>
              <c:ext xmlns:c16="http://schemas.microsoft.com/office/drawing/2014/chart" uri="{C3380CC4-5D6E-409C-BE32-E72D297353CC}">
                <c16:uniqueId val="{0000000F-35F2-4D8B-8469-5C3F22C09B8D}"/>
              </c:ext>
            </c:extLst>
          </c:dPt>
          <c:dPt>
            <c:idx val="8"/>
            <c:bubble3D val="0"/>
            <c:spPr>
              <a:solidFill>
                <a:srgbClr val="00B050"/>
              </a:solidFill>
              <a:ln w="19050">
                <a:solidFill>
                  <a:schemeClr val="lt1"/>
                </a:solidFill>
              </a:ln>
              <a:effectLst/>
            </c:spPr>
            <c:extLst>
              <c:ext xmlns:c16="http://schemas.microsoft.com/office/drawing/2014/chart" uri="{C3380CC4-5D6E-409C-BE32-E72D297353CC}">
                <c16:uniqueId val="{00000011-35F2-4D8B-8469-5C3F22C09B8D}"/>
              </c:ext>
            </c:extLst>
          </c:dPt>
          <c:dPt>
            <c:idx val="9"/>
            <c:bubble3D val="0"/>
            <c:spPr>
              <a:solidFill>
                <a:srgbClr val="3690A8"/>
              </a:solidFill>
              <a:ln w="19050">
                <a:solidFill>
                  <a:schemeClr val="lt1"/>
                </a:solidFill>
              </a:ln>
              <a:effectLst/>
            </c:spPr>
            <c:extLst>
              <c:ext xmlns:c16="http://schemas.microsoft.com/office/drawing/2014/chart" uri="{C3380CC4-5D6E-409C-BE32-E72D297353CC}">
                <c16:uniqueId val="{00000013-35F2-4D8B-8469-5C3F22C09B8D}"/>
              </c:ext>
            </c:extLst>
          </c:dPt>
          <c:dPt>
            <c:idx val="10"/>
            <c:bubble3D val="0"/>
            <c:spPr>
              <a:solidFill>
                <a:srgbClr val="44546A">
                  <a:lumMod val="60000"/>
                  <a:lumOff val="40000"/>
                </a:srgbClr>
              </a:solidFill>
              <a:ln w="19050">
                <a:solidFill>
                  <a:schemeClr val="lt1"/>
                </a:solidFill>
              </a:ln>
              <a:effectLst/>
            </c:spPr>
            <c:extLst>
              <c:ext xmlns:c16="http://schemas.microsoft.com/office/drawing/2014/chart" uri="{C3380CC4-5D6E-409C-BE32-E72D297353CC}">
                <c16:uniqueId val="{00000015-35F2-4D8B-8469-5C3F22C09B8D}"/>
              </c:ext>
            </c:extLst>
          </c:dPt>
          <c:dPt>
            <c:idx val="11"/>
            <c:bubble3D val="0"/>
            <c:spPr>
              <a:solidFill>
                <a:schemeClr val="bg2">
                  <a:lumMod val="50000"/>
                </a:schemeClr>
              </a:solidFill>
              <a:ln w="19050">
                <a:noFill/>
              </a:ln>
              <a:effectLst/>
            </c:spPr>
            <c:extLst>
              <c:ext xmlns:c16="http://schemas.microsoft.com/office/drawing/2014/chart" uri="{C3380CC4-5D6E-409C-BE32-E72D297353CC}">
                <c16:uniqueId val="{00000017-35F2-4D8B-8469-5C3F22C09B8D}"/>
              </c:ext>
            </c:extLst>
          </c:dPt>
          <c:dPt>
            <c:idx val="12"/>
            <c:bubble3D val="0"/>
            <c:spPr>
              <a:solidFill>
                <a:srgbClr val="A2C2E8"/>
              </a:solidFill>
              <a:ln w="19050">
                <a:solidFill>
                  <a:schemeClr val="lt1"/>
                </a:solidFill>
              </a:ln>
              <a:effectLst/>
            </c:spPr>
            <c:extLst>
              <c:ext xmlns:c16="http://schemas.microsoft.com/office/drawing/2014/chart" uri="{C3380CC4-5D6E-409C-BE32-E72D297353CC}">
                <c16:uniqueId val="{00000019-35F2-4D8B-8469-5C3F22C09B8D}"/>
              </c:ext>
            </c:extLst>
          </c:dPt>
          <c:dPt>
            <c:idx val="13"/>
            <c:bubble3D val="0"/>
            <c:spPr>
              <a:solidFill>
                <a:srgbClr val="4472C4">
                  <a:lumMod val="60000"/>
                  <a:lumOff val="40000"/>
                </a:srgbClr>
              </a:solidFill>
            </c:spPr>
            <c:extLst>
              <c:ext xmlns:c16="http://schemas.microsoft.com/office/drawing/2014/chart" uri="{C3380CC4-5D6E-409C-BE32-E72D297353CC}">
                <c16:uniqueId val="{0000001B-35F2-4D8B-8469-5C3F22C09B8D}"/>
              </c:ext>
            </c:extLst>
          </c:dPt>
          <c:dLbls>
            <c:dLbl>
              <c:idx val="0"/>
              <c:layout>
                <c:manualLayout>
                  <c:x val="-2.4306537755166661E-2"/>
                  <c:y val="1.612367261431761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F2-4D8B-8469-5C3F22C09B8D}"/>
                </c:ext>
              </c:extLst>
            </c:dLbl>
            <c:dLbl>
              <c:idx val="1"/>
              <c:layout>
                <c:manualLayout>
                  <c:x val="-1.3479590185275099E-2"/>
                  <c:y val="-1.166975687672068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F2-4D8B-8469-5C3F22C09B8D}"/>
                </c:ext>
              </c:extLst>
            </c:dLbl>
            <c:dLbl>
              <c:idx val="2"/>
              <c:layout>
                <c:manualLayout>
                  <c:x val="-6.0955190587771706E-2"/>
                  <c:y val="-1.006204499666908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F2-4D8B-8469-5C3F22C09B8D}"/>
                </c:ext>
              </c:extLst>
            </c:dLbl>
            <c:dLbl>
              <c:idx val="3"/>
              <c:delete val="1"/>
              <c:extLst>
                <c:ext xmlns:c15="http://schemas.microsoft.com/office/drawing/2012/chart" uri="{CE6537A1-D6FC-4f65-9D91-7224C49458BB}"/>
                <c:ext xmlns:c16="http://schemas.microsoft.com/office/drawing/2014/chart" uri="{C3380CC4-5D6E-409C-BE32-E72D297353CC}">
                  <c16:uniqueId val="{00000007-35F2-4D8B-8469-5C3F22C09B8D}"/>
                </c:ext>
              </c:extLst>
            </c:dLbl>
            <c:dLbl>
              <c:idx val="4"/>
              <c:layout>
                <c:manualLayout>
                  <c:x val="-4.5148403031390512E-2"/>
                  <c:y val="1.347773042131196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F2-4D8B-8469-5C3F22C09B8D}"/>
                </c:ext>
              </c:extLst>
            </c:dLbl>
            <c:dLbl>
              <c:idx val="5"/>
              <c:layout>
                <c:manualLayout>
                  <c:x val="-2.9043789097408401E-2"/>
                  <c:y val="-4.1322529637923724E-2"/>
                </c:manualLayout>
              </c:layout>
              <c:tx>
                <c:rich>
                  <a:bodyPr/>
                  <a:lstStyle/>
                  <a:p>
                    <a:fld id="{7030CE4C-DEC9-43F7-B4B5-D57E402BFFA4}" type="CATEGORYNAME">
                      <a:rPr lang="en-US" sz="650">
                        <a:solidFill>
                          <a:sysClr val="windowText" lastClr="000000"/>
                        </a:solidFill>
                        <a:latin typeface="Times New Roman"/>
                        <a:cs typeface="Times New Roman"/>
                      </a:rPr>
                      <a:pPr/>
                      <a:t>[CATEGORY NAME]</a:t>
                    </a:fld>
                    <a:r>
                      <a:rPr lang="en-US" sz="650" baseline="0">
                        <a:solidFill>
                          <a:sysClr val="windowText" lastClr="000000"/>
                        </a:solidFill>
                        <a:latin typeface="Times New Roman"/>
                        <a:cs typeface="Times New Roman"/>
                      </a:rPr>
                      <a:t>, </a:t>
                    </a:r>
                    <a:fld id="{4076C04C-8259-448F-B92F-BFBEAAF287A5}" type="VALUE">
                      <a:rPr lang="en-US" sz="650" baseline="0">
                        <a:solidFill>
                          <a:sysClr val="windowText" lastClr="000000"/>
                        </a:solidFill>
                        <a:latin typeface="Times New Roman"/>
                        <a:cs typeface="Times New Roman"/>
                      </a:rPr>
                      <a:pPr/>
                      <a:t>[VALUE]</a:t>
                    </a:fld>
                    <a:endParaRPr lang="en-US" sz="650" baseline="0">
                      <a:solidFill>
                        <a:sysClr val="windowText" lastClr="000000"/>
                      </a:solidFill>
                      <a:latin typeface="Times New Roman"/>
                      <a:cs typeface="Times New Roman"/>
                    </a:endParaRP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5F2-4D8B-8469-5C3F22C09B8D}"/>
                </c:ext>
              </c:extLst>
            </c:dLbl>
            <c:dLbl>
              <c:idx val="6"/>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F2-4D8B-8469-5C3F22C09B8D}"/>
                </c:ext>
              </c:extLst>
            </c:dLbl>
            <c:dLbl>
              <c:idx val="7"/>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5F2-4D8B-8469-5C3F22C09B8D}"/>
                </c:ext>
              </c:extLst>
            </c:dLbl>
            <c:dLbl>
              <c:idx val="8"/>
              <c:tx>
                <c:rich>
                  <a:bodyPr/>
                  <a:lstStyle/>
                  <a:p>
                    <a:fld id="{D0F2674C-1793-4B25-A40F-5C383B749FC1}" type="CATEGORYNAME">
                      <a:rPr lang="en-US" sz="600"/>
                      <a:pPr/>
                      <a:t>[CATEGORY NAME]</a:t>
                    </a:fld>
                    <a:r>
                      <a:rPr lang="en-US" sz="600" baseline="0"/>
                      <a:t>, </a:t>
                    </a:r>
                    <a:fld id="{0E9C1C34-12B4-4742-823B-A012C1935A94}" type="VALUE">
                      <a:rPr lang="en-US" sz="600" baseline="0"/>
                      <a:pPr/>
                      <a:t>[VALUE]</a:t>
                    </a:fld>
                    <a:endParaRPr lang="en-US" sz="600" baseline="0"/>
                  </a:p>
                </c:rich>
              </c:tx>
              <c:dLblPos val="ct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5F2-4D8B-8469-5C3F22C09B8D}"/>
                </c:ext>
              </c:extLst>
            </c:dLbl>
            <c:dLbl>
              <c:idx val="9"/>
              <c:numFmt formatCode="#\ ##0," sourceLinked="0"/>
              <c:spPr>
                <a:noFill/>
                <a:ln>
                  <a:noFill/>
                </a:ln>
                <a:effectLst/>
              </c:spPr>
              <c:txPr>
                <a:bodyPr rot="0" spcFirstLastPara="1" vertOverflow="ellipsis" vert="horz" wrap="square" lIns="38100" tIns="19050" rIns="38100" bIns="19050" anchor="ctr" anchorCtr="1">
                  <a:noAutofit/>
                </a:bodyPr>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dLblPos val="ctr"/>
              <c:showLegendKey val="0"/>
              <c:showVal val="1"/>
              <c:showCatName val="1"/>
              <c:showSerName val="0"/>
              <c:showPercent val="0"/>
              <c:showBubbleSize val="0"/>
              <c:extLst>
                <c:ext xmlns:c15="http://schemas.microsoft.com/office/drawing/2012/chart" uri="{CE6537A1-D6FC-4f65-9D91-7224C49458BB}">
                  <c15:layout>
                    <c:manualLayout>
                      <c:w val="0.18863705572715012"/>
                      <c:h val="8.3012677660575435E-2"/>
                    </c:manualLayout>
                  </c15:layout>
                </c:ext>
                <c:ext xmlns:c16="http://schemas.microsoft.com/office/drawing/2014/chart" uri="{C3380CC4-5D6E-409C-BE32-E72D297353CC}">
                  <c16:uniqueId val="{00000013-35F2-4D8B-8469-5C3F22C09B8D}"/>
                </c:ext>
              </c:extLst>
            </c:dLbl>
            <c:dLbl>
              <c:idx val="10"/>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5F2-4D8B-8469-5C3F22C09B8D}"/>
                </c:ext>
              </c:extLst>
            </c:dLbl>
            <c:dLbl>
              <c:idx val="11"/>
              <c:layout>
                <c:manualLayout>
                  <c:x val="-0.13310635927790579"/>
                  <c:y val="-1.8694269176618835E-3"/>
                </c:manualLayout>
              </c:layout>
              <c:numFmt formatCode="#\ ##0," sourceLinked="0"/>
              <c:spPr>
                <a:noFill/>
                <a:ln>
                  <a:noFill/>
                </a:ln>
                <a:effectLst/>
              </c:spPr>
              <c:txPr>
                <a:bodyPr rot="0" spcFirstLastPara="1" vertOverflow="ellipsis" vert="horz" wrap="square" lIns="38100" tIns="19050" rIns="38100" bIns="19050" anchor="ctr" anchorCtr="1">
                  <a:noAutofit/>
                </a:bodyPr>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7-35F2-4D8B-8469-5C3F22C09B8D}"/>
                </c:ext>
              </c:extLst>
            </c:dLbl>
            <c:dLbl>
              <c:idx val="12"/>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5F2-4D8B-8469-5C3F22C09B8D}"/>
                </c:ext>
              </c:extLst>
            </c:dLbl>
            <c:dLbl>
              <c:idx val="13"/>
              <c:layout>
                <c:manualLayout>
                  <c:x val="-0.19622156605424321"/>
                  <c:y val="2.1849718561593261E-3"/>
                </c:manualLayout>
              </c:layout>
              <c:tx>
                <c:rich>
                  <a:bodyPr/>
                  <a:lstStyle/>
                  <a:p>
                    <a:r>
                      <a:rPr lang="en-US"/>
                      <a:t>Programme, </a:t>
                    </a:r>
                    <a:fld id="{895AB359-3FE8-4496-8DE8-1AAA589E6999}"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35F2-4D8B-8469-5C3F22C09B8D}"/>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T"/>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'[2022 ARFS Master table -1 Jun 2023 update.xlsx]SFD tables'!$AB$5:$AB$17</c:f>
              <c:strCache>
                <c:ptCount val="13"/>
                <c:pt idx="0">
                  <c:v>Special purpose and other</c:v>
                </c:pt>
                <c:pt idx="1">
                  <c:v>Independent oversight and assurance</c:v>
                </c:pt>
                <c:pt idx="2">
                  <c:v>Management</c:v>
                </c:pt>
                <c:pt idx="3">
                  <c:v>United Nations development coordination</c:v>
                </c:pt>
                <c:pt idx="4">
                  <c:v>Operational support to progarmme</c:v>
                </c:pt>
                <c:pt idx="5">
                  <c:v>Development effectiveness</c:v>
                </c:pt>
                <c:pt idx="6">
                  <c:v>Africa</c:v>
                </c:pt>
                <c:pt idx="7">
                  <c:v>Arab States</c:v>
                </c:pt>
                <c:pt idx="8">
                  <c:v>Asia and the Pacific</c:v>
                </c:pt>
                <c:pt idx="9">
                  <c:v>Europe and the CIS</c:v>
                </c:pt>
                <c:pt idx="10">
                  <c:v>Latin America and the Caribbean</c:v>
                </c:pt>
                <c:pt idx="11">
                  <c:v>PAPP</c:v>
                </c:pt>
                <c:pt idx="12">
                  <c:v>Global and others</c:v>
                </c:pt>
              </c:strCache>
            </c:strRef>
          </c:cat>
          <c:val>
            <c:numRef>
              <c:f>'[2022 ARFS Master table -1 Jun 2023 update.xlsx]SFD tables'!$AC$5:$AC$17</c:f>
              <c:numCache>
                <c:formatCode>"$"#,##0,</c:formatCode>
                <c:ptCount val="13"/>
                <c:pt idx="0">
                  <c:v>269730.10806300084</c:v>
                </c:pt>
                <c:pt idx="1">
                  <c:v>32962.350350000001</c:v>
                </c:pt>
                <c:pt idx="2">
                  <c:v>462516.04557799984</c:v>
                </c:pt>
                <c:pt idx="3">
                  <c:v>-20.609160000000017</c:v>
                </c:pt>
                <c:pt idx="4">
                  <c:v>31884.123</c:v>
                </c:pt>
                <c:pt idx="5">
                  <c:v>188252.84477</c:v>
                </c:pt>
                <c:pt idx="6">
                  <c:v>1190114</c:v>
                </c:pt>
                <c:pt idx="7">
                  <c:v>861913</c:v>
                </c:pt>
                <c:pt idx="8">
                  <c:v>719221</c:v>
                </c:pt>
                <c:pt idx="9">
                  <c:v>524417</c:v>
                </c:pt>
                <c:pt idx="10">
                  <c:v>961616</c:v>
                </c:pt>
                <c:pt idx="11">
                  <c:v>64994</c:v>
                </c:pt>
                <c:pt idx="12">
                  <c:v>309921</c:v>
                </c:pt>
              </c:numCache>
            </c:numRef>
          </c:val>
          <c:extLst>
            <c:ext xmlns:c16="http://schemas.microsoft.com/office/drawing/2014/chart" uri="{C3380CC4-5D6E-409C-BE32-E72D297353CC}">
              <c16:uniqueId val="{0000001C-35F2-4D8B-8469-5C3F22C09B8D}"/>
            </c:ext>
          </c:extLst>
        </c:ser>
        <c:dLbls>
          <c:dLblPos val="bestFit"/>
          <c:showLegendKey val="0"/>
          <c:showVal val="1"/>
          <c:showCatName val="0"/>
          <c:showSerName val="0"/>
          <c:showPercent val="0"/>
          <c:showBubbleSize val="0"/>
          <c:showLeaderLines val="1"/>
        </c:dLbls>
        <c:gapWidth val="86"/>
        <c:splitType val="pos"/>
        <c:splitPos val="7"/>
        <c:secondPieSize val="80"/>
        <c:serLines>
          <c:spPr>
            <a:ln w="9525" cap="flat" cmpd="sng" algn="ctr">
              <a:solidFill>
                <a:schemeClr val="accent3">
                  <a:shade val="95000"/>
                  <a:satMod val="105000"/>
                </a:schemeClr>
              </a:solidFill>
              <a:prstDash val="solid"/>
              <a:round/>
            </a:ln>
            <a:effectLst/>
          </c:spPr>
        </c:serLines>
      </c:of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I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'[2022 ARFS Master table -15 Jun 2023 update.xlsx]ARFS Tables - Exp'!$O$30</c:f>
              <c:strCache>
                <c:ptCount val="1"/>
                <c:pt idx="0">
                  <c:v> Regular resources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'[2022 ARFS Master table -15 Jun 2023 update.xlsx]ARFS Tables - Exp'!$L$31:$M$50</c:f>
              <c:multiLvlStrCache>
                <c:ptCount val="20"/>
                <c:lvl>
                  <c:pt idx="0">
                    <c:v>2022</c:v>
                  </c:pt>
                  <c:pt idx="1">
                    <c:v>2021</c:v>
                  </c:pt>
                  <c:pt idx="3">
                    <c:v>2022</c:v>
                  </c:pt>
                  <c:pt idx="4">
                    <c:v>2021</c:v>
                  </c:pt>
                  <c:pt idx="6">
                    <c:v>2022</c:v>
                  </c:pt>
                  <c:pt idx="7">
                    <c:v>2021</c:v>
                  </c:pt>
                  <c:pt idx="9">
                    <c:v>2022</c:v>
                  </c:pt>
                  <c:pt idx="10">
                    <c:v>2021</c:v>
                  </c:pt>
                  <c:pt idx="12">
                    <c:v>2022</c:v>
                  </c:pt>
                  <c:pt idx="13">
                    <c:v>2021</c:v>
                  </c:pt>
                  <c:pt idx="15">
                    <c:v>2022</c:v>
                  </c:pt>
                  <c:pt idx="16">
                    <c:v>2021</c:v>
                  </c:pt>
                  <c:pt idx="18">
                    <c:v>2022</c:v>
                  </c:pt>
                  <c:pt idx="19">
                    <c:v>2021</c:v>
                  </c:pt>
                </c:lvl>
                <c:lvl>
                  <c:pt idx="0">
                    <c:v>Africa </c:v>
                  </c:pt>
                  <c:pt idx="3">
                    <c:v>Arab States </c:v>
                  </c:pt>
                  <c:pt idx="6">
                    <c:v>Asia and the Pacific </c:v>
                  </c:pt>
                  <c:pt idx="9">
                    <c:v>Europe and the CIS </c:v>
                  </c:pt>
                  <c:pt idx="12">
                    <c:v>Latin America and the Caribbean</c:v>
                  </c:pt>
                  <c:pt idx="15">
                    <c:v>PAPP </c:v>
                  </c:pt>
                  <c:pt idx="18">
                    <c:v>Global and others </c:v>
                  </c:pt>
                </c:lvl>
              </c:multiLvlStrCache>
            </c:multiLvlStrRef>
          </c:cat>
          <c:val>
            <c:numRef>
              <c:f>'[2022 ARFS Master table -15 Jun 2023 update.xlsx]ARFS Tables - Exp'!$O$31:$O$50</c:f>
              <c:numCache>
                <c:formatCode>#,##0,,</c:formatCode>
                <c:ptCount val="20"/>
                <c:pt idx="0">
                  <c:v>268734527.50999963</c:v>
                </c:pt>
                <c:pt idx="1">
                  <c:v>267521782.14699966</c:v>
                </c:pt>
                <c:pt idx="3">
                  <c:v>45099778.369999975</c:v>
                </c:pt>
                <c:pt idx="4">
                  <c:v>29192830.491999857</c:v>
                </c:pt>
                <c:pt idx="6">
                  <c:v>68012046.829999775</c:v>
                </c:pt>
                <c:pt idx="7">
                  <c:v>59197987.299999997</c:v>
                </c:pt>
                <c:pt idx="9">
                  <c:v>18835396.459999967</c:v>
                </c:pt>
                <c:pt idx="10">
                  <c:v>14146761.034999972</c:v>
                </c:pt>
                <c:pt idx="12">
                  <c:v>21609038.049999993</c:v>
                </c:pt>
                <c:pt idx="13">
                  <c:v>18789140.309999991</c:v>
                </c:pt>
                <c:pt idx="15">
                  <c:v>2522784.0999999898</c:v>
                </c:pt>
                <c:pt idx="16">
                  <c:v>2459852.1199999899</c:v>
                </c:pt>
                <c:pt idx="18">
                  <c:v>8813108.6399999</c:v>
                </c:pt>
                <c:pt idx="19">
                  <c:v>15956455.086000089</c:v>
                </c:pt>
              </c:numCache>
            </c:numRef>
          </c:val>
          <c:extLst>
            <c:ext xmlns:c16="http://schemas.microsoft.com/office/drawing/2014/chart" uri="{C3380CC4-5D6E-409C-BE32-E72D297353CC}">
              <c16:uniqueId val="{00000000-7B80-467C-88DA-AF18D15013AB}"/>
            </c:ext>
          </c:extLst>
        </c:ser>
        <c:ser>
          <c:idx val="1"/>
          <c:order val="1"/>
          <c:tx>
            <c:strRef>
              <c:f>'[2022 ARFS Master table -15 Jun 2023 update.xlsx]ARFS Tables - Exp'!$N$30</c:f>
              <c:strCache>
                <c:ptCount val="1"/>
                <c:pt idx="0">
                  <c:v> Other resources </c:v>
                </c:pt>
              </c:strCache>
            </c:strRef>
          </c:tx>
          <c:spPr>
            <a:solidFill>
              <a:srgbClr val="BCE292"/>
            </a:solidFill>
            <a:ln>
              <a:noFill/>
            </a:ln>
            <a:effectLst/>
          </c:spPr>
          <c:invertIfNegative val="0"/>
          <c:dLbls>
            <c:dLbl>
              <c:idx val="15"/>
              <c:layout>
                <c:manualLayout>
                  <c:x val="2.5484199796127335E-3"/>
                  <c:y val="-2.4516432728517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80-467C-88DA-AF18D15013AB}"/>
                </c:ext>
              </c:extLst>
            </c:dLbl>
            <c:dLbl>
              <c:idx val="16"/>
              <c:layout>
                <c:manualLayout>
                  <c:x val="9.3440986480880682E-17"/>
                  <c:y val="-1.5639621134314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80-467C-88DA-AF18D15013AB}"/>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'[2022 ARFS Master table -15 Jun 2023 update.xlsx]ARFS Tables - Exp'!$L$31:$M$50</c:f>
              <c:multiLvlStrCache>
                <c:ptCount val="20"/>
                <c:lvl>
                  <c:pt idx="0">
                    <c:v>2022</c:v>
                  </c:pt>
                  <c:pt idx="1">
                    <c:v>2021</c:v>
                  </c:pt>
                  <c:pt idx="3">
                    <c:v>2022</c:v>
                  </c:pt>
                  <c:pt idx="4">
                    <c:v>2021</c:v>
                  </c:pt>
                  <c:pt idx="6">
                    <c:v>2022</c:v>
                  </c:pt>
                  <c:pt idx="7">
                    <c:v>2021</c:v>
                  </c:pt>
                  <c:pt idx="9">
                    <c:v>2022</c:v>
                  </c:pt>
                  <c:pt idx="10">
                    <c:v>2021</c:v>
                  </c:pt>
                  <c:pt idx="12">
                    <c:v>2022</c:v>
                  </c:pt>
                  <c:pt idx="13">
                    <c:v>2021</c:v>
                  </c:pt>
                  <c:pt idx="15">
                    <c:v>2022</c:v>
                  </c:pt>
                  <c:pt idx="16">
                    <c:v>2021</c:v>
                  </c:pt>
                  <c:pt idx="18">
                    <c:v>2022</c:v>
                  </c:pt>
                  <c:pt idx="19">
                    <c:v>2021</c:v>
                  </c:pt>
                </c:lvl>
                <c:lvl>
                  <c:pt idx="0">
                    <c:v>Africa </c:v>
                  </c:pt>
                  <c:pt idx="3">
                    <c:v>Arab States </c:v>
                  </c:pt>
                  <c:pt idx="6">
                    <c:v>Asia and the Pacific </c:v>
                  </c:pt>
                  <c:pt idx="9">
                    <c:v>Europe and the CIS </c:v>
                  </c:pt>
                  <c:pt idx="12">
                    <c:v>Latin America and the Caribbean</c:v>
                  </c:pt>
                  <c:pt idx="15">
                    <c:v>PAPP </c:v>
                  </c:pt>
                  <c:pt idx="18">
                    <c:v>Global and others </c:v>
                  </c:pt>
                </c:lvl>
              </c:multiLvlStrCache>
            </c:multiLvlStrRef>
          </c:cat>
          <c:val>
            <c:numRef>
              <c:f>'[2022 ARFS Master table -15 Jun 2023 update.xlsx]ARFS Tables - Exp'!$N$31:$N$50</c:f>
              <c:numCache>
                <c:formatCode>#,##0,,</c:formatCode>
                <c:ptCount val="20"/>
                <c:pt idx="0">
                  <c:v>921379887.89499927</c:v>
                </c:pt>
                <c:pt idx="1">
                  <c:v>878221916.18499863</c:v>
                </c:pt>
                <c:pt idx="3">
                  <c:v>816813409.32999873</c:v>
                </c:pt>
                <c:pt idx="4">
                  <c:v>814434619.32499862</c:v>
                </c:pt>
                <c:pt idx="6">
                  <c:v>651208728.1029985</c:v>
                </c:pt>
                <c:pt idx="7">
                  <c:v>676675445.01599884</c:v>
                </c:pt>
                <c:pt idx="9">
                  <c:v>505581428.32999933</c:v>
                </c:pt>
                <c:pt idx="10">
                  <c:v>487231446.98099971</c:v>
                </c:pt>
                <c:pt idx="12">
                  <c:v>940007430.6999979</c:v>
                </c:pt>
                <c:pt idx="13">
                  <c:v>1081212475.8399992</c:v>
                </c:pt>
                <c:pt idx="15">
                  <c:v>62471579.229999937</c:v>
                </c:pt>
                <c:pt idx="16">
                  <c:v>66293503.219999947</c:v>
                </c:pt>
                <c:pt idx="18">
                  <c:v>301107518.19999975</c:v>
                </c:pt>
                <c:pt idx="19">
                  <c:v>240205717.77299947</c:v>
                </c:pt>
              </c:numCache>
            </c:numRef>
          </c:val>
          <c:extLst>
            <c:ext xmlns:c16="http://schemas.microsoft.com/office/drawing/2014/chart" uri="{C3380CC4-5D6E-409C-BE32-E72D297353CC}">
              <c16:uniqueId val="{00000003-7B80-467C-88DA-AF18D15013AB}"/>
            </c:ext>
          </c:extLst>
        </c:ser>
        <c:ser>
          <c:idx val="2"/>
          <c:order val="2"/>
          <c:tx>
            <c:strRef>
              <c:f>'[2022 ARFS Master table -15 Jun 2023 update.xlsx]ARFS Tables - Exp'!$P$30</c:f>
              <c:strCache>
                <c:ptCount val="1"/>
                <c:pt idx="0">
                  <c:v> Total </c:v>
                </c:pt>
              </c:strCache>
            </c:strRef>
          </c:tx>
          <c:spPr>
            <a:noFill/>
            <a:ln>
              <a:noFill/>
            </a:ln>
            <a:effectLst/>
          </c:spPr>
          <c:invertIfNegative val="0"/>
          <c:dLbls>
            <c:dLbl>
              <c:idx val="1"/>
              <c:layout>
                <c:manualLayout>
                  <c:x val="2.3410979749502497E-2"/>
                  <c:y val="1.731183741697092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80-467C-88DA-AF18D15013AB}"/>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'[2022 ARFS Master table -15 Jun 2023 update.xlsx]ARFS Tables - Exp'!$L$31:$M$50</c:f>
              <c:multiLvlStrCache>
                <c:ptCount val="20"/>
                <c:lvl>
                  <c:pt idx="0">
                    <c:v>2022</c:v>
                  </c:pt>
                  <c:pt idx="1">
                    <c:v>2021</c:v>
                  </c:pt>
                  <c:pt idx="3">
                    <c:v>2022</c:v>
                  </c:pt>
                  <c:pt idx="4">
                    <c:v>2021</c:v>
                  </c:pt>
                  <c:pt idx="6">
                    <c:v>2022</c:v>
                  </c:pt>
                  <c:pt idx="7">
                    <c:v>2021</c:v>
                  </c:pt>
                  <c:pt idx="9">
                    <c:v>2022</c:v>
                  </c:pt>
                  <c:pt idx="10">
                    <c:v>2021</c:v>
                  </c:pt>
                  <c:pt idx="12">
                    <c:v>2022</c:v>
                  </c:pt>
                  <c:pt idx="13">
                    <c:v>2021</c:v>
                  </c:pt>
                  <c:pt idx="15">
                    <c:v>2022</c:v>
                  </c:pt>
                  <c:pt idx="16">
                    <c:v>2021</c:v>
                  </c:pt>
                  <c:pt idx="18">
                    <c:v>2022</c:v>
                  </c:pt>
                  <c:pt idx="19">
                    <c:v>2021</c:v>
                  </c:pt>
                </c:lvl>
                <c:lvl>
                  <c:pt idx="0">
                    <c:v>Africa </c:v>
                  </c:pt>
                  <c:pt idx="3">
                    <c:v>Arab States </c:v>
                  </c:pt>
                  <c:pt idx="6">
                    <c:v>Asia and the Pacific </c:v>
                  </c:pt>
                  <c:pt idx="9">
                    <c:v>Europe and the CIS </c:v>
                  </c:pt>
                  <c:pt idx="12">
                    <c:v>Latin America and the Caribbean</c:v>
                  </c:pt>
                  <c:pt idx="15">
                    <c:v>PAPP </c:v>
                  </c:pt>
                  <c:pt idx="18">
                    <c:v>Global and others </c:v>
                  </c:pt>
                </c:lvl>
              </c:multiLvlStrCache>
            </c:multiLvlStrRef>
          </c:cat>
          <c:val>
            <c:numRef>
              <c:f>'[2022 ARFS Master table -15 Jun 2023 update.xlsx]ARFS Tables - Exp'!$P$31:$P$50</c:f>
              <c:numCache>
                <c:formatCode>#,##0,,</c:formatCode>
                <c:ptCount val="20"/>
                <c:pt idx="0">
                  <c:v>1190114415.4049988</c:v>
                </c:pt>
                <c:pt idx="1">
                  <c:v>1145743698.3319983</c:v>
                </c:pt>
                <c:pt idx="3">
                  <c:v>861913187.69999874</c:v>
                </c:pt>
                <c:pt idx="4">
                  <c:v>843627449.81699848</c:v>
                </c:pt>
                <c:pt idx="6">
                  <c:v>719220774.9329983</c:v>
                </c:pt>
                <c:pt idx="7">
                  <c:v>735873432.31599879</c:v>
                </c:pt>
                <c:pt idx="9">
                  <c:v>524416824.78999931</c:v>
                </c:pt>
                <c:pt idx="10">
                  <c:v>501378208.01599967</c:v>
                </c:pt>
                <c:pt idx="12">
                  <c:v>961616468.74999785</c:v>
                </c:pt>
                <c:pt idx="13">
                  <c:v>1100001616.1499991</c:v>
                </c:pt>
                <c:pt idx="15">
                  <c:v>64994363.329999924</c:v>
                </c:pt>
                <c:pt idx="16">
                  <c:v>68753355.339999944</c:v>
                </c:pt>
                <c:pt idx="18">
                  <c:v>309920626.83999968</c:v>
                </c:pt>
                <c:pt idx="19">
                  <c:v>256162172.85899955</c:v>
                </c:pt>
              </c:numCache>
            </c:numRef>
          </c:val>
          <c:extLst>
            <c:ext xmlns:c16="http://schemas.microsoft.com/office/drawing/2014/chart" uri="{C3380CC4-5D6E-409C-BE32-E72D297353CC}">
              <c16:uniqueId val="{00000004-7B80-467C-88DA-AF18D15013AB}"/>
            </c:ext>
          </c:extLst>
        </c:ser>
        <c:dLbls>
          <c:showLegendKey val="0"/>
          <c:showVal val="0"/>
          <c:showCatName val="0"/>
          <c:showSerName val="0"/>
          <c:showPercent val="0"/>
          <c:showBubbleSize val="0"/>
        </c:dLbls>
        <c:gapWidth val="24"/>
        <c:overlap val="100"/>
        <c:axId val="866231440"/>
        <c:axId val="866254736"/>
      </c:barChart>
      <c:catAx>
        <c:axId val="86623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866254736"/>
        <c:crosses val="autoZero"/>
        <c:auto val="1"/>
        <c:lblAlgn val="ctr"/>
        <c:lblOffset val="100"/>
        <c:noMultiLvlLbl val="0"/>
      </c:catAx>
      <c:valAx>
        <c:axId val="866254736"/>
        <c:scaling>
          <c:orientation val="minMax"/>
          <c:max val="1200000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8662314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 ARFS Master table -15 Jun 2023 update.xlsx]Budget'!$C$5</c:f>
              <c:strCache>
                <c:ptCount val="1"/>
                <c:pt idx="0">
                  <c:v>Final approved budget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update.xlsx]Budget'!$B$6:$B$12</c:f>
              <c:strCache>
                <c:ptCount val="6"/>
                <c:pt idx="0">
                  <c:v>Development - programme</c:v>
                </c:pt>
                <c:pt idx="1">
                  <c:v>Development effectiveness</c:v>
                </c:pt>
                <c:pt idx="2">
                  <c:v>Management</c:v>
                </c:pt>
                <c:pt idx="3">
                  <c:v>Independent oversight and assurance</c:v>
                </c:pt>
                <c:pt idx="4">
                  <c:v>United Nations development coordination</c:v>
                </c:pt>
                <c:pt idx="5">
                  <c:v>Special purpose </c:v>
                </c:pt>
              </c:strCache>
              <c:extLst/>
            </c:strRef>
          </c:cat>
          <c:val>
            <c:numRef>
              <c:f>'[2022 ARFS Master table -15 Jun 2023 update.xlsx]Budget'!$C$6:$C$12</c:f>
              <c:numCache>
                <c:formatCode>_(* #,##0_);_(* \(#,##0\);_(* "-"??_);_(@_)</c:formatCode>
                <c:ptCount val="6"/>
                <c:pt idx="0">
                  <c:v>467</c:v>
                </c:pt>
                <c:pt idx="1">
                  <c:v>117</c:v>
                </c:pt>
                <c:pt idx="2">
                  <c:v>146</c:v>
                </c:pt>
                <c:pt idx="3">
                  <c:v>21</c:v>
                </c:pt>
                <c:pt idx="4">
                  <c:v>12</c:v>
                </c:pt>
                <c:pt idx="5">
                  <c:v>11.055999999999999</c:v>
                </c:pt>
              </c:numCache>
              <c:extLst/>
            </c:numRef>
          </c:val>
          <c:extLst>
            <c:ext xmlns:c16="http://schemas.microsoft.com/office/drawing/2014/chart" uri="{C3380CC4-5D6E-409C-BE32-E72D297353CC}">
              <c16:uniqueId val="{00000000-1824-4AEB-AAC0-9034BC22C0AC}"/>
            </c:ext>
          </c:extLst>
        </c:ser>
        <c:ser>
          <c:idx val="1"/>
          <c:order val="1"/>
          <c:tx>
            <c:strRef>
              <c:f>'[2022 ARFS Master table -15 Jun 2023 update.xlsx]Budget'!$D$5</c:f>
              <c:strCache>
                <c:ptCount val="1"/>
                <c:pt idx="0">
                  <c:v>Actual expenditures </c:v>
                </c:pt>
              </c:strCache>
            </c:strRef>
          </c:tx>
          <c:spPr>
            <a:solidFill>
              <a:srgbClr val="ABDB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ARFS Master table -15 Jun 2023 update.xlsx]Budget'!$B$6:$B$12</c:f>
              <c:strCache>
                <c:ptCount val="6"/>
                <c:pt idx="0">
                  <c:v>Development - programme</c:v>
                </c:pt>
                <c:pt idx="1">
                  <c:v>Development effectiveness</c:v>
                </c:pt>
                <c:pt idx="2">
                  <c:v>Management</c:v>
                </c:pt>
                <c:pt idx="3">
                  <c:v>Independent oversight and assurance</c:v>
                </c:pt>
                <c:pt idx="4">
                  <c:v>United Nations development coordination</c:v>
                </c:pt>
                <c:pt idx="5">
                  <c:v>Special purpose </c:v>
                </c:pt>
              </c:strCache>
              <c:extLst/>
            </c:strRef>
          </c:cat>
          <c:val>
            <c:numRef>
              <c:f>'[2022 ARFS Master table -15 Jun 2023 update.xlsx]Budget'!$D$6:$D$12</c:f>
              <c:numCache>
                <c:formatCode>_(* #,##0_);_(* \(#,##0\);_(* "-"??_);_(@_)</c:formatCode>
                <c:ptCount val="6"/>
                <c:pt idx="0">
                  <c:v>467</c:v>
                </c:pt>
                <c:pt idx="1">
                  <c:v>114</c:v>
                </c:pt>
                <c:pt idx="2">
                  <c:v>128</c:v>
                </c:pt>
                <c:pt idx="3">
                  <c:v>19</c:v>
                </c:pt>
                <c:pt idx="4">
                  <c:v>11</c:v>
                </c:pt>
                <c:pt idx="5">
                  <c:v>7</c:v>
                </c:pt>
              </c:numCache>
              <c:extLst/>
            </c:numRef>
          </c:val>
          <c:extLst>
            <c:ext xmlns:c16="http://schemas.microsoft.com/office/drawing/2014/chart" uri="{C3380CC4-5D6E-409C-BE32-E72D297353CC}">
              <c16:uniqueId val="{00000001-1824-4AEB-AAC0-9034BC22C0AC}"/>
            </c:ext>
          </c:extLst>
        </c:ser>
        <c:dLbls>
          <c:showLegendKey val="0"/>
          <c:showVal val="0"/>
          <c:showCatName val="0"/>
          <c:showSerName val="0"/>
          <c:showPercent val="0"/>
          <c:showBubbleSize val="0"/>
        </c:dLbls>
        <c:gapWidth val="219"/>
        <c:overlap val="-27"/>
        <c:axId val="358311344"/>
        <c:axId val="1978528704"/>
      </c:barChart>
      <c:catAx>
        <c:axId val="35831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1978528704"/>
        <c:crosses val="autoZero"/>
        <c:auto val="1"/>
        <c:lblAlgn val="ctr"/>
        <c:lblOffset val="100"/>
        <c:noMultiLvlLbl val="0"/>
      </c:catAx>
      <c:valAx>
        <c:axId val="1978528704"/>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crossAx val="358311344"/>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a6e880-2100-4076-a036-02630f62aec7">
      <UserInfo>
        <DisplayName>Lina Fernandez</DisplayName>
        <AccountId>18</AccountId>
        <AccountType/>
      </UserInfo>
      <UserInfo>
        <DisplayName>Akiko Hasegawa</DisplayName>
        <AccountId>10</AccountId>
        <AccountType/>
      </UserInfo>
      <UserInfo>
        <DisplayName>Miriam Kunorubwe</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B930B21383BF46B0DDB2FF01270848" ma:contentTypeVersion="10" ma:contentTypeDescription="Create a new document." ma:contentTypeScope="" ma:versionID="dee271a0d2505d26c4dafc4e170e6fe2">
  <xsd:schema xmlns:xsd="http://www.w3.org/2001/XMLSchema" xmlns:xs="http://www.w3.org/2001/XMLSchema" xmlns:p="http://schemas.microsoft.com/office/2006/metadata/properties" xmlns:ns2="687d58b7-0e32-43ef-afc1-615b239ec1f2" xmlns:ns3="71a6e880-2100-4076-a036-02630f62aec7" targetNamespace="http://schemas.microsoft.com/office/2006/metadata/properties" ma:root="true" ma:fieldsID="224b268e353a5ff86bf1ed38935c922c" ns2:_="" ns3:_="">
    <xsd:import namespace="687d58b7-0e32-43ef-afc1-615b239ec1f2"/>
    <xsd:import namespace="71a6e880-2100-4076-a036-02630f62a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d58b7-0e32-43ef-afc1-615b239ec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6e880-2100-4076-a036-02630f62a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87DF2-059E-4999-AA45-FEC1ECA6A3F4}">
  <ds:schemaRefs>
    <ds:schemaRef ds:uri="http://schemas.microsoft.com/sharepoint/v3/contenttype/forms"/>
  </ds:schemaRefs>
</ds:datastoreItem>
</file>

<file path=customXml/itemProps2.xml><?xml version="1.0" encoding="utf-8"?>
<ds:datastoreItem xmlns:ds="http://schemas.openxmlformats.org/officeDocument/2006/customXml" ds:itemID="{8633E40B-7BC2-4259-8220-1933483A2D55}">
  <ds:schemaRefs>
    <ds:schemaRef ds:uri="http://schemas.microsoft.com/office/2006/metadata/properties"/>
    <ds:schemaRef ds:uri="http://schemas.microsoft.com/office/infopath/2007/PartnerControls"/>
    <ds:schemaRef ds:uri="71a6e880-2100-4076-a036-02630f62aec7"/>
  </ds:schemaRefs>
</ds:datastoreItem>
</file>

<file path=customXml/itemProps3.xml><?xml version="1.0" encoding="utf-8"?>
<ds:datastoreItem xmlns:ds="http://schemas.openxmlformats.org/officeDocument/2006/customXml" ds:itemID="{B9466A1E-EADE-400C-9F2C-73F21C3E94DB}">
  <ds:schemaRefs>
    <ds:schemaRef ds:uri="http://schemas.openxmlformats.org/officeDocument/2006/bibliography"/>
  </ds:schemaRefs>
</ds:datastoreItem>
</file>

<file path=customXml/itemProps4.xml><?xml version="1.0" encoding="utf-8"?>
<ds:datastoreItem xmlns:ds="http://schemas.openxmlformats.org/officeDocument/2006/customXml" ds:itemID="{39DC1C99-B3BC-48AA-AF66-267E80234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d58b7-0e32-43ef-afc1-615b239ec1f2"/>
    <ds:schemaRef ds:uri="71a6e880-2100-4076-a036-02630f62a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7119</Words>
  <Characters>40581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DP2020-21_Annex 1</vt:lpstr>
    </vt:vector>
  </TitlesOfParts>
  <Company>United Nations</Company>
  <LinksUpToDate>false</LinksUpToDate>
  <CharactersWithSpaces>47605</CharactersWithSpaces>
  <SharedDoc>false</SharedDoc>
  <HLinks>
    <vt:vector size="138" baseType="variant">
      <vt:variant>
        <vt:i4>7602282</vt:i4>
      </vt:variant>
      <vt:variant>
        <vt:i4>111</vt:i4>
      </vt:variant>
      <vt:variant>
        <vt:i4>0</vt:i4>
      </vt:variant>
      <vt:variant>
        <vt:i4>5</vt:i4>
      </vt:variant>
      <vt:variant>
        <vt:lpwstr>http://undocs.org/DP/2015/26/Add.1</vt:lpwstr>
      </vt:variant>
      <vt:variant>
        <vt:lpwstr/>
      </vt:variant>
      <vt:variant>
        <vt:i4>5701639</vt:i4>
      </vt:variant>
      <vt:variant>
        <vt:i4>108</vt:i4>
      </vt:variant>
      <vt:variant>
        <vt:i4>0</vt:i4>
      </vt:variant>
      <vt:variant>
        <vt:i4>5</vt:i4>
      </vt:variant>
      <vt:variant>
        <vt:lpwstr>https://documents-dds-ny.un.org/doc/UNDOC/GEN/N20/177/48/PDF/N2017748.pdf?OpenElement</vt:lpwstr>
      </vt:variant>
      <vt:variant>
        <vt:lpwstr/>
      </vt:variant>
      <vt:variant>
        <vt:i4>1507377</vt:i4>
      </vt:variant>
      <vt:variant>
        <vt:i4>98</vt:i4>
      </vt:variant>
      <vt:variant>
        <vt:i4>0</vt:i4>
      </vt:variant>
      <vt:variant>
        <vt:i4>5</vt:i4>
      </vt:variant>
      <vt:variant>
        <vt:lpwstr/>
      </vt:variant>
      <vt:variant>
        <vt:lpwstr>_Toc139289180</vt:lpwstr>
      </vt:variant>
      <vt:variant>
        <vt:i4>1572913</vt:i4>
      </vt:variant>
      <vt:variant>
        <vt:i4>92</vt:i4>
      </vt:variant>
      <vt:variant>
        <vt:i4>0</vt:i4>
      </vt:variant>
      <vt:variant>
        <vt:i4>5</vt:i4>
      </vt:variant>
      <vt:variant>
        <vt:lpwstr/>
      </vt:variant>
      <vt:variant>
        <vt:lpwstr>_Toc139289170</vt:lpwstr>
      </vt:variant>
      <vt:variant>
        <vt:i4>1638449</vt:i4>
      </vt:variant>
      <vt:variant>
        <vt:i4>86</vt:i4>
      </vt:variant>
      <vt:variant>
        <vt:i4>0</vt:i4>
      </vt:variant>
      <vt:variant>
        <vt:i4>5</vt:i4>
      </vt:variant>
      <vt:variant>
        <vt:lpwstr/>
      </vt:variant>
      <vt:variant>
        <vt:lpwstr>_Toc139289168</vt:lpwstr>
      </vt:variant>
      <vt:variant>
        <vt:i4>1638449</vt:i4>
      </vt:variant>
      <vt:variant>
        <vt:i4>80</vt:i4>
      </vt:variant>
      <vt:variant>
        <vt:i4>0</vt:i4>
      </vt:variant>
      <vt:variant>
        <vt:i4>5</vt:i4>
      </vt:variant>
      <vt:variant>
        <vt:lpwstr/>
      </vt:variant>
      <vt:variant>
        <vt:lpwstr>_Toc139289164</vt:lpwstr>
      </vt:variant>
      <vt:variant>
        <vt:i4>1638449</vt:i4>
      </vt:variant>
      <vt:variant>
        <vt:i4>74</vt:i4>
      </vt:variant>
      <vt:variant>
        <vt:i4>0</vt:i4>
      </vt:variant>
      <vt:variant>
        <vt:i4>5</vt:i4>
      </vt:variant>
      <vt:variant>
        <vt:lpwstr/>
      </vt:variant>
      <vt:variant>
        <vt:lpwstr>_Toc139289162</vt:lpwstr>
      </vt:variant>
      <vt:variant>
        <vt:i4>1638449</vt:i4>
      </vt:variant>
      <vt:variant>
        <vt:i4>68</vt:i4>
      </vt:variant>
      <vt:variant>
        <vt:i4>0</vt:i4>
      </vt:variant>
      <vt:variant>
        <vt:i4>5</vt:i4>
      </vt:variant>
      <vt:variant>
        <vt:lpwstr/>
      </vt:variant>
      <vt:variant>
        <vt:lpwstr>_Toc139289161</vt:lpwstr>
      </vt:variant>
      <vt:variant>
        <vt:i4>1703985</vt:i4>
      </vt:variant>
      <vt:variant>
        <vt:i4>62</vt:i4>
      </vt:variant>
      <vt:variant>
        <vt:i4>0</vt:i4>
      </vt:variant>
      <vt:variant>
        <vt:i4>5</vt:i4>
      </vt:variant>
      <vt:variant>
        <vt:lpwstr/>
      </vt:variant>
      <vt:variant>
        <vt:lpwstr>_Toc139289154</vt:lpwstr>
      </vt:variant>
      <vt:variant>
        <vt:i4>1703985</vt:i4>
      </vt:variant>
      <vt:variant>
        <vt:i4>56</vt:i4>
      </vt:variant>
      <vt:variant>
        <vt:i4>0</vt:i4>
      </vt:variant>
      <vt:variant>
        <vt:i4>5</vt:i4>
      </vt:variant>
      <vt:variant>
        <vt:lpwstr/>
      </vt:variant>
      <vt:variant>
        <vt:lpwstr>_Toc139289153</vt:lpwstr>
      </vt:variant>
      <vt:variant>
        <vt:i4>1703985</vt:i4>
      </vt:variant>
      <vt:variant>
        <vt:i4>50</vt:i4>
      </vt:variant>
      <vt:variant>
        <vt:i4>0</vt:i4>
      </vt:variant>
      <vt:variant>
        <vt:i4>5</vt:i4>
      </vt:variant>
      <vt:variant>
        <vt:lpwstr/>
      </vt:variant>
      <vt:variant>
        <vt:lpwstr>_Toc139289152</vt:lpwstr>
      </vt:variant>
      <vt:variant>
        <vt:i4>1769521</vt:i4>
      </vt:variant>
      <vt:variant>
        <vt:i4>44</vt:i4>
      </vt:variant>
      <vt:variant>
        <vt:i4>0</vt:i4>
      </vt:variant>
      <vt:variant>
        <vt:i4>5</vt:i4>
      </vt:variant>
      <vt:variant>
        <vt:lpwstr/>
      </vt:variant>
      <vt:variant>
        <vt:lpwstr>_Toc139289149</vt:lpwstr>
      </vt:variant>
      <vt:variant>
        <vt:i4>1769521</vt:i4>
      </vt:variant>
      <vt:variant>
        <vt:i4>38</vt:i4>
      </vt:variant>
      <vt:variant>
        <vt:i4>0</vt:i4>
      </vt:variant>
      <vt:variant>
        <vt:i4>5</vt:i4>
      </vt:variant>
      <vt:variant>
        <vt:lpwstr/>
      </vt:variant>
      <vt:variant>
        <vt:lpwstr>_Toc139289148</vt:lpwstr>
      </vt:variant>
      <vt:variant>
        <vt:i4>1769521</vt:i4>
      </vt:variant>
      <vt:variant>
        <vt:i4>32</vt:i4>
      </vt:variant>
      <vt:variant>
        <vt:i4>0</vt:i4>
      </vt:variant>
      <vt:variant>
        <vt:i4>5</vt:i4>
      </vt:variant>
      <vt:variant>
        <vt:lpwstr/>
      </vt:variant>
      <vt:variant>
        <vt:lpwstr>_Toc139289140</vt:lpwstr>
      </vt:variant>
      <vt:variant>
        <vt:i4>1835057</vt:i4>
      </vt:variant>
      <vt:variant>
        <vt:i4>26</vt:i4>
      </vt:variant>
      <vt:variant>
        <vt:i4>0</vt:i4>
      </vt:variant>
      <vt:variant>
        <vt:i4>5</vt:i4>
      </vt:variant>
      <vt:variant>
        <vt:lpwstr/>
      </vt:variant>
      <vt:variant>
        <vt:lpwstr>_Toc139289132</vt:lpwstr>
      </vt:variant>
      <vt:variant>
        <vt:i4>1835057</vt:i4>
      </vt:variant>
      <vt:variant>
        <vt:i4>20</vt:i4>
      </vt:variant>
      <vt:variant>
        <vt:i4>0</vt:i4>
      </vt:variant>
      <vt:variant>
        <vt:i4>5</vt:i4>
      </vt:variant>
      <vt:variant>
        <vt:lpwstr/>
      </vt:variant>
      <vt:variant>
        <vt:lpwstr>_Toc139289131</vt:lpwstr>
      </vt:variant>
      <vt:variant>
        <vt:i4>1835057</vt:i4>
      </vt:variant>
      <vt:variant>
        <vt:i4>14</vt:i4>
      </vt:variant>
      <vt:variant>
        <vt:i4>0</vt:i4>
      </vt:variant>
      <vt:variant>
        <vt:i4>5</vt:i4>
      </vt:variant>
      <vt:variant>
        <vt:lpwstr/>
      </vt:variant>
      <vt:variant>
        <vt:lpwstr>_Toc139289130</vt:lpwstr>
      </vt:variant>
      <vt:variant>
        <vt:i4>1900593</vt:i4>
      </vt:variant>
      <vt:variant>
        <vt:i4>8</vt:i4>
      </vt:variant>
      <vt:variant>
        <vt:i4>0</vt:i4>
      </vt:variant>
      <vt:variant>
        <vt:i4>5</vt:i4>
      </vt:variant>
      <vt:variant>
        <vt:lpwstr/>
      </vt:variant>
      <vt:variant>
        <vt:lpwstr>_Toc139289129</vt:lpwstr>
      </vt:variant>
      <vt:variant>
        <vt:i4>1900593</vt:i4>
      </vt:variant>
      <vt:variant>
        <vt:i4>2</vt:i4>
      </vt:variant>
      <vt:variant>
        <vt:i4>0</vt:i4>
      </vt:variant>
      <vt:variant>
        <vt:i4>5</vt:i4>
      </vt:variant>
      <vt:variant>
        <vt:lpwstr/>
      </vt:variant>
      <vt:variant>
        <vt:lpwstr>_Toc139289128</vt:lpwstr>
      </vt:variant>
      <vt:variant>
        <vt:i4>852077</vt:i4>
      </vt:variant>
      <vt:variant>
        <vt:i4>9</vt:i4>
      </vt:variant>
      <vt:variant>
        <vt:i4>0</vt:i4>
      </vt:variant>
      <vt:variant>
        <vt:i4>5</vt:i4>
      </vt:variant>
      <vt:variant>
        <vt:lpwstr>mailto:hongxing.jiang@undp.org</vt:lpwstr>
      </vt:variant>
      <vt:variant>
        <vt:lpwstr/>
      </vt:variant>
      <vt:variant>
        <vt:i4>852077</vt:i4>
      </vt:variant>
      <vt:variant>
        <vt:i4>6</vt:i4>
      </vt:variant>
      <vt:variant>
        <vt:i4>0</vt:i4>
      </vt:variant>
      <vt:variant>
        <vt:i4>5</vt:i4>
      </vt:variant>
      <vt:variant>
        <vt:lpwstr>mailto:hongxing.jiang@undp.org</vt:lpwstr>
      </vt:variant>
      <vt:variant>
        <vt:lpwstr/>
      </vt:variant>
      <vt:variant>
        <vt:i4>852077</vt:i4>
      </vt:variant>
      <vt:variant>
        <vt:i4>3</vt:i4>
      </vt:variant>
      <vt:variant>
        <vt:i4>0</vt:i4>
      </vt:variant>
      <vt:variant>
        <vt:i4>5</vt:i4>
      </vt:variant>
      <vt:variant>
        <vt:lpwstr>mailto:hongxing.jiang@undp.org</vt:lpwstr>
      </vt:variant>
      <vt:variant>
        <vt:lpwstr/>
      </vt:variant>
      <vt:variant>
        <vt:i4>852077</vt:i4>
      </vt:variant>
      <vt:variant>
        <vt:i4>0</vt:i4>
      </vt:variant>
      <vt:variant>
        <vt:i4>0</vt:i4>
      </vt:variant>
      <vt:variant>
        <vt:i4>5</vt:i4>
      </vt:variant>
      <vt:variant>
        <vt:lpwstr>mailto:hongxing.jiang@undp.org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DP2020-21_Annex 1</dc:title>
  <dc:subject/>
  <dc:creator>akiko.hasegawa@undp.org</dc:creator>
  <cp:keywords/>
  <dc:description/>
  <cp:lastModifiedBy>Gio Emma Apruzzese</cp:lastModifiedBy>
  <cp:revision>3</cp:revision>
  <cp:lastPrinted>2019-07-25T16:45:00Z</cp:lastPrinted>
  <dcterms:created xsi:type="dcterms:W3CDTF">2023-07-14T16:12:00Z</dcterms:created>
  <dcterms:modified xsi:type="dcterms:W3CDTF">2023-07-21T13:05:00Z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or">
    <vt:lpwstr/>
  </property>
  <property fmtid="{D5CDD505-2E9C-101B-9397-08002B2CF9AE}" pid="3" name="Distribution">
    <vt:lpwstr>General</vt:lpwstr>
  </property>
  <property fmtid="{D5CDD505-2E9C-101B-9397-08002B2CF9AE}" pid="4" name="Publication Date">
    <vt:lpwstr>4 August 2015</vt:lpwstr>
  </property>
  <property fmtid="{D5CDD505-2E9C-101B-9397-08002B2CF9AE}" pid="5" name="Original">
    <vt:lpwstr>English</vt:lpwstr>
  </property>
  <property fmtid="{D5CDD505-2E9C-101B-9397-08002B2CF9AE}" pid="6" name="Release Date">
    <vt:lpwstr>070815</vt:lpwstr>
  </property>
  <property fmtid="{D5CDD505-2E9C-101B-9397-08002B2CF9AE}" pid="7" name="ContentTypeId">
    <vt:lpwstr>0x01010047B930B21383BF46B0DDB2FF01270848</vt:lpwstr>
  </property>
  <property fmtid="{D5CDD505-2E9C-101B-9397-08002B2CF9AE}" pid="8" name="JobNo">
    <vt:lpwstr>1912420E</vt:lpwstr>
  </property>
  <property fmtid="{D5CDD505-2E9C-101B-9397-08002B2CF9AE}" pid="9" name="ODSRefJobNo">
    <vt:lpwstr>1922504E</vt:lpwstr>
  </property>
  <property fmtid="{D5CDD505-2E9C-101B-9397-08002B2CF9AE}" pid="10" name="Symbol1">
    <vt:lpwstr>DP/2019/26</vt:lpwstr>
  </property>
  <property fmtid="{D5CDD505-2E9C-101B-9397-08002B2CF9AE}" pid="11" name="Symbol2">
    <vt:lpwstr/>
  </property>
  <property fmtid="{D5CDD505-2E9C-101B-9397-08002B2CF9AE}" pid="12" name="Comment">
    <vt:lpwstr/>
  </property>
  <property fmtid="{D5CDD505-2E9C-101B-9397-08002B2CF9AE}" pid="13" name="DraftPages">
    <vt:lpwstr>27</vt:lpwstr>
  </property>
  <property fmtid="{D5CDD505-2E9C-101B-9397-08002B2CF9AE}" pid="14" name="Operator">
    <vt:lpwstr>JG (final)</vt:lpwstr>
  </property>
</Properties>
</file>