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2216" w14:textId="3D908284" w:rsidR="00A469F7" w:rsidRPr="00382791" w:rsidRDefault="00A469F7" w:rsidP="00440E5E">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ETHIOPIA </w:t>
      </w:r>
      <w:r w:rsidRPr="00382791">
        <w:rPr>
          <w:rFonts w:ascii="Calibri" w:eastAsia="Calibri" w:hAnsi="Calibri" w:cs="Times New Roman"/>
          <w:b/>
          <w:sz w:val="24"/>
          <w:szCs w:val="24"/>
        </w:rPr>
        <w:t>(2020-202</w:t>
      </w:r>
      <w:r w:rsidR="006D4DB9">
        <w:rPr>
          <w:rFonts w:ascii="Calibri" w:eastAsia="Calibri" w:hAnsi="Calibri" w:cs="Times New Roman"/>
          <w:b/>
          <w:sz w:val="24"/>
          <w:szCs w:val="24"/>
        </w:rPr>
        <w:t>5</w:t>
      </w:r>
      <w:bookmarkStart w:id="0" w:name="_GoBack"/>
      <w:bookmarkEnd w:id="0"/>
      <w:r w:rsidRPr="00382791">
        <w:rPr>
          <w:rFonts w:ascii="Calibri" w:eastAsia="Calibri" w:hAnsi="Calibri" w:cs="Times New Roman"/>
          <w:b/>
          <w:sz w:val="24"/>
          <w:szCs w:val="24"/>
        </w:rPr>
        <w:t>)</w:t>
      </w:r>
    </w:p>
    <w:p w14:paraId="5C717650" w14:textId="12DD1C1E" w:rsidR="00A469F7" w:rsidRPr="00382791" w:rsidRDefault="00A469F7" w:rsidP="00A469F7">
      <w:pPr>
        <w:spacing w:line="240" w:lineRule="auto"/>
        <w:jc w:val="center"/>
        <w:rPr>
          <w:rFonts w:ascii="Calibri" w:eastAsia="Calibri" w:hAnsi="Calibri" w:cs="Times New Roman"/>
          <w:i/>
          <w:sz w:val="24"/>
          <w:szCs w:val="24"/>
        </w:rPr>
      </w:pPr>
      <w:r>
        <w:rPr>
          <w:rFonts w:ascii="Calibri" w:eastAsia="Calibri" w:hAnsi="Calibri" w:cs="Times New Roman"/>
          <w:i/>
          <w:sz w:val="24"/>
          <w:szCs w:val="24"/>
        </w:rPr>
        <w:t>Annual</w:t>
      </w:r>
      <w:r w:rsidRPr="00382791">
        <w:rPr>
          <w:rFonts w:ascii="Calibri" w:eastAsia="Calibri" w:hAnsi="Calibri" w:cs="Times New Roman"/>
          <w:i/>
          <w:sz w:val="24"/>
          <w:szCs w:val="24"/>
        </w:rPr>
        <w:t xml:space="preserve"> session 2020</w:t>
      </w:r>
    </w:p>
    <w:tbl>
      <w:tblPr>
        <w:tblStyle w:val="TableGrid"/>
        <w:tblW w:w="14434" w:type="dxa"/>
        <w:tblLook w:val="04A0" w:firstRow="1" w:lastRow="0" w:firstColumn="1" w:lastColumn="0" w:noHBand="0" w:noVBand="1"/>
      </w:tblPr>
      <w:tblGrid>
        <w:gridCol w:w="7195"/>
        <w:gridCol w:w="7239"/>
      </w:tblGrid>
      <w:tr w:rsidR="001D1449" w:rsidRPr="005323D5" w14:paraId="218C0B4A" w14:textId="364541AC" w:rsidTr="009A6C71">
        <w:trPr>
          <w:trHeight w:val="476"/>
        </w:trPr>
        <w:tc>
          <w:tcPr>
            <w:tcW w:w="7195" w:type="dxa"/>
            <w:shd w:val="pct10" w:color="auto" w:fill="auto"/>
            <w:vAlign w:val="center"/>
          </w:tcPr>
          <w:p w14:paraId="4E86B9A0" w14:textId="54D1A075" w:rsidR="001D1449" w:rsidRPr="00A457DA" w:rsidRDefault="001D1449"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9A6C71">
              <w:rPr>
                <w:rFonts w:cs="Times New Roman"/>
                <w:b/>
                <w:sz w:val="24"/>
                <w:szCs w:val="24"/>
              </w:rPr>
              <w:t>Finland</w:t>
            </w:r>
          </w:p>
        </w:tc>
        <w:tc>
          <w:tcPr>
            <w:tcW w:w="7239" w:type="dxa"/>
            <w:shd w:val="pct10" w:color="auto" w:fill="auto"/>
            <w:vAlign w:val="center"/>
          </w:tcPr>
          <w:p w14:paraId="19F53682" w14:textId="455FA0AA" w:rsidR="001D1449" w:rsidRPr="00534E03" w:rsidRDefault="001D1449" w:rsidP="00A457DA">
            <w:pPr>
              <w:jc w:val="center"/>
              <w:rPr>
                <w:rFonts w:cs="Times New Roman"/>
                <w:b/>
                <w:sz w:val="24"/>
                <w:szCs w:val="24"/>
              </w:rPr>
            </w:pPr>
            <w:r>
              <w:rPr>
                <w:rFonts w:cs="Times New Roman"/>
                <w:b/>
                <w:sz w:val="24"/>
                <w:szCs w:val="24"/>
              </w:rPr>
              <w:t>Response by the Country Office</w:t>
            </w:r>
          </w:p>
        </w:tc>
      </w:tr>
      <w:tr w:rsidR="001D1449" w:rsidRPr="005323D5" w14:paraId="59FFD639" w14:textId="6F38D697" w:rsidTr="009A6C71">
        <w:trPr>
          <w:trHeight w:val="476"/>
        </w:trPr>
        <w:tc>
          <w:tcPr>
            <w:tcW w:w="7195" w:type="dxa"/>
          </w:tcPr>
          <w:p w14:paraId="106DA92D" w14:textId="2D5345A6" w:rsidR="001D1449" w:rsidRPr="009A6C71" w:rsidRDefault="001D1449" w:rsidP="009A6C71">
            <w:pPr>
              <w:pStyle w:val="ListParagraph"/>
              <w:numPr>
                <w:ilvl w:val="0"/>
                <w:numId w:val="13"/>
              </w:numPr>
              <w:jc w:val="both"/>
              <w:rPr>
                <w:color w:val="1F497D"/>
                <w:lang w:val="en-US"/>
              </w:rPr>
            </w:pPr>
            <w:r w:rsidRPr="00D179D0">
              <w:rPr>
                <w:rFonts w:cs="Times New Roman"/>
              </w:rPr>
              <w:t xml:space="preserve">Finland welcomes the focus of this draft CPD on inclusion and gender </w:t>
            </w:r>
            <w:proofErr w:type="gramStart"/>
            <w:r w:rsidRPr="00D179D0">
              <w:rPr>
                <w:rFonts w:cs="Times New Roman"/>
              </w:rPr>
              <w:t>equality, and</w:t>
            </w:r>
            <w:proofErr w:type="gramEnd"/>
            <w:r w:rsidRPr="00D179D0">
              <w:rPr>
                <w:rFonts w:cs="Times New Roman"/>
              </w:rPr>
              <w:t xml:space="preserve"> considers it important to mainstream gender equality to all actions in different areas and at all levels. In this respect, we encourage UNDP to act in a strong partnership with UN Women and UNFPA at the country level. </w:t>
            </w:r>
            <w:r w:rsidRPr="00D179D0">
              <w:t xml:space="preserve">Finland also strongly recommends </w:t>
            </w:r>
            <w:proofErr w:type="gramStart"/>
            <w:r w:rsidRPr="00D179D0">
              <w:t>to apply</w:t>
            </w:r>
            <w:proofErr w:type="gramEnd"/>
            <w:r w:rsidRPr="00D179D0">
              <w:t xml:space="preserve"> an intersectional approach and to consider systematically the intersections of gender, age and disability in all gender equality activities, including planning, implementation, monitoring and evaluation. </w:t>
            </w:r>
          </w:p>
        </w:tc>
        <w:tc>
          <w:tcPr>
            <w:tcW w:w="7239" w:type="dxa"/>
          </w:tcPr>
          <w:p w14:paraId="60BA9186" w14:textId="6BB59723" w:rsidR="00131AB6" w:rsidRPr="00D179D0" w:rsidRDefault="00131AB6" w:rsidP="00D179D0">
            <w:pPr>
              <w:pStyle w:val="ListParagraph"/>
              <w:numPr>
                <w:ilvl w:val="0"/>
                <w:numId w:val="13"/>
              </w:numPr>
              <w:ind w:left="490"/>
              <w:jc w:val="both"/>
              <w:rPr>
                <w:rFonts w:cstheme="minorHAnsi"/>
              </w:rPr>
            </w:pPr>
            <w:r w:rsidRPr="00D179D0">
              <w:rPr>
                <w:rFonts w:cstheme="minorHAnsi"/>
              </w:rPr>
              <w:t xml:space="preserve">Finland’s recognition of the inclusion and gender equality of the CPD is acknowledged and appreciated; ensuring that this is reflected in actions at different areas and levels is our commitment. </w:t>
            </w:r>
          </w:p>
          <w:p w14:paraId="3073FE7F" w14:textId="4ADF7C22" w:rsidR="00131AB6" w:rsidRPr="00D179D0" w:rsidRDefault="00131AB6" w:rsidP="00D179D0">
            <w:pPr>
              <w:pStyle w:val="ListParagraph"/>
              <w:ind w:left="490"/>
              <w:jc w:val="both"/>
              <w:rPr>
                <w:rFonts w:cstheme="minorHAnsi"/>
              </w:rPr>
            </w:pPr>
          </w:p>
          <w:p w14:paraId="29C36BB5" w14:textId="48B878BD" w:rsidR="00131AB6" w:rsidRPr="00D179D0" w:rsidRDefault="00131AB6" w:rsidP="00D179D0">
            <w:pPr>
              <w:pStyle w:val="ListParagraph"/>
              <w:numPr>
                <w:ilvl w:val="0"/>
                <w:numId w:val="13"/>
              </w:numPr>
              <w:ind w:left="490"/>
              <w:jc w:val="both"/>
              <w:rPr>
                <w:rFonts w:cstheme="minorHAnsi"/>
              </w:rPr>
            </w:pPr>
            <w:r w:rsidRPr="00D179D0">
              <w:rPr>
                <w:rFonts w:cstheme="minorHAnsi"/>
              </w:rPr>
              <w:t>In terms of stronger partnership with UNWOMEN</w:t>
            </w:r>
            <w:r w:rsidR="0093224A" w:rsidRPr="00D179D0">
              <w:rPr>
                <w:rFonts w:cstheme="minorHAnsi"/>
              </w:rPr>
              <w:t xml:space="preserve"> and UNFPA in advancing the above, this is already envisaged; 2 specific cases are highlighted below: </w:t>
            </w:r>
          </w:p>
          <w:p w14:paraId="69C8949D" w14:textId="77777777" w:rsidR="0093224A" w:rsidRPr="00D179D0" w:rsidRDefault="0093224A" w:rsidP="00D179D0">
            <w:pPr>
              <w:pStyle w:val="ListParagraph"/>
              <w:jc w:val="both"/>
              <w:rPr>
                <w:rFonts w:cstheme="minorHAnsi"/>
              </w:rPr>
            </w:pPr>
          </w:p>
          <w:p w14:paraId="67FCD6C8" w14:textId="460E87F7" w:rsidR="0093224A" w:rsidRPr="00D179D0" w:rsidRDefault="0093224A" w:rsidP="00D179D0">
            <w:pPr>
              <w:pStyle w:val="ListParagraph"/>
              <w:numPr>
                <w:ilvl w:val="0"/>
                <w:numId w:val="16"/>
              </w:numPr>
              <w:jc w:val="both"/>
              <w:rPr>
                <w:rFonts w:cstheme="minorHAnsi"/>
              </w:rPr>
            </w:pPr>
            <w:r w:rsidRPr="00D179D0">
              <w:rPr>
                <w:rFonts w:cstheme="minorHAnsi"/>
              </w:rPr>
              <w:t xml:space="preserve">In </w:t>
            </w:r>
            <w:r w:rsidRPr="00D179D0">
              <w:rPr>
                <w:rFonts w:cstheme="minorHAnsi"/>
                <w:u w:val="single"/>
              </w:rPr>
              <w:t>para 33</w:t>
            </w:r>
            <w:r w:rsidRPr="00D179D0">
              <w:rPr>
                <w:rFonts w:cstheme="minorHAnsi"/>
              </w:rPr>
              <w:t xml:space="preserve">, </w:t>
            </w:r>
            <w:r w:rsidRPr="00D179D0">
              <w:t xml:space="preserve">UNDP will work with sister agencies and development partners to strengthen the national statistical system to significantly improve coverage of SDG targets as well as strengthen the granularity, quality, reliability and timeliness of data – e.g. by age, sex, location, and characteristics such as disability – in order to create a stronger foundation for tracking those left behind and refine targeting in programmes and projects.  </w:t>
            </w:r>
          </w:p>
          <w:p w14:paraId="6E0F26DE" w14:textId="007065B1" w:rsidR="00254BA1" w:rsidRPr="00D179D0" w:rsidRDefault="0093224A" w:rsidP="00D179D0">
            <w:pPr>
              <w:pStyle w:val="ListParagraph"/>
              <w:numPr>
                <w:ilvl w:val="0"/>
                <w:numId w:val="16"/>
              </w:numPr>
              <w:jc w:val="both"/>
              <w:rPr>
                <w:rFonts w:cstheme="minorHAnsi"/>
              </w:rPr>
            </w:pPr>
            <w:r w:rsidRPr="00D179D0">
              <w:t xml:space="preserve">Under </w:t>
            </w:r>
            <w:r w:rsidRPr="00D179D0">
              <w:rPr>
                <w:u w:val="single"/>
              </w:rPr>
              <w:t>para 14 (</w:t>
            </w:r>
            <w:r w:rsidRPr="00D179D0">
              <w:t xml:space="preserve">Programme Priorities and Partnerships), UNDP will </w:t>
            </w:r>
            <w:r w:rsidR="00254BA1" w:rsidRPr="00D179D0">
              <w:t xml:space="preserve">work with other UN agencies (including UNWOMEN) in undertaking </w:t>
            </w:r>
            <w:r w:rsidRPr="00D179D0">
              <w:t xml:space="preserve">comprehensive </w:t>
            </w:r>
            <w:r w:rsidR="00254BA1" w:rsidRPr="00D179D0">
              <w:t>justice sector assessment with a view to framing a joint programme that will include a strong focus on gender justice;</w:t>
            </w:r>
          </w:p>
          <w:p w14:paraId="032DD339" w14:textId="05F3D25F" w:rsidR="001D1449" w:rsidRPr="00D179D0" w:rsidRDefault="00220B9E" w:rsidP="00D179D0">
            <w:pPr>
              <w:pStyle w:val="ListParagraph"/>
              <w:numPr>
                <w:ilvl w:val="0"/>
                <w:numId w:val="16"/>
              </w:numPr>
              <w:jc w:val="both"/>
              <w:rPr>
                <w:rFonts w:cstheme="minorHAnsi"/>
              </w:rPr>
            </w:pPr>
            <w:r w:rsidRPr="00D179D0">
              <w:t xml:space="preserve">UNDP is committed to work with UNWOMEN, UNFPA and other agencies, within the framework of the Common Chapter, in promoting alignment, efficiency, coherence and joint results. Under </w:t>
            </w:r>
            <w:r w:rsidRPr="00D179D0">
              <w:rPr>
                <w:u w:val="single"/>
              </w:rPr>
              <w:t>para 16</w:t>
            </w:r>
            <w:r w:rsidRPr="00D179D0">
              <w:t xml:space="preserve"> for example, it will work with sister agencies and other development partners to strengthen the national statistical system to significantly improve coverage of SDG targets as well as strengthen the granularity, quality, reliability and timeliness of data</w:t>
            </w:r>
            <w:r w:rsidR="001D1449" w:rsidRPr="00D179D0">
              <w:t xml:space="preserve"> </w:t>
            </w:r>
          </w:p>
          <w:p w14:paraId="78B816A7" w14:textId="77777777" w:rsidR="005F73C4" w:rsidRPr="00D179D0" w:rsidRDefault="005F73C4" w:rsidP="00D179D0">
            <w:pPr>
              <w:pStyle w:val="ListParagraph"/>
              <w:numPr>
                <w:ilvl w:val="0"/>
                <w:numId w:val="16"/>
              </w:numPr>
              <w:jc w:val="both"/>
              <w:rPr>
                <w:rFonts w:cstheme="minorHAnsi"/>
              </w:rPr>
            </w:pPr>
            <w:r w:rsidRPr="00D179D0">
              <w:rPr>
                <w:rFonts w:cstheme="minorHAnsi"/>
              </w:rPr>
              <w:lastRenderedPageBreak/>
              <w:t xml:space="preserve">Finally, </w:t>
            </w:r>
            <w:r w:rsidR="00220B9E" w:rsidRPr="00D179D0">
              <w:rPr>
                <w:rFonts w:cstheme="minorHAnsi"/>
              </w:rPr>
              <w:t xml:space="preserve">underlying the CPD is </w:t>
            </w:r>
            <w:r w:rsidR="00220B9E" w:rsidRPr="00D179D0">
              <w:rPr>
                <w:rFonts w:cstheme="minorHAnsi"/>
                <w:lang w:val="en-GB"/>
              </w:rPr>
              <w:t>UNDP’s intention to leverage expertise from across the development system to support SDG implementation, bringing together a tailored coalition of UN and other experts to help support this effort.</w:t>
            </w:r>
          </w:p>
          <w:p w14:paraId="1A64DD5A" w14:textId="77777777" w:rsidR="00220B9E" w:rsidRPr="00D179D0" w:rsidRDefault="00220B9E" w:rsidP="00D179D0">
            <w:pPr>
              <w:jc w:val="both"/>
              <w:rPr>
                <w:rFonts w:cstheme="minorHAnsi"/>
              </w:rPr>
            </w:pPr>
          </w:p>
          <w:p w14:paraId="728D55FD" w14:textId="1596773D" w:rsidR="00220B9E" w:rsidRPr="00D179D0" w:rsidRDefault="00220B9E" w:rsidP="00D179D0">
            <w:pPr>
              <w:pStyle w:val="ListParagraph"/>
              <w:numPr>
                <w:ilvl w:val="0"/>
                <w:numId w:val="17"/>
              </w:numPr>
              <w:jc w:val="both"/>
              <w:rPr>
                <w:rFonts w:cstheme="minorHAnsi"/>
              </w:rPr>
            </w:pPr>
            <w:r w:rsidRPr="00D179D0">
              <w:rPr>
                <w:rFonts w:cstheme="minorHAnsi"/>
              </w:rPr>
              <w:t xml:space="preserve">On the question of </w:t>
            </w:r>
            <w:r w:rsidRPr="00D179D0">
              <w:t xml:space="preserve">application of </w:t>
            </w:r>
            <w:r w:rsidRPr="00D179D0">
              <w:rPr>
                <w:u w:val="single"/>
              </w:rPr>
              <w:t>an intersectional approach</w:t>
            </w:r>
            <w:r w:rsidRPr="00D179D0">
              <w:t xml:space="preserve"> and that systematically ensures the </w:t>
            </w:r>
            <w:r w:rsidRPr="00D179D0">
              <w:rPr>
                <w:i/>
                <w:iCs/>
              </w:rPr>
              <w:t xml:space="preserve">intersections of gender, age and disability in all gender equality activities, including planning, implementation, monitoring and evaluation, </w:t>
            </w:r>
            <w:r w:rsidRPr="00D179D0">
              <w:rPr>
                <w:rFonts w:cstheme="minorHAnsi"/>
              </w:rPr>
              <w:t xml:space="preserve">this is a key strategy </w:t>
            </w:r>
            <w:r w:rsidR="00235288" w:rsidRPr="00D179D0">
              <w:rPr>
                <w:rFonts w:cstheme="minorHAnsi"/>
              </w:rPr>
              <w:t xml:space="preserve">underlying </w:t>
            </w:r>
            <w:r w:rsidRPr="00D179D0">
              <w:rPr>
                <w:rFonts w:cstheme="minorHAnsi"/>
              </w:rPr>
              <w:t xml:space="preserve">the CPD. In underlining its integrator role under </w:t>
            </w:r>
            <w:r w:rsidRPr="00D179D0">
              <w:rPr>
                <w:rFonts w:cstheme="minorHAnsi"/>
                <w:u w:val="single"/>
              </w:rPr>
              <w:t>para 29,</w:t>
            </w:r>
            <w:r w:rsidRPr="00D179D0">
              <w:rPr>
                <w:rFonts w:cstheme="minorHAnsi"/>
              </w:rPr>
              <w:t xml:space="preserve"> it is stated clearly that UNDP will work to bridge the gap between sectors, bridge the nexus between development and humanitarian</w:t>
            </w:r>
            <w:r w:rsidR="00235288" w:rsidRPr="00D179D0">
              <w:rPr>
                <w:rFonts w:cstheme="minorHAnsi"/>
              </w:rPr>
              <w:t xml:space="preserve">, </w:t>
            </w:r>
            <w:r w:rsidRPr="00D179D0">
              <w:rPr>
                <w:rFonts w:cstheme="minorHAnsi"/>
              </w:rPr>
              <w:t>peace and security</w:t>
            </w:r>
            <w:r w:rsidR="00235288" w:rsidRPr="00D179D0">
              <w:rPr>
                <w:rFonts w:cstheme="minorHAnsi"/>
              </w:rPr>
              <w:t xml:space="preserve"> as well as </w:t>
            </w:r>
            <w:r w:rsidRPr="00D179D0">
              <w:rPr>
                <w:rFonts w:cstheme="minorHAnsi"/>
              </w:rPr>
              <w:t>promote cross-sectoral development planning, dialogue and coordination</w:t>
            </w:r>
            <w:r w:rsidR="00235288" w:rsidRPr="00D179D0">
              <w:rPr>
                <w:rFonts w:cstheme="minorHAnsi"/>
              </w:rPr>
              <w:t xml:space="preserve">, among other priorities. </w:t>
            </w:r>
          </w:p>
        </w:tc>
      </w:tr>
      <w:tr w:rsidR="001D1449" w:rsidRPr="005323D5" w14:paraId="1F829039" w14:textId="3328C3EC" w:rsidTr="00254BA1">
        <w:trPr>
          <w:trHeight w:val="476"/>
        </w:trPr>
        <w:tc>
          <w:tcPr>
            <w:tcW w:w="7195" w:type="dxa"/>
            <w:vAlign w:val="center"/>
          </w:tcPr>
          <w:p w14:paraId="7B1CEB7A" w14:textId="3DF85143" w:rsidR="001D1449" w:rsidRPr="00D179D0" w:rsidRDefault="001D1449" w:rsidP="00D179D0">
            <w:pPr>
              <w:pStyle w:val="ListParagraph"/>
              <w:numPr>
                <w:ilvl w:val="0"/>
                <w:numId w:val="12"/>
              </w:numPr>
              <w:jc w:val="both"/>
              <w:rPr>
                <w:rFonts w:cs="Times New Roman"/>
              </w:rPr>
            </w:pPr>
            <w:r w:rsidRPr="00D179D0">
              <w:rPr>
                <w:rFonts w:cs="Times New Roman"/>
              </w:rPr>
              <w:lastRenderedPageBreak/>
              <w:t xml:space="preserve">Finland proposes to include in the text the </w:t>
            </w:r>
            <w:bookmarkStart w:id="1" w:name="_Hlk37091670"/>
            <w:r w:rsidRPr="00D179D0">
              <w:rPr>
                <w:rFonts w:cs="Times New Roman"/>
              </w:rPr>
              <w:t>implementation of the new comprehensive UN Disability Inclusion Strategy (UNDIS</w:t>
            </w:r>
            <w:bookmarkEnd w:id="1"/>
            <w:r w:rsidRPr="00D179D0">
              <w:rPr>
                <w:rFonts w:cs="Times New Roman"/>
              </w:rPr>
              <w:t>) launched in June 2019 and its upcoming performance indicators as an important strategic framework guiding the organizational and programmatic adjustments that may need to take place. The UNDIS advocates mainstreaming a strong human rights-based approach to disability. The accountability towards this strategy will be monitored through 15 common-system indicators and country team scoreboards that focus on four different areas: 1) leadership, strategic planning and management, 2) inclusiveness, 3) programming and 4) organizational culture. These indicators will require annual reporting by all UN agencies and programs.</w:t>
            </w:r>
          </w:p>
        </w:tc>
        <w:tc>
          <w:tcPr>
            <w:tcW w:w="7239" w:type="dxa"/>
          </w:tcPr>
          <w:p w14:paraId="3DF0F5B3" w14:textId="283107B9" w:rsidR="001D1449" w:rsidRPr="00D179D0" w:rsidRDefault="004B2D48" w:rsidP="00D179D0">
            <w:pPr>
              <w:pStyle w:val="ListParagraph"/>
              <w:numPr>
                <w:ilvl w:val="0"/>
                <w:numId w:val="12"/>
              </w:numPr>
              <w:ind w:left="430"/>
              <w:jc w:val="both"/>
              <w:rPr>
                <w:rFonts w:cs="Times New Roman"/>
              </w:rPr>
            </w:pPr>
            <w:r w:rsidRPr="00D179D0">
              <w:rPr>
                <w:rFonts w:cs="Times New Roman"/>
              </w:rPr>
              <w:t xml:space="preserve">Under </w:t>
            </w:r>
            <w:r w:rsidRPr="00D179D0">
              <w:rPr>
                <w:rFonts w:cs="Times New Roman"/>
                <w:u w:val="single"/>
              </w:rPr>
              <w:t xml:space="preserve">para 14, </w:t>
            </w:r>
            <w:r w:rsidRPr="00D179D0">
              <w:rPr>
                <w:rFonts w:cs="Times New Roman"/>
              </w:rPr>
              <w:t>a footnote has been introduced (35) regarding monitoring and reporting on the implementation of the Comprehensive UN Disability Inclusion Strategy (UNDIS)</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4D5E" w14:textId="77777777" w:rsidR="00DE206B" w:rsidRDefault="00DE206B" w:rsidP="0053576A">
      <w:pPr>
        <w:spacing w:after="0" w:line="240" w:lineRule="auto"/>
      </w:pPr>
      <w:r>
        <w:separator/>
      </w:r>
    </w:p>
  </w:endnote>
  <w:endnote w:type="continuationSeparator" w:id="0">
    <w:p w14:paraId="75D56A4E" w14:textId="77777777" w:rsidR="00DE206B" w:rsidRDefault="00DE206B"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22901"/>
      <w:docPartObj>
        <w:docPartGallery w:val="Page Numbers (Bottom of Page)"/>
        <w:docPartUnique/>
      </w:docPartObj>
    </w:sdtPr>
    <w:sdtEndPr>
      <w:rPr>
        <w:noProof/>
      </w:rPr>
    </w:sdtEndPr>
    <w:sdtContent>
      <w:p w14:paraId="7984814F" w14:textId="044562B6" w:rsidR="00F3633B" w:rsidRDefault="00F3633B">
        <w:pPr>
          <w:pStyle w:val="Footer"/>
          <w:jc w:val="center"/>
        </w:pPr>
        <w:r>
          <w:fldChar w:fldCharType="begin"/>
        </w:r>
        <w:r>
          <w:instrText xml:space="preserve"> PAGE   \* MERGEFORMAT </w:instrText>
        </w:r>
        <w:r>
          <w:fldChar w:fldCharType="separate"/>
        </w:r>
        <w:r w:rsidR="00DC3CD1">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D1A5" w14:textId="77777777" w:rsidR="00DE206B" w:rsidRDefault="00DE206B" w:rsidP="0053576A">
      <w:pPr>
        <w:spacing w:after="0" w:line="240" w:lineRule="auto"/>
      </w:pPr>
      <w:r>
        <w:separator/>
      </w:r>
    </w:p>
  </w:footnote>
  <w:footnote w:type="continuationSeparator" w:id="0">
    <w:p w14:paraId="12D418AC" w14:textId="77777777" w:rsidR="00DE206B" w:rsidRDefault="00DE206B"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332"/>
    <w:multiLevelType w:val="hybridMultilevel"/>
    <w:tmpl w:val="D4903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C6C88"/>
    <w:multiLevelType w:val="hybridMultilevel"/>
    <w:tmpl w:val="F7D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B730E"/>
    <w:multiLevelType w:val="hybridMultilevel"/>
    <w:tmpl w:val="07C6AAE8"/>
    <w:lvl w:ilvl="0" w:tplc="DD3008DA">
      <w:start w:val="3"/>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10055"/>
    <w:multiLevelType w:val="hybridMultilevel"/>
    <w:tmpl w:val="6CBE565E"/>
    <w:lvl w:ilvl="0" w:tplc="20F4B162">
      <w:start w:val="1"/>
      <w:numFmt w:val="lowerRoman"/>
      <w:lvlText w:val="%1)"/>
      <w:lvlJc w:val="left"/>
      <w:pPr>
        <w:ind w:left="1750" w:hanging="72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0FE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71AA9"/>
    <w:multiLevelType w:val="hybridMultilevel"/>
    <w:tmpl w:val="E2DA74D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10"/>
  </w:num>
  <w:num w:numId="5">
    <w:abstractNumId w:val="5"/>
  </w:num>
  <w:num w:numId="6">
    <w:abstractNumId w:val="8"/>
  </w:num>
  <w:num w:numId="7">
    <w:abstractNumId w:val="7"/>
  </w:num>
  <w:num w:numId="8">
    <w:abstractNumId w:val="1"/>
  </w:num>
  <w:num w:numId="9">
    <w:abstractNumId w:val="12"/>
  </w:num>
  <w:num w:numId="10">
    <w:abstractNumId w:val="3"/>
  </w:num>
  <w:num w:numId="11">
    <w:abstractNumId w:val="14"/>
  </w:num>
  <w:num w:numId="12">
    <w:abstractNumId w:val="13"/>
  </w:num>
  <w:num w:numId="13">
    <w:abstractNumId w:val="15"/>
  </w:num>
  <w:num w:numId="14">
    <w:abstractNumId w:val="9"/>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1DE"/>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77206"/>
    <w:rsid w:val="00081427"/>
    <w:rsid w:val="000829C1"/>
    <w:rsid w:val="00084180"/>
    <w:rsid w:val="000873D1"/>
    <w:rsid w:val="0008799D"/>
    <w:rsid w:val="0009138E"/>
    <w:rsid w:val="000928B2"/>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4D9D"/>
    <w:rsid w:val="00107156"/>
    <w:rsid w:val="001119B1"/>
    <w:rsid w:val="00114444"/>
    <w:rsid w:val="00116943"/>
    <w:rsid w:val="0011704F"/>
    <w:rsid w:val="00121B8C"/>
    <w:rsid w:val="00122314"/>
    <w:rsid w:val="00122A81"/>
    <w:rsid w:val="0013018C"/>
    <w:rsid w:val="0013163E"/>
    <w:rsid w:val="00131AB6"/>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1449"/>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6F4F"/>
    <w:rsid w:val="00207533"/>
    <w:rsid w:val="00210E0B"/>
    <w:rsid w:val="002112D8"/>
    <w:rsid w:val="002121AB"/>
    <w:rsid w:val="00213107"/>
    <w:rsid w:val="002137E0"/>
    <w:rsid w:val="00213D00"/>
    <w:rsid w:val="00220B62"/>
    <w:rsid w:val="00220B9E"/>
    <w:rsid w:val="00221D16"/>
    <w:rsid w:val="00222F93"/>
    <w:rsid w:val="0022333C"/>
    <w:rsid w:val="00224233"/>
    <w:rsid w:val="00224AD6"/>
    <w:rsid w:val="00224B60"/>
    <w:rsid w:val="00226672"/>
    <w:rsid w:val="00232D7F"/>
    <w:rsid w:val="00235288"/>
    <w:rsid w:val="0023676B"/>
    <w:rsid w:val="00236AF4"/>
    <w:rsid w:val="0023797B"/>
    <w:rsid w:val="00243476"/>
    <w:rsid w:val="00244C7B"/>
    <w:rsid w:val="00246021"/>
    <w:rsid w:val="00246E91"/>
    <w:rsid w:val="00250474"/>
    <w:rsid w:val="00251414"/>
    <w:rsid w:val="00252A5C"/>
    <w:rsid w:val="00254BA1"/>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2D48"/>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5F73C4"/>
    <w:rsid w:val="00600238"/>
    <w:rsid w:val="006012E8"/>
    <w:rsid w:val="00605D3A"/>
    <w:rsid w:val="00607225"/>
    <w:rsid w:val="006101C9"/>
    <w:rsid w:val="00611382"/>
    <w:rsid w:val="0061196E"/>
    <w:rsid w:val="00614B33"/>
    <w:rsid w:val="006159D2"/>
    <w:rsid w:val="00617D42"/>
    <w:rsid w:val="0062089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4DB9"/>
    <w:rsid w:val="006D5781"/>
    <w:rsid w:val="006D5B1E"/>
    <w:rsid w:val="006D5DF2"/>
    <w:rsid w:val="006E30D6"/>
    <w:rsid w:val="006F00FD"/>
    <w:rsid w:val="006F2389"/>
    <w:rsid w:val="006F3317"/>
    <w:rsid w:val="006F6C34"/>
    <w:rsid w:val="006F76B4"/>
    <w:rsid w:val="00700CFB"/>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224A"/>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54F"/>
    <w:rsid w:val="00984B4D"/>
    <w:rsid w:val="00984BD6"/>
    <w:rsid w:val="009856E9"/>
    <w:rsid w:val="009858E0"/>
    <w:rsid w:val="00990AD6"/>
    <w:rsid w:val="00995DCB"/>
    <w:rsid w:val="0099682A"/>
    <w:rsid w:val="009A1984"/>
    <w:rsid w:val="009A396B"/>
    <w:rsid w:val="009A67A7"/>
    <w:rsid w:val="009A6B8F"/>
    <w:rsid w:val="009A6C71"/>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4FD"/>
    <w:rsid w:val="00A457DA"/>
    <w:rsid w:val="00A469F7"/>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0BE3"/>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3E1B"/>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179D0"/>
    <w:rsid w:val="00D20461"/>
    <w:rsid w:val="00D235BF"/>
    <w:rsid w:val="00D23686"/>
    <w:rsid w:val="00D23A0A"/>
    <w:rsid w:val="00D249DC"/>
    <w:rsid w:val="00D27B4F"/>
    <w:rsid w:val="00D27FCB"/>
    <w:rsid w:val="00D30B8E"/>
    <w:rsid w:val="00D320A1"/>
    <w:rsid w:val="00D328B2"/>
    <w:rsid w:val="00D32D95"/>
    <w:rsid w:val="00D339E9"/>
    <w:rsid w:val="00D34EA8"/>
    <w:rsid w:val="00D351FE"/>
    <w:rsid w:val="00D35527"/>
    <w:rsid w:val="00D4192F"/>
    <w:rsid w:val="00D41FE1"/>
    <w:rsid w:val="00D4231A"/>
    <w:rsid w:val="00D47BE5"/>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3CD1"/>
    <w:rsid w:val="00DC492E"/>
    <w:rsid w:val="00DC7A6F"/>
    <w:rsid w:val="00DC7B96"/>
    <w:rsid w:val="00DC7D48"/>
    <w:rsid w:val="00DD08EC"/>
    <w:rsid w:val="00DD38D5"/>
    <w:rsid w:val="00DD3AB2"/>
    <w:rsid w:val="00DD413A"/>
    <w:rsid w:val="00DD5E2F"/>
    <w:rsid w:val="00DD6F8A"/>
    <w:rsid w:val="00DE1DFE"/>
    <w:rsid w:val="00DE206B"/>
    <w:rsid w:val="00DE3E24"/>
    <w:rsid w:val="00DE5BD5"/>
    <w:rsid w:val="00DE7F55"/>
    <w:rsid w:val="00DF0151"/>
    <w:rsid w:val="00DF2456"/>
    <w:rsid w:val="00DF3D67"/>
    <w:rsid w:val="00DF773A"/>
    <w:rsid w:val="00E00D50"/>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5F8F"/>
    <w:rsid w:val="00EC66EA"/>
    <w:rsid w:val="00ED385A"/>
    <w:rsid w:val="00ED6291"/>
    <w:rsid w:val="00ED66A8"/>
    <w:rsid w:val="00ED68FB"/>
    <w:rsid w:val="00ED6D41"/>
    <w:rsid w:val="00EE0EDC"/>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6F2"/>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4995">
      <w:bodyDiv w:val="1"/>
      <w:marLeft w:val="0"/>
      <w:marRight w:val="0"/>
      <w:marTop w:val="0"/>
      <w:marBottom w:val="0"/>
      <w:divBdr>
        <w:top w:val="none" w:sz="0" w:space="0" w:color="auto"/>
        <w:left w:val="none" w:sz="0" w:space="0" w:color="auto"/>
        <w:bottom w:val="none" w:sz="0" w:space="0" w:color="auto"/>
        <w:right w:val="none" w:sz="0" w:space="0" w:color="auto"/>
      </w:divBdr>
    </w:div>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57A1-F678-4E3C-90FD-3B5FC065778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8946dc4-2e98-472c-b2e6-ca9019b8dfda"/>
    <ds:schemaRef ds:uri="http://schemas.microsoft.com/office/infopath/2007/PartnerControls"/>
    <ds:schemaRef ds:uri="33856b32-dbbd-4996-9e5d-776de7c2e4f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FEB497D4-067B-4235-99E4-AA75FFAE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A4486-E2E2-4576-AF4A-0E3E1754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2020-04-09T15:57:00Z</dcterms:created>
  <dcterms:modified xsi:type="dcterms:W3CDTF">2020-04-09T15:57:00Z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