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F47F6" w14:textId="75184328" w:rsidR="009E0636" w:rsidRPr="004C3452" w:rsidRDefault="009E0636" w:rsidP="009E0636">
      <w:pPr>
        <w:rPr>
          <w:b/>
          <w:i/>
          <w:sz w:val="22"/>
          <w:szCs w:val="22"/>
          <w:lang w:val="en-GB"/>
        </w:rPr>
      </w:pPr>
      <w:r w:rsidRPr="004C3452">
        <w:rPr>
          <w:b/>
          <w:bCs/>
          <w:sz w:val="22"/>
          <w:szCs w:val="22"/>
          <w:lang w:val="en-GB"/>
        </w:rPr>
        <w:t xml:space="preserve">FULLY </w:t>
      </w:r>
      <w:r w:rsidRPr="004C3452">
        <w:rPr>
          <w:b/>
          <w:sz w:val="22"/>
          <w:szCs w:val="22"/>
          <w:lang w:val="en-GB"/>
        </w:rPr>
        <w:t>COSTED EVALUATION PLAN</w:t>
      </w:r>
      <w:r>
        <w:rPr>
          <w:rStyle w:val="FootnoteReference"/>
          <w:b/>
          <w:sz w:val="22"/>
          <w:szCs w:val="22"/>
          <w:lang w:val="en-GB"/>
        </w:rPr>
        <w:footnoteReference w:id="2"/>
      </w:r>
      <w:r w:rsidRPr="004C3452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- Timor-Leste CPD 2021-2025</w:t>
      </w:r>
    </w:p>
    <w:tbl>
      <w:tblPr>
        <w:tblpPr w:leftFromText="180" w:rightFromText="180" w:vertAnchor="text" w:horzAnchor="margin" w:tblpX="90" w:tblpY="143"/>
        <w:tblW w:w="18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40"/>
        <w:gridCol w:w="3132"/>
        <w:gridCol w:w="1998"/>
        <w:gridCol w:w="1980"/>
        <w:gridCol w:w="1260"/>
        <w:gridCol w:w="1620"/>
        <w:gridCol w:w="1170"/>
        <w:gridCol w:w="1620"/>
      </w:tblGrid>
      <w:tr w:rsidR="009E0636" w:rsidRPr="004C3452" w14:paraId="4AAF87BB" w14:textId="77777777" w:rsidTr="00A07003">
        <w:trPr>
          <w:cantSplit/>
          <w:trHeight w:val="845"/>
        </w:trPr>
        <w:tc>
          <w:tcPr>
            <w:tcW w:w="3600" w:type="dxa"/>
            <w:shd w:val="clear" w:color="auto" w:fill="D9E2F3" w:themeFill="accent1" w:themeFillTint="33"/>
            <w:vAlign w:val="center"/>
          </w:tcPr>
          <w:p w14:paraId="00F8A008" w14:textId="77777777" w:rsidR="009E0636" w:rsidRPr="004C3452" w:rsidRDefault="009E0636" w:rsidP="009E0636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C3452">
              <w:rPr>
                <w:b/>
                <w:bCs/>
                <w:sz w:val="22"/>
                <w:szCs w:val="22"/>
                <w:lang w:val="en-GB"/>
              </w:rPr>
              <w:t>UNSDCF (or equivalent)</w:t>
            </w:r>
          </w:p>
          <w:p w14:paraId="5D200987" w14:textId="77777777" w:rsidR="009E0636" w:rsidRPr="004C3452" w:rsidRDefault="009E0636" w:rsidP="009E0636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C3452">
              <w:rPr>
                <w:b/>
                <w:bCs/>
                <w:sz w:val="22"/>
                <w:szCs w:val="22"/>
                <w:lang w:val="en-GB"/>
              </w:rPr>
              <w:t xml:space="preserve">Outcome 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311A69D8" w14:textId="77777777" w:rsidR="009E0636" w:rsidRPr="004C3452" w:rsidRDefault="009E0636" w:rsidP="009E0636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C3452">
              <w:rPr>
                <w:b/>
                <w:bCs/>
                <w:sz w:val="22"/>
                <w:szCs w:val="22"/>
                <w:lang w:val="en-GB"/>
              </w:rPr>
              <w:t>UNDP Strategic Plan Outcome</w:t>
            </w:r>
          </w:p>
        </w:tc>
        <w:tc>
          <w:tcPr>
            <w:tcW w:w="3132" w:type="dxa"/>
            <w:shd w:val="clear" w:color="auto" w:fill="D9E2F3" w:themeFill="accent1" w:themeFillTint="33"/>
            <w:vAlign w:val="center"/>
          </w:tcPr>
          <w:p w14:paraId="5D5B54B1" w14:textId="77777777" w:rsidR="009E0636" w:rsidRPr="004C3452" w:rsidRDefault="009E0636" w:rsidP="009E0636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C3452">
              <w:rPr>
                <w:b/>
                <w:bCs/>
                <w:sz w:val="22"/>
                <w:szCs w:val="22"/>
                <w:lang w:val="en-GB"/>
              </w:rPr>
              <w:t>Evaluation Title</w:t>
            </w:r>
          </w:p>
        </w:tc>
        <w:tc>
          <w:tcPr>
            <w:tcW w:w="1998" w:type="dxa"/>
            <w:shd w:val="clear" w:color="auto" w:fill="D9E2F3" w:themeFill="accent1" w:themeFillTint="33"/>
            <w:vAlign w:val="center"/>
          </w:tcPr>
          <w:p w14:paraId="13CCE03F" w14:textId="77777777" w:rsidR="009E0636" w:rsidRPr="004C3452" w:rsidDel="00BA628C" w:rsidRDefault="009E0636" w:rsidP="009E0636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C3452">
              <w:rPr>
                <w:b/>
                <w:bCs/>
                <w:sz w:val="22"/>
                <w:szCs w:val="22"/>
                <w:lang w:val="en-GB"/>
              </w:rPr>
              <w:t>Partners (joint evaluation)</w:t>
            </w:r>
          </w:p>
        </w:tc>
        <w:tc>
          <w:tcPr>
            <w:tcW w:w="1980" w:type="dxa"/>
            <w:shd w:val="clear" w:color="auto" w:fill="D9E2F3" w:themeFill="accent1" w:themeFillTint="33"/>
            <w:vAlign w:val="center"/>
          </w:tcPr>
          <w:p w14:paraId="35C3917A" w14:textId="77777777" w:rsidR="009E0636" w:rsidRPr="004C3452" w:rsidRDefault="009E0636" w:rsidP="009E0636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C3452">
              <w:rPr>
                <w:b/>
                <w:bCs/>
                <w:sz w:val="22"/>
                <w:szCs w:val="22"/>
                <w:lang w:val="en-GB"/>
              </w:rPr>
              <w:t>Evaluation commissioned by (if not UNDP)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2AB0BED4" w14:textId="77777777" w:rsidR="009E0636" w:rsidRPr="004C3452" w:rsidRDefault="009E0636" w:rsidP="009E0636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C3452">
              <w:rPr>
                <w:b/>
                <w:bCs/>
                <w:sz w:val="22"/>
                <w:szCs w:val="22"/>
                <w:lang w:val="en-GB"/>
              </w:rPr>
              <w:t>Type of evaluation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599585C2" w14:textId="77777777" w:rsidR="009E0636" w:rsidRPr="004C3452" w:rsidRDefault="009E0636" w:rsidP="009E0636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C3452">
              <w:rPr>
                <w:b/>
                <w:bCs/>
                <w:sz w:val="22"/>
                <w:szCs w:val="22"/>
                <w:lang w:val="en-GB"/>
              </w:rPr>
              <w:t>Planned Evaluation Completion Date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58394CE6" w14:textId="77777777" w:rsidR="009E0636" w:rsidRPr="004C3452" w:rsidRDefault="009E0636" w:rsidP="009E0636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C3452">
              <w:rPr>
                <w:b/>
                <w:bCs/>
                <w:sz w:val="22"/>
                <w:szCs w:val="22"/>
                <w:lang w:val="en-GB"/>
              </w:rPr>
              <w:t>Estimated Cost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29480333" w14:textId="77777777" w:rsidR="009E0636" w:rsidRPr="004C3452" w:rsidRDefault="009E0636" w:rsidP="009E0636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C3452">
              <w:rPr>
                <w:b/>
                <w:bCs/>
                <w:sz w:val="22"/>
                <w:szCs w:val="22"/>
                <w:lang w:val="en-GB"/>
              </w:rPr>
              <w:t>Provisional Source of Funding</w:t>
            </w:r>
          </w:p>
        </w:tc>
      </w:tr>
      <w:tr w:rsidR="009E0636" w:rsidRPr="004C3452" w14:paraId="22E80196" w14:textId="77777777" w:rsidTr="00A07003">
        <w:trPr>
          <w:cantSplit/>
          <w:trHeight w:val="962"/>
        </w:trPr>
        <w:tc>
          <w:tcPr>
            <w:tcW w:w="3600" w:type="dxa"/>
          </w:tcPr>
          <w:p w14:paraId="4AF6E05B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Outcome 2: resilience to climate change and sustainable management of resources</w:t>
            </w:r>
          </w:p>
        </w:tc>
        <w:tc>
          <w:tcPr>
            <w:tcW w:w="2340" w:type="dxa"/>
          </w:tcPr>
          <w:p w14:paraId="7C09F193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SP Outcome 3 – Strengthen resilience to shocks and crises</w:t>
            </w:r>
          </w:p>
        </w:tc>
        <w:tc>
          <w:tcPr>
            <w:tcW w:w="3132" w:type="dxa"/>
          </w:tcPr>
          <w:p w14:paraId="24859189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>Terminal Evaluation for Coastal Resilience Building</w:t>
            </w:r>
          </w:p>
        </w:tc>
        <w:tc>
          <w:tcPr>
            <w:tcW w:w="1998" w:type="dxa"/>
          </w:tcPr>
          <w:p w14:paraId="332CF56F" w14:textId="5CC5E0FD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</w:tcPr>
          <w:p w14:paraId="5ED073CC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>UNDP</w:t>
            </w:r>
          </w:p>
        </w:tc>
        <w:tc>
          <w:tcPr>
            <w:tcW w:w="1260" w:type="dxa"/>
          </w:tcPr>
          <w:p w14:paraId="7DF73618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 xml:space="preserve">Final/Terminal </w:t>
            </w:r>
            <w:r>
              <w:rPr>
                <w:sz w:val="22"/>
                <w:szCs w:val="22"/>
              </w:rPr>
              <w:t xml:space="preserve">Project </w:t>
            </w:r>
            <w:r w:rsidRPr="004C3452">
              <w:rPr>
                <w:sz w:val="22"/>
                <w:szCs w:val="22"/>
              </w:rPr>
              <w:t>Evaluation</w:t>
            </w:r>
          </w:p>
        </w:tc>
        <w:tc>
          <w:tcPr>
            <w:tcW w:w="1620" w:type="dxa"/>
          </w:tcPr>
          <w:p w14:paraId="0FE32085" w14:textId="77777777" w:rsidR="009E0636" w:rsidRPr="004C3452" w:rsidRDefault="009E0636" w:rsidP="009E0636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>March 31, 2021</w:t>
            </w:r>
          </w:p>
        </w:tc>
        <w:tc>
          <w:tcPr>
            <w:tcW w:w="1170" w:type="dxa"/>
          </w:tcPr>
          <w:p w14:paraId="17635414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>46,500</w:t>
            </w:r>
          </w:p>
        </w:tc>
        <w:tc>
          <w:tcPr>
            <w:tcW w:w="1620" w:type="dxa"/>
          </w:tcPr>
          <w:p w14:paraId="589D3ADC" w14:textId="321C7B65" w:rsidR="009E0636" w:rsidRPr="004C3452" w:rsidRDefault="009E0636" w:rsidP="009E0636">
            <w:pPr>
              <w:rPr>
                <w:rStyle w:val="CommentReference"/>
                <w:sz w:val="22"/>
                <w:szCs w:val="22"/>
                <w:lang w:val="en-GB" w:eastAsia="uk-UA"/>
              </w:rPr>
            </w:pPr>
            <w:r w:rsidRPr="004C3452">
              <w:rPr>
                <w:rStyle w:val="CommentReference"/>
                <w:sz w:val="22"/>
                <w:szCs w:val="22"/>
                <w:lang w:val="en-GB" w:eastAsia="uk-UA"/>
              </w:rPr>
              <w:t>G</w:t>
            </w:r>
            <w:r w:rsidRPr="004C3452">
              <w:rPr>
                <w:rStyle w:val="CommentReference"/>
                <w:sz w:val="22"/>
                <w:szCs w:val="22"/>
                <w:lang w:eastAsia="uk-UA"/>
              </w:rPr>
              <w:t>EF</w:t>
            </w:r>
            <w:r w:rsidR="00AC20AD">
              <w:rPr>
                <w:rStyle w:val="CommentReference"/>
                <w:sz w:val="22"/>
                <w:szCs w:val="22"/>
                <w:lang w:eastAsia="uk-UA"/>
              </w:rPr>
              <w:t xml:space="preserve"> project </w:t>
            </w:r>
          </w:p>
        </w:tc>
      </w:tr>
      <w:tr w:rsidR="009E0636" w:rsidRPr="004C3452" w14:paraId="5D8E2F43" w14:textId="77777777" w:rsidTr="00A07003">
        <w:trPr>
          <w:cantSplit/>
          <w:trHeight w:val="490"/>
        </w:trPr>
        <w:tc>
          <w:tcPr>
            <w:tcW w:w="3600" w:type="dxa"/>
          </w:tcPr>
          <w:p w14:paraId="39918E0A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Outcome 2: resilience to climate change and sustainable management of resources</w:t>
            </w:r>
          </w:p>
        </w:tc>
        <w:tc>
          <w:tcPr>
            <w:tcW w:w="2340" w:type="dxa"/>
          </w:tcPr>
          <w:p w14:paraId="2002F877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SP Outcome 3 – Strengthen resilience to shocks and crises</w:t>
            </w:r>
          </w:p>
        </w:tc>
        <w:tc>
          <w:tcPr>
            <w:tcW w:w="3132" w:type="dxa"/>
          </w:tcPr>
          <w:p w14:paraId="2D02B71C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>Mid-term evaluation for ATSEA project</w:t>
            </w:r>
          </w:p>
        </w:tc>
        <w:tc>
          <w:tcPr>
            <w:tcW w:w="1998" w:type="dxa"/>
          </w:tcPr>
          <w:p w14:paraId="5C378AC2" w14:textId="48CCBF23" w:rsidR="009E0636" w:rsidRPr="004C3452" w:rsidRDefault="007F3191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 xml:space="preserve">Regional </w:t>
            </w:r>
            <w:r w:rsidR="00897339">
              <w:rPr>
                <w:sz w:val="22"/>
                <w:szCs w:val="22"/>
              </w:rPr>
              <w:t>Project Management</w:t>
            </w:r>
            <w:r w:rsidRPr="004C3452">
              <w:rPr>
                <w:sz w:val="22"/>
                <w:szCs w:val="22"/>
              </w:rPr>
              <w:t xml:space="preserve"> Unit</w:t>
            </w:r>
            <w:r>
              <w:rPr>
                <w:sz w:val="22"/>
                <w:szCs w:val="22"/>
              </w:rPr>
              <w:t xml:space="preserve"> (this is a regional project)</w:t>
            </w:r>
          </w:p>
        </w:tc>
        <w:tc>
          <w:tcPr>
            <w:tcW w:w="1980" w:type="dxa"/>
          </w:tcPr>
          <w:p w14:paraId="59D3094B" w14:textId="790150C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>UNDP</w:t>
            </w:r>
            <w:r w:rsidRPr="004C3452">
              <w:rPr>
                <w:sz w:val="22"/>
                <w:szCs w:val="22"/>
              </w:rPr>
              <w:br/>
            </w:r>
          </w:p>
        </w:tc>
        <w:tc>
          <w:tcPr>
            <w:tcW w:w="1260" w:type="dxa"/>
          </w:tcPr>
          <w:p w14:paraId="101873C4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Mid Term Review</w:t>
            </w:r>
          </w:p>
        </w:tc>
        <w:tc>
          <w:tcPr>
            <w:tcW w:w="1620" w:type="dxa"/>
          </w:tcPr>
          <w:p w14:paraId="151DE0CD" w14:textId="77777777" w:rsidR="009E0636" w:rsidRPr="004C3452" w:rsidRDefault="009E0636" w:rsidP="009E0636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October 202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70" w:type="dxa"/>
          </w:tcPr>
          <w:p w14:paraId="3645CD99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50,000</w:t>
            </w:r>
          </w:p>
        </w:tc>
        <w:tc>
          <w:tcPr>
            <w:tcW w:w="1620" w:type="dxa"/>
          </w:tcPr>
          <w:p w14:paraId="2EED381B" w14:textId="183BF6FB" w:rsidR="009E0636" w:rsidRPr="004C3452" w:rsidRDefault="009E0636" w:rsidP="009E0636">
            <w:pPr>
              <w:rPr>
                <w:rStyle w:val="CommentReference"/>
                <w:sz w:val="22"/>
                <w:szCs w:val="22"/>
                <w:lang w:val="en-GB" w:eastAsia="uk-UA"/>
              </w:rPr>
            </w:pPr>
            <w:r w:rsidRPr="004C3452">
              <w:rPr>
                <w:rStyle w:val="CommentReference"/>
                <w:sz w:val="22"/>
                <w:szCs w:val="22"/>
                <w:lang w:val="en-GB" w:eastAsia="uk-UA"/>
              </w:rPr>
              <w:t>G</w:t>
            </w:r>
            <w:r w:rsidRPr="004C3452">
              <w:rPr>
                <w:rStyle w:val="CommentReference"/>
                <w:sz w:val="22"/>
                <w:szCs w:val="22"/>
                <w:lang w:eastAsia="uk-UA"/>
              </w:rPr>
              <w:t>EF</w:t>
            </w:r>
            <w:r w:rsidR="00DC1DCB">
              <w:rPr>
                <w:rStyle w:val="CommentReference"/>
                <w:sz w:val="22"/>
                <w:szCs w:val="22"/>
                <w:lang w:eastAsia="uk-UA"/>
              </w:rPr>
              <w:t xml:space="preserve"> project</w:t>
            </w:r>
          </w:p>
        </w:tc>
      </w:tr>
      <w:tr w:rsidR="009E0636" w:rsidRPr="004C3452" w14:paraId="1E8C64BF" w14:textId="77777777" w:rsidTr="004F7F65">
        <w:trPr>
          <w:cantSplit/>
          <w:trHeight w:val="1940"/>
        </w:trPr>
        <w:tc>
          <w:tcPr>
            <w:tcW w:w="3600" w:type="dxa"/>
          </w:tcPr>
          <w:p w14:paraId="32B7F3CF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Outcome 2: resilience to climate change and sustainable management of resources</w:t>
            </w:r>
          </w:p>
        </w:tc>
        <w:tc>
          <w:tcPr>
            <w:tcW w:w="2340" w:type="dxa"/>
          </w:tcPr>
          <w:p w14:paraId="56111734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SP Outcome 3 – Strengthen resilience to shocks and crises</w:t>
            </w:r>
          </w:p>
        </w:tc>
        <w:tc>
          <w:tcPr>
            <w:tcW w:w="3132" w:type="dxa"/>
          </w:tcPr>
          <w:p w14:paraId="68B3F8E9" w14:textId="7FF2F15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>Terminal Evaluation for St</w:t>
            </w:r>
            <w:r w:rsidRPr="004C3452">
              <w:rPr>
                <w:snapToGrid w:val="0"/>
                <w:sz w:val="22"/>
                <w:szCs w:val="22"/>
              </w:rPr>
              <w:t xml:space="preserve">rengthening Targeted National Capacities to Improve Decision-Making and Mainstreaming Global Environmental Obligations into National Development Priorities </w:t>
            </w:r>
            <w:r w:rsidR="0089733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</w:tcPr>
          <w:p w14:paraId="5B60E65F" w14:textId="68AA5E3F" w:rsidR="009E0636" w:rsidRPr="004C3452" w:rsidRDefault="007F3191" w:rsidP="009E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2F72C1A6" w14:textId="77777777" w:rsidR="009E0636" w:rsidRPr="004C3452" w:rsidRDefault="009E0636" w:rsidP="009E0636">
            <w:pPr>
              <w:rPr>
                <w:sz w:val="22"/>
                <w:szCs w:val="22"/>
              </w:rPr>
            </w:pPr>
            <w:r w:rsidRPr="004C3452">
              <w:rPr>
                <w:sz w:val="22"/>
                <w:szCs w:val="22"/>
              </w:rPr>
              <w:t>UNDP</w:t>
            </w:r>
          </w:p>
        </w:tc>
        <w:tc>
          <w:tcPr>
            <w:tcW w:w="1260" w:type="dxa"/>
          </w:tcPr>
          <w:p w14:paraId="607BCFCD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 xml:space="preserve">Final/Terminal </w:t>
            </w:r>
            <w:r>
              <w:rPr>
                <w:sz w:val="22"/>
                <w:szCs w:val="22"/>
              </w:rPr>
              <w:t xml:space="preserve">Project </w:t>
            </w:r>
            <w:r w:rsidRPr="004C3452">
              <w:rPr>
                <w:sz w:val="22"/>
                <w:szCs w:val="22"/>
              </w:rPr>
              <w:t>Evaluation</w:t>
            </w:r>
          </w:p>
        </w:tc>
        <w:tc>
          <w:tcPr>
            <w:tcW w:w="1620" w:type="dxa"/>
          </w:tcPr>
          <w:p w14:paraId="08DFC4CA" w14:textId="77777777" w:rsidR="009E0636" w:rsidRPr="004C3452" w:rsidRDefault="009E0636" w:rsidP="009E0636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>31 May 2022 (3 months prior to project closure</w:t>
            </w:r>
          </w:p>
        </w:tc>
        <w:tc>
          <w:tcPr>
            <w:tcW w:w="1170" w:type="dxa"/>
          </w:tcPr>
          <w:p w14:paraId="0B8D40A5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>50, 000</w:t>
            </w:r>
          </w:p>
        </w:tc>
        <w:tc>
          <w:tcPr>
            <w:tcW w:w="1620" w:type="dxa"/>
          </w:tcPr>
          <w:p w14:paraId="44F5A374" w14:textId="6A6A4DD3" w:rsidR="009E0636" w:rsidRPr="004C3452" w:rsidRDefault="009E0636" w:rsidP="009E0636">
            <w:pPr>
              <w:rPr>
                <w:rStyle w:val="CommentReference"/>
                <w:sz w:val="22"/>
                <w:szCs w:val="22"/>
                <w:lang w:val="en-GB" w:eastAsia="uk-UA"/>
              </w:rPr>
            </w:pPr>
            <w:r w:rsidRPr="004C3452">
              <w:rPr>
                <w:rStyle w:val="CommentReference"/>
                <w:sz w:val="22"/>
                <w:szCs w:val="22"/>
                <w:lang w:val="en-GB" w:eastAsia="uk-UA"/>
              </w:rPr>
              <w:t>GEF</w:t>
            </w:r>
            <w:r w:rsidR="00DC1DCB">
              <w:rPr>
                <w:rStyle w:val="CommentReference"/>
                <w:sz w:val="22"/>
                <w:szCs w:val="22"/>
                <w:lang w:val="en-GB" w:eastAsia="uk-UA"/>
              </w:rPr>
              <w:t xml:space="preserve"> </w:t>
            </w:r>
            <w:r w:rsidR="00DC1DCB">
              <w:rPr>
                <w:rStyle w:val="CommentReference"/>
                <w:sz w:val="22"/>
                <w:szCs w:val="22"/>
                <w:lang w:eastAsia="uk-UA"/>
              </w:rPr>
              <w:t>project</w:t>
            </w:r>
          </w:p>
        </w:tc>
      </w:tr>
      <w:tr w:rsidR="009E0636" w:rsidRPr="004C3452" w14:paraId="529AF5E5" w14:textId="77777777" w:rsidTr="004F7F65">
        <w:trPr>
          <w:cantSplit/>
          <w:trHeight w:val="989"/>
        </w:trPr>
        <w:tc>
          <w:tcPr>
            <w:tcW w:w="3600" w:type="dxa"/>
          </w:tcPr>
          <w:p w14:paraId="0B01B16E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Outcome 2: resilience to climate change and sustainable management of resources</w:t>
            </w:r>
          </w:p>
        </w:tc>
        <w:tc>
          <w:tcPr>
            <w:tcW w:w="2340" w:type="dxa"/>
          </w:tcPr>
          <w:p w14:paraId="5B008BB9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SP Outcome 3 – Strengthen resilience to shocks and crises</w:t>
            </w:r>
          </w:p>
        </w:tc>
        <w:tc>
          <w:tcPr>
            <w:tcW w:w="3132" w:type="dxa"/>
          </w:tcPr>
          <w:p w14:paraId="3EFD0BFA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 xml:space="preserve">Terminal Evaluation </w:t>
            </w:r>
            <w:r w:rsidRPr="004C3452">
              <w:rPr>
                <w:sz w:val="22"/>
                <w:szCs w:val="22"/>
              </w:rPr>
              <w:t>for ATSEA Project</w:t>
            </w:r>
          </w:p>
        </w:tc>
        <w:tc>
          <w:tcPr>
            <w:tcW w:w="1998" w:type="dxa"/>
          </w:tcPr>
          <w:p w14:paraId="0CC15283" w14:textId="73835F6C" w:rsidR="009E0636" w:rsidRPr="004C3452" w:rsidRDefault="00897339" w:rsidP="009E063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 </w:t>
            </w:r>
            <w:r w:rsidR="009E0636" w:rsidRPr="004C3452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</w:tcPr>
          <w:p w14:paraId="6F871326" w14:textId="246B670E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 xml:space="preserve">UNDP </w:t>
            </w:r>
            <w:r w:rsidR="008973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2BF69569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Terminal Evaluation</w:t>
            </w:r>
          </w:p>
        </w:tc>
        <w:tc>
          <w:tcPr>
            <w:tcW w:w="1620" w:type="dxa"/>
          </w:tcPr>
          <w:p w14:paraId="2DCEB9AF" w14:textId="77777777" w:rsidR="009E0636" w:rsidRPr="004C3452" w:rsidRDefault="009E0636" w:rsidP="009E0636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2023</w:t>
            </w:r>
          </w:p>
        </w:tc>
        <w:tc>
          <w:tcPr>
            <w:tcW w:w="1170" w:type="dxa"/>
          </w:tcPr>
          <w:p w14:paraId="6EB62E8F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50,000</w:t>
            </w:r>
          </w:p>
        </w:tc>
        <w:tc>
          <w:tcPr>
            <w:tcW w:w="1620" w:type="dxa"/>
          </w:tcPr>
          <w:p w14:paraId="5E2528CC" w14:textId="4CD69A59" w:rsidR="009E0636" w:rsidRPr="004C3452" w:rsidRDefault="009E0636" w:rsidP="009E0636">
            <w:pPr>
              <w:rPr>
                <w:rStyle w:val="CommentReference"/>
                <w:sz w:val="22"/>
                <w:szCs w:val="22"/>
                <w:lang w:val="en-GB" w:eastAsia="uk-UA"/>
              </w:rPr>
            </w:pPr>
            <w:r w:rsidRPr="004C3452">
              <w:rPr>
                <w:rStyle w:val="CommentReference"/>
                <w:sz w:val="22"/>
                <w:szCs w:val="22"/>
                <w:lang w:val="en-GB" w:eastAsia="uk-UA"/>
              </w:rPr>
              <w:t>G</w:t>
            </w:r>
            <w:r w:rsidRPr="004C3452">
              <w:rPr>
                <w:rStyle w:val="CommentReference"/>
                <w:sz w:val="22"/>
                <w:szCs w:val="22"/>
                <w:lang w:eastAsia="uk-UA"/>
              </w:rPr>
              <w:t>EF</w:t>
            </w:r>
            <w:r w:rsidR="00DC1DCB">
              <w:rPr>
                <w:rStyle w:val="CommentReference"/>
                <w:sz w:val="22"/>
                <w:szCs w:val="22"/>
                <w:lang w:eastAsia="uk-UA"/>
              </w:rPr>
              <w:t xml:space="preserve"> project</w:t>
            </w:r>
          </w:p>
        </w:tc>
      </w:tr>
      <w:tr w:rsidR="009E0636" w:rsidRPr="004C3452" w14:paraId="5F921C9B" w14:textId="77777777" w:rsidTr="004F7F65">
        <w:trPr>
          <w:cantSplit/>
          <w:trHeight w:val="1414"/>
        </w:trPr>
        <w:tc>
          <w:tcPr>
            <w:tcW w:w="3600" w:type="dxa"/>
          </w:tcPr>
          <w:p w14:paraId="1DD83F97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Outcome 2: resilience to climate change and sustainable management of resources</w:t>
            </w:r>
          </w:p>
        </w:tc>
        <w:tc>
          <w:tcPr>
            <w:tcW w:w="2340" w:type="dxa"/>
          </w:tcPr>
          <w:p w14:paraId="0C0C3ED4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SP Outcome 3 – Strengthen resilience to shocks and crises</w:t>
            </w:r>
          </w:p>
        </w:tc>
        <w:tc>
          <w:tcPr>
            <w:tcW w:w="3132" w:type="dxa"/>
          </w:tcPr>
          <w:p w14:paraId="4CD2FC9E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 xml:space="preserve">Interim Independent Evaluation for </w:t>
            </w:r>
            <w:r w:rsidRPr="004C3452">
              <w:rPr>
                <w:sz w:val="22"/>
                <w:szCs w:val="22"/>
              </w:rPr>
              <w:t>Safeguarding rural communities and their physical assets from climate induced disasters in Timor-Leste</w:t>
            </w:r>
          </w:p>
        </w:tc>
        <w:tc>
          <w:tcPr>
            <w:tcW w:w="1998" w:type="dxa"/>
          </w:tcPr>
          <w:p w14:paraId="55321CAD" w14:textId="61D556B1" w:rsidR="009E0636" w:rsidRPr="004C3452" w:rsidRDefault="00897339" w:rsidP="009E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7E830C89" w14:textId="5EA689FA" w:rsidR="009E0636" w:rsidRPr="004C3452" w:rsidRDefault="009E0636" w:rsidP="009E0636">
            <w:pPr>
              <w:rPr>
                <w:sz w:val="22"/>
                <w:szCs w:val="22"/>
              </w:rPr>
            </w:pPr>
            <w:r w:rsidRPr="004C3452">
              <w:rPr>
                <w:sz w:val="22"/>
                <w:szCs w:val="22"/>
              </w:rPr>
              <w:t xml:space="preserve">UNDP </w:t>
            </w:r>
            <w:r w:rsidR="00EF23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0484CEFF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Mid Term Evaluation</w:t>
            </w:r>
          </w:p>
        </w:tc>
        <w:tc>
          <w:tcPr>
            <w:tcW w:w="1620" w:type="dxa"/>
          </w:tcPr>
          <w:p w14:paraId="7605BD69" w14:textId="77777777" w:rsidR="009E0636" w:rsidRPr="004C3452" w:rsidRDefault="009E0636" w:rsidP="009E0636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2023</w:t>
            </w:r>
          </w:p>
        </w:tc>
        <w:tc>
          <w:tcPr>
            <w:tcW w:w="1170" w:type="dxa"/>
          </w:tcPr>
          <w:p w14:paraId="55406EDD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30,000</w:t>
            </w:r>
          </w:p>
        </w:tc>
        <w:tc>
          <w:tcPr>
            <w:tcW w:w="1620" w:type="dxa"/>
          </w:tcPr>
          <w:p w14:paraId="23E9E8BB" w14:textId="2AD5E2CB" w:rsidR="009E0636" w:rsidRPr="00DC1DCB" w:rsidRDefault="009E0636" w:rsidP="009E0636">
            <w:pPr>
              <w:rPr>
                <w:rStyle w:val="CommentReference"/>
                <w:b/>
                <w:bCs/>
                <w:sz w:val="22"/>
                <w:szCs w:val="22"/>
                <w:lang w:val="en-GB" w:eastAsia="uk-UA"/>
              </w:rPr>
            </w:pPr>
            <w:r w:rsidRPr="004C3452">
              <w:rPr>
                <w:rStyle w:val="CommentReference"/>
                <w:sz w:val="22"/>
                <w:szCs w:val="22"/>
                <w:lang w:val="en-GB" w:eastAsia="uk-UA"/>
              </w:rPr>
              <w:t>GCF</w:t>
            </w:r>
            <w:r w:rsidR="00DC1DCB">
              <w:rPr>
                <w:rStyle w:val="CommentReference"/>
                <w:sz w:val="22"/>
                <w:szCs w:val="22"/>
                <w:lang w:val="en-GB" w:eastAsia="uk-UA"/>
              </w:rPr>
              <w:t xml:space="preserve"> </w:t>
            </w:r>
            <w:r w:rsidR="00DC1DCB">
              <w:rPr>
                <w:rStyle w:val="CommentReference"/>
                <w:sz w:val="22"/>
                <w:szCs w:val="22"/>
                <w:lang w:eastAsia="uk-UA"/>
              </w:rPr>
              <w:t>project</w:t>
            </w:r>
          </w:p>
        </w:tc>
      </w:tr>
      <w:tr w:rsidR="009E0636" w:rsidRPr="004C3452" w14:paraId="34C638C3" w14:textId="77777777" w:rsidTr="00A07003">
        <w:trPr>
          <w:cantSplit/>
          <w:trHeight w:val="60"/>
        </w:trPr>
        <w:tc>
          <w:tcPr>
            <w:tcW w:w="3600" w:type="dxa"/>
          </w:tcPr>
          <w:p w14:paraId="03605BE0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 xml:space="preserve">Outcome 3: accessible and accountable and gender responsive governance systems, </w:t>
            </w:r>
            <w:proofErr w:type="gramStart"/>
            <w:r w:rsidRPr="004C3452">
              <w:rPr>
                <w:sz w:val="22"/>
                <w:szCs w:val="22"/>
                <w:lang w:val="en-GB"/>
              </w:rPr>
              <w:t>institutions</w:t>
            </w:r>
            <w:proofErr w:type="gramEnd"/>
            <w:r w:rsidRPr="004C3452">
              <w:rPr>
                <w:sz w:val="22"/>
                <w:szCs w:val="22"/>
                <w:lang w:val="en-GB"/>
              </w:rPr>
              <w:t xml:space="preserve"> and services at national and municipal levels</w:t>
            </w:r>
          </w:p>
        </w:tc>
        <w:tc>
          <w:tcPr>
            <w:tcW w:w="2340" w:type="dxa"/>
          </w:tcPr>
          <w:p w14:paraId="1033F392" w14:textId="189DE4BE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>SP Outcome 2 – Accelerate structural transformations for sustainable development</w:t>
            </w:r>
          </w:p>
        </w:tc>
        <w:tc>
          <w:tcPr>
            <w:tcW w:w="3132" w:type="dxa"/>
          </w:tcPr>
          <w:p w14:paraId="3413E51B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Evaluation of governance and decentralization programme</w:t>
            </w:r>
          </w:p>
        </w:tc>
        <w:tc>
          <w:tcPr>
            <w:tcW w:w="1998" w:type="dxa"/>
          </w:tcPr>
          <w:p w14:paraId="7A491811" w14:textId="509243B7" w:rsidR="009E0636" w:rsidRPr="004C3452" w:rsidRDefault="00897339" w:rsidP="009E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9E0636" w:rsidRPr="004C3452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0" w:type="dxa"/>
          </w:tcPr>
          <w:p w14:paraId="612D4D85" w14:textId="77777777" w:rsidR="009E0636" w:rsidRPr="004C3452" w:rsidRDefault="009E0636" w:rsidP="009E0636">
            <w:pPr>
              <w:rPr>
                <w:sz w:val="22"/>
                <w:szCs w:val="22"/>
              </w:rPr>
            </w:pPr>
            <w:r w:rsidRPr="004C3452">
              <w:rPr>
                <w:sz w:val="22"/>
                <w:szCs w:val="22"/>
                <w:lang w:val="en-GB"/>
              </w:rPr>
              <w:t>UNDP</w:t>
            </w:r>
          </w:p>
        </w:tc>
        <w:tc>
          <w:tcPr>
            <w:tcW w:w="1260" w:type="dxa"/>
          </w:tcPr>
          <w:p w14:paraId="2203BF36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Outcome evaluation</w:t>
            </w:r>
          </w:p>
        </w:tc>
        <w:tc>
          <w:tcPr>
            <w:tcW w:w="1620" w:type="dxa"/>
          </w:tcPr>
          <w:p w14:paraId="04CB3092" w14:textId="77777777" w:rsidR="009E0636" w:rsidRPr="004C3452" w:rsidRDefault="009E0636" w:rsidP="009E0636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</w:tcPr>
          <w:p w14:paraId="0212FC20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>60000</w:t>
            </w:r>
          </w:p>
        </w:tc>
        <w:tc>
          <w:tcPr>
            <w:tcW w:w="1620" w:type="dxa"/>
          </w:tcPr>
          <w:p w14:paraId="2D5F1C1C" w14:textId="51773AD7" w:rsidR="009E0636" w:rsidRPr="004C3452" w:rsidRDefault="009E0636" w:rsidP="009E0636">
            <w:pPr>
              <w:rPr>
                <w:rStyle w:val="CommentReference"/>
                <w:sz w:val="22"/>
                <w:szCs w:val="22"/>
                <w:lang w:val="en-GB" w:eastAsia="uk-UA"/>
              </w:rPr>
            </w:pPr>
            <w:r w:rsidRPr="004C3452">
              <w:rPr>
                <w:rStyle w:val="CommentReference"/>
                <w:sz w:val="22"/>
                <w:szCs w:val="22"/>
                <w:lang w:val="en-GB" w:eastAsia="uk-UA"/>
              </w:rPr>
              <w:t xml:space="preserve">CO TRAC and cost </w:t>
            </w:r>
            <w:r w:rsidR="00EF239A">
              <w:rPr>
                <w:rStyle w:val="CommentReference"/>
                <w:sz w:val="22"/>
                <w:szCs w:val="22"/>
                <w:lang w:val="en-GB" w:eastAsia="uk-UA"/>
              </w:rPr>
              <w:t>sharing</w:t>
            </w:r>
            <w:r w:rsidRPr="004C3452">
              <w:rPr>
                <w:rStyle w:val="CommentReference"/>
                <w:sz w:val="22"/>
                <w:szCs w:val="22"/>
                <w:lang w:val="en-GB" w:eastAsia="uk-UA"/>
              </w:rPr>
              <w:t xml:space="preserve"> with projects</w:t>
            </w:r>
            <w:r w:rsidR="00AC20AD">
              <w:rPr>
                <w:rStyle w:val="CommentReference"/>
                <w:sz w:val="22"/>
                <w:szCs w:val="22"/>
                <w:lang w:val="en-GB" w:eastAsia="uk-UA"/>
              </w:rPr>
              <w:t xml:space="preserve"> </w:t>
            </w:r>
          </w:p>
        </w:tc>
      </w:tr>
      <w:tr w:rsidR="009E0636" w:rsidRPr="004C3452" w14:paraId="09194228" w14:textId="77777777" w:rsidTr="00A07003">
        <w:trPr>
          <w:cantSplit/>
          <w:trHeight w:val="60"/>
        </w:trPr>
        <w:tc>
          <w:tcPr>
            <w:tcW w:w="3600" w:type="dxa"/>
          </w:tcPr>
          <w:p w14:paraId="337C7279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lastRenderedPageBreak/>
              <w:t>Outcome 1: economic opportunities and decent work for all</w:t>
            </w:r>
          </w:p>
        </w:tc>
        <w:tc>
          <w:tcPr>
            <w:tcW w:w="2340" w:type="dxa"/>
          </w:tcPr>
          <w:p w14:paraId="4840596F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>SP Outcome 1 – Advance poverty eradication in all its forms and dimensions</w:t>
            </w:r>
          </w:p>
        </w:tc>
        <w:tc>
          <w:tcPr>
            <w:tcW w:w="3132" w:type="dxa"/>
          </w:tcPr>
          <w:p w14:paraId="67B3CA1E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Evaluation of poverty reduction and employment generation programme</w:t>
            </w:r>
          </w:p>
        </w:tc>
        <w:tc>
          <w:tcPr>
            <w:tcW w:w="1998" w:type="dxa"/>
          </w:tcPr>
          <w:p w14:paraId="65EAE720" w14:textId="77777777" w:rsidR="009E0636" w:rsidRPr="004C3452" w:rsidRDefault="009E0636" w:rsidP="00606F57">
            <w:pPr>
              <w:pStyle w:val="yiv1222352482msonormal"/>
            </w:pPr>
          </w:p>
        </w:tc>
        <w:tc>
          <w:tcPr>
            <w:tcW w:w="1980" w:type="dxa"/>
          </w:tcPr>
          <w:p w14:paraId="7FB1AE6F" w14:textId="77777777" w:rsidR="009E0636" w:rsidRPr="004C3452" w:rsidRDefault="009E0636" w:rsidP="009E0636">
            <w:pPr>
              <w:rPr>
                <w:sz w:val="22"/>
                <w:szCs w:val="22"/>
              </w:rPr>
            </w:pPr>
            <w:r w:rsidRPr="004C3452">
              <w:rPr>
                <w:sz w:val="22"/>
                <w:szCs w:val="22"/>
                <w:lang w:val="en-GB"/>
              </w:rPr>
              <w:t>UNDP</w:t>
            </w:r>
          </w:p>
        </w:tc>
        <w:tc>
          <w:tcPr>
            <w:tcW w:w="1260" w:type="dxa"/>
          </w:tcPr>
          <w:p w14:paraId="5E7DC32C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Outcome evaluation</w:t>
            </w:r>
          </w:p>
        </w:tc>
        <w:tc>
          <w:tcPr>
            <w:tcW w:w="1620" w:type="dxa"/>
          </w:tcPr>
          <w:p w14:paraId="19B549BA" w14:textId="77777777" w:rsidR="009E0636" w:rsidRPr="004C3452" w:rsidRDefault="009E0636" w:rsidP="009E0636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2024</w:t>
            </w:r>
          </w:p>
        </w:tc>
        <w:tc>
          <w:tcPr>
            <w:tcW w:w="1170" w:type="dxa"/>
          </w:tcPr>
          <w:p w14:paraId="5ADA16C5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60000</w:t>
            </w:r>
          </w:p>
        </w:tc>
        <w:tc>
          <w:tcPr>
            <w:tcW w:w="1620" w:type="dxa"/>
          </w:tcPr>
          <w:p w14:paraId="7BA8783A" w14:textId="232A28DF" w:rsidR="009E0636" w:rsidRPr="004C3452" w:rsidRDefault="009E0636" w:rsidP="009E0636">
            <w:pPr>
              <w:rPr>
                <w:rStyle w:val="CommentReference"/>
                <w:sz w:val="22"/>
                <w:szCs w:val="22"/>
                <w:lang w:val="en-GB" w:eastAsia="uk-UA"/>
              </w:rPr>
            </w:pPr>
            <w:r w:rsidRPr="004C3452">
              <w:rPr>
                <w:sz w:val="22"/>
                <w:szCs w:val="22"/>
              </w:rPr>
              <w:t>CO TRAC and cost shar</w:t>
            </w:r>
            <w:r w:rsidR="00606F57">
              <w:rPr>
                <w:sz w:val="22"/>
                <w:szCs w:val="22"/>
              </w:rPr>
              <w:t>ing</w:t>
            </w:r>
            <w:r w:rsidRPr="004C3452">
              <w:rPr>
                <w:sz w:val="22"/>
                <w:szCs w:val="22"/>
              </w:rPr>
              <w:t xml:space="preserve"> with projects</w:t>
            </w:r>
          </w:p>
        </w:tc>
      </w:tr>
      <w:tr w:rsidR="009E0636" w:rsidRPr="004C3452" w14:paraId="1811C2F7" w14:textId="77777777" w:rsidTr="00A07003">
        <w:trPr>
          <w:cantSplit/>
          <w:trHeight w:val="60"/>
        </w:trPr>
        <w:tc>
          <w:tcPr>
            <w:tcW w:w="3600" w:type="dxa"/>
          </w:tcPr>
          <w:p w14:paraId="290BC064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42E07739" w14:textId="77777777" w:rsidR="009E0636" w:rsidRPr="004C3452" w:rsidRDefault="009E0636" w:rsidP="009E0636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32" w:type="dxa"/>
          </w:tcPr>
          <w:p w14:paraId="384A96B5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Final evaluation of UNSDCF (UNDP contribution)</w:t>
            </w:r>
          </w:p>
        </w:tc>
        <w:tc>
          <w:tcPr>
            <w:tcW w:w="1998" w:type="dxa"/>
          </w:tcPr>
          <w:p w14:paraId="20845ECB" w14:textId="5D96A8E8" w:rsidR="009E0636" w:rsidRPr="004C3452" w:rsidRDefault="009E0636" w:rsidP="009E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RCO, UN agencies,  </w:t>
            </w:r>
          </w:p>
        </w:tc>
        <w:tc>
          <w:tcPr>
            <w:tcW w:w="1980" w:type="dxa"/>
          </w:tcPr>
          <w:p w14:paraId="11355EB3" w14:textId="77777777" w:rsidR="009E0636" w:rsidRPr="004C3452" w:rsidRDefault="009E0636" w:rsidP="009E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UNCT </w:t>
            </w:r>
          </w:p>
        </w:tc>
        <w:tc>
          <w:tcPr>
            <w:tcW w:w="1260" w:type="dxa"/>
          </w:tcPr>
          <w:p w14:paraId="477EC168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Terminal Evaluation</w:t>
            </w:r>
          </w:p>
        </w:tc>
        <w:tc>
          <w:tcPr>
            <w:tcW w:w="1620" w:type="dxa"/>
          </w:tcPr>
          <w:p w14:paraId="64CE9E74" w14:textId="77777777" w:rsidR="009E0636" w:rsidRPr="004C3452" w:rsidRDefault="009E0636" w:rsidP="009E0636">
            <w:pPr>
              <w:spacing w:before="40" w:after="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2024</w:t>
            </w:r>
          </w:p>
        </w:tc>
        <w:tc>
          <w:tcPr>
            <w:tcW w:w="1170" w:type="dxa"/>
          </w:tcPr>
          <w:p w14:paraId="65A1A2A7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071B15">
              <w:rPr>
                <w:sz w:val="22"/>
                <w:szCs w:val="22"/>
                <w:lang w:val="en-GB"/>
              </w:rPr>
              <w:t>6,000</w:t>
            </w:r>
          </w:p>
        </w:tc>
        <w:tc>
          <w:tcPr>
            <w:tcW w:w="1620" w:type="dxa"/>
          </w:tcPr>
          <w:p w14:paraId="04E9CAB2" w14:textId="4BED65C2" w:rsidR="009E0636" w:rsidRPr="004C3452" w:rsidRDefault="009E0636" w:rsidP="009E0636">
            <w:pPr>
              <w:rPr>
                <w:rStyle w:val="CommentReference"/>
                <w:sz w:val="22"/>
                <w:szCs w:val="22"/>
                <w:lang w:val="en-GB" w:eastAsia="uk-UA"/>
              </w:rPr>
            </w:pPr>
            <w:r>
              <w:rPr>
                <w:rStyle w:val="CommentReference"/>
                <w:sz w:val="22"/>
                <w:szCs w:val="22"/>
                <w:lang w:val="en-GB" w:eastAsia="uk-UA"/>
              </w:rPr>
              <w:t>CO</w:t>
            </w:r>
            <w:r w:rsidR="00051063">
              <w:rPr>
                <w:rStyle w:val="CommentReference"/>
                <w:sz w:val="22"/>
                <w:szCs w:val="22"/>
                <w:lang w:val="en-GB" w:eastAsia="uk-UA"/>
              </w:rPr>
              <w:t xml:space="preserve"> funds</w:t>
            </w:r>
          </w:p>
        </w:tc>
      </w:tr>
      <w:tr w:rsidR="009E0636" w:rsidRPr="004C3452" w14:paraId="4E69C20A" w14:textId="77777777" w:rsidTr="00A07003">
        <w:trPr>
          <w:cantSplit/>
          <w:trHeight w:val="60"/>
        </w:trPr>
        <w:tc>
          <w:tcPr>
            <w:tcW w:w="3600" w:type="dxa"/>
          </w:tcPr>
          <w:p w14:paraId="7C714F53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Outcome 2: resilience to climate change and sustainable management of resources</w:t>
            </w:r>
          </w:p>
        </w:tc>
        <w:tc>
          <w:tcPr>
            <w:tcW w:w="2340" w:type="dxa"/>
          </w:tcPr>
          <w:p w14:paraId="21FD1BF0" w14:textId="77777777" w:rsidR="009E0636" w:rsidRPr="004C3452" w:rsidRDefault="009E0636" w:rsidP="009E0636">
            <w:pPr>
              <w:jc w:val="center"/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SP Outcome 3 – Strengthen resilience to shocks and crises</w:t>
            </w:r>
          </w:p>
        </w:tc>
        <w:tc>
          <w:tcPr>
            <w:tcW w:w="3132" w:type="dxa"/>
          </w:tcPr>
          <w:p w14:paraId="0625988A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Final Independent Evaluation for</w:t>
            </w:r>
            <w:r w:rsidRPr="004C3452">
              <w:rPr>
                <w:sz w:val="22"/>
                <w:szCs w:val="22"/>
              </w:rPr>
              <w:t xml:space="preserve"> Safeguarding rural communities and their physical assets from climate induced disasters in Timor-Leste</w:t>
            </w:r>
          </w:p>
        </w:tc>
        <w:tc>
          <w:tcPr>
            <w:tcW w:w="1998" w:type="dxa"/>
          </w:tcPr>
          <w:p w14:paraId="6B598B25" w14:textId="184C7D17" w:rsidR="009E0636" w:rsidRPr="004C3452" w:rsidRDefault="00051063" w:rsidP="009E063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653C004D" w14:textId="28D045A9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</w:rPr>
              <w:t xml:space="preserve">UNDP </w:t>
            </w:r>
            <w:r w:rsidR="000510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49E47F89" w14:textId="77777777" w:rsidR="009E0636" w:rsidRPr="004C3452" w:rsidRDefault="009E0636" w:rsidP="009E0636">
            <w:pPr>
              <w:rPr>
                <w:sz w:val="22"/>
                <w:szCs w:val="22"/>
                <w:lang w:val="en-GB"/>
              </w:rPr>
            </w:pPr>
            <w:r w:rsidRPr="004C3452">
              <w:rPr>
                <w:sz w:val="22"/>
                <w:szCs w:val="22"/>
                <w:lang w:val="en-GB"/>
              </w:rPr>
              <w:t>Terminal Evaluation</w:t>
            </w:r>
          </w:p>
        </w:tc>
        <w:tc>
          <w:tcPr>
            <w:tcW w:w="1620" w:type="dxa"/>
          </w:tcPr>
          <w:p w14:paraId="5DFD8462" w14:textId="77777777" w:rsidR="009E0636" w:rsidRPr="004C3452" w:rsidRDefault="009E0636" w:rsidP="009E0636">
            <w:pPr>
              <w:spacing w:before="40" w:after="40"/>
              <w:rPr>
                <w:sz w:val="22"/>
                <w:szCs w:val="22"/>
              </w:rPr>
            </w:pPr>
            <w:r w:rsidRPr="004C3452">
              <w:rPr>
                <w:sz w:val="22"/>
                <w:szCs w:val="22"/>
                <w:lang w:val="en-GB"/>
              </w:rPr>
              <w:t>2025</w:t>
            </w:r>
          </w:p>
        </w:tc>
        <w:tc>
          <w:tcPr>
            <w:tcW w:w="1170" w:type="dxa"/>
          </w:tcPr>
          <w:p w14:paraId="61CC86BB" w14:textId="77777777" w:rsidR="009E0636" w:rsidRPr="004C3452" w:rsidRDefault="009E0636" w:rsidP="009E0636">
            <w:pPr>
              <w:rPr>
                <w:sz w:val="22"/>
                <w:szCs w:val="22"/>
              </w:rPr>
            </w:pPr>
            <w:r w:rsidRPr="004C3452">
              <w:rPr>
                <w:sz w:val="22"/>
                <w:szCs w:val="22"/>
                <w:lang w:val="en-GB"/>
              </w:rPr>
              <w:t>50,000</w:t>
            </w:r>
          </w:p>
        </w:tc>
        <w:tc>
          <w:tcPr>
            <w:tcW w:w="1620" w:type="dxa"/>
          </w:tcPr>
          <w:p w14:paraId="7E5999AF" w14:textId="5CC1E58C" w:rsidR="009E0636" w:rsidRPr="004C3452" w:rsidRDefault="009E0636" w:rsidP="009E0636">
            <w:pPr>
              <w:rPr>
                <w:rStyle w:val="CommentReference"/>
                <w:sz w:val="22"/>
                <w:szCs w:val="22"/>
                <w:lang w:val="en-GB" w:eastAsia="uk-UA"/>
              </w:rPr>
            </w:pPr>
            <w:r w:rsidRPr="004C3452">
              <w:rPr>
                <w:rStyle w:val="CommentReference"/>
                <w:sz w:val="22"/>
                <w:szCs w:val="22"/>
                <w:lang w:val="en-GB" w:eastAsia="uk-UA"/>
              </w:rPr>
              <w:t>GCF</w:t>
            </w:r>
            <w:r w:rsidR="00051063">
              <w:rPr>
                <w:rStyle w:val="CommentReference"/>
                <w:sz w:val="22"/>
                <w:szCs w:val="22"/>
                <w:lang w:val="en-GB" w:eastAsia="uk-UA"/>
              </w:rPr>
              <w:t xml:space="preserve"> project</w:t>
            </w:r>
          </w:p>
        </w:tc>
      </w:tr>
    </w:tbl>
    <w:p w14:paraId="35BB980B" w14:textId="77777777" w:rsidR="009E0636" w:rsidRPr="004C3452" w:rsidRDefault="009E0636" w:rsidP="009E0636">
      <w:pPr>
        <w:rPr>
          <w:sz w:val="22"/>
          <w:szCs w:val="22"/>
        </w:rPr>
      </w:pPr>
    </w:p>
    <w:p w14:paraId="4C27E1A7" w14:textId="77777777" w:rsidR="00526B09" w:rsidRDefault="0006223B"/>
    <w:sectPr w:rsidR="00526B09" w:rsidSect="009E0636">
      <w:pgSz w:w="20160" w:h="12240" w:orient="landscape" w:code="5"/>
      <w:pgMar w:top="1440" w:right="126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CD4E4" w14:textId="77777777" w:rsidR="009E0636" w:rsidRDefault="009E0636" w:rsidP="009E0636">
      <w:r>
        <w:separator/>
      </w:r>
    </w:p>
  </w:endnote>
  <w:endnote w:type="continuationSeparator" w:id="0">
    <w:p w14:paraId="5D8E62FD" w14:textId="77777777" w:rsidR="009E0636" w:rsidRDefault="009E0636" w:rsidP="009E0636">
      <w:r>
        <w:continuationSeparator/>
      </w:r>
    </w:p>
  </w:endnote>
  <w:endnote w:type="continuationNotice" w:id="1">
    <w:p w14:paraId="286DB7FA" w14:textId="77777777" w:rsidR="004F3D75" w:rsidRDefault="004F3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8B6CD" w14:textId="77777777" w:rsidR="009E0636" w:rsidRDefault="009E0636" w:rsidP="009E0636">
      <w:r>
        <w:separator/>
      </w:r>
    </w:p>
  </w:footnote>
  <w:footnote w:type="continuationSeparator" w:id="0">
    <w:p w14:paraId="2AAE0F9B" w14:textId="77777777" w:rsidR="009E0636" w:rsidRDefault="009E0636" w:rsidP="009E0636">
      <w:r>
        <w:continuationSeparator/>
      </w:r>
    </w:p>
  </w:footnote>
  <w:footnote w:type="continuationNotice" w:id="1">
    <w:p w14:paraId="107EB0B4" w14:textId="77777777" w:rsidR="004F3D75" w:rsidRDefault="004F3D75"/>
  </w:footnote>
  <w:footnote w:id="2">
    <w:p w14:paraId="78C4B2A9" w14:textId="0E222EFF" w:rsidR="009E0636" w:rsidRDefault="009E0636" w:rsidP="009E0636">
      <w:pPr>
        <w:pStyle w:val="FootnoteText"/>
      </w:pPr>
      <w:r w:rsidRPr="00834A71">
        <w:rPr>
          <w:rFonts w:ascii="Times New Roman" w:hAnsi="Times New Roman"/>
          <w:sz w:val="16"/>
          <w:szCs w:val="16"/>
        </w:rPr>
        <w:footnoteRef/>
      </w:r>
      <w:r w:rsidRPr="00834A71">
        <w:rPr>
          <w:rFonts w:ascii="Times New Roman" w:hAnsi="Times New Roman"/>
          <w:sz w:val="16"/>
          <w:szCs w:val="16"/>
        </w:rPr>
        <w:t xml:space="preserve"> </w:t>
      </w:r>
      <w:r w:rsidR="00BA262E">
        <w:rPr>
          <w:rFonts w:ascii="Times New Roman" w:hAnsi="Times New Roman"/>
          <w:sz w:val="16"/>
          <w:szCs w:val="16"/>
        </w:rPr>
        <w:t>This evaluation plan includes all the mandatory mid-term and terminal evaluations as per the agreement with the donors</w:t>
      </w:r>
      <w:r w:rsidR="00247DF7">
        <w:rPr>
          <w:rFonts w:ascii="Times New Roman" w:hAnsi="Times New Roman"/>
          <w:sz w:val="16"/>
          <w:szCs w:val="16"/>
        </w:rPr>
        <w:t>, mostly the vertical funds</w:t>
      </w:r>
      <w:r w:rsidR="003356C7">
        <w:rPr>
          <w:rFonts w:ascii="Times New Roman" w:hAnsi="Times New Roman"/>
          <w:sz w:val="16"/>
          <w:szCs w:val="16"/>
        </w:rPr>
        <w:t xml:space="preserve">—GEF and GCF. </w:t>
      </w:r>
      <w:r w:rsidRPr="00834A71">
        <w:rPr>
          <w:rFonts w:ascii="Times New Roman" w:hAnsi="Times New Roman"/>
          <w:sz w:val="16"/>
          <w:szCs w:val="16"/>
        </w:rPr>
        <w:t xml:space="preserve">The CO does not currently </w:t>
      </w:r>
      <w:r w:rsidR="00120F23">
        <w:rPr>
          <w:rFonts w:ascii="Times New Roman" w:hAnsi="Times New Roman"/>
          <w:sz w:val="16"/>
          <w:szCs w:val="16"/>
        </w:rPr>
        <w:t>anticipate</w:t>
      </w:r>
      <w:r w:rsidRPr="00834A71">
        <w:rPr>
          <w:rFonts w:ascii="Times New Roman" w:hAnsi="Times New Roman"/>
          <w:sz w:val="16"/>
          <w:szCs w:val="16"/>
        </w:rPr>
        <w:t xml:space="preserve"> other projects that will be required to have mid-term or terminal evaluations as per UNDP’s evaluation policy under the new CPD cycle other than the ones included in this plan. </w:t>
      </w:r>
      <w:r w:rsidR="00120F23">
        <w:rPr>
          <w:rFonts w:ascii="Times New Roman" w:hAnsi="Times New Roman"/>
          <w:sz w:val="16"/>
          <w:szCs w:val="16"/>
        </w:rPr>
        <w:t xml:space="preserve">Two outcome evaluations are included that will cover CO’s work in all the projects contributing to those outcomes. </w:t>
      </w:r>
      <w:r w:rsidRPr="00834A71">
        <w:rPr>
          <w:rFonts w:ascii="Times New Roman" w:hAnsi="Times New Roman"/>
          <w:sz w:val="16"/>
          <w:szCs w:val="16"/>
        </w:rPr>
        <w:t xml:space="preserve">As per the current practice, this plan will be reviewed </w:t>
      </w:r>
      <w:proofErr w:type="gramStart"/>
      <w:r w:rsidRPr="00834A71">
        <w:rPr>
          <w:rFonts w:ascii="Times New Roman" w:hAnsi="Times New Roman"/>
          <w:sz w:val="16"/>
          <w:szCs w:val="16"/>
        </w:rPr>
        <w:t>annually</w:t>
      </w:r>
      <w:proofErr w:type="gramEnd"/>
      <w:r w:rsidRPr="00834A71">
        <w:rPr>
          <w:rFonts w:ascii="Times New Roman" w:hAnsi="Times New Roman"/>
          <w:sz w:val="16"/>
          <w:szCs w:val="16"/>
        </w:rPr>
        <w:t xml:space="preserve"> and new evaluations will be included if and when projects evolve that require evaluation.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36"/>
    <w:rsid w:val="00001F3C"/>
    <w:rsid w:val="00051063"/>
    <w:rsid w:val="0006223B"/>
    <w:rsid w:val="00120F23"/>
    <w:rsid w:val="00143BE1"/>
    <w:rsid w:val="00247DF7"/>
    <w:rsid w:val="0030440B"/>
    <w:rsid w:val="003356C7"/>
    <w:rsid w:val="00342D6B"/>
    <w:rsid w:val="00352C59"/>
    <w:rsid w:val="004A261D"/>
    <w:rsid w:val="004F3D75"/>
    <w:rsid w:val="004F7F65"/>
    <w:rsid w:val="00606F57"/>
    <w:rsid w:val="007F3191"/>
    <w:rsid w:val="00824F04"/>
    <w:rsid w:val="00897339"/>
    <w:rsid w:val="0090085C"/>
    <w:rsid w:val="009025E1"/>
    <w:rsid w:val="009E0636"/>
    <w:rsid w:val="00A07003"/>
    <w:rsid w:val="00AC20AD"/>
    <w:rsid w:val="00B5635C"/>
    <w:rsid w:val="00B57F32"/>
    <w:rsid w:val="00B65F56"/>
    <w:rsid w:val="00BA262E"/>
    <w:rsid w:val="00D11C41"/>
    <w:rsid w:val="00DC1DCB"/>
    <w:rsid w:val="00EF239A"/>
    <w:rsid w:val="00FC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CF2D"/>
  <w15:chartTrackingRefBased/>
  <w15:docId w15:val="{1033CF05-C750-43ED-8DA6-DB93EAD6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Footnote Text Char Char Char Char Char Char,single space,footnote text,FOOTNOTES,WB-Fußnotentext,Footnote,Fußnote,ADB,Footnote Text qer,Footnote text,single space Char Char,pod carou,Footnote Text WBR,WBR,Fußnotentext Char,ft,5_G"/>
    <w:basedOn w:val="Normal"/>
    <w:link w:val="FootnoteTextChar"/>
    <w:uiPriority w:val="99"/>
    <w:qFormat/>
    <w:rsid w:val="009E0636"/>
    <w:pPr>
      <w:widowControl w:val="0"/>
    </w:pPr>
    <w:rPr>
      <w:rFonts w:ascii="Courier" w:hAnsi="Courier"/>
    </w:rPr>
  </w:style>
  <w:style w:type="character" w:customStyle="1" w:styleId="FootnoteTextChar">
    <w:name w:val="Footnote Text Char"/>
    <w:aliases w:val="fn Char,Footnote Text Char Char Char Char Char Char Char,single space Char,footnote text Char,FOOTNOTES Char,WB-Fußnotentext Char,Footnote Char,Fußnote Char,ADB Char,Footnote Text qer Char,Footnote text Char,pod carou Char,WBR Char"/>
    <w:basedOn w:val="DefaultParagraphFont"/>
    <w:link w:val="FootnoteText"/>
    <w:uiPriority w:val="99"/>
    <w:rsid w:val="009E0636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4_G,footnote ref,fr,Ref"/>
    <w:link w:val="BVIfnrCarCar"/>
    <w:qFormat/>
    <w:rsid w:val="009E0636"/>
    <w:rPr>
      <w:rFonts w:cs="Times New Roman"/>
      <w:vertAlign w:val="superscript"/>
    </w:rPr>
  </w:style>
  <w:style w:type="character" w:styleId="CommentReference">
    <w:name w:val="annotation reference"/>
    <w:semiHidden/>
    <w:rsid w:val="009E0636"/>
    <w:rPr>
      <w:rFonts w:cs="Times New Roman"/>
      <w:sz w:val="6"/>
      <w:szCs w:val="6"/>
    </w:rPr>
  </w:style>
  <w:style w:type="paragraph" w:customStyle="1" w:styleId="BVIfnrCarCar">
    <w:name w:val="BVI fnr Car Car"/>
    <w:aliases w:val="BVI fnr Car,BVI fnr Car Car Car Car,BVI fnr Car Car Car Car Char,BVI fnr Car Car Car Car Char Char Char Char Char"/>
    <w:basedOn w:val="Normal"/>
    <w:link w:val="FootnoteReference"/>
    <w:rsid w:val="009E0636"/>
    <w:pPr>
      <w:spacing w:after="160" w:line="240" w:lineRule="exact"/>
      <w:jc w:val="both"/>
    </w:pPr>
    <w:rPr>
      <w:rFonts w:asciiTheme="minorHAnsi" w:eastAsiaTheme="minorHAnsi" w:hAnsiTheme="minorHAnsi"/>
      <w:sz w:val="22"/>
      <w:szCs w:val="22"/>
      <w:vertAlign w:val="superscript"/>
    </w:rPr>
  </w:style>
  <w:style w:type="paragraph" w:customStyle="1" w:styleId="yiv1222352482msonormal">
    <w:name w:val="yiv1222352482msonormal"/>
    <w:basedOn w:val="Normal"/>
    <w:rsid w:val="009E063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F3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D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3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D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687B9-467B-4C0E-BE37-536CCAF735D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3856b32-dbbd-4996-9e5d-776de7c2e4f8"/>
    <ds:schemaRef ds:uri="http://schemas.microsoft.com/office/infopath/2007/PartnerControls"/>
    <ds:schemaRef ds:uri="a8946dc4-2e98-472c-b2e6-ca9019b8df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5679E7-5394-47A6-A33F-4236C9982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EA569-1E9F-480E-A5DD-FF5B43859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4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Lanzoni</dc:creator>
  <cp:keywords/>
  <dc:description/>
  <cp:lastModifiedBy>Svetlana Iazykova</cp:lastModifiedBy>
  <cp:revision>2</cp:revision>
  <dcterms:created xsi:type="dcterms:W3CDTF">2020-05-19T17:45:00Z</dcterms:created>
  <dcterms:modified xsi:type="dcterms:W3CDTF">2020-05-19T17:45:00Z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_dlc_DocIdItemGuid">
    <vt:lpwstr>9f230d9a-1ab0-4951-ad46-441dcb16af19</vt:lpwstr>
  </property>
</Properties>
</file>