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4308E" w14:textId="64BAC81A" w:rsidR="00016DE3" w:rsidRPr="00C369EC" w:rsidRDefault="00016DE3" w:rsidP="002E58A0">
      <w:pPr>
        <w:spacing w:after="0" w:line="240" w:lineRule="auto"/>
        <w:jc w:val="both"/>
        <w:rPr>
          <w:rFonts w:ascii="Times New Roman" w:eastAsia="Times New Roman,Batang" w:hAnsi="Times New Roman"/>
          <w:b/>
          <w:bCs/>
          <w:color w:val="000000" w:themeColor="text1"/>
          <w:u w:val="single"/>
          <w:lang w:eastAsia="ko-KR"/>
        </w:rPr>
      </w:pPr>
      <w:r w:rsidRPr="00C369EC">
        <w:rPr>
          <w:rFonts w:ascii="Times New Roman" w:hAnsi="Times New Roman"/>
          <w:noProof/>
          <w:color w:val="C00000"/>
        </w:rPr>
        <mc:AlternateContent>
          <mc:Choice Requires="wpg">
            <w:drawing>
              <wp:anchor distT="0" distB="0" distL="114300" distR="114300" simplePos="0" relativeHeight="251657216" behindDoc="0" locked="0" layoutInCell="1" allowOverlap="1" wp14:anchorId="524F396D" wp14:editId="6E56F969">
                <wp:simplePos x="0" y="0"/>
                <wp:positionH relativeFrom="page">
                  <wp:posOffset>-31750</wp:posOffset>
                </wp:positionH>
                <wp:positionV relativeFrom="page">
                  <wp:posOffset>-4445</wp:posOffset>
                </wp:positionV>
                <wp:extent cx="7810500" cy="1176867"/>
                <wp:effectExtent l="0" t="0" r="0" b="4445"/>
                <wp:wrapNone/>
                <wp:docPr id="149" name="Group 149"/>
                <wp:cNvGraphicFramePr/>
                <a:graphic xmlns:a="http://schemas.openxmlformats.org/drawingml/2006/main">
                  <a:graphicData uri="http://schemas.microsoft.com/office/word/2010/wordprocessingGroup">
                    <wpg:wgp>
                      <wpg:cNvGrpSpPr/>
                      <wpg:grpSpPr>
                        <a:xfrm>
                          <a:off x="0" y="0"/>
                          <a:ext cx="7810500" cy="1176867"/>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58F01B" id="Group 149" o:spid="_x0000_s1026" style="position:absolute;margin-left:-2.5pt;margin-top:-.35pt;width:615pt;height:92.65pt;z-index:251657216;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2CD4A06D" w14:textId="6B703C56" w:rsidR="00016DE3" w:rsidRPr="00C369EC" w:rsidRDefault="00016DE3" w:rsidP="002E58A0">
      <w:pPr>
        <w:spacing w:after="0" w:line="240" w:lineRule="auto"/>
        <w:jc w:val="both"/>
        <w:rPr>
          <w:rFonts w:ascii="Times New Roman" w:eastAsia="Times New Roman,Batang" w:hAnsi="Times New Roman"/>
          <w:b/>
          <w:bCs/>
          <w:color w:val="000000" w:themeColor="text1"/>
          <w:u w:val="single"/>
          <w:lang w:eastAsia="ko-KR"/>
        </w:rPr>
      </w:pPr>
    </w:p>
    <w:p w14:paraId="6CD58A4B" w14:textId="61FDE31A" w:rsidR="00016DE3" w:rsidRPr="00C369EC" w:rsidRDefault="00016DE3" w:rsidP="002E58A0">
      <w:pPr>
        <w:pStyle w:val="NoSpacing"/>
        <w:jc w:val="both"/>
        <w:rPr>
          <w:rFonts w:ascii="Times New Roman" w:hAnsi="Times New Roman"/>
          <w:b/>
          <w:sz w:val="40"/>
          <w:szCs w:val="40"/>
          <w:lang w:val="en-GB"/>
        </w:rPr>
      </w:pPr>
      <w:r w:rsidRPr="00C369EC">
        <w:rPr>
          <w:rFonts w:ascii="Times New Roman" w:hAnsi="Times New Roman"/>
          <w:b/>
          <w:lang w:val="en-GB"/>
        </w:rPr>
        <w:t xml:space="preserve">  </w:t>
      </w:r>
      <w:r w:rsidR="002436F5" w:rsidRPr="00C369EC">
        <w:rPr>
          <w:rFonts w:ascii="Times New Roman" w:hAnsi="Times New Roman"/>
          <w:noProof/>
          <w:lang w:val="en-GB"/>
        </w:rPr>
        <w:drawing>
          <wp:anchor distT="0" distB="0" distL="114300" distR="114300" simplePos="0" relativeHeight="251659264" behindDoc="0" locked="0" layoutInCell="1" allowOverlap="1" wp14:anchorId="3A4F227D" wp14:editId="2B9F2C97">
            <wp:simplePos x="0" y="0"/>
            <wp:positionH relativeFrom="column">
              <wp:posOffset>-272838</wp:posOffset>
            </wp:positionH>
            <wp:positionV relativeFrom="paragraph">
              <wp:posOffset>-546100</wp:posOffset>
            </wp:positionV>
            <wp:extent cx="457200" cy="876300"/>
            <wp:effectExtent l="0" t="0" r="0" b="0"/>
            <wp:wrapSquare wrapText="bothSides"/>
            <wp:docPr id="4" name="Picture 4" descr="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wai.yin\Desktop\LOGO%20TAGl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407" cy="876697"/>
                    </a:xfrm>
                    <a:prstGeom prst="rect">
                      <a:avLst/>
                    </a:prstGeom>
                    <a:noFill/>
                    <a:ln>
                      <a:noFill/>
                    </a:ln>
                  </pic:spPr>
                </pic:pic>
              </a:graphicData>
            </a:graphic>
            <wp14:sizeRelH relativeFrom="margin">
              <wp14:pctWidth>0</wp14:pctWidth>
            </wp14:sizeRelH>
          </wp:anchor>
        </w:drawing>
      </w:r>
    </w:p>
    <w:p w14:paraId="5741C7AB" w14:textId="25CE8472" w:rsidR="00016DE3" w:rsidRPr="00C369EC" w:rsidRDefault="00E64E34" w:rsidP="002E58A0">
      <w:pPr>
        <w:spacing w:after="0" w:line="240" w:lineRule="auto"/>
        <w:jc w:val="center"/>
        <w:rPr>
          <w:rFonts w:ascii="Times New Roman" w:eastAsia="Times New Roman,Batang" w:hAnsi="Times New Roman"/>
          <w:b/>
          <w:bCs/>
          <w:color w:val="000000" w:themeColor="text1"/>
          <w:sz w:val="40"/>
          <w:szCs w:val="40"/>
          <w:u w:val="single"/>
          <w:lang w:eastAsia="ko-KR"/>
        </w:rPr>
      </w:pPr>
      <w:r w:rsidRPr="00C369EC">
        <w:rPr>
          <w:rFonts w:ascii="Times New Roman" w:hAnsi="Times New Roman"/>
          <w:noProof/>
        </w:rPr>
        <w:drawing>
          <wp:inline distT="0" distB="0" distL="0" distR="0" wp14:anchorId="7EBBE2F3" wp14:editId="12D17413">
            <wp:extent cx="5943600" cy="8172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817245"/>
                    </a:xfrm>
                    <a:prstGeom prst="rect">
                      <a:avLst/>
                    </a:prstGeom>
                    <a:noFill/>
                    <a:ln>
                      <a:noFill/>
                    </a:ln>
                  </pic:spPr>
                </pic:pic>
              </a:graphicData>
            </a:graphic>
          </wp:inline>
        </w:drawing>
      </w:r>
    </w:p>
    <w:p w14:paraId="50FDDEE8" w14:textId="19009A1F" w:rsidR="00016DE3" w:rsidRPr="00C369EC" w:rsidRDefault="00016DE3" w:rsidP="002E58A0">
      <w:pPr>
        <w:spacing w:after="0" w:line="240" w:lineRule="auto"/>
        <w:jc w:val="both"/>
        <w:rPr>
          <w:rFonts w:ascii="Times New Roman" w:eastAsia="Times New Roman,Batang" w:hAnsi="Times New Roman"/>
          <w:b/>
          <w:bCs/>
          <w:color w:val="000000" w:themeColor="text1"/>
          <w:u w:val="single"/>
          <w:lang w:eastAsia="ko-KR"/>
        </w:rPr>
      </w:pPr>
    </w:p>
    <w:p w14:paraId="30813F36" w14:textId="4494B6A8" w:rsidR="00FD6BC4" w:rsidRPr="00C369EC" w:rsidRDefault="00FD6BC4" w:rsidP="002E58A0">
      <w:pPr>
        <w:spacing w:after="0" w:line="240" w:lineRule="auto"/>
        <w:jc w:val="both"/>
        <w:rPr>
          <w:rFonts w:ascii="Times New Roman" w:eastAsia="Times New Roman,Batang" w:hAnsi="Times New Roman"/>
          <w:b/>
          <w:bCs/>
          <w:color w:val="000000" w:themeColor="text1"/>
          <w:u w:val="single"/>
          <w:lang w:eastAsia="ko-KR"/>
        </w:rPr>
      </w:pPr>
    </w:p>
    <w:p w14:paraId="18302194" w14:textId="77777777" w:rsidR="006801BE" w:rsidRPr="00C369EC" w:rsidRDefault="006801BE" w:rsidP="002E58A0">
      <w:pPr>
        <w:spacing w:after="0" w:line="240" w:lineRule="auto"/>
        <w:jc w:val="both"/>
        <w:rPr>
          <w:rFonts w:ascii="Times New Roman" w:eastAsia="Times New Roman,Batang" w:hAnsi="Times New Roman"/>
          <w:b/>
          <w:bCs/>
          <w:color w:val="000000" w:themeColor="text1"/>
          <w:u w:val="single"/>
          <w:lang w:eastAsia="ko-KR"/>
        </w:rPr>
      </w:pPr>
    </w:p>
    <w:p w14:paraId="0FF41EC4" w14:textId="62A008DF" w:rsidR="003F055C" w:rsidRPr="00C369EC" w:rsidRDefault="007B48D1" w:rsidP="002E58A0">
      <w:pPr>
        <w:spacing w:after="0" w:line="240" w:lineRule="auto"/>
        <w:jc w:val="both"/>
        <w:rPr>
          <w:rFonts w:ascii="Times New Roman" w:eastAsia="Times New Roman,Batang" w:hAnsi="Times New Roman"/>
          <w:b/>
          <w:bCs/>
          <w:color w:val="000000" w:themeColor="text1"/>
          <w:u w:val="single"/>
          <w:lang w:eastAsia="ko-KR"/>
        </w:rPr>
      </w:pPr>
      <w:r w:rsidRPr="00C369EC">
        <w:rPr>
          <w:rFonts w:ascii="Times New Roman" w:eastAsia="Times New Roman,Batang" w:hAnsi="Times New Roman"/>
          <w:b/>
          <w:bCs/>
          <w:color w:val="000000" w:themeColor="text1"/>
          <w:u w:val="single"/>
          <w:lang w:eastAsia="ko-KR"/>
        </w:rPr>
        <w:t>INTRODUCTION</w:t>
      </w:r>
    </w:p>
    <w:p w14:paraId="234D0186" w14:textId="77777777" w:rsidR="003F055C" w:rsidRPr="00C369EC" w:rsidRDefault="003F055C" w:rsidP="002E58A0">
      <w:pPr>
        <w:spacing w:after="0" w:line="240" w:lineRule="auto"/>
        <w:jc w:val="both"/>
        <w:rPr>
          <w:rFonts w:ascii="Times New Roman" w:eastAsia="Times New Roman,Batang" w:hAnsi="Times New Roman"/>
          <w:b/>
          <w:bCs/>
          <w:color w:val="000000" w:themeColor="text1"/>
          <w:u w:val="single"/>
          <w:lang w:eastAsia="ko-KR"/>
        </w:rPr>
      </w:pPr>
    </w:p>
    <w:p w14:paraId="35B4CD3F" w14:textId="0E402A74" w:rsidR="000172A8" w:rsidRPr="00C369EC" w:rsidRDefault="00811C5E" w:rsidP="002E58A0">
      <w:pPr>
        <w:spacing w:after="0" w:line="240" w:lineRule="auto"/>
        <w:jc w:val="both"/>
        <w:rPr>
          <w:rFonts w:ascii="Times New Roman" w:eastAsia="Times New Roman,Batang" w:hAnsi="Times New Roman"/>
          <w:lang w:eastAsia="ko-KR"/>
        </w:rPr>
      </w:pPr>
      <w:r w:rsidRPr="00C369EC">
        <w:rPr>
          <w:rFonts w:ascii="Times New Roman" w:eastAsia="Times New Roman,Batang" w:hAnsi="Times New Roman"/>
          <w:bCs/>
          <w:lang w:eastAsia="ko-KR"/>
        </w:rPr>
        <w:t>UNDP</w:t>
      </w:r>
      <w:r w:rsidR="00D758F7" w:rsidRPr="00C369EC">
        <w:rPr>
          <w:rFonts w:ascii="Times New Roman" w:eastAsia="Times New Roman,Batang" w:hAnsi="Times New Roman"/>
          <w:bCs/>
          <w:lang w:eastAsia="ko-KR"/>
        </w:rPr>
        <w:t xml:space="preserve"> welcomes the</w:t>
      </w:r>
      <w:r w:rsidR="00710D84" w:rsidRPr="00C369EC">
        <w:rPr>
          <w:rFonts w:ascii="Times New Roman" w:eastAsia="Times New Roman,Batang" w:hAnsi="Times New Roman"/>
          <w:bCs/>
          <w:lang w:eastAsia="ko-KR"/>
        </w:rPr>
        <w:t xml:space="preserve"> 2019</w:t>
      </w:r>
      <w:r w:rsidR="00D758F7" w:rsidRPr="00C369EC">
        <w:rPr>
          <w:rFonts w:ascii="Times New Roman" w:eastAsia="Times New Roman,Batang" w:hAnsi="Times New Roman"/>
          <w:bCs/>
          <w:lang w:eastAsia="ko-KR"/>
        </w:rPr>
        <w:t xml:space="preserve"> </w:t>
      </w:r>
      <w:r w:rsidR="001B61BF" w:rsidRPr="00C369EC">
        <w:rPr>
          <w:rFonts w:ascii="Times New Roman" w:eastAsia="Times New Roman,Batang" w:hAnsi="Times New Roman"/>
          <w:bCs/>
          <w:lang w:eastAsia="ko-KR"/>
        </w:rPr>
        <w:t>A</w:t>
      </w:r>
      <w:r w:rsidR="00D758F7" w:rsidRPr="00C369EC">
        <w:rPr>
          <w:rFonts w:ascii="Times New Roman" w:eastAsia="Times New Roman,Batang" w:hAnsi="Times New Roman"/>
          <w:bCs/>
          <w:lang w:eastAsia="ko-KR"/>
        </w:rPr>
        <w:t xml:space="preserve">nnual report </w:t>
      </w:r>
      <w:r w:rsidR="00F1390F" w:rsidRPr="00C369EC">
        <w:rPr>
          <w:rFonts w:ascii="Times New Roman" w:eastAsia="Times New Roman,Batang" w:hAnsi="Times New Roman"/>
          <w:bCs/>
          <w:lang w:eastAsia="ko-KR"/>
        </w:rPr>
        <w:t>on evaluation</w:t>
      </w:r>
      <w:r w:rsidR="00D4032B" w:rsidRPr="00C369EC">
        <w:rPr>
          <w:rFonts w:ascii="Times New Roman" w:eastAsia="Times New Roman,Batang" w:hAnsi="Times New Roman"/>
          <w:bCs/>
          <w:lang w:eastAsia="ko-KR"/>
        </w:rPr>
        <w:t xml:space="preserve"> </w:t>
      </w:r>
      <w:r w:rsidRPr="00C369EC">
        <w:rPr>
          <w:rFonts w:ascii="Times New Roman" w:eastAsia="Times New Roman,Batang" w:hAnsi="Times New Roman"/>
          <w:lang w:eastAsia="ko-KR"/>
        </w:rPr>
        <w:t>[DP/2020/</w:t>
      </w:r>
      <w:r w:rsidR="00A52F73" w:rsidRPr="00C369EC">
        <w:rPr>
          <w:rFonts w:ascii="Times New Roman" w:eastAsia="Times New Roman,Batang" w:hAnsi="Times New Roman"/>
          <w:lang w:eastAsia="ko-KR"/>
        </w:rPr>
        <w:t>13</w:t>
      </w:r>
      <w:r w:rsidRPr="00C369EC">
        <w:rPr>
          <w:rFonts w:ascii="Times New Roman" w:eastAsia="Times New Roman,Batang" w:hAnsi="Times New Roman"/>
          <w:lang w:eastAsia="ko-KR"/>
        </w:rPr>
        <w:t>]</w:t>
      </w:r>
      <w:r w:rsidR="00713A0D">
        <w:rPr>
          <w:rFonts w:ascii="Times New Roman" w:eastAsia="Times New Roman,Batang" w:hAnsi="Times New Roman"/>
          <w:lang w:eastAsia="ko-KR"/>
        </w:rPr>
        <w:t xml:space="preserve"> </w:t>
      </w:r>
      <w:r w:rsidRPr="00C369EC">
        <w:rPr>
          <w:rFonts w:ascii="Times New Roman" w:eastAsia="Times New Roman,Batang" w:hAnsi="Times New Roman"/>
          <w:lang w:eastAsia="ko-KR"/>
        </w:rPr>
        <w:t>submitted by the Independent Evaluation Office (IEO)</w:t>
      </w:r>
      <w:r w:rsidR="001B61BF" w:rsidRPr="00C369EC">
        <w:rPr>
          <w:rFonts w:ascii="Times New Roman" w:eastAsia="Times New Roman,Batang" w:hAnsi="Times New Roman"/>
          <w:lang w:eastAsia="ko-KR"/>
        </w:rPr>
        <w:t xml:space="preserve"> to the Executive Board</w:t>
      </w:r>
      <w:r w:rsidRPr="00C369EC">
        <w:rPr>
          <w:rFonts w:ascii="Times New Roman" w:eastAsia="Times New Roman,Batang" w:hAnsi="Times New Roman"/>
          <w:lang w:eastAsia="ko-KR"/>
        </w:rPr>
        <w:t xml:space="preserve">. </w:t>
      </w:r>
      <w:r w:rsidR="00393063" w:rsidRPr="00C369EC">
        <w:rPr>
          <w:rFonts w:ascii="Times New Roman" w:eastAsia="Times New Roman,Batang" w:hAnsi="Times New Roman"/>
          <w:lang w:eastAsia="ko-KR"/>
        </w:rPr>
        <w:t>IEO</w:t>
      </w:r>
      <w:r w:rsidR="00EA09A2" w:rsidRPr="00C369EC">
        <w:rPr>
          <w:rFonts w:ascii="Times New Roman" w:eastAsia="Times New Roman,Batang" w:hAnsi="Times New Roman"/>
          <w:lang w:eastAsia="ko-KR"/>
        </w:rPr>
        <w:t>’</w:t>
      </w:r>
      <w:r w:rsidR="003968FB" w:rsidRPr="00C369EC">
        <w:rPr>
          <w:rFonts w:ascii="Times New Roman" w:eastAsia="Times New Roman,Batang" w:hAnsi="Times New Roman"/>
          <w:lang w:eastAsia="ko-KR"/>
        </w:rPr>
        <w:t xml:space="preserve">s assessment </w:t>
      </w:r>
      <w:r w:rsidR="00BF38CA" w:rsidRPr="00C369EC">
        <w:rPr>
          <w:rFonts w:ascii="Times New Roman" w:eastAsia="Times New Roman,Batang" w:hAnsi="Times New Roman"/>
          <w:lang w:eastAsia="ko-KR"/>
        </w:rPr>
        <w:t>provide</w:t>
      </w:r>
      <w:r w:rsidR="00E22BDB" w:rsidRPr="00C369EC">
        <w:rPr>
          <w:rFonts w:ascii="Times New Roman" w:eastAsia="Times New Roman,Batang" w:hAnsi="Times New Roman"/>
          <w:lang w:eastAsia="ko-KR"/>
        </w:rPr>
        <w:t>s</w:t>
      </w:r>
      <w:r w:rsidR="00BF38CA" w:rsidRPr="00C369EC">
        <w:rPr>
          <w:rFonts w:ascii="Times New Roman" w:eastAsia="Times New Roman,Batang" w:hAnsi="Times New Roman"/>
          <w:lang w:eastAsia="ko-KR"/>
        </w:rPr>
        <w:t xml:space="preserve"> rel</w:t>
      </w:r>
      <w:r w:rsidR="00DA4032" w:rsidRPr="00C369EC">
        <w:rPr>
          <w:rFonts w:ascii="Times New Roman" w:eastAsia="Times New Roman,Batang" w:hAnsi="Times New Roman"/>
          <w:lang w:eastAsia="ko-KR"/>
        </w:rPr>
        <w:t>e</w:t>
      </w:r>
      <w:r w:rsidR="00BF38CA" w:rsidRPr="00C369EC">
        <w:rPr>
          <w:rFonts w:ascii="Times New Roman" w:eastAsia="Times New Roman,Batang" w:hAnsi="Times New Roman"/>
          <w:lang w:eastAsia="ko-KR"/>
        </w:rPr>
        <w:t xml:space="preserve">vant feedback and </w:t>
      </w:r>
      <w:r w:rsidR="00DA4032" w:rsidRPr="00C369EC">
        <w:rPr>
          <w:rFonts w:ascii="Times New Roman" w:eastAsia="Times New Roman,Batang" w:hAnsi="Times New Roman"/>
          <w:lang w:eastAsia="ko-KR"/>
        </w:rPr>
        <w:t>insigh</w:t>
      </w:r>
      <w:r w:rsidR="00BF38CA" w:rsidRPr="00C369EC">
        <w:rPr>
          <w:rFonts w:ascii="Times New Roman" w:eastAsia="Times New Roman,Batang" w:hAnsi="Times New Roman"/>
          <w:lang w:eastAsia="ko-KR"/>
        </w:rPr>
        <w:t xml:space="preserve">ts to </w:t>
      </w:r>
      <w:r w:rsidR="00DA4032" w:rsidRPr="00C369EC">
        <w:rPr>
          <w:rFonts w:ascii="Times New Roman" w:eastAsia="Times New Roman,Batang" w:hAnsi="Times New Roman"/>
          <w:lang w:eastAsia="ko-KR"/>
        </w:rPr>
        <w:t xml:space="preserve">improve the evaluation function </w:t>
      </w:r>
      <w:r w:rsidR="001D6D7A" w:rsidRPr="00C369EC">
        <w:rPr>
          <w:rFonts w:ascii="Times New Roman" w:eastAsia="Times New Roman,Batang" w:hAnsi="Times New Roman"/>
          <w:lang w:eastAsia="ko-KR"/>
        </w:rPr>
        <w:t xml:space="preserve">and to strengthening </w:t>
      </w:r>
      <w:r w:rsidR="000172A8" w:rsidRPr="00C369EC">
        <w:rPr>
          <w:rFonts w:ascii="Times New Roman" w:eastAsia="Times New Roman,Batang" w:hAnsi="Times New Roman"/>
          <w:lang w:eastAsia="ko-KR"/>
        </w:rPr>
        <w:t xml:space="preserve">performance in order to enhance results further. </w:t>
      </w:r>
      <w:r w:rsidR="00CD6472" w:rsidRPr="00C369EC">
        <w:rPr>
          <w:rFonts w:ascii="Times New Roman" w:eastAsia="Times New Roman,Batang" w:hAnsi="Times New Roman"/>
          <w:bCs/>
          <w:lang w:eastAsia="ko-KR"/>
        </w:rPr>
        <w:t>Th</w:t>
      </w:r>
      <w:r w:rsidR="008C115E" w:rsidRPr="00C369EC">
        <w:rPr>
          <w:rFonts w:ascii="Times New Roman" w:eastAsia="Times New Roman,Batang" w:hAnsi="Times New Roman"/>
          <w:bCs/>
          <w:lang w:eastAsia="ko-KR"/>
        </w:rPr>
        <w:t xml:space="preserve">e </w:t>
      </w:r>
      <w:r w:rsidR="00FE6ACC" w:rsidRPr="00C369EC">
        <w:rPr>
          <w:rFonts w:ascii="Times New Roman" w:eastAsia="Times New Roman,Batang" w:hAnsi="Times New Roman"/>
          <w:bCs/>
          <w:lang w:eastAsia="ko-KR"/>
        </w:rPr>
        <w:t>commentaries</w:t>
      </w:r>
      <w:r w:rsidR="00CD6472" w:rsidRPr="00C369EC">
        <w:rPr>
          <w:rFonts w:ascii="Times New Roman" w:eastAsia="Times New Roman,Batang" w:hAnsi="Times New Roman"/>
          <w:bCs/>
          <w:lang w:eastAsia="ko-KR"/>
        </w:rPr>
        <w:t xml:space="preserve"> </w:t>
      </w:r>
      <w:r w:rsidR="002635BA" w:rsidRPr="00C369EC">
        <w:rPr>
          <w:rFonts w:ascii="Times New Roman" w:eastAsia="Times New Roman,Batang" w:hAnsi="Times New Roman"/>
          <w:bCs/>
          <w:lang w:eastAsia="ko-KR"/>
        </w:rPr>
        <w:t>reflect</w:t>
      </w:r>
      <w:r w:rsidR="00AD6887" w:rsidRPr="00C369EC">
        <w:rPr>
          <w:rFonts w:ascii="Times New Roman" w:eastAsia="Times New Roman,Batang" w:hAnsi="Times New Roman"/>
          <w:bCs/>
          <w:lang w:eastAsia="ko-KR"/>
        </w:rPr>
        <w:t xml:space="preserve"> UNDP</w:t>
      </w:r>
      <w:r w:rsidR="00EA09A2" w:rsidRPr="00C369EC">
        <w:rPr>
          <w:rFonts w:ascii="Times New Roman" w:eastAsia="Times New Roman,Batang" w:hAnsi="Times New Roman"/>
          <w:bCs/>
          <w:lang w:eastAsia="ko-KR"/>
        </w:rPr>
        <w:t>’</w:t>
      </w:r>
      <w:r w:rsidR="00AD6887" w:rsidRPr="00C369EC">
        <w:rPr>
          <w:rFonts w:ascii="Times New Roman" w:eastAsia="Times New Roman,Batang" w:hAnsi="Times New Roman"/>
          <w:bCs/>
          <w:lang w:eastAsia="ko-KR"/>
        </w:rPr>
        <w:t>s</w:t>
      </w:r>
      <w:r w:rsidR="002635BA" w:rsidRPr="00C369EC">
        <w:rPr>
          <w:rFonts w:ascii="Times New Roman" w:eastAsia="Times New Roman,Batang" w:hAnsi="Times New Roman"/>
          <w:bCs/>
          <w:lang w:eastAsia="ko-KR"/>
        </w:rPr>
        <w:t xml:space="preserve"> perspectives </w:t>
      </w:r>
      <w:r w:rsidR="00AD6887" w:rsidRPr="00C369EC">
        <w:rPr>
          <w:rFonts w:ascii="Times New Roman" w:eastAsia="Times New Roman,Batang" w:hAnsi="Times New Roman"/>
          <w:bCs/>
          <w:lang w:eastAsia="ko-KR"/>
        </w:rPr>
        <w:t>covering</w:t>
      </w:r>
      <w:r w:rsidR="00CD6472" w:rsidRPr="00C369EC">
        <w:rPr>
          <w:rFonts w:ascii="Times New Roman" w:eastAsia="Times New Roman,Batang" w:hAnsi="Times New Roman"/>
          <w:bCs/>
          <w:lang w:eastAsia="ko-KR"/>
        </w:rPr>
        <w:t xml:space="preserve"> </w:t>
      </w:r>
      <w:r w:rsidR="004E3C7F" w:rsidRPr="00C369EC">
        <w:rPr>
          <w:rFonts w:ascii="Times New Roman" w:eastAsia="Times New Roman,Batang" w:hAnsi="Times New Roman"/>
          <w:bCs/>
          <w:lang w:eastAsia="ko-KR"/>
        </w:rPr>
        <w:t>critical</w:t>
      </w:r>
      <w:r w:rsidR="00CD6472" w:rsidRPr="00C369EC">
        <w:rPr>
          <w:rFonts w:ascii="Times New Roman" w:eastAsia="Times New Roman,Batang" w:hAnsi="Times New Roman"/>
          <w:bCs/>
          <w:lang w:eastAsia="ko-KR"/>
        </w:rPr>
        <w:t xml:space="preserve"> elements of the evaluation function, including drivers </w:t>
      </w:r>
      <w:r w:rsidR="00D4538B" w:rsidRPr="00C369EC">
        <w:rPr>
          <w:rFonts w:ascii="Times New Roman" w:eastAsia="Times New Roman,Batang" w:hAnsi="Times New Roman"/>
          <w:bCs/>
          <w:lang w:eastAsia="ko-KR"/>
        </w:rPr>
        <w:t xml:space="preserve">and </w:t>
      </w:r>
      <w:r w:rsidR="00A07009" w:rsidRPr="00C369EC">
        <w:rPr>
          <w:rFonts w:ascii="Times New Roman" w:eastAsia="Times New Roman,Batang" w:hAnsi="Times New Roman"/>
          <w:bCs/>
          <w:lang w:eastAsia="ko-KR"/>
        </w:rPr>
        <w:t>outcome</w:t>
      </w:r>
      <w:r w:rsidR="00D4538B" w:rsidRPr="00C369EC">
        <w:rPr>
          <w:rFonts w:ascii="Times New Roman" w:eastAsia="Times New Roman,Batang" w:hAnsi="Times New Roman"/>
          <w:bCs/>
          <w:lang w:eastAsia="ko-KR"/>
        </w:rPr>
        <w:t>s</w:t>
      </w:r>
      <w:r w:rsidR="00A07009" w:rsidRPr="00C369EC">
        <w:rPr>
          <w:rFonts w:ascii="Times New Roman" w:eastAsia="Times New Roman,Batang" w:hAnsi="Times New Roman"/>
          <w:bCs/>
          <w:lang w:eastAsia="ko-KR"/>
        </w:rPr>
        <w:t>,</w:t>
      </w:r>
      <w:r w:rsidR="00CD6472" w:rsidRPr="00C369EC">
        <w:rPr>
          <w:rFonts w:ascii="Times New Roman" w:eastAsia="Times New Roman,Batang" w:hAnsi="Times New Roman"/>
          <w:bCs/>
          <w:lang w:eastAsia="ko-KR"/>
        </w:rPr>
        <w:t xml:space="preserve"> as presented in the original report</w:t>
      </w:r>
      <w:r w:rsidR="004E3C7F" w:rsidRPr="00C369EC">
        <w:rPr>
          <w:rFonts w:ascii="Times New Roman" w:eastAsia="Times New Roman,Batang" w:hAnsi="Times New Roman"/>
          <w:bCs/>
          <w:lang w:eastAsia="ko-KR"/>
        </w:rPr>
        <w:t xml:space="preserve">. </w:t>
      </w:r>
    </w:p>
    <w:p w14:paraId="5969354E" w14:textId="4445F786" w:rsidR="000172A8" w:rsidRPr="00C369EC" w:rsidRDefault="00A07009" w:rsidP="002E58A0">
      <w:pPr>
        <w:tabs>
          <w:tab w:val="left" w:pos="1593"/>
        </w:tabs>
        <w:spacing w:after="0" w:line="240" w:lineRule="auto"/>
        <w:jc w:val="both"/>
        <w:rPr>
          <w:rFonts w:ascii="Times New Roman" w:eastAsia="Times New Roman,Batang" w:hAnsi="Times New Roman"/>
          <w:lang w:eastAsia="ko-KR"/>
        </w:rPr>
      </w:pPr>
      <w:r w:rsidRPr="00C369EC">
        <w:rPr>
          <w:rFonts w:ascii="Times New Roman" w:eastAsia="Times New Roman,Batang" w:hAnsi="Times New Roman"/>
          <w:lang w:eastAsia="ko-KR"/>
        </w:rPr>
        <w:tab/>
      </w:r>
    </w:p>
    <w:p w14:paraId="359FF491" w14:textId="4D96F8C7" w:rsidR="001B61BF" w:rsidRPr="00C369EC" w:rsidRDefault="00427290" w:rsidP="002E58A0">
      <w:pPr>
        <w:spacing w:after="0" w:line="240" w:lineRule="auto"/>
        <w:jc w:val="both"/>
        <w:rPr>
          <w:rFonts w:ascii="Times New Roman" w:hAnsi="Times New Roman"/>
        </w:rPr>
      </w:pPr>
      <w:r w:rsidRPr="00C369EC">
        <w:rPr>
          <w:rFonts w:ascii="Times New Roman" w:eastAsia="Times New Roman,Batang" w:hAnsi="Times New Roman"/>
          <w:lang w:eastAsia="ko-KR"/>
        </w:rPr>
        <w:t>The adoption of revised Eva</w:t>
      </w:r>
      <w:r w:rsidR="001904FB" w:rsidRPr="00C369EC">
        <w:rPr>
          <w:rFonts w:ascii="Times New Roman" w:eastAsia="Times New Roman,Batang" w:hAnsi="Times New Roman"/>
          <w:lang w:eastAsia="ko-KR"/>
        </w:rPr>
        <w:t>lu</w:t>
      </w:r>
      <w:r w:rsidRPr="00C369EC">
        <w:rPr>
          <w:rFonts w:ascii="Times New Roman" w:eastAsia="Times New Roman,Batang" w:hAnsi="Times New Roman"/>
          <w:lang w:eastAsia="ko-KR"/>
        </w:rPr>
        <w:t xml:space="preserve">ation Policy </w:t>
      </w:r>
      <w:r w:rsidR="00C87C71" w:rsidRPr="00C369EC">
        <w:rPr>
          <w:rFonts w:ascii="Times New Roman" w:hAnsi="Times New Roman"/>
          <w:color w:val="0E101A"/>
        </w:rPr>
        <w:t>[</w:t>
      </w:r>
      <w:r w:rsidR="00344943" w:rsidRPr="00C369EC">
        <w:rPr>
          <w:rFonts w:ascii="Times New Roman" w:hAnsi="Times New Roman"/>
          <w:color w:val="0E101A"/>
        </w:rPr>
        <w:t>DP2019/29]</w:t>
      </w:r>
      <w:r w:rsidR="00C87C71" w:rsidRPr="00C369EC">
        <w:rPr>
          <w:rFonts w:ascii="Times New Roman" w:hAnsi="Times New Roman"/>
          <w:color w:val="0E101A"/>
        </w:rPr>
        <w:t xml:space="preserve"> </w:t>
      </w:r>
      <w:r w:rsidRPr="00C369EC">
        <w:rPr>
          <w:rFonts w:ascii="Times New Roman" w:eastAsia="Times New Roman,Batang" w:hAnsi="Times New Roman"/>
          <w:lang w:eastAsia="ko-KR"/>
        </w:rPr>
        <w:t xml:space="preserve">and </w:t>
      </w:r>
      <w:r w:rsidR="001904FB" w:rsidRPr="00C369EC">
        <w:rPr>
          <w:rFonts w:ascii="Times New Roman" w:eastAsia="Times New Roman,Batang" w:hAnsi="Times New Roman"/>
          <w:lang w:eastAsia="ko-KR"/>
        </w:rPr>
        <w:t xml:space="preserve">the launch of the updated evaluation guidelines </w:t>
      </w:r>
      <w:r w:rsidR="00982667" w:rsidRPr="00C369EC">
        <w:rPr>
          <w:rFonts w:ascii="Times New Roman" w:eastAsia="Times New Roman,Batang" w:hAnsi="Times New Roman"/>
          <w:lang w:eastAsia="ko-KR"/>
        </w:rPr>
        <w:t xml:space="preserve">in 2019 </w:t>
      </w:r>
      <w:r w:rsidR="001B61BF" w:rsidRPr="00C369EC">
        <w:rPr>
          <w:rFonts w:ascii="Times New Roman" w:eastAsia="Times New Roman,Batang" w:hAnsi="Times New Roman"/>
          <w:lang w:eastAsia="ko-KR"/>
        </w:rPr>
        <w:t>were</w:t>
      </w:r>
      <w:r w:rsidR="00645B8C" w:rsidRPr="00C369EC">
        <w:rPr>
          <w:rFonts w:ascii="Times New Roman" w:eastAsia="Times New Roman,Batang" w:hAnsi="Times New Roman"/>
          <w:lang w:eastAsia="ko-KR"/>
        </w:rPr>
        <w:t xml:space="preserve"> essential components for </w:t>
      </w:r>
      <w:r w:rsidR="001B61BF" w:rsidRPr="00C369EC">
        <w:rPr>
          <w:rFonts w:ascii="Times New Roman" w:eastAsia="Times New Roman,Batang" w:hAnsi="Times New Roman"/>
          <w:lang w:eastAsia="ko-KR"/>
        </w:rPr>
        <w:t xml:space="preserve">continuing to strengthen the </w:t>
      </w:r>
      <w:r w:rsidR="00982667" w:rsidRPr="00C369EC">
        <w:rPr>
          <w:rFonts w:ascii="Times New Roman" w:eastAsia="Times New Roman,Batang" w:hAnsi="Times New Roman"/>
          <w:lang w:eastAsia="ko-KR"/>
        </w:rPr>
        <w:t xml:space="preserve">overall </w:t>
      </w:r>
      <w:r w:rsidR="000D3B29" w:rsidRPr="00C369EC">
        <w:rPr>
          <w:rFonts w:ascii="Times New Roman" w:eastAsia="Times New Roman,Batang" w:hAnsi="Times New Roman"/>
          <w:lang w:eastAsia="ko-KR"/>
        </w:rPr>
        <w:t xml:space="preserve">evaluation </w:t>
      </w:r>
      <w:r w:rsidR="001B61BF" w:rsidRPr="00C369EC">
        <w:rPr>
          <w:rFonts w:ascii="Times New Roman" w:eastAsia="Times New Roman,Batang" w:hAnsi="Times New Roman"/>
          <w:lang w:eastAsia="ko-KR"/>
        </w:rPr>
        <w:t xml:space="preserve">function in UNDP.  </w:t>
      </w:r>
      <w:r w:rsidR="007F3BD8" w:rsidRPr="00C369EC">
        <w:rPr>
          <w:rFonts w:ascii="Times New Roman" w:eastAsia="Times New Roman,Batang" w:hAnsi="Times New Roman"/>
          <w:lang w:eastAsia="ko-KR"/>
        </w:rPr>
        <w:t xml:space="preserve"> </w:t>
      </w:r>
      <w:r w:rsidR="0008422B" w:rsidRPr="00C369EC">
        <w:rPr>
          <w:rFonts w:ascii="Times New Roman" w:eastAsia="Times New Roman,Batang" w:hAnsi="Times New Roman"/>
          <w:bCs/>
          <w:lang w:eastAsia="ko-KR"/>
        </w:rPr>
        <w:t>UNDP</w:t>
      </w:r>
      <w:r w:rsidR="00EB3A2A" w:rsidRPr="00C369EC">
        <w:rPr>
          <w:rFonts w:ascii="Times New Roman" w:eastAsia="Times New Roman,Batang" w:hAnsi="Times New Roman"/>
          <w:bCs/>
          <w:lang w:eastAsia="ko-KR"/>
        </w:rPr>
        <w:t xml:space="preserve"> </w:t>
      </w:r>
      <w:r w:rsidR="00BB4FA6" w:rsidRPr="00C369EC">
        <w:rPr>
          <w:rFonts w:ascii="Times New Roman" w:eastAsia="Times New Roman,Batang" w:hAnsi="Times New Roman"/>
          <w:bCs/>
          <w:lang w:eastAsia="ko-KR"/>
        </w:rPr>
        <w:t>values</w:t>
      </w:r>
      <w:r w:rsidR="00EB3A2A" w:rsidRPr="00C369EC">
        <w:rPr>
          <w:rFonts w:ascii="Times New Roman" w:eastAsia="Times New Roman,Batang" w:hAnsi="Times New Roman"/>
          <w:bCs/>
          <w:lang w:eastAsia="ko-KR"/>
        </w:rPr>
        <w:t xml:space="preserve"> the active role the IEO played in supporting </w:t>
      </w:r>
      <w:r w:rsidR="00FB08AB">
        <w:rPr>
          <w:rFonts w:ascii="Times New Roman" w:eastAsia="Times New Roman,Batang" w:hAnsi="Times New Roman"/>
          <w:bCs/>
          <w:lang w:eastAsia="ko-KR"/>
        </w:rPr>
        <w:t xml:space="preserve">the </w:t>
      </w:r>
      <w:r w:rsidR="00A92626" w:rsidRPr="00C369EC">
        <w:rPr>
          <w:rFonts w:ascii="Times New Roman" w:eastAsia="Times New Roman,Batang" w:hAnsi="Times New Roman"/>
          <w:bCs/>
          <w:lang w:eastAsia="ko-KR"/>
        </w:rPr>
        <w:t>e</w:t>
      </w:r>
      <w:r w:rsidR="00E57C54" w:rsidRPr="00C369EC">
        <w:rPr>
          <w:rFonts w:ascii="Times New Roman" w:eastAsia="Times New Roman,Batang" w:hAnsi="Times New Roman"/>
          <w:bCs/>
          <w:lang w:eastAsia="ko-KR"/>
        </w:rPr>
        <w:t>v</w:t>
      </w:r>
      <w:r w:rsidR="00BB4FA6" w:rsidRPr="00C369EC">
        <w:rPr>
          <w:rFonts w:ascii="Times New Roman" w:eastAsia="Times New Roman,Batang" w:hAnsi="Times New Roman"/>
          <w:bCs/>
          <w:lang w:eastAsia="ko-KR"/>
        </w:rPr>
        <w:t>alua</w:t>
      </w:r>
      <w:r w:rsidR="00E57C54" w:rsidRPr="00C369EC">
        <w:rPr>
          <w:rFonts w:ascii="Times New Roman" w:eastAsia="Times New Roman,Batang" w:hAnsi="Times New Roman"/>
          <w:bCs/>
          <w:lang w:eastAsia="ko-KR"/>
        </w:rPr>
        <w:t xml:space="preserve">tion </w:t>
      </w:r>
      <w:r w:rsidR="00A92626" w:rsidRPr="00C369EC">
        <w:rPr>
          <w:rFonts w:ascii="Times New Roman" w:eastAsia="Times New Roman,Batang" w:hAnsi="Times New Roman"/>
          <w:bCs/>
          <w:lang w:eastAsia="ko-KR"/>
        </w:rPr>
        <w:t>capabilit</w:t>
      </w:r>
      <w:r w:rsidR="0082675A" w:rsidRPr="00C369EC">
        <w:rPr>
          <w:rFonts w:ascii="Times New Roman" w:eastAsia="Times New Roman,Batang" w:hAnsi="Times New Roman"/>
          <w:bCs/>
          <w:lang w:eastAsia="ko-KR"/>
        </w:rPr>
        <w:t>y</w:t>
      </w:r>
      <w:r w:rsidR="00E03A08" w:rsidRPr="00C369EC">
        <w:rPr>
          <w:rFonts w:ascii="Times New Roman" w:eastAsia="Times New Roman,Batang" w:hAnsi="Times New Roman"/>
          <w:bCs/>
          <w:lang w:eastAsia="ko-KR"/>
        </w:rPr>
        <w:t xml:space="preserve"> across </w:t>
      </w:r>
      <w:r w:rsidR="008242A9" w:rsidRPr="00C369EC">
        <w:rPr>
          <w:rFonts w:ascii="Times New Roman" w:eastAsia="Times New Roman,Batang" w:hAnsi="Times New Roman"/>
          <w:bCs/>
          <w:lang w:eastAsia="ko-KR"/>
        </w:rPr>
        <w:t>the organisation</w:t>
      </w:r>
      <w:r w:rsidR="001B61BF" w:rsidRPr="00C369EC">
        <w:rPr>
          <w:rFonts w:ascii="Times New Roman" w:eastAsia="Times New Roman,Batang" w:hAnsi="Times New Roman"/>
          <w:bCs/>
          <w:lang w:eastAsia="ko-KR"/>
        </w:rPr>
        <w:t xml:space="preserve"> through, jointly with UNDP management, </w:t>
      </w:r>
      <w:r w:rsidR="009B7E2A" w:rsidRPr="00C369EC">
        <w:rPr>
          <w:rFonts w:ascii="Times New Roman" w:eastAsia="Times New Roman,Batang" w:hAnsi="Times New Roman"/>
          <w:bCs/>
          <w:lang w:eastAsia="ko-KR"/>
        </w:rPr>
        <w:t>conducting</w:t>
      </w:r>
      <w:r w:rsidR="002059D6" w:rsidRPr="00C369EC">
        <w:rPr>
          <w:rFonts w:ascii="Times New Roman" w:eastAsia="Times New Roman,Batang" w:hAnsi="Times New Roman"/>
          <w:bCs/>
          <w:lang w:eastAsia="ko-KR"/>
        </w:rPr>
        <w:t xml:space="preserve"> regional work</w:t>
      </w:r>
      <w:r w:rsidR="00CE6F91" w:rsidRPr="00C369EC">
        <w:rPr>
          <w:rFonts w:ascii="Times New Roman" w:eastAsia="Times New Roman,Batang" w:hAnsi="Times New Roman"/>
          <w:bCs/>
          <w:lang w:eastAsia="ko-KR"/>
        </w:rPr>
        <w:t>shop</w:t>
      </w:r>
      <w:r w:rsidR="00275389" w:rsidRPr="00C369EC">
        <w:rPr>
          <w:rFonts w:ascii="Times New Roman" w:eastAsia="Times New Roman,Batang" w:hAnsi="Times New Roman"/>
          <w:bCs/>
          <w:lang w:eastAsia="ko-KR"/>
        </w:rPr>
        <w:t>s</w:t>
      </w:r>
      <w:r w:rsidR="00CE6F91" w:rsidRPr="00C369EC">
        <w:rPr>
          <w:rFonts w:ascii="Times New Roman" w:eastAsia="Times New Roman,Batang" w:hAnsi="Times New Roman"/>
          <w:bCs/>
          <w:lang w:eastAsia="ko-KR"/>
        </w:rPr>
        <w:t xml:space="preserve"> and online tra</w:t>
      </w:r>
      <w:r w:rsidR="00D76287" w:rsidRPr="00C369EC">
        <w:rPr>
          <w:rFonts w:ascii="Times New Roman" w:eastAsia="Times New Roman,Batang" w:hAnsi="Times New Roman"/>
          <w:bCs/>
          <w:lang w:eastAsia="ko-KR"/>
        </w:rPr>
        <w:t>i</w:t>
      </w:r>
      <w:r w:rsidR="00CE6F91" w:rsidRPr="00C369EC">
        <w:rPr>
          <w:rFonts w:ascii="Times New Roman" w:eastAsia="Times New Roman,Batang" w:hAnsi="Times New Roman"/>
          <w:bCs/>
          <w:lang w:eastAsia="ko-KR"/>
        </w:rPr>
        <w:t>ning</w:t>
      </w:r>
      <w:r w:rsidR="003B2EE4" w:rsidRPr="00C369EC">
        <w:rPr>
          <w:rFonts w:ascii="Times New Roman" w:eastAsia="Times New Roman,Batang" w:hAnsi="Times New Roman"/>
          <w:bCs/>
          <w:lang w:eastAsia="ko-KR"/>
        </w:rPr>
        <w:t xml:space="preserve"> sessions</w:t>
      </w:r>
      <w:r w:rsidR="00772342" w:rsidRPr="00C369EC">
        <w:rPr>
          <w:rFonts w:ascii="Times New Roman" w:eastAsia="Times New Roman,Batang" w:hAnsi="Times New Roman"/>
          <w:bCs/>
          <w:lang w:eastAsia="ko-KR"/>
        </w:rPr>
        <w:t xml:space="preserve">. </w:t>
      </w:r>
      <w:r w:rsidR="0019418C" w:rsidRPr="00C369EC">
        <w:rPr>
          <w:rFonts w:ascii="Times New Roman" w:eastAsia="Times New Roman,Batang" w:hAnsi="Times New Roman"/>
          <w:bCs/>
          <w:lang w:eastAsia="ko-KR"/>
        </w:rPr>
        <w:t>UNDP</w:t>
      </w:r>
      <w:r w:rsidR="00EA09A2" w:rsidRPr="00C369EC">
        <w:rPr>
          <w:rFonts w:ascii="Times New Roman" w:eastAsia="Times New Roman,Batang" w:hAnsi="Times New Roman"/>
          <w:bCs/>
          <w:lang w:eastAsia="ko-KR"/>
        </w:rPr>
        <w:t>’</w:t>
      </w:r>
      <w:r w:rsidR="00772342" w:rsidRPr="00C369EC">
        <w:rPr>
          <w:rFonts w:ascii="Times New Roman" w:eastAsia="Times New Roman,Batang" w:hAnsi="Times New Roman"/>
          <w:bCs/>
          <w:lang w:eastAsia="ko-KR"/>
        </w:rPr>
        <w:t>s</w:t>
      </w:r>
      <w:r w:rsidR="00CE6F91" w:rsidRPr="00C369EC">
        <w:rPr>
          <w:rFonts w:ascii="Times New Roman" w:eastAsia="Times New Roman,Batang" w:hAnsi="Times New Roman"/>
          <w:bCs/>
          <w:lang w:eastAsia="ko-KR"/>
        </w:rPr>
        <w:t xml:space="preserve"> financial investment to the evaluation func</w:t>
      </w:r>
      <w:r w:rsidR="00D76287" w:rsidRPr="00C369EC">
        <w:rPr>
          <w:rFonts w:ascii="Times New Roman" w:eastAsia="Times New Roman,Batang" w:hAnsi="Times New Roman"/>
          <w:bCs/>
          <w:lang w:eastAsia="ko-KR"/>
        </w:rPr>
        <w:t>ti</w:t>
      </w:r>
      <w:r w:rsidR="00CE6F91" w:rsidRPr="00C369EC">
        <w:rPr>
          <w:rFonts w:ascii="Times New Roman" w:eastAsia="Times New Roman,Batang" w:hAnsi="Times New Roman"/>
          <w:bCs/>
          <w:lang w:eastAsia="ko-KR"/>
        </w:rPr>
        <w:t>on</w:t>
      </w:r>
      <w:r w:rsidR="00772342" w:rsidRPr="00C369EC">
        <w:rPr>
          <w:rFonts w:ascii="Times New Roman" w:eastAsia="Times New Roman,Batang" w:hAnsi="Times New Roman"/>
          <w:bCs/>
          <w:lang w:eastAsia="ko-KR"/>
        </w:rPr>
        <w:t xml:space="preserve"> </w:t>
      </w:r>
      <w:r w:rsidR="00B85C23" w:rsidRPr="00C369EC">
        <w:rPr>
          <w:rFonts w:ascii="Times New Roman" w:eastAsia="Times New Roman,Batang" w:hAnsi="Times New Roman"/>
          <w:bCs/>
          <w:lang w:eastAsia="ko-KR"/>
        </w:rPr>
        <w:t>increase</w:t>
      </w:r>
      <w:r w:rsidR="00DB7826" w:rsidRPr="00C369EC">
        <w:rPr>
          <w:rFonts w:ascii="Times New Roman" w:eastAsia="Times New Roman,Batang" w:hAnsi="Times New Roman"/>
          <w:bCs/>
          <w:lang w:eastAsia="ko-KR"/>
        </w:rPr>
        <w:t xml:space="preserve">d in </w:t>
      </w:r>
      <w:r w:rsidR="00FB08AB" w:rsidRPr="00C369EC">
        <w:rPr>
          <w:rFonts w:ascii="Times New Roman" w:eastAsia="Times New Roman,Batang" w:hAnsi="Times New Roman"/>
          <w:bCs/>
          <w:lang w:eastAsia="ko-KR"/>
        </w:rPr>
        <w:t xml:space="preserve">2019, </w:t>
      </w:r>
      <w:r w:rsidR="00FB08AB">
        <w:rPr>
          <w:rFonts w:ascii="Times New Roman" w:hAnsi="Times New Roman"/>
        </w:rPr>
        <w:t>to</w:t>
      </w:r>
      <w:r w:rsidR="00EC743D">
        <w:rPr>
          <w:rFonts w:ascii="Times New Roman" w:hAnsi="Times New Roman"/>
        </w:rPr>
        <w:t xml:space="preserve"> $25.7 million, up from </w:t>
      </w:r>
      <w:r w:rsidR="00EC743D" w:rsidRPr="00C369EC">
        <w:rPr>
          <w:rFonts w:ascii="Times New Roman" w:eastAsia="Batang" w:hAnsi="Times New Roman"/>
          <w:lang w:eastAsia="ko-KR"/>
        </w:rPr>
        <w:t xml:space="preserve">$22.08 million in </w:t>
      </w:r>
      <w:r w:rsidR="00EC743D" w:rsidRPr="00C369EC">
        <w:rPr>
          <w:rFonts w:ascii="Times New Roman" w:hAnsi="Times New Roman"/>
        </w:rPr>
        <w:t>2018</w:t>
      </w:r>
      <w:r w:rsidR="00EC743D">
        <w:rPr>
          <w:rFonts w:ascii="Times New Roman" w:hAnsi="Times New Roman"/>
        </w:rPr>
        <w:t>.</w:t>
      </w:r>
    </w:p>
    <w:p w14:paraId="54B3C506" w14:textId="77777777" w:rsidR="001B61BF" w:rsidRPr="00C369EC" w:rsidRDefault="001B61BF" w:rsidP="002E58A0">
      <w:pPr>
        <w:spacing w:after="0" w:line="240" w:lineRule="auto"/>
        <w:jc w:val="both"/>
        <w:rPr>
          <w:rFonts w:ascii="Times New Roman" w:hAnsi="Times New Roman"/>
        </w:rPr>
      </w:pPr>
    </w:p>
    <w:p w14:paraId="29EE9B12" w14:textId="17BFFFB4" w:rsidR="00881F42" w:rsidRPr="00C369EC" w:rsidRDefault="00B6697F" w:rsidP="002E58A0">
      <w:pPr>
        <w:spacing w:after="0" w:line="240" w:lineRule="auto"/>
        <w:jc w:val="both"/>
        <w:rPr>
          <w:rFonts w:ascii="Times New Roman" w:hAnsi="Times New Roman"/>
        </w:rPr>
      </w:pPr>
      <w:r w:rsidRPr="00C369EC">
        <w:rPr>
          <w:rFonts w:ascii="Times New Roman" w:eastAsia="Times New Roman,Batang" w:hAnsi="Times New Roman"/>
          <w:lang w:eastAsia="ko-KR"/>
        </w:rPr>
        <w:t xml:space="preserve">UNDP </w:t>
      </w:r>
      <w:r w:rsidRPr="00C369EC">
        <w:rPr>
          <w:rFonts w:ascii="Times New Roman" w:eastAsia="Times New Roman,Batang" w:hAnsi="Times New Roman"/>
          <w:bCs/>
          <w:lang w:eastAsia="ko-KR"/>
        </w:rPr>
        <w:t xml:space="preserve">will continue with efforts </w:t>
      </w:r>
      <w:r w:rsidR="00F1390F" w:rsidRPr="00C369EC">
        <w:rPr>
          <w:rFonts w:ascii="Times New Roman" w:eastAsia="Times New Roman,Batang" w:hAnsi="Times New Roman"/>
          <w:bCs/>
          <w:lang w:eastAsia="ko-KR"/>
        </w:rPr>
        <w:t>to increase</w:t>
      </w:r>
      <w:r w:rsidRPr="00C369EC">
        <w:rPr>
          <w:rFonts w:ascii="Times New Roman" w:eastAsia="Times New Roman,Batang" w:hAnsi="Times New Roman"/>
          <w:bCs/>
          <w:lang w:eastAsia="ko-KR"/>
        </w:rPr>
        <w:t xml:space="preserve"> the relevance and effectiveness of the organisation’s learning, programming and decision-making from evaluation evidence</w:t>
      </w:r>
      <w:r w:rsidR="00C92405">
        <w:rPr>
          <w:rFonts w:ascii="Times New Roman" w:eastAsia="Times New Roman,Batang" w:hAnsi="Times New Roman"/>
          <w:bCs/>
          <w:lang w:eastAsia="ko-KR"/>
        </w:rPr>
        <w:t>.</w:t>
      </w:r>
      <w:r w:rsidRPr="00C369EC">
        <w:rPr>
          <w:rFonts w:ascii="Times New Roman" w:eastAsia="Times New Roman,Batang" w:hAnsi="Times New Roman"/>
          <w:bCs/>
          <w:lang w:eastAsia="ko-KR"/>
        </w:rPr>
        <w:t xml:space="preserve"> </w:t>
      </w:r>
      <w:r w:rsidR="0053133D" w:rsidRPr="00C369EC">
        <w:rPr>
          <w:rFonts w:ascii="Times New Roman" w:hAnsi="Times New Roman"/>
        </w:rPr>
        <w:t>The</w:t>
      </w:r>
      <w:r w:rsidR="006B0F5F" w:rsidRPr="00C369EC">
        <w:rPr>
          <w:rFonts w:ascii="Times New Roman" w:hAnsi="Times New Roman"/>
        </w:rPr>
        <w:t>se efforts</w:t>
      </w:r>
      <w:r w:rsidR="0053133D" w:rsidRPr="00C369EC">
        <w:rPr>
          <w:rFonts w:ascii="Times New Roman" w:hAnsi="Times New Roman"/>
        </w:rPr>
        <w:t xml:space="preserve"> aim</w:t>
      </w:r>
      <w:r w:rsidR="006466BE" w:rsidRPr="00C369EC">
        <w:rPr>
          <w:rFonts w:ascii="Times New Roman" w:hAnsi="Times New Roman"/>
        </w:rPr>
        <w:t xml:space="preserve"> to reinforce management accountability and responsibilities, </w:t>
      </w:r>
      <w:r w:rsidRPr="00C369EC">
        <w:rPr>
          <w:rFonts w:ascii="Times New Roman" w:hAnsi="Times New Roman"/>
        </w:rPr>
        <w:t xml:space="preserve">for improved evaluation planning and implementation, timely management responses and </w:t>
      </w:r>
      <w:r w:rsidR="006466BE" w:rsidRPr="00C369EC">
        <w:rPr>
          <w:rFonts w:ascii="Times New Roman" w:hAnsi="Times New Roman"/>
        </w:rPr>
        <w:t>high-quality evaluations</w:t>
      </w:r>
      <w:r w:rsidR="0064669C" w:rsidRPr="00C369EC">
        <w:rPr>
          <w:rFonts w:ascii="Times New Roman" w:hAnsi="Times New Roman"/>
        </w:rPr>
        <w:t xml:space="preserve">. </w:t>
      </w:r>
      <w:r w:rsidRPr="00C369EC">
        <w:rPr>
          <w:rFonts w:ascii="Times New Roman" w:hAnsi="Times New Roman"/>
        </w:rPr>
        <w:t>A</w:t>
      </w:r>
      <w:r w:rsidR="006801BE" w:rsidRPr="00C369EC">
        <w:rPr>
          <w:rFonts w:ascii="Times New Roman" w:hAnsi="Times New Roman"/>
        </w:rPr>
        <w:t>nnual</w:t>
      </w:r>
      <w:r w:rsidR="00CA3608" w:rsidRPr="00C369EC">
        <w:rPr>
          <w:rFonts w:ascii="Times New Roman" w:hAnsi="Times New Roman"/>
        </w:rPr>
        <w:t xml:space="preserve"> reviews </w:t>
      </w:r>
      <w:r w:rsidRPr="00C369EC">
        <w:rPr>
          <w:rFonts w:ascii="Times New Roman" w:hAnsi="Times New Roman"/>
        </w:rPr>
        <w:t xml:space="preserve">of decentralised evaluation performance </w:t>
      </w:r>
      <w:r w:rsidR="00CA3608" w:rsidRPr="00C369EC">
        <w:rPr>
          <w:rFonts w:ascii="Times New Roman" w:hAnsi="Times New Roman"/>
        </w:rPr>
        <w:t xml:space="preserve">by the Organisational Performance Group </w:t>
      </w:r>
      <w:r w:rsidRPr="00C369EC">
        <w:rPr>
          <w:rFonts w:ascii="Times New Roman" w:hAnsi="Times New Roman"/>
        </w:rPr>
        <w:t xml:space="preserve">are reinforcing a strengthened culture for evaluation in the organisation.  </w:t>
      </w:r>
    </w:p>
    <w:p w14:paraId="7492B4F9" w14:textId="77777777" w:rsidR="00881F42" w:rsidRPr="00C369EC" w:rsidRDefault="00881F42" w:rsidP="002E58A0">
      <w:pPr>
        <w:spacing w:after="0" w:line="240" w:lineRule="auto"/>
        <w:jc w:val="both"/>
        <w:rPr>
          <w:rFonts w:ascii="Times New Roman" w:eastAsia="Times New Roman,Batang" w:hAnsi="Times New Roman"/>
          <w:color w:val="A5A5A5" w:themeColor="accent3"/>
          <w:lang w:eastAsia="ko-KR"/>
        </w:rPr>
      </w:pPr>
    </w:p>
    <w:p w14:paraId="165B47CD" w14:textId="77777777" w:rsidR="002436F5" w:rsidRPr="00C369EC" w:rsidRDefault="002436F5" w:rsidP="002E58A0">
      <w:pPr>
        <w:spacing w:after="0" w:line="240" w:lineRule="auto"/>
        <w:jc w:val="both"/>
        <w:rPr>
          <w:rFonts w:ascii="Times New Roman" w:hAnsi="Times New Roman"/>
        </w:rPr>
      </w:pPr>
    </w:p>
    <w:p w14:paraId="2336ED68" w14:textId="51E265CB" w:rsidR="003F055C" w:rsidRPr="00C369EC" w:rsidRDefault="003F055C" w:rsidP="002E58A0">
      <w:pPr>
        <w:spacing w:after="0" w:line="240" w:lineRule="auto"/>
        <w:jc w:val="both"/>
        <w:rPr>
          <w:rFonts w:ascii="Times New Roman" w:eastAsia="Times New Roman,Batang" w:hAnsi="Times New Roman"/>
          <w:bCs/>
          <w:u w:val="single"/>
          <w:lang w:eastAsia="ko-KR"/>
        </w:rPr>
      </w:pPr>
      <w:bookmarkStart w:id="0" w:name="_Hlk35368665"/>
      <w:r w:rsidRPr="00C369EC">
        <w:rPr>
          <w:rFonts w:ascii="Times New Roman" w:eastAsia="Times New Roman,Batang" w:hAnsi="Times New Roman"/>
          <w:b/>
          <w:u w:val="single"/>
          <w:lang w:eastAsia="ko-KR"/>
        </w:rPr>
        <w:t xml:space="preserve">INDEPENDENT EVALUATIONS </w:t>
      </w:r>
    </w:p>
    <w:p w14:paraId="0D3E6A47" w14:textId="77777777" w:rsidR="003F055C" w:rsidRPr="00C369EC" w:rsidRDefault="003F055C" w:rsidP="002E58A0">
      <w:pPr>
        <w:spacing w:after="0" w:line="240" w:lineRule="auto"/>
        <w:jc w:val="both"/>
        <w:rPr>
          <w:rFonts w:ascii="Times New Roman" w:eastAsia="Times New Roman,Batang" w:hAnsi="Times New Roman"/>
          <w:bCs/>
          <w:u w:val="single"/>
          <w:lang w:eastAsia="ko-KR"/>
        </w:rPr>
      </w:pPr>
    </w:p>
    <w:p w14:paraId="62C2C07D" w14:textId="69F60788" w:rsidR="00B80270" w:rsidRPr="00C369EC" w:rsidRDefault="00B80270" w:rsidP="002E58A0">
      <w:pPr>
        <w:spacing w:after="0" w:line="240" w:lineRule="auto"/>
        <w:jc w:val="both"/>
        <w:rPr>
          <w:rStyle w:val="Hyperlink"/>
          <w:rFonts w:ascii="Times New Roman" w:hAnsi="Times New Roman"/>
          <w:color w:val="auto"/>
          <w:u w:val="none"/>
        </w:rPr>
      </w:pPr>
      <w:r w:rsidRPr="00C369EC">
        <w:rPr>
          <w:rFonts w:ascii="Times New Roman" w:hAnsi="Times New Roman"/>
        </w:rPr>
        <w:t xml:space="preserve">The evaluation on </w:t>
      </w:r>
      <w:r w:rsidRPr="00C369EC">
        <w:rPr>
          <w:rFonts w:ascii="Times New Roman" w:hAnsi="Times New Roman"/>
          <w:i/>
          <w:iCs/>
        </w:rPr>
        <w:t>UNDP’s support to poverty reduction in the least developed countries (2014-17)</w:t>
      </w:r>
      <w:r w:rsidRPr="00C369EC">
        <w:rPr>
          <w:rFonts w:ascii="Times New Roman" w:hAnsi="Times New Roman"/>
        </w:rPr>
        <w:t xml:space="preserve"> [DP2019/</w:t>
      </w:r>
      <w:r w:rsidR="00F1390F" w:rsidRPr="00C369EC">
        <w:rPr>
          <w:rFonts w:ascii="Times New Roman" w:hAnsi="Times New Roman"/>
        </w:rPr>
        <w:t>4</w:t>
      </w:r>
      <w:r w:rsidRPr="00C369EC">
        <w:rPr>
          <w:rFonts w:ascii="Times New Roman" w:hAnsi="Times New Roman"/>
        </w:rPr>
        <w:t xml:space="preserve">] was presented to the first regular </w:t>
      </w:r>
      <w:r w:rsidR="00F1390F" w:rsidRPr="00C369EC">
        <w:rPr>
          <w:rFonts w:ascii="Times New Roman" w:hAnsi="Times New Roman"/>
        </w:rPr>
        <w:t>session</w:t>
      </w:r>
      <w:r w:rsidRPr="00C369EC">
        <w:rPr>
          <w:rFonts w:ascii="Times New Roman" w:hAnsi="Times New Roman"/>
        </w:rPr>
        <w:t xml:space="preserve"> of the Executive </w:t>
      </w:r>
      <w:r w:rsidR="00F1390F" w:rsidRPr="00C369EC">
        <w:rPr>
          <w:rFonts w:ascii="Times New Roman" w:hAnsi="Times New Roman"/>
        </w:rPr>
        <w:t>Board</w:t>
      </w:r>
      <w:r w:rsidRPr="00C369EC">
        <w:rPr>
          <w:rFonts w:ascii="Times New Roman" w:hAnsi="Times New Roman"/>
        </w:rPr>
        <w:t xml:space="preserve"> in 2019. Due to the importance of the issues raised </w:t>
      </w:r>
      <w:r w:rsidR="00302BAC" w:rsidRPr="00C369EC">
        <w:rPr>
          <w:rFonts w:ascii="Times New Roman" w:hAnsi="Times New Roman"/>
        </w:rPr>
        <w:t xml:space="preserve">in the evaluation </w:t>
      </w:r>
      <w:r w:rsidRPr="00C369EC">
        <w:rPr>
          <w:rFonts w:ascii="Times New Roman" w:hAnsi="Times New Roman"/>
        </w:rPr>
        <w:t xml:space="preserve">to UNDP’s work, UNDP management engaged in a highly consultative process with the Executive Board Members, the Independent Evaluation Office and internally across UNDP in the process </w:t>
      </w:r>
      <w:r w:rsidR="00F1390F" w:rsidRPr="00C369EC">
        <w:rPr>
          <w:rFonts w:ascii="Times New Roman" w:hAnsi="Times New Roman"/>
        </w:rPr>
        <w:t>of</w:t>
      </w:r>
      <w:r w:rsidRPr="00C369EC">
        <w:rPr>
          <w:rFonts w:ascii="Times New Roman" w:hAnsi="Times New Roman"/>
        </w:rPr>
        <w:t xml:space="preserve"> developing its management response which was presented to the Executive Board’s annual session in June 2019.  </w:t>
      </w:r>
      <w:r w:rsidRPr="00C369EC">
        <w:rPr>
          <w:rStyle w:val="Hyperlink"/>
          <w:rFonts w:ascii="Times New Roman" w:eastAsia="Times New Roman" w:hAnsi="Times New Roman"/>
          <w:iCs/>
          <w:color w:val="auto"/>
          <w:u w:val="none"/>
        </w:rPr>
        <w:t xml:space="preserve">An update on </w:t>
      </w:r>
      <w:r w:rsidR="002C4E84">
        <w:rPr>
          <w:rStyle w:val="Hyperlink"/>
          <w:rFonts w:ascii="Times New Roman" w:eastAsia="Times New Roman" w:hAnsi="Times New Roman"/>
          <w:iCs/>
          <w:color w:val="auto"/>
          <w:u w:val="none"/>
        </w:rPr>
        <w:t xml:space="preserve">the </w:t>
      </w:r>
      <w:r w:rsidRPr="00C369EC">
        <w:rPr>
          <w:rStyle w:val="Hyperlink"/>
          <w:rFonts w:ascii="Times New Roman" w:eastAsia="Times New Roman" w:hAnsi="Times New Roman"/>
          <w:iCs/>
          <w:color w:val="auto"/>
          <w:u w:val="none"/>
        </w:rPr>
        <w:t xml:space="preserve">implementation of the management response is provided later in this paper.  </w:t>
      </w:r>
    </w:p>
    <w:p w14:paraId="645F5E3D" w14:textId="77777777" w:rsidR="00B80270" w:rsidRPr="00C369EC" w:rsidRDefault="00B80270" w:rsidP="002E58A0">
      <w:pPr>
        <w:spacing w:after="0" w:line="240" w:lineRule="auto"/>
        <w:jc w:val="both"/>
        <w:rPr>
          <w:rFonts w:ascii="Times New Roman" w:eastAsia="Times New Roman,Batang" w:hAnsi="Times New Roman"/>
          <w:lang w:eastAsia="ko-KR"/>
        </w:rPr>
      </w:pPr>
    </w:p>
    <w:p w14:paraId="50DA9C3A" w14:textId="4F59E669" w:rsidR="00B80270" w:rsidRPr="00C369EC" w:rsidRDefault="00B80270" w:rsidP="002E58A0">
      <w:pPr>
        <w:spacing w:after="0" w:line="240" w:lineRule="auto"/>
        <w:jc w:val="both"/>
        <w:rPr>
          <w:rFonts w:ascii="Times New Roman" w:hAnsi="Times New Roman"/>
          <w:color w:val="0E101A"/>
        </w:rPr>
      </w:pPr>
      <w:r w:rsidRPr="00C369EC">
        <w:rPr>
          <w:rFonts w:ascii="Times New Roman" w:hAnsi="Times New Roman"/>
          <w:color w:val="0E101A"/>
        </w:rPr>
        <w:t xml:space="preserve">Strongly committed to </w:t>
      </w:r>
      <w:proofErr w:type="gramStart"/>
      <w:r w:rsidRPr="00C369EC">
        <w:rPr>
          <w:rFonts w:ascii="Times New Roman" w:hAnsi="Times New Roman"/>
          <w:color w:val="0E101A"/>
        </w:rPr>
        <w:t>being</w:t>
      </w:r>
      <w:proofErr w:type="gramEnd"/>
      <w:r w:rsidRPr="00C369EC">
        <w:rPr>
          <w:rFonts w:ascii="Times New Roman" w:hAnsi="Times New Roman"/>
          <w:color w:val="0E101A"/>
        </w:rPr>
        <w:t xml:space="preserve"> a learning organisation, UNDP welcomes the </w:t>
      </w:r>
      <w:r w:rsidRPr="00C369EC">
        <w:rPr>
          <w:rStyle w:val="Strong"/>
          <w:rFonts w:ascii="Times New Roman" w:hAnsi="Times New Roman"/>
          <w:color w:val="0E101A"/>
        </w:rPr>
        <w:t>adoption of the revised Evaluation Policy</w:t>
      </w:r>
      <w:r w:rsidRPr="00C369EC">
        <w:rPr>
          <w:rFonts w:ascii="Times New Roman" w:hAnsi="Times New Roman"/>
          <w:color w:val="0E101A"/>
        </w:rPr>
        <w:t xml:space="preserve"> [DP2019/29] by the Executive Board at the second regular session in 2019, for which UNDP and the IEO submitted a joint management response to the Independent review to the Board. The revised Policy foresees a change in the structure of the evaluation function of the IEO and an increased IEO </w:t>
      </w:r>
      <w:r w:rsidRPr="00C369EC">
        <w:rPr>
          <w:rFonts w:ascii="Times New Roman" w:hAnsi="Times New Roman"/>
          <w:color w:val="0E101A"/>
        </w:rPr>
        <w:lastRenderedPageBreak/>
        <w:t xml:space="preserve">budget and scope. UNDP management welcomes the IEO’s potential expansion to regional hubs and entrusts that such change will contribute to enhancing the quality of decentralised evaluations and the organisation’s function. </w:t>
      </w:r>
    </w:p>
    <w:p w14:paraId="6A606E07" w14:textId="77777777" w:rsidR="00B80270" w:rsidRPr="00C369EC" w:rsidRDefault="00B80270" w:rsidP="002E58A0">
      <w:pPr>
        <w:spacing w:after="0" w:line="240" w:lineRule="auto"/>
        <w:jc w:val="both"/>
        <w:rPr>
          <w:rFonts w:ascii="Times New Roman" w:hAnsi="Times New Roman"/>
          <w:color w:val="0E101A"/>
        </w:rPr>
      </w:pPr>
    </w:p>
    <w:p w14:paraId="7CDC3B64" w14:textId="07074F27" w:rsidR="00016DE3" w:rsidRPr="00C369EC" w:rsidRDefault="003F055C" w:rsidP="002E58A0">
      <w:pPr>
        <w:spacing w:after="0" w:line="240" w:lineRule="auto"/>
        <w:jc w:val="both"/>
        <w:rPr>
          <w:rFonts w:ascii="Times New Roman" w:hAnsi="Times New Roman"/>
          <w:lang w:bidi="en-US"/>
        </w:rPr>
      </w:pPr>
      <w:r w:rsidRPr="00C369EC">
        <w:rPr>
          <w:rFonts w:ascii="Times New Roman" w:hAnsi="Times New Roman"/>
          <w:w w:val="103"/>
        </w:rPr>
        <w:t xml:space="preserve">The </w:t>
      </w:r>
      <w:r w:rsidR="0038230F" w:rsidRPr="00C369EC">
        <w:rPr>
          <w:rFonts w:ascii="Times New Roman" w:hAnsi="Times New Roman"/>
          <w:w w:val="103"/>
        </w:rPr>
        <w:t>IEO</w:t>
      </w:r>
      <w:r w:rsidRPr="00C369EC">
        <w:rPr>
          <w:rFonts w:ascii="Times New Roman" w:hAnsi="Times New Roman"/>
          <w:w w:val="103"/>
        </w:rPr>
        <w:t xml:space="preserve"> increased the number of completed </w:t>
      </w:r>
      <w:r w:rsidRPr="00C369EC">
        <w:rPr>
          <w:rFonts w:ascii="Times New Roman" w:hAnsi="Times New Roman"/>
          <w:b/>
          <w:bCs/>
        </w:rPr>
        <w:t>Independent Country Programme Evaluations (</w:t>
      </w:r>
      <w:r w:rsidRPr="00C369EC">
        <w:rPr>
          <w:rFonts w:ascii="Times New Roman" w:hAnsi="Times New Roman"/>
          <w:b/>
          <w:bCs/>
          <w:w w:val="103"/>
        </w:rPr>
        <w:t>ICPE</w:t>
      </w:r>
      <w:r w:rsidR="00743CB3" w:rsidRPr="00C369EC">
        <w:rPr>
          <w:rFonts w:ascii="Times New Roman" w:hAnsi="Times New Roman"/>
          <w:b/>
          <w:bCs/>
          <w:w w:val="103"/>
        </w:rPr>
        <w:t>s</w:t>
      </w:r>
      <w:r w:rsidRPr="00C369EC">
        <w:rPr>
          <w:rFonts w:ascii="Times New Roman" w:hAnsi="Times New Roman"/>
          <w:b/>
          <w:bCs/>
          <w:w w:val="103"/>
        </w:rPr>
        <w:t>)</w:t>
      </w:r>
      <w:r w:rsidRPr="00C369EC">
        <w:rPr>
          <w:rFonts w:ascii="Times New Roman" w:hAnsi="Times New Roman"/>
          <w:w w:val="103"/>
        </w:rPr>
        <w:t xml:space="preserve"> </w:t>
      </w:r>
      <w:r w:rsidR="00743CB3" w:rsidRPr="00C369EC">
        <w:rPr>
          <w:rFonts w:ascii="Times New Roman" w:hAnsi="Times New Roman"/>
          <w:w w:val="103"/>
        </w:rPr>
        <w:t xml:space="preserve">from 14 in 2018 to 38 </w:t>
      </w:r>
      <w:r w:rsidRPr="00C369EC">
        <w:rPr>
          <w:rFonts w:ascii="Times New Roman" w:hAnsi="Times New Roman"/>
          <w:w w:val="103"/>
        </w:rPr>
        <w:t>in 2019. Out of the 38 ICPEs conducted in 2019, 10</w:t>
      </w:r>
      <w:r w:rsidRPr="00C369EC">
        <w:rPr>
          <w:rStyle w:val="FootnoteReference"/>
          <w:rFonts w:ascii="Times New Roman" w:hAnsi="Times New Roman"/>
          <w:w w:val="103"/>
        </w:rPr>
        <w:footnoteReference w:id="2"/>
      </w:r>
      <w:r w:rsidRPr="00C369EC">
        <w:rPr>
          <w:rFonts w:ascii="Times New Roman" w:hAnsi="Times New Roman"/>
          <w:w w:val="103"/>
        </w:rPr>
        <w:t xml:space="preserve"> were finalised and </w:t>
      </w:r>
      <w:r w:rsidR="00D77695" w:rsidRPr="00C369EC">
        <w:rPr>
          <w:rFonts w:ascii="Times New Roman" w:hAnsi="Times New Roman"/>
          <w:w w:val="103"/>
        </w:rPr>
        <w:t>published</w:t>
      </w:r>
      <w:r w:rsidR="00743CB3" w:rsidRPr="00C369EC">
        <w:rPr>
          <w:rFonts w:ascii="Times New Roman" w:hAnsi="Times New Roman"/>
          <w:w w:val="103"/>
        </w:rPr>
        <w:t xml:space="preserve"> on</w:t>
      </w:r>
      <w:r w:rsidRPr="00C369EC">
        <w:rPr>
          <w:rFonts w:ascii="Times New Roman" w:hAnsi="Times New Roman"/>
          <w:w w:val="103"/>
        </w:rPr>
        <w:t xml:space="preserve"> the Evaluation Resource Centre (ERC) as of </w:t>
      </w:r>
      <w:r w:rsidR="004D275A" w:rsidRPr="00C369EC">
        <w:rPr>
          <w:rFonts w:ascii="Times New Roman" w:hAnsi="Times New Roman"/>
          <w:w w:val="103"/>
        </w:rPr>
        <w:t>23</w:t>
      </w:r>
      <w:r w:rsidRPr="00C369EC">
        <w:rPr>
          <w:rFonts w:ascii="Times New Roman" w:hAnsi="Times New Roman"/>
          <w:w w:val="103"/>
        </w:rPr>
        <w:t xml:space="preserve"> March 2020. </w:t>
      </w:r>
      <w:r w:rsidR="00FD33E4" w:rsidRPr="00C369EC">
        <w:rPr>
          <w:rFonts w:ascii="Times New Roman" w:hAnsi="Times New Roman"/>
          <w:w w:val="103"/>
        </w:rPr>
        <w:t>R</w:t>
      </w:r>
      <w:r w:rsidRPr="00C369EC">
        <w:rPr>
          <w:rFonts w:ascii="Times New Roman" w:hAnsi="Times New Roman"/>
          <w:w w:val="103"/>
        </w:rPr>
        <w:t xml:space="preserve">emaining reports </w:t>
      </w:r>
      <w:r w:rsidR="00D77695" w:rsidRPr="00C369EC">
        <w:rPr>
          <w:rFonts w:ascii="Times New Roman" w:hAnsi="Times New Roman"/>
          <w:w w:val="103"/>
        </w:rPr>
        <w:t>are expected to be</w:t>
      </w:r>
      <w:r w:rsidRPr="00C369EC">
        <w:rPr>
          <w:rFonts w:ascii="Times New Roman" w:hAnsi="Times New Roman"/>
          <w:w w:val="103"/>
        </w:rPr>
        <w:t xml:space="preserve"> </w:t>
      </w:r>
      <w:r w:rsidR="002B4B95" w:rsidRPr="00C369EC">
        <w:rPr>
          <w:rFonts w:ascii="Times New Roman" w:hAnsi="Times New Roman"/>
          <w:w w:val="103"/>
        </w:rPr>
        <w:t>complet</w:t>
      </w:r>
      <w:r w:rsidRPr="00C369EC">
        <w:rPr>
          <w:rFonts w:ascii="Times New Roman" w:hAnsi="Times New Roman"/>
          <w:w w:val="103"/>
        </w:rPr>
        <w:t xml:space="preserve">ed prior to the Executive Board </w:t>
      </w:r>
      <w:r w:rsidR="00D77695" w:rsidRPr="00C369EC">
        <w:rPr>
          <w:rFonts w:ascii="Times New Roman" w:hAnsi="Times New Roman"/>
          <w:w w:val="103"/>
        </w:rPr>
        <w:t>a</w:t>
      </w:r>
      <w:r w:rsidRPr="00C369EC">
        <w:rPr>
          <w:rFonts w:ascii="Times New Roman" w:hAnsi="Times New Roman"/>
          <w:w w:val="103"/>
        </w:rPr>
        <w:t xml:space="preserve">nnual session in June 2020. </w:t>
      </w:r>
      <w:r w:rsidRPr="00C369EC">
        <w:rPr>
          <w:rFonts w:ascii="Times New Roman" w:eastAsia="Batang" w:hAnsi="Times New Roman"/>
          <w:lang w:eastAsia="ko-KR"/>
        </w:rPr>
        <w:t>UNDP places high importance on the ICPEs</w:t>
      </w:r>
      <w:r w:rsidR="00D77695" w:rsidRPr="00C369EC">
        <w:rPr>
          <w:rFonts w:ascii="Times New Roman" w:eastAsia="Batang" w:hAnsi="Times New Roman"/>
          <w:lang w:eastAsia="ko-KR"/>
        </w:rPr>
        <w:t>,</w:t>
      </w:r>
      <w:r w:rsidRPr="00C369EC">
        <w:rPr>
          <w:rFonts w:ascii="Times New Roman" w:eastAsia="Batang" w:hAnsi="Times New Roman"/>
          <w:lang w:eastAsia="ko-KR"/>
        </w:rPr>
        <w:t xml:space="preserve"> which provide a comprehensive assessment of </w:t>
      </w:r>
      <w:r w:rsidR="00D77695" w:rsidRPr="00C369EC">
        <w:rPr>
          <w:rFonts w:ascii="Times New Roman" w:eastAsia="Batang" w:hAnsi="Times New Roman"/>
          <w:lang w:eastAsia="ko-KR"/>
        </w:rPr>
        <w:t>programmatic results</w:t>
      </w:r>
      <w:r w:rsidR="00417FDD" w:rsidRPr="00C369EC">
        <w:rPr>
          <w:rFonts w:ascii="Times New Roman" w:eastAsia="Batang" w:hAnsi="Times New Roman"/>
          <w:lang w:eastAsia="ko-KR"/>
        </w:rPr>
        <w:t xml:space="preserve"> </w:t>
      </w:r>
      <w:r w:rsidRPr="00C369EC">
        <w:rPr>
          <w:rFonts w:ascii="Times New Roman" w:eastAsia="Batang" w:hAnsi="Times New Roman"/>
          <w:lang w:eastAsia="ko-KR"/>
        </w:rPr>
        <w:t xml:space="preserve">at the country level and </w:t>
      </w:r>
      <w:r w:rsidR="00ED5FFE" w:rsidRPr="00C369EC">
        <w:rPr>
          <w:rFonts w:ascii="Times New Roman" w:eastAsia="Batang" w:hAnsi="Times New Roman"/>
          <w:lang w:eastAsia="ko-KR"/>
        </w:rPr>
        <w:t>are</w:t>
      </w:r>
      <w:r w:rsidR="00D77695" w:rsidRPr="00C369EC">
        <w:rPr>
          <w:rFonts w:ascii="Times New Roman" w:eastAsia="Batang" w:hAnsi="Times New Roman"/>
          <w:lang w:eastAsia="ko-KR"/>
        </w:rPr>
        <w:t xml:space="preserve"> critical inputs to </w:t>
      </w:r>
      <w:r w:rsidRPr="00C369EC">
        <w:rPr>
          <w:rFonts w:ascii="Times New Roman" w:eastAsia="Batang" w:hAnsi="Times New Roman"/>
          <w:lang w:eastAsia="ko-KR"/>
        </w:rPr>
        <w:t>the preparation of</w:t>
      </w:r>
      <w:r w:rsidR="00F809AC" w:rsidRPr="00C369EC">
        <w:rPr>
          <w:rFonts w:ascii="Times New Roman" w:eastAsia="Batang" w:hAnsi="Times New Roman"/>
          <w:lang w:eastAsia="ko-KR"/>
        </w:rPr>
        <w:t xml:space="preserve"> </w:t>
      </w:r>
      <w:r w:rsidRPr="00C369EC">
        <w:rPr>
          <w:rFonts w:ascii="Times New Roman" w:eastAsia="Batang" w:hAnsi="Times New Roman"/>
          <w:lang w:eastAsia="ko-KR"/>
        </w:rPr>
        <w:t>new</w:t>
      </w:r>
      <w:r w:rsidR="00394F72">
        <w:rPr>
          <w:rFonts w:ascii="Times New Roman" w:eastAsia="Batang" w:hAnsi="Times New Roman"/>
          <w:lang w:eastAsia="ko-KR"/>
        </w:rPr>
        <w:t xml:space="preserve"> Country Programme Documents</w:t>
      </w:r>
      <w:r w:rsidRPr="00C369EC">
        <w:rPr>
          <w:rFonts w:ascii="Times New Roman" w:eastAsia="Batang" w:hAnsi="Times New Roman"/>
          <w:lang w:eastAsia="ko-KR"/>
        </w:rPr>
        <w:t xml:space="preserve"> </w:t>
      </w:r>
      <w:r w:rsidR="00394F72">
        <w:rPr>
          <w:rFonts w:ascii="Times New Roman" w:eastAsia="Batang" w:hAnsi="Times New Roman"/>
          <w:lang w:eastAsia="ko-KR"/>
        </w:rPr>
        <w:t>(</w:t>
      </w:r>
      <w:r w:rsidR="00A21368" w:rsidRPr="00C369EC">
        <w:rPr>
          <w:rFonts w:ascii="Times New Roman" w:eastAsia="Batang" w:hAnsi="Times New Roman"/>
          <w:lang w:eastAsia="ko-KR"/>
        </w:rPr>
        <w:t>CPD</w:t>
      </w:r>
      <w:r w:rsidR="00394F72">
        <w:rPr>
          <w:rFonts w:ascii="Times New Roman" w:eastAsia="Batang" w:hAnsi="Times New Roman"/>
          <w:lang w:eastAsia="ko-KR"/>
        </w:rPr>
        <w:t>)</w:t>
      </w:r>
      <w:r w:rsidR="00A21368" w:rsidRPr="00C369EC">
        <w:rPr>
          <w:rFonts w:ascii="Times New Roman" w:eastAsia="Batang" w:hAnsi="Times New Roman"/>
          <w:lang w:eastAsia="ko-KR"/>
        </w:rPr>
        <w:t xml:space="preserve">. </w:t>
      </w:r>
      <w:r w:rsidRPr="00C369EC">
        <w:rPr>
          <w:rFonts w:ascii="Times New Roman" w:hAnsi="Times New Roman"/>
          <w:lang w:bidi="en-US"/>
        </w:rPr>
        <w:t xml:space="preserve">The box below provides a summary of </w:t>
      </w:r>
      <w:r w:rsidR="00EC743D">
        <w:rPr>
          <w:rFonts w:ascii="Times New Roman" w:hAnsi="Times New Roman"/>
          <w:lang w:bidi="en-US"/>
        </w:rPr>
        <w:t xml:space="preserve">some of </w:t>
      </w:r>
      <w:r w:rsidRPr="00C369EC">
        <w:rPr>
          <w:rFonts w:ascii="Times New Roman" w:hAnsi="Times New Roman"/>
          <w:lang w:bidi="en-US"/>
        </w:rPr>
        <w:t xml:space="preserve">the </w:t>
      </w:r>
      <w:r w:rsidR="00EC743D">
        <w:rPr>
          <w:rFonts w:ascii="Times New Roman" w:hAnsi="Times New Roman"/>
          <w:lang w:bidi="en-US"/>
        </w:rPr>
        <w:t xml:space="preserve">key findings from </w:t>
      </w:r>
      <w:r w:rsidRPr="00C369EC">
        <w:rPr>
          <w:rFonts w:ascii="Times New Roman" w:hAnsi="Times New Roman"/>
          <w:lang w:bidi="en-US"/>
        </w:rPr>
        <w:t xml:space="preserve">the </w:t>
      </w:r>
      <w:r w:rsidR="0097433E" w:rsidRPr="00C369EC">
        <w:rPr>
          <w:rFonts w:ascii="Times New Roman" w:hAnsi="Times New Roman"/>
          <w:lang w:bidi="en-US"/>
        </w:rPr>
        <w:t>ten</w:t>
      </w:r>
      <w:r w:rsidRPr="00C369EC">
        <w:rPr>
          <w:rFonts w:ascii="Times New Roman" w:hAnsi="Times New Roman"/>
          <w:lang w:bidi="en-US"/>
        </w:rPr>
        <w:t xml:space="preserve"> published</w:t>
      </w:r>
      <w:r w:rsidR="00302BAC" w:rsidRPr="00C369EC">
        <w:rPr>
          <w:rFonts w:ascii="Times New Roman" w:hAnsi="Times New Roman"/>
          <w:lang w:bidi="en-US"/>
        </w:rPr>
        <w:t xml:space="preserve"> 2019</w:t>
      </w:r>
      <w:r w:rsidRPr="00C369EC">
        <w:rPr>
          <w:rFonts w:ascii="Times New Roman" w:hAnsi="Times New Roman"/>
          <w:lang w:bidi="en-US"/>
        </w:rPr>
        <w:t xml:space="preserve"> ICPEs.</w:t>
      </w:r>
    </w:p>
    <w:p w14:paraId="2E7FE1D0" w14:textId="47254BDD" w:rsidR="003F055C" w:rsidRPr="00C369EC" w:rsidRDefault="003F055C" w:rsidP="002E58A0">
      <w:pPr>
        <w:spacing w:after="0" w:line="240" w:lineRule="auto"/>
        <w:jc w:val="both"/>
        <w:rPr>
          <w:rFonts w:ascii="Times New Roman" w:hAnsi="Times New Roman"/>
          <w:lang w:bidi="en-US"/>
        </w:rPr>
      </w:pPr>
      <w:r w:rsidRPr="00C369EC">
        <w:rPr>
          <w:rFonts w:ascii="Times New Roman" w:hAnsi="Times New Roman"/>
          <w:lang w:bidi="en-US"/>
        </w:rPr>
        <w:t xml:space="preserve"> </w:t>
      </w:r>
    </w:p>
    <w:p w14:paraId="7B06AEFE" w14:textId="77777777" w:rsidR="003F055C" w:rsidRPr="00C369EC" w:rsidRDefault="003F055C" w:rsidP="002E58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pacing w:val="4"/>
          <w:w w:val="103"/>
          <w:kern w:val="14"/>
        </w:rPr>
      </w:pPr>
      <w:r w:rsidRPr="00C369EC">
        <w:rPr>
          <w:rFonts w:ascii="Times New Roman" w:eastAsia="Times New Roman" w:hAnsi="Times New Roman"/>
          <w:b/>
          <w:spacing w:val="4"/>
          <w:w w:val="103"/>
          <w:kern w:val="14"/>
        </w:rPr>
        <w:t>Box 1 Selected key findings and recommendations from 2019 ICPEs</w:t>
      </w:r>
    </w:p>
    <w:p w14:paraId="62B339C5" w14:textId="77777777" w:rsidR="006B6F29" w:rsidRPr="00C369EC" w:rsidRDefault="006B6F29" w:rsidP="002E58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14:paraId="4A743C96" w14:textId="2A43B942" w:rsidR="003F055C" w:rsidRPr="00C369EC" w:rsidRDefault="003F055C" w:rsidP="002E58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C369EC">
        <w:rPr>
          <w:rFonts w:ascii="Times New Roman" w:hAnsi="Times New Roman"/>
        </w:rPr>
        <w:t xml:space="preserve">UNDP </w:t>
      </w:r>
      <w:r w:rsidR="006B6F29" w:rsidRPr="00C369EC">
        <w:rPr>
          <w:rFonts w:ascii="Times New Roman" w:hAnsi="Times New Roman"/>
        </w:rPr>
        <w:t>welcomes the evaluation findings</w:t>
      </w:r>
      <w:r w:rsidR="00AE255F" w:rsidRPr="00C369EC">
        <w:rPr>
          <w:rFonts w:ascii="Times New Roman" w:hAnsi="Times New Roman"/>
        </w:rPr>
        <w:t xml:space="preserve"> which reinforce</w:t>
      </w:r>
      <w:r w:rsidR="0041601D" w:rsidRPr="00C369EC">
        <w:rPr>
          <w:rFonts w:ascii="Times New Roman" w:hAnsi="Times New Roman"/>
        </w:rPr>
        <w:t xml:space="preserve"> </w:t>
      </w:r>
      <w:r w:rsidRPr="00C369EC">
        <w:rPr>
          <w:rFonts w:ascii="Times New Roman" w:hAnsi="Times New Roman"/>
        </w:rPr>
        <w:t>the organisation</w:t>
      </w:r>
      <w:r w:rsidR="0094549E" w:rsidRPr="00C369EC">
        <w:rPr>
          <w:rFonts w:ascii="Times New Roman" w:hAnsi="Times New Roman"/>
        </w:rPr>
        <w:t>’s</w:t>
      </w:r>
      <w:r w:rsidR="00613980" w:rsidRPr="00C369EC">
        <w:rPr>
          <w:rFonts w:ascii="Times New Roman" w:hAnsi="Times New Roman"/>
        </w:rPr>
        <w:t xml:space="preserve"> role as</w:t>
      </w:r>
      <w:r w:rsidR="006B6F29" w:rsidRPr="00C369EC">
        <w:rPr>
          <w:rFonts w:ascii="Times New Roman" w:hAnsi="Times New Roman"/>
        </w:rPr>
        <w:t xml:space="preserve"> </w:t>
      </w:r>
      <w:r w:rsidRPr="00C369EC">
        <w:rPr>
          <w:rFonts w:ascii="Times New Roman" w:hAnsi="Times New Roman"/>
        </w:rPr>
        <w:t xml:space="preserve">a strategic, reliable and responsive development partner </w:t>
      </w:r>
      <w:r w:rsidR="00417FDD" w:rsidRPr="00C369EC">
        <w:rPr>
          <w:rFonts w:ascii="Times New Roman" w:hAnsi="Times New Roman"/>
        </w:rPr>
        <w:t xml:space="preserve">and that </w:t>
      </w:r>
      <w:r w:rsidRPr="00C369EC">
        <w:rPr>
          <w:rFonts w:ascii="Times New Roman" w:hAnsi="Times New Roman"/>
        </w:rPr>
        <w:t xml:space="preserve">its interventions remain relevant and aligned with national development priorities and the UNDP Strategic Plan. The long-lasting </w:t>
      </w:r>
      <w:r w:rsidR="00F1390F" w:rsidRPr="00C369EC">
        <w:rPr>
          <w:rFonts w:ascii="Times New Roman" w:hAnsi="Times New Roman"/>
        </w:rPr>
        <w:t>partnership, which</w:t>
      </w:r>
      <w:r w:rsidRPr="00C369EC">
        <w:rPr>
          <w:rFonts w:ascii="Times New Roman" w:hAnsi="Times New Roman"/>
        </w:rPr>
        <w:t xml:space="preserve"> UNDP </w:t>
      </w:r>
      <w:r w:rsidR="00302BAC" w:rsidRPr="00C369EC">
        <w:rPr>
          <w:rFonts w:ascii="Times New Roman" w:hAnsi="Times New Roman"/>
        </w:rPr>
        <w:t xml:space="preserve">has </w:t>
      </w:r>
      <w:r w:rsidRPr="00C369EC">
        <w:rPr>
          <w:rFonts w:ascii="Times New Roman" w:hAnsi="Times New Roman"/>
        </w:rPr>
        <w:t xml:space="preserve">fostered with many </w:t>
      </w:r>
      <w:r w:rsidR="0097433E" w:rsidRPr="00C369EC">
        <w:rPr>
          <w:rFonts w:ascii="Times New Roman" w:hAnsi="Times New Roman"/>
        </w:rPr>
        <w:t>Governments</w:t>
      </w:r>
      <w:r w:rsidRPr="00C369EC">
        <w:rPr>
          <w:rFonts w:ascii="Times New Roman" w:hAnsi="Times New Roman"/>
        </w:rPr>
        <w:t xml:space="preserve">, has provided the organisation with unique access to </w:t>
      </w:r>
      <w:r w:rsidR="00F1390F" w:rsidRPr="00C369EC">
        <w:rPr>
          <w:rFonts w:ascii="Times New Roman" w:hAnsi="Times New Roman"/>
        </w:rPr>
        <w:t>support development</w:t>
      </w:r>
      <w:r w:rsidRPr="00C369EC">
        <w:rPr>
          <w:rFonts w:ascii="Times New Roman" w:hAnsi="Times New Roman"/>
        </w:rPr>
        <w:t xml:space="preserve"> in sensitive settings and to respond to countries</w:t>
      </w:r>
      <w:r w:rsidR="00EC743D">
        <w:rPr>
          <w:rFonts w:ascii="Times New Roman" w:hAnsi="Times New Roman"/>
        </w:rPr>
        <w:t>’</w:t>
      </w:r>
      <w:r w:rsidRPr="00C369EC">
        <w:rPr>
          <w:rFonts w:ascii="Times New Roman" w:hAnsi="Times New Roman"/>
        </w:rPr>
        <w:t xml:space="preserve"> emerging needs and demands. Partners recognised UNDP</w:t>
      </w:r>
      <w:r w:rsidR="00EA09A2" w:rsidRPr="00C369EC">
        <w:rPr>
          <w:rFonts w:ascii="Times New Roman" w:hAnsi="Times New Roman"/>
        </w:rPr>
        <w:t>’</w:t>
      </w:r>
      <w:r w:rsidRPr="00C369EC">
        <w:rPr>
          <w:rFonts w:ascii="Times New Roman" w:hAnsi="Times New Roman"/>
        </w:rPr>
        <w:t>s policy advisory support and capacity development efforts, in combination with the ability to convene new partnerships. Through prolonged intervention</w:t>
      </w:r>
      <w:r w:rsidR="00302BAC" w:rsidRPr="00C369EC">
        <w:rPr>
          <w:rFonts w:ascii="Times New Roman" w:hAnsi="Times New Roman"/>
        </w:rPr>
        <w:t>s</w:t>
      </w:r>
      <w:r w:rsidRPr="00C369EC">
        <w:rPr>
          <w:rFonts w:ascii="Times New Roman" w:hAnsi="Times New Roman"/>
        </w:rPr>
        <w:t>, UNDP successfully advocated for an integrated approach to development and the inclusion of vulnerable groups, particularly women.</w:t>
      </w:r>
    </w:p>
    <w:p w14:paraId="5C00EA6A" w14:textId="77777777" w:rsidR="00016DE3" w:rsidRPr="00C369EC" w:rsidRDefault="00016DE3" w:rsidP="002E58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14:paraId="68451923" w14:textId="1870A1BC" w:rsidR="003F055C" w:rsidRPr="00C369EC" w:rsidRDefault="006B6F29" w:rsidP="002E58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C369EC">
        <w:rPr>
          <w:rFonts w:ascii="Times New Roman" w:hAnsi="Times New Roman"/>
        </w:rPr>
        <w:t>In </w:t>
      </w:r>
      <w:r w:rsidRPr="00C369EC">
        <w:rPr>
          <w:rStyle w:val="Strong"/>
          <w:rFonts w:ascii="Times New Roman" w:hAnsi="Times New Roman"/>
          <w:color w:val="0E101A"/>
        </w:rPr>
        <w:t>Iraq</w:t>
      </w:r>
      <w:r w:rsidRPr="00C369EC">
        <w:rPr>
          <w:rFonts w:ascii="Times New Roman" w:hAnsi="Times New Roman"/>
        </w:rPr>
        <w:t xml:space="preserve">, UNDP succeeded in delivering </w:t>
      </w:r>
      <w:r w:rsidR="00302BAC" w:rsidRPr="00C369EC">
        <w:rPr>
          <w:rFonts w:ascii="Times New Roman" w:hAnsi="Times New Roman"/>
        </w:rPr>
        <w:t>its</w:t>
      </w:r>
      <w:r w:rsidRPr="00C369EC">
        <w:rPr>
          <w:rFonts w:ascii="Times New Roman" w:hAnsi="Times New Roman"/>
        </w:rPr>
        <w:t xml:space="preserve"> most extensive stabilisation programme to date. The programme overachieved against specific output targets where it addressed the needs of the most vulnerable groups. </w:t>
      </w:r>
      <w:r w:rsidR="003F055C" w:rsidRPr="00C369EC">
        <w:rPr>
          <w:rFonts w:ascii="Times New Roman" w:hAnsi="Times New Roman"/>
        </w:rPr>
        <w:t>Given the governmental priorities in </w:t>
      </w:r>
      <w:r w:rsidR="003F055C" w:rsidRPr="00C369EC">
        <w:rPr>
          <w:rStyle w:val="Strong"/>
          <w:rFonts w:ascii="Times New Roman" w:hAnsi="Times New Roman"/>
          <w:color w:val="0E101A"/>
        </w:rPr>
        <w:t>Ethiopia</w:t>
      </w:r>
      <w:r w:rsidRPr="00C369EC">
        <w:rPr>
          <w:rStyle w:val="Strong"/>
          <w:rFonts w:ascii="Times New Roman" w:hAnsi="Times New Roman"/>
          <w:color w:val="0E101A"/>
        </w:rPr>
        <w:t>,</w:t>
      </w:r>
      <w:r w:rsidR="003F055C" w:rsidRPr="00C369EC">
        <w:rPr>
          <w:rStyle w:val="Strong"/>
          <w:rFonts w:ascii="Times New Roman" w:hAnsi="Times New Roman"/>
          <w:color w:val="0E101A"/>
        </w:rPr>
        <w:t> </w:t>
      </w:r>
      <w:r w:rsidR="003F055C" w:rsidRPr="00C369EC">
        <w:rPr>
          <w:rFonts w:ascii="Times New Roman" w:hAnsi="Times New Roman"/>
        </w:rPr>
        <w:t xml:space="preserve">UNDP intensified a significant part of its </w:t>
      </w:r>
      <w:r w:rsidR="00F1390F" w:rsidRPr="00C369EC">
        <w:rPr>
          <w:rFonts w:ascii="Times New Roman" w:hAnsi="Times New Roman"/>
        </w:rPr>
        <w:t xml:space="preserve">intervention </w:t>
      </w:r>
      <w:r w:rsidR="00EC743D">
        <w:rPr>
          <w:rFonts w:ascii="Times New Roman" w:hAnsi="Times New Roman"/>
        </w:rPr>
        <w:t xml:space="preserve">for </w:t>
      </w:r>
      <w:r w:rsidR="003F055C" w:rsidRPr="00C369EC">
        <w:rPr>
          <w:rFonts w:ascii="Times New Roman" w:hAnsi="Times New Roman"/>
        </w:rPr>
        <w:t xml:space="preserve">democratic governance and capacity </w:t>
      </w:r>
      <w:r w:rsidR="00F1390F" w:rsidRPr="00C369EC">
        <w:rPr>
          <w:rFonts w:ascii="Times New Roman" w:hAnsi="Times New Roman"/>
        </w:rPr>
        <w:t>building where</w:t>
      </w:r>
      <w:r w:rsidR="003F055C" w:rsidRPr="00C369EC">
        <w:rPr>
          <w:rFonts w:ascii="Times New Roman" w:hAnsi="Times New Roman"/>
        </w:rPr>
        <w:t xml:space="preserve"> </w:t>
      </w:r>
      <w:r w:rsidRPr="00C369EC">
        <w:rPr>
          <w:rFonts w:ascii="Times New Roman" w:hAnsi="Times New Roman"/>
        </w:rPr>
        <w:t>it</w:t>
      </w:r>
      <w:r w:rsidR="003F055C" w:rsidRPr="00C369EC">
        <w:rPr>
          <w:rFonts w:ascii="Times New Roman" w:hAnsi="Times New Roman"/>
        </w:rPr>
        <w:t xml:space="preserve"> contributed to political and legislative processes. </w:t>
      </w:r>
      <w:r w:rsidR="00302BAC" w:rsidRPr="00C369EC">
        <w:rPr>
          <w:rFonts w:ascii="Times New Roman" w:hAnsi="Times New Roman"/>
        </w:rPr>
        <w:t xml:space="preserve">Through </w:t>
      </w:r>
      <w:r w:rsidR="003F055C" w:rsidRPr="00C369EC">
        <w:rPr>
          <w:rFonts w:ascii="Times New Roman" w:hAnsi="Times New Roman"/>
        </w:rPr>
        <w:t xml:space="preserve">gender-mainstreaming interventions, the ICPE acknowledged that some downstream responses resulted in </w:t>
      </w:r>
      <w:r w:rsidR="00302BAC" w:rsidRPr="00C369EC">
        <w:rPr>
          <w:rFonts w:ascii="Times New Roman" w:hAnsi="Times New Roman"/>
        </w:rPr>
        <w:t xml:space="preserve">effective </w:t>
      </w:r>
      <w:r w:rsidR="003F055C" w:rsidRPr="00C369EC">
        <w:rPr>
          <w:rFonts w:ascii="Times New Roman" w:hAnsi="Times New Roman"/>
        </w:rPr>
        <w:t xml:space="preserve">targeting </w:t>
      </w:r>
      <w:r w:rsidR="00EC743D">
        <w:rPr>
          <w:rFonts w:ascii="Times New Roman" w:hAnsi="Times New Roman"/>
        </w:rPr>
        <w:t xml:space="preserve">of </w:t>
      </w:r>
      <w:r w:rsidR="003F055C" w:rsidRPr="00C369EC">
        <w:rPr>
          <w:rFonts w:ascii="Times New Roman" w:hAnsi="Times New Roman"/>
        </w:rPr>
        <w:t>women in the area of livelihood and diversification. In </w:t>
      </w:r>
      <w:r w:rsidR="003F055C" w:rsidRPr="00C369EC">
        <w:rPr>
          <w:rStyle w:val="Strong"/>
          <w:rFonts w:ascii="Times New Roman" w:hAnsi="Times New Roman"/>
          <w:color w:val="0E101A"/>
        </w:rPr>
        <w:t>Azerbaijan,</w:t>
      </w:r>
      <w:r w:rsidR="003F055C" w:rsidRPr="00C369EC">
        <w:rPr>
          <w:rFonts w:ascii="Times New Roman" w:hAnsi="Times New Roman"/>
        </w:rPr>
        <w:t xml:space="preserve"> UNDP contributed to the improvement of environmental management and sustaining natural resources by protecting biodiversity in marine ecosystems, forest, pastureland and by promoting native crops. UNDP ensured that the interventions reached a wide range of beneficiaries. </w:t>
      </w:r>
      <w:r w:rsidRPr="00C369EC">
        <w:rPr>
          <w:rFonts w:ascii="Times New Roman" w:hAnsi="Times New Roman"/>
        </w:rPr>
        <w:t>I</w:t>
      </w:r>
      <w:r w:rsidR="003F055C" w:rsidRPr="00C369EC">
        <w:rPr>
          <w:rFonts w:ascii="Times New Roman" w:hAnsi="Times New Roman"/>
        </w:rPr>
        <w:t>n </w:t>
      </w:r>
      <w:r w:rsidR="003F055C" w:rsidRPr="00C369EC">
        <w:rPr>
          <w:rStyle w:val="Strong"/>
          <w:rFonts w:ascii="Times New Roman" w:hAnsi="Times New Roman"/>
          <w:color w:val="0E101A"/>
        </w:rPr>
        <w:t>Uruguay</w:t>
      </w:r>
      <w:r w:rsidR="003F055C" w:rsidRPr="00C369EC">
        <w:rPr>
          <w:rFonts w:ascii="Times New Roman" w:hAnsi="Times New Roman"/>
        </w:rPr>
        <w:t>, UNDP introduced alternatives, such as the productive landscape approach, to assist the country</w:t>
      </w:r>
      <w:r w:rsidR="00EA09A2" w:rsidRPr="00C369EC">
        <w:rPr>
          <w:rFonts w:ascii="Times New Roman" w:hAnsi="Times New Roman"/>
        </w:rPr>
        <w:t>’</w:t>
      </w:r>
      <w:r w:rsidR="003F055C" w:rsidRPr="00C369EC">
        <w:rPr>
          <w:rFonts w:ascii="Times New Roman" w:hAnsi="Times New Roman"/>
        </w:rPr>
        <w:t>s transition from its current production matrix to a sustainable production model. </w:t>
      </w:r>
    </w:p>
    <w:p w14:paraId="383CAA62" w14:textId="77777777" w:rsidR="00016DE3" w:rsidRPr="00C369EC" w:rsidRDefault="00016DE3" w:rsidP="002E58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14:paraId="7E430874" w14:textId="422498DE" w:rsidR="00DD21C6" w:rsidRPr="00C369EC" w:rsidRDefault="00302BAC" w:rsidP="002E58A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C369EC">
        <w:rPr>
          <w:rFonts w:ascii="Times New Roman" w:hAnsi="Times New Roman"/>
        </w:rPr>
        <w:t>T</w:t>
      </w:r>
      <w:r w:rsidR="003F055C" w:rsidRPr="00C369EC">
        <w:rPr>
          <w:rFonts w:ascii="Times New Roman" w:hAnsi="Times New Roman"/>
        </w:rPr>
        <w:t xml:space="preserve">he ICPEs </w:t>
      </w:r>
      <w:r w:rsidRPr="00C369EC">
        <w:rPr>
          <w:rFonts w:ascii="Times New Roman" w:hAnsi="Times New Roman"/>
        </w:rPr>
        <w:t xml:space="preserve">also </w:t>
      </w:r>
      <w:r w:rsidR="00793AA3" w:rsidRPr="00C369EC">
        <w:rPr>
          <w:rFonts w:ascii="Times New Roman" w:hAnsi="Times New Roman"/>
        </w:rPr>
        <w:t>highlight</w:t>
      </w:r>
      <w:r w:rsidRPr="00C369EC">
        <w:rPr>
          <w:rFonts w:ascii="Times New Roman" w:hAnsi="Times New Roman"/>
        </w:rPr>
        <w:t>ed</w:t>
      </w:r>
      <w:r w:rsidR="003F055C" w:rsidRPr="00C369EC">
        <w:rPr>
          <w:rFonts w:ascii="Times New Roman" w:hAnsi="Times New Roman"/>
        </w:rPr>
        <w:t xml:space="preserve"> the importance of strengthening results-based management practi</w:t>
      </w:r>
      <w:r w:rsidR="001249A2">
        <w:rPr>
          <w:rFonts w:ascii="Times New Roman" w:hAnsi="Times New Roman"/>
        </w:rPr>
        <w:t>c</w:t>
      </w:r>
      <w:r w:rsidR="003F055C" w:rsidRPr="00C369EC">
        <w:rPr>
          <w:rFonts w:ascii="Times New Roman" w:hAnsi="Times New Roman"/>
        </w:rPr>
        <w:t>es across UNDP</w:t>
      </w:r>
      <w:r w:rsidR="00EA09A2" w:rsidRPr="00C369EC">
        <w:rPr>
          <w:rFonts w:ascii="Times New Roman" w:hAnsi="Times New Roman"/>
        </w:rPr>
        <w:t>’</w:t>
      </w:r>
      <w:r w:rsidR="003F055C" w:rsidRPr="00C369EC">
        <w:rPr>
          <w:rFonts w:ascii="Times New Roman" w:hAnsi="Times New Roman"/>
        </w:rPr>
        <w:t xml:space="preserve">s programme portfolios. Adequate theories of change would contribute to prioritising interventions and resources as well as to identify areas where the organisation could deliver effectively based on its comparative advantages. Efforts are further needed in developing funding strategies and enlarging the donor scope to avoid limited effectiveness and </w:t>
      </w:r>
      <w:r w:rsidRPr="00C369EC">
        <w:rPr>
          <w:rFonts w:ascii="Times New Roman" w:hAnsi="Times New Roman"/>
        </w:rPr>
        <w:t xml:space="preserve">undermining </w:t>
      </w:r>
      <w:r w:rsidR="003F055C" w:rsidRPr="00C369EC">
        <w:rPr>
          <w:rFonts w:ascii="Times New Roman" w:hAnsi="Times New Roman"/>
        </w:rPr>
        <w:t>the sustainability of result</w:t>
      </w:r>
      <w:r w:rsidRPr="00C369EC">
        <w:rPr>
          <w:rFonts w:ascii="Times New Roman" w:hAnsi="Times New Roman"/>
        </w:rPr>
        <w:t>s</w:t>
      </w:r>
      <w:r w:rsidR="003F055C" w:rsidRPr="00C369EC">
        <w:rPr>
          <w:rFonts w:ascii="Times New Roman" w:hAnsi="Times New Roman"/>
        </w:rPr>
        <w:t xml:space="preserve">. </w:t>
      </w:r>
      <w:r w:rsidR="00FB08AB">
        <w:rPr>
          <w:rFonts w:ascii="Times New Roman" w:hAnsi="Times New Roman"/>
        </w:rPr>
        <w:t xml:space="preserve">Programmes </w:t>
      </w:r>
      <w:r w:rsidR="00FB08AB" w:rsidRPr="00C369EC">
        <w:rPr>
          <w:rFonts w:ascii="Times New Roman" w:hAnsi="Times New Roman"/>
        </w:rPr>
        <w:t>in upper</w:t>
      </w:r>
      <w:r w:rsidR="003F055C" w:rsidRPr="00C369EC">
        <w:rPr>
          <w:rFonts w:ascii="Times New Roman" w:hAnsi="Times New Roman"/>
        </w:rPr>
        <w:t xml:space="preserve">-middle-income and high-income </w:t>
      </w:r>
      <w:r w:rsidR="00027779">
        <w:rPr>
          <w:rFonts w:ascii="Times New Roman" w:hAnsi="Times New Roman"/>
        </w:rPr>
        <w:t xml:space="preserve">countries </w:t>
      </w:r>
      <w:r w:rsidR="003F055C" w:rsidRPr="00C369EC">
        <w:rPr>
          <w:rFonts w:ascii="Times New Roman" w:hAnsi="Times New Roman"/>
        </w:rPr>
        <w:t>in particular</w:t>
      </w:r>
      <w:r w:rsidR="00212C0C">
        <w:rPr>
          <w:rFonts w:ascii="Times New Roman" w:hAnsi="Times New Roman"/>
        </w:rPr>
        <w:t>,</w:t>
      </w:r>
      <w:r w:rsidR="00027779">
        <w:rPr>
          <w:rFonts w:ascii="Times New Roman" w:hAnsi="Times New Roman"/>
        </w:rPr>
        <w:t xml:space="preserve"> </w:t>
      </w:r>
      <w:r w:rsidR="00394F72">
        <w:rPr>
          <w:rFonts w:ascii="Times New Roman" w:hAnsi="Times New Roman"/>
        </w:rPr>
        <w:t xml:space="preserve">continue facing </w:t>
      </w:r>
      <w:r w:rsidR="00027779">
        <w:rPr>
          <w:rFonts w:ascii="Times New Roman" w:hAnsi="Times New Roman"/>
        </w:rPr>
        <w:t xml:space="preserve"> </w:t>
      </w:r>
      <w:r w:rsidR="003F055C" w:rsidRPr="00C369EC">
        <w:rPr>
          <w:rFonts w:ascii="Times New Roman" w:hAnsi="Times New Roman"/>
        </w:rPr>
        <w:t>significant decline in regular recourses</w:t>
      </w:r>
      <w:r w:rsidRPr="00C369EC">
        <w:rPr>
          <w:rFonts w:ascii="Times New Roman" w:hAnsi="Times New Roman"/>
        </w:rPr>
        <w:t xml:space="preserve">, </w:t>
      </w:r>
      <w:r w:rsidR="00F1390F" w:rsidRPr="00C369EC">
        <w:rPr>
          <w:rFonts w:ascii="Times New Roman" w:hAnsi="Times New Roman"/>
        </w:rPr>
        <w:t>increasing dependency on</w:t>
      </w:r>
      <w:r w:rsidR="003F055C" w:rsidRPr="00C369EC">
        <w:rPr>
          <w:rFonts w:ascii="Times New Roman" w:hAnsi="Times New Roman"/>
        </w:rPr>
        <w:t xml:space="preserve"> </w:t>
      </w:r>
      <w:r w:rsidR="006B6F29" w:rsidRPr="00C369EC">
        <w:rPr>
          <w:rFonts w:ascii="Times New Roman" w:hAnsi="Times New Roman"/>
        </w:rPr>
        <w:t>other resources</w:t>
      </w:r>
      <w:r w:rsidR="005B1E89">
        <w:rPr>
          <w:rFonts w:ascii="Times New Roman" w:hAnsi="Times New Roman"/>
        </w:rPr>
        <w:t xml:space="preserve"> </w:t>
      </w:r>
      <w:r w:rsidR="00AA0D32">
        <w:rPr>
          <w:rFonts w:ascii="Times New Roman" w:hAnsi="Times New Roman"/>
        </w:rPr>
        <w:t xml:space="preserve">and consequently </w:t>
      </w:r>
      <w:r w:rsidRPr="00C369EC">
        <w:rPr>
          <w:rFonts w:ascii="Times New Roman" w:hAnsi="Times New Roman"/>
        </w:rPr>
        <w:t xml:space="preserve">creating a risk of </w:t>
      </w:r>
      <w:r w:rsidR="003F055C" w:rsidRPr="00C369EC">
        <w:rPr>
          <w:rFonts w:ascii="Times New Roman" w:hAnsi="Times New Roman"/>
        </w:rPr>
        <w:t xml:space="preserve">narrowed programme focus. Additionally, frequent management changes and organisational challenges have, in a few </w:t>
      </w:r>
      <w:r w:rsidR="00394F72">
        <w:rPr>
          <w:rFonts w:ascii="Times New Roman" w:hAnsi="Times New Roman"/>
        </w:rPr>
        <w:t>country offices</w:t>
      </w:r>
      <w:r w:rsidR="003F055C" w:rsidRPr="00C369EC">
        <w:rPr>
          <w:rFonts w:ascii="Times New Roman" w:hAnsi="Times New Roman"/>
        </w:rPr>
        <w:t>, hampered programme implementation and potential for collaboration and synergies across projects and long-term sustainability</w:t>
      </w:r>
    </w:p>
    <w:p w14:paraId="517B4104" w14:textId="77777777" w:rsidR="00016DE3" w:rsidRPr="00C369EC" w:rsidRDefault="00016DE3" w:rsidP="002E58A0">
      <w:pPr>
        <w:spacing w:after="0" w:line="240" w:lineRule="auto"/>
        <w:jc w:val="both"/>
        <w:rPr>
          <w:rFonts w:ascii="Times New Roman" w:hAnsi="Times New Roman"/>
        </w:rPr>
      </w:pPr>
      <w:bookmarkStart w:id="1" w:name="_Hlk4148796"/>
      <w:bookmarkStart w:id="2" w:name="_Hlk35368684"/>
      <w:bookmarkEnd w:id="0"/>
    </w:p>
    <w:p w14:paraId="3A82A54A" w14:textId="370429CC" w:rsidR="003F055C" w:rsidRPr="00C369EC" w:rsidRDefault="003F055C" w:rsidP="002E58A0">
      <w:pPr>
        <w:spacing w:after="0" w:line="240" w:lineRule="auto"/>
        <w:jc w:val="both"/>
        <w:rPr>
          <w:rFonts w:ascii="Times New Roman" w:hAnsi="Times New Roman"/>
        </w:rPr>
      </w:pPr>
      <w:r w:rsidRPr="00C369EC">
        <w:rPr>
          <w:rFonts w:ascii="Times New Roman" w:hAnsi="Times New Roman"/>
        </w:rPr>
        <w:t xml:space="preserve">Given the </w:t>
      </w:r>
      <w:r w:rsidR="00DD21C6" w:rsidRPr="00C369EC">
        <w:rPr>
          <w:rFonts w:ascii="Times New Roman" w:hAnsi="Times New Roman"/>
        </w:rPr>
        <w:t xml:space="preserve">importance of </w:t>
      </w:r>
      <w:r w:rsidRPr="00C369EC">
        <w:rPr>
          <w:rFonts w:ascii="Times New Roman" w:hAnsi="Times New Roman"/>
        </w:rPr>
        <w:t xml:space="preserve">ICPEs in informing organisational programming and decision-making, UNDP </w:t>
      </w:r>
      <w:r w:rsidR="00DD21C6" w:rsidRPr="00C369EC">
        <w:rPr>
          <w:rFonts w:ascii="Times New Roman" w:hAnsi="Times New Roman"/>
        </w:rPr>
        <w:t>values</w:t>
      </w:r>
      <w:r w:rsidR="00C86E51" w:rsidRPr="00C369EC">
        <w:rPr>
          <w:rFonts w:ascii="Times New Roman" w:hAnsi="Times New Roman"/>
        </w:rPr>
        <w:t xml:space="preserve"> the</w:t>
      </w:r>
      <w:r w:rsidRPr="00C369EC">
        <w:rPr>
          <w:rFonts w:ascii="Times New Roman" w:hAnsi="Times New Roman"/>
        </w:rPr>
        <w:t xml:space="preserve"> IEO</w:t>
      </w:r>
      <w:r w:rsidR="00EA09A2" w:rsidRPr="00C369EC">
        <w:rPr>
          <w:rFonts w:ascii="Times New Roman" w:hAnsi="Times New Roman"/>
        </w:rPr>
        <w:t>’</w:t>
      </w:r>
      <w:r w:rsidRPr="00C369EC">
        <w:rPr>
          <w:rFonts w:ascii="Times New Roman" w:hAnsi="Times New Roman"/>
        </w:rPr>
        <w:t xml:space="preserve">s efforts to achieve complete coverage of UNDP country programmes over the programming cycle. To </w:t>
      </w:r>
      <w:r w:rsidR="00302BAC" w:rsidRPr="00C369EC">
        <w:rPr>
          <w:rFonts w:ascii="Times New Roman" w:hAnsi="Times New Roman"/>
        </w:rPr>
        <w:t>maintain</w:t>
      </w:r>
      <w:r w:rsidRPr="00C369EC">
        <w:rPr>
          <w:rFonts w:ascii="Times New Roman" w:hAnsi="Times New Roman"/>
        </w:rPr>
        <w:t xml:space="preserve"> full coverage, the IEO </w:t>
      </w:r>
      <w:r w:rsidR="00302BAC" w:rsidRPr="00C369EC">
        <w:rPr>
          <w:rFonts w:ascii="Times New Roman" w:hAnsi="Times New Roman"/>
        </w:rPr>
        <w:t xml:space="preserve">has </w:t>
      </w:r>
      <w:r w:rsidRPr="00C369EC">
        <w:rPr>
          <w:rFonts w:ascii="Times New Roman" w:hAnsi="Times New Roman"/>
        </w:rPr>
        <w:t>introduced a </w:t>
      </w:r>
      <w:r w:rsidRPr="00C369EC">
        <w:rPr>
          <w:rStyle w:val="Strong"/>
          <w:rFonts w:ascii="Times New Roman" w:hAnsi="Times New Roman"/>
          <w:color w:val="0E101A"/>
        </w:rPr>
        <w:t xml:space="preserve">rapid independent country </w:t>
      </w:r>
      <w:r w:rsidRPr="00C369EC">
        <w:rPr>
          <w:rStyle w:val="Strong"/>
          <w:rFonts w:ascii="Times New Roman" w:hAnsi="Times New Roman"/>
          <w:color w:val="0E101A"/>
        </w:rPr>
        <w:lastRenderedPageBreak/>
        <w:t xml:space="preserve">programme review process (ICPR) </w:t>
      </w:r>
      <w:r w:rsidRPr="00C369EC">
        <w:rPr>
          <w:rStyle w:val="Strong"/>
          <w:rFonts w:ascii="Times New Roman" w:hAnsi="Times New Roman"/>
          <w:b w:val="0"/>
          <w:bCs w:val="0"/>
          <w:color w:val="0E101A"/>
        </w:rPr>
        <w:t>for 2020</w:t>
      </w:r>
      <w:r w:rsidRPr="00C369EC">
        <w:rPr>
          <w:rFonts w:ascii="Times New Roman" w:hAnsi="Times New Roman"/>
        </w:rPr>
        <w:t xml:space="preserve"> in addition to the ICPEs. While a lighter and more swift review is appreciated, th</w:t>
      </w:r>
      <w:r w:rsidR="00417FDD" w:rsidRPr="00C369EC">
        <w:rPr>
          <w:rFonts w:ascii="Times New Roman" w:hAnsi="Times New Roman"/>
        </w:rPr>
        <w:t>e in-depth</w:t>
      </w:r>
      <w:r w:rsidRPr="00C369EC">
        <w:rPr>
          <w:rFonts w:ascii="Times New Roman" w:hAnsi="Times New Roman"/>
        </w:rPr>
        <w:t xml:space="preserve"> analysis </w:t>
      </w:r>
      <w:r w:rsidR="008A1377" w:rsidRPr="00C369EC">
        <w:rPr>
          <w:rFonts w:ascii="Times New Roman" w:hAnsi="Times New Roman"/>
        </w:rPr>
        <w:t>is</w:t>
      </w:r>
      <w:r w:rsidRPr="00C369EC">
        <w:rPr>
          <w:rFonts w:ascii="Times New Roman" w:hAnsi="Times New Roman"/>
        </w:rPr>
        <w:t xml:space="preserve"> critical to assess UNDP</w:t>
      </w:r>
      <w:r w:rsidR="00EA09A2" w:rsidRPr="00C369EC">
        <w:rPr>
          <w:rFonts w:ascii="Times New Roman" w:hAnsi="Times New Roman"/>
        </w:rPr>
        <w:t>’</w:t>
      </w:r>
      <w:r w:rsidRPr="00C369EC">
        <w:rPr>
          <w:rFonts w:ascii="Times New Roman" w:hAnsi="Times New Roman"/>
        </w:rPr>
        <w:t xml:space="preserve">s contributions to outcome level change, including </w:t>
      </w:r>
      <w:r w:rsidR="00F1390F" w:rsidRPr="00C369EC">
        <w:rPr>
          <w:rFonts w:ascii="Times New Roman" w:hAnsi="Times New Roman"/>
        </w:rPr>
        <w:t>outcomes in</w:t>
      </w:r>
      <w:r w:rsidRPr="00C369EC">
        <w:rPr>
          <w:rFonts w:ascii="Times New Roman" w:hAnsi="Times New Roman"/>
        </w:rPr>
        <w:t xml:space="preserve"> the Corporation Frameworks.</w:t>
      </w:r>
      <w:bookmarkEnd w:id="1"/>
      <w:r w:rsidR="00394F72">
        <w:rPr>
          <w:rFonts w:ascii="Times New Roman" w:hAnsi="Times New Roman"/>
        </w:rPr>
        <w:t xml:space="preserve"> </w:t>
      </w:r>
    </w:p>
    <w:p w14:paraId="410BE88A" w14:textId="77777777" w:rsidR="003F055C" w:rsidRPr="00C369EC" w:rsidRDefault="003F055C" w:rsidP="002E58A0">
      <w:pPr>
        <w:pStyle w:val="NormalWeb"/>
        <w:spacing w:before="0" w:beforeAutospacing="0" w:after="0" w:afterAutospacing="0"/>
        <w:jc w:val="both"/>
        <w:rPr>
          <w:color w:val="0E101A"/>
          <w:sz w:val="22"/>
          <w:szCs w:val="22"/>
        </w:rPr>
      </w:pPr>
    </w:p>
    <w:p w14:paraId="00E4DC1D" w14:textId="7BA88A27" w:rsidR="003F055C" w:rsidRPr="00C369EC" w:rsidRDefault="003F055C" w:rsidP="002E58A0">
      <w:pPr>
        <w:pStyle w:val="NormalWeb"/>
        <w:spacing w:before="0" w:beforeAutospacing="0" w:after="0" w:afterAutospacing="0"/>
        <w:jc w:val="both"/>
        <w:rPr>
          <w:color w:val="0E101A"/>
          <w:sz w:val="22"/>
          <w:szCs w:val="22"/>
        </w:rPr>
      </w:pPr>
      <w:r w:rsidRPr="00C369EC">
        <w:rPr>
          <w:color w:val="0E101A"/>
          <w:sz w:val="22"/>
          <w:szCs w:val="22"/>
        </w:rPr>
        <w:t xml:space="preserve">UNDP participated </w:t>
      </w:r>
      <w:r w:rsidR="00330EEA" w:rsidRPr="00C369EC">
        <w:rPr>
          <w:color w:val="0E101A"/>
          <w:sz w:val="22"/>
          <w:szCs w:val="22"/>
        </w:rPr>
        <w:t>i</w:t>
      </w:r>
      <w:r w:rsidRPr="00C369EC">
        <w:rPr>
          <w:color w:val="0E101A"/>
          <w:sz w:val="22"/>
          <w:szCs w:val="22"/>
        </w:rPr>
        <w:t>n the </w:t>
      </w:r>
      <w:r w:rsidRPr="00C369EC">
        <w:rPr>
          <w:rStyle w:val="Strong"/>
          <w:color w:val="0E101A"/>
          <w:sz w:val="22"/>
          <w:szCs w:val="22"/>
        </w:rPr>
        <w:t>National Evaluation Capacities Conference </w:t>
      </w:r>
      <w:r w:rsidRPr="00C369EC">
        <w:rPr>
          <w:color w:val="0E101A"/>
          <w:sz w:val="22"/>
          <w:szCs w:val="22"/>
        </w:rPr>
        <w:t>organised by the IEO and Egyptian government in</w:t>
      </w:r>
      <w:r w:rsidR="00330EEA" w:rsidRPr="00C369EC">
        <w:rPr>
          <w:color w:val="0E101A"/>
          <w:sz w:val="22"/>
          <w:szCs w:val="22"/>
        </w:rPr>
        <w:t xml:space="preserve"> </w:t>
      </w:r>
      <w:r w:rsidRPr="00C369EC">
        <w:rPr>
          <w:color w:val="0E101A"/>
          <w:sz w:val="22"/>
          <w:szCs w:val="22"/>
        </w:rPr>
        <w:t>Egypt in October 2019, bringing over 500 participants together to improve the effectiveness around the Sustainable Development Goals. </w:t>
      </w:r>
    </w:p>
    <w:p w14:paraId="1FD529CA" w14:textId="77777777" w:rsidR="00EA528F" w:rsidRPr="00C369EC" w:rsidRDefault="00EA528F" w:rsidP="002E58A0">
      <w:pPr>
        <w:pStyle w:val="NormalWeb"/>
        <w:spacing w:before="0" w:beforeAutospacing="0" w:after="0" w:afterAutospacing="0"/>
        <w:jc w:val="both"/>
        <w:rPr>
          <w:color w:val="0E101A"/>
          <w:sz w:val="22"/>
          <w:szCs w:val="22"/>
        </w:rPr>
      </w:pPr>
    </w:p>
    <w:p w14:paraId="77C5DC94" w14:textId="77777777" w:rsidR="00016DE3" w:rsidRPr="00C369EC" w:rsidRDefault="00016DE3" w:rsidP="002E58A0">
      <w:pPr>
        <w:spacing w:after="0" w:line="240" w:lineRule="auto"/>
        <w:jc w:val="both"/>
        <w:rPr>
          <w:rFonts w:ascii="Times New Roman" w:eastAsia="Times New Roman,Batang" w:hAnsi="Times New Roman"/>
          <w:b/>
          <w:u w:val="single"/>
          <w:lang w:eastAsia="ko-KR"/>
        </w:rPr>
      </w:pPr>
    </w:p>
    <w:p w14:paraId="475CAEAB" w14:textId="042AC4A0" w:rsidR="003F055C" w:rsidRPr="00C369EC" w:rsidRDefault="00016DE3" w:rsidP="002E58A0">
      <w:pPr>
        <w:spacing w:after="0" w:line="240" w:lineRule="auto"/>
        <w:jc w:val="both"/>
        <w:rPr>
          <w:rFonts w:ascii="Times New Roman" w:eastAsia="Times New Roman,Batang" w:hAnsi="Times New Roman"/>
          <w:b/>
          <w:u w:val="single"/>
          <w:lang w:eastAsia="ko-KR"/>
        </w:rPr>
      </w:pPr>
      <w:r w:rsidRPr="00C369EC">
        <w:rPr>
          <w:rFonts w:ascii="Times New Roman" w:eastAsia="Times New Roman,Batang" w:hAnsi="Times New Roman"/>
          <w:b/>
          <w:u w:val="single"/>
          <w:lang w:eastAsia="ko-KR"/>
        </w:rPr>
        <w:t>DECENTRALISED EVALUATIONS</w:t>
      </w:r>
    </w:p>
    <w:p w14:paraId="63F9E09D" w14:textId="001E8A91" w:rsidR="00016DE3" w:rsidRPr="00C369EC" w:rsidRDefault="00016DE3" w:rsidP="002E58A0">
      <w:pPr>
        <w:spacing w:after="0" w:line="240" w:lineRule="auto"/>
        <w:jc w:val="both"/>
        <w:rPr>
          <w:rFonts w:ascii="Times New Roman" w:eastAsia="Times New Roman,Batang" w:hAnsi="Times New Roman"/>
          <w:b/>
          <w:u w:val="single"/>
          <w:lang w:eastAsia="ko-KR"/>
        </w:rPr>
      </w:pPr>
    </w:p>
    <w:p w14:paraId="11CECBF5" w14:textId="77C18D26" w:rsidR="009E0933" w:rsidRPr="00394F72" w:rsidRDefault="009E0933" w:rsidP="002E58A0">
      <w:pPr>
        <w:spacing w:after="0" w:line="240" w:lineRule="auto"/>
        <w:jc w:val="both"/>
        <w:rPr>
          <w:rFonts w:ascii="Times New Roman" w:hAnsi="Times New Roman"/>
        </w:rPr>
      </w:pPr>
      <w:r w:rsidRPr="00394F72">
        <w:rPr>
          <w:rFonts w:ascii="Times New Roman" w:hAnsi="Times New Roman"/>
          <w:color w:val="0E101A"/>
        </w:rPr>
        <w:t xml:space="preserve">UNDP supported the </w:t>
      </w:r>
      <w:r w:rsidR="003312FA" w:rsidRPr="00394F72">
        <w:rPr>
          <w:rFonts w:ascii="Times New Roman" w:hAnsi="Times New Roman"/>
          <w:color w:val="0E101A"/>
        </w:rPr>
        <w:t xml:space="preserve">development of the </w:t>
      </w:r>
      <w:r w:rsidRPr="00394F72">
        <w:rPr>
          <w:rFonts w:ascii="Times New Roman" w:hAnsi="Times New Roman"/>
          <w:color w:val="0E101A"/>
        </w:rPr>
        <w:t>revised </w:t>
      </w:r>
      <w:r w:rsidRPr="00394F72">
        <w:rPr>
          <w:rStyle w:val="Strong"/>
          <w:rFonts w:ascii="Times New Roman" w:hAnsi="Times New Roman"/>
          <w:color w:val="0E101A"/>
        </w:rPr>
        <w:t>Evaluations Guidelines</w:t>
      </w:r>
      <w:r w:rsidR="003312FA" w:rsidRPr="00394F72">
        <w:rPr>
          <w:rStyle w:val="Strong"/>
          <w:rFonts w:ascii="Times New Roman" w:hAnsi="Times New Roman"/>
          <w:color w:val="0E101A"/>
        </w:rPr>
        <w:t xml:space="preserve">, launched in </w:t>
      </w:r>
      <w:r w:rsidRPr="00394F72">
        <w:rPr>
          <w:rFonts w:ascii="Times New Roman" w:hAnsi="Times New Roman"/>
          <w:color w:val="0E101A"/>
        </w:rPr>
        <w:t>January 2019</w:t>
      </w:r>
      <w:r w:rsidR="003312FA" w:rsidRPr="00394F72">
        <w:rPr>
          <w:rFonts w:ascii="Times New Roman" w:hAnsi="Times New Roman"/>
          <w:color w:val="0E101A"/>
        </w:rPr>
        <w:t xml:space="preserve">.  The guidelines </w:t>
      </w:r>
      <w:r w:rsidR="003312FA" w:rsidRPr="00394F72">
        <w:rPr>
          <w:rFonts w:ascii="Times New Roman" w:hAnsi="Times New Roman"/>
        </w:rPr>
        <w:t>reflect UNDP</w:t>
      </w:r>
      <w:r w:rsidR="00292193" w:rsidRPr="00394F72">
        <w:rPr>
          <w:rFonts w:ascii="Times New Roman" w:hAnsi="Times New Roman"/>
        </w:rPr>
        <w:t>’s</w:t>
      </w:r>
      <w:r w:rsidR="003312FA" w:rsidRPr="00394F72">
        <w:rPr>
          <w:rFonts w:ascii="Times New Roman" w:hAnsi="Times New Roman"/>
        </w:rPr>
        <w:t xml:space="preserve"> commitment to evaluation and strengthen</w:t>
      </w:r>
      <w:r w:rsidR="007616B5" w:rsidRPr="00394F72">
        <w:rPr>
          <w:rFonts w:ascii="Times New Roman" w:hAnsi="Times New Roman"/>
        </w:rPr>
        <w:t>s</w:t>
      </w:r>
      <w:r w:rsidR="003312FA" w:rsidRPr="00394F72">
        <w:rPr>
          <w:rFonts w:ascii="Times New Roman" w:hAnsi="Times New Roman"/>
        </w:rPr>
        <w:t xml:space="preserve"> the organi</w:t>
      </w:r>
      <w:r w:rsidR="00C92405" w:rsidRPr="00394F72">
        <w:rPr>
          <w:rFonts w:ascii="Times New Roman" w:hAnsi="Times New Roman"/>
        </w:rPr>
        <w:t>s</w:t>
      </w:r>
      <w:r w:rsidR="003312FA" w:rsidRPr="00394F72">
        <w:rPr>
          <w:rFonts w:ascii="Times New Roman" w:hAnsi="Times New Roman"/>
        </w:rPr>
        <w:t>ation’s approaches to improve the quality, credibility and usability of its evaluations, particularly for capturing lessons learned to ensure that future work is informed and strengthened by past implementation experience.</w:t>
      </w:r>
      <w:r w:rsidR="00394F72" w:rsidRPr="00394F72">
        <w:rPr>
          <w:rFonts w:ascii="Times New Roman" w:hAnsi="Times New Roman"/>
        </w:rPr>
        <w:t xml:space="preserve"> </w:t>
      </w:r>
      <w:r w:rsidR="003312FA" w:rsidRPr="00394F72">
        <w:rPr>
          <w:rFonts w:ascii="Times New Roman" w:hAnsi="Times New Roman"/>
          <w:color w:val="0E101A"/>
        </w:rPr>
        <w:t>Jointly with IEO, t</w:t>
      </w:r>
      <w:r w:rsidRPr="00394F72">
        <w:rPr>
          <w:rFonts w:ascii="Times New Roman" w:hAnsi="Times New Roman"/>
          <w:color w:val="0E101A"/>
        </w:rPr>
        <w:t>he Bureau for Policy and Programme Support</w:t>
      </w:r>
      <w:r w:rsidR="003312FA" w:rsidRPr="00394F72">
        <w:rPr>
          <w:rFonts w:ascii="Times New Roman" w:hAnsi="Times New Roman"/>
          <w:color w:val="0E101A"/>
        </w:rPr>
        <w:t xml:space="preserve"> and </w:t>
      </w:r>
      <w:r w:rsidRPr="00394F72">
        <w:rPr>
          <w:rFonts w:ascii="Times New Roman" w:hAnsi="Times New Roman"/>
          <w:color w:val="0E101A"/>
        </w:rPr>
        <w:t>Regional Bureaux conducted three </w:t>
      </w:r>
      <w:r w:rsidRPr="00394F72">
        <w:rPr>
          <w:rFonts w:ascii="Times New Roman" w:hAnsi="Times New Roman"/>
          <w:b/>
          <w:bCs/>
          <w:color w:val="0E101A"/>
        </w:rPr>
        <w:t>regional workshops to strengthen the capacity</w:t>
      </w:r>
      <w:r w:rsidRPr="00394F72">
        <w:rPr>
          <w:rFonts w:ascii="Times New Roman" w:hAnsi="Times New Roman"/>
          <w:color w:val="0E101A"/>
        </w:rPr>
        <w:t xml:space="preserve"> of monitoring and evaluation (M&amp;E) focal points for the best use of the revised guidelines. Additional learning opportunities were provided to UNDP staff through webinars and online training modules to strengthen the quality of decentralised evaluation throughout the organisation. </w:t>
      </w:r>
      <w:r w:rsidR="00394F72" w:rsidRPr="00394F72">
        <w:rPr>
          <w:rFonts w:ascii="Times New Roman" w:hAnsi="Times New Roman"/>
        </w:rPr>
        <w:t xml:space="preserve">UNDP look forward to working closely with the IEO on providing </w:t>
      </w:r>
      <w:r w:rsidR="00253285">
        <w:rPr>
          <w:rFonts w:ascii="Times New Roman" w:hAnsi="Times New Roman"/>
        </w:rPr>
        <w:t xml:space="preserve">ongoing </w:t>
      </w:r>
      <w:r w:rsidR="00394F72" w:rsidRPr="00394F72">
        <w:rPr>
          <w:rFonts w:ascii="Times New Roman" w:hAnsi="Times New Roman"/>
        </w:rPr>
        <w:t xml:space="preserve"> capacity building and training on areas highlighted for improvement within the annual report during 2020.  </w:t>
      </w:r>
    </w:p>
    <w:p w14:paraId="4F154EF0" w14:textId="6204364A" w:rsidR="00867249" w:rsidRPr="00C369EC" w:rsidRDefault="00867249" w:rsidP="002E58A0">
      <w:pPr>
        <w:pStyle w:val="NormalWeb"/>
        <w:spacing w:before="0" w:beforeAutospacing="0" w:after="0" w:afterAutospacing="0"/>
        <w:jc w:val="both"/>
        <w:rPr>
          <w:color w:val="0E101A"/>
          <w:sz w:val="22"/>
          <w:szCs w:val="22"/>
        </w:rPr>
      </w:pPr>
    </w:p>
    <w:p w14:paraId="56A3A606" w14:textId="24B1E440" w:rsidR="00867249" w:rsidRPr="00C369EC" w:rsidRDefault="00867249" w:rsidP="002E58A0">
      <w:pPr>
        <w:pStyle w:val="NormalWeb"/>
        <w:spacing w:before="0" w:beforeAutospacing="0" w:after="0" w:afterAutospacing="0"/>
        <w:jc w:val="both"/>
        <w:rPr>
          <w:b/>
          <w:bCs/>
          <w:color w:val="0E101A"/>
          <w:sz w:val="22"/>
          <w:szCs w:val="22"/>
        </w:rPr>
      </w:pPr>
      <w:r w:rsidRPr="00C369EC">
        <w:rPr>
          <w:b/>
          <w:bCs/>
          <w:color w:val="0E101A"/>
          <w:sz w:val="22"/>
          <w:szCs w:val="22"/>
        </w:rPr>
        <w:t>Evaluation Implementation</w:t>
      </w:r>
    </w:p>
    <w:p w14:paraId="2EB69639" w14:textId="77777777" w:rsidR="009E0933" w:rsidRPr="00C369EC" w:rsidRDefault="009E0933" w:rsidP="002E58A0">
      <w:pPr>
        <w:spacing w:after="0" w:line="240" w:lineRule="auto"/>
        <w:jc w:val="both"/>
        <w:rPr>
          <w:rFonts w:ascii="Times New Roman" w:eastAsia="Times New Roman,Batang" w:hAnsi="Times New Roman"/>
          <w:b/>
          <w:u w:val="single"/>
          <w:lang w:eastAsia="ko-KR"/>
        </w:rPr>
      </w:pPr>
    </w:p>
    <w:p w14:paraId="612A9AB6" w14:textId="138BC334" w:rsidR="00C21246" w:rsidRPr="00C369EC" w:rsidRDefault="003F055C" w:rsidP="002E58A0">
      <w:pPr>
        <w:spacing w:after="0" w:line="240" w:lineRule="auto"/>
        <w:jc w:val="both"/>
        <w:rPr>
          <w:rFonts w:ascii="Times New Roman" w:eastAsia="Times New Roman,Batang" w:hAnsi="Times New Roman"/>
          <w:bCs/>
          <w:lang w:eastAsia="ko-KR"/>
        </w:rPr>
      </w:pPr>
      <w:r w:rsidRPr="00C369EC">
        <w:rPr>
          <w:rFonts w:ascii="Times New Roman" w:eastAsia="Times New Roman,Batang" w:hAnsi="Times New Roman"/>
          <w:bCs/>
          <w:lang w:eastAsia="ko-KR"/>
        </w:rPr>
        <w:t>The total number of completed decentralised evaluation</w:t>
      </w:r>
      <w:r w:rsidR="004F3849">
        <w:rPr>
          <w:rFonts w:ascii="Times New Roman" w:eastAsia="Times New Roman,Batang" w:hAnsi="Times New Roman"/>
          <w:bCs/>
          <w:lang w:eastAsia="ko-KR"/>
        </w:rPr>
        <w:t>s</w:t>
      </w:r>
      <w:r w:rsidRPr="00C369EC">
        <w:rPr>
          <w:rFonts w:ascii="Times New Roman" w:eastAsia="Times New Roman,Batang" w:hAnsi="Times New Roman"/>
          <w:bCs/>
          <w:lang w:eastAsia="ko-KR"/>
        </w:rPr>
        <w:t xml:space="preserve"> in 2019 was 290,</w:t>
      </w:r>
      <w:r w:rsidR="00A03A57" w:rsidRPr="00C369EC">
        <w:rPr>
          <w:rFonts w:ascii="Times New Roman" w:eastAsia="Times New Roman,Batang" w:hAnsi="Times New Roman"/>
          <w:bCs/>
          <w:lang w:eastAsia="ko-KR"/>
        </w:rPr>
        <w:t xml:space="preserve"> a small increase on the 283 evaluations completed in 2018</w:t>
      </w:r>
      <w:r w:rsidR="001A05DD" w:rsidRPr="00C369EC">
        <w:rPr>
          <w:rFonts w:ascii="Times New Roman" w:eastAsia="Times New Roman,Batang" w:hAnsi="Times New Roman"/>
          <w:bCs/>
          <w:lang w:eastAsia="ko-KR"/>
        </w:rPr>
        <w:t>, but still less than the number planned to be completed.</w:t>
      </w:r>
      <w:r w:rsidR="00A03A57" w:rsidRPr="00C369EC">
        <w:rPr>
          <w:rFonts w:ascii="Times New Roman" w:eastAsia="Times New Roman,Batang" w:hAnsi="Times New Roman"/>
          <w:bCs/>
          <w:lang w:eastAsia="ko-KR"/>
        </w:rPr>
        <w:t xml:space="preserve"> These evaluations included </w:t>
      </w:r>
      <w:r w:rsidRPr="00C369EC">
        <w:rPr>
          <w:rFonts w:ascii="Times New Roman" w:eastAsia="Times New Roman,Batang" w:hAnsi="Times New Roman"/>
          <w:bCs/>
          <w:lang w:eastAsia="ko-KR"/>
        </w:rPr>
        <w:t>132 project evaluations</w:t>
      </w:r>
      <w:r w:rsidR="00A03A57" w:rsidRPr="00C369EC">
        <w:rPr>
          <w:rFonts w:ascii="Times New Roman" w:eastAsia="Times New Roman,Batang" w:hAnsi="Times New Roman"/>
          <w:bCs/>
          <w:lang w:eastAsia="ko-KR"/>
        </w:rPr>
        <w:t xml:space="preserve">, along with </w:t>
      </w:r>
      <w:r w:rsidRPr="00C369EC">
        <w:rPr>
          <w:rFonts w:ascii="Times New Roman" w:eastAsia="Times New Roman,Batang" w:hAnsi="Times New Roman"/>
          <w:bCs/>
          <w:lang w:eastAsia="ko-KR"/>
        </w:rPr>
        <w:t xml:space="preserve">126 </w:t>
      </w:r>
      <w:r w:rsidR="000E36C0" w:rsidRPr="00C369EC">
        <w:rPr>
          <w:rFonts w:ascii="Times New Roman" w:eastAsia="Times New Roman,Batang" w:hAnsi="Times New Roman"/>
          <w:bCs/>
          <w:lang w:eastAsia="ko-KR"/>
        </w:rPr>
        <w:t>G</w:t>
      </w:r>
      <w:r w:rsidRPr="00C369EC">
        <w:rPr>
          <w:rFonts w:ascii="Times New Roman" w:eastAsia="Times New Roman,Batang" w:hAnsi="Times New Roman"/>
          <w:bCs/>
          <w:lang w:eastAsia="ko-KR"/>
        </w:rPr>
        <w:t xml:space="preserve">lobal </w:t>
      </w:r>
      <w:r w:rsidR="000E36C0" w:rsidRPr="00C369EC">
        <w:rPr>
          <w:rFonts w:ascii="Times New Roman" w:eastAsia="Times New Roman,Batang" w:hAnsi="Times New Roman"/>
          <w:bCs/>
          <w:lang w:eastAsia="ko-KR"/>
        </w:rPr>
        <w:t>E</w:t>
      </w:r>
      <w:r w:rsidRPr="00C369EC">
        <w:rPr>
          <w:rFonts w:ascii="Times New Roman" w:eastAsia="Times New Roman,Batang" w:hAnsi="Times New Roman"/>
          <w:bCs/>
          <w:lang w:eastAsia="ko-KR"/>
        </w:rPr>
        <w:t xml:space="preserve">nvironment </w:t>
      </w:r>
      <w:r w:rsidR="000E36C0" w:rsidRPr="00C369EC">
        <w:rPr>
          <w:rFonts w:ascii="Times New Roman" w:eastAsia="Times New Roman,Batang" w:hAnsi="Times New Roman"/>
          <w:bCs/>
          <w:lang w:eastAsia="ko-KR"/>
        </w:rPr>
        <w:t>F</w:t>
      </w:r>
      <w:r w:rsidRPr="00C369EC">
        <w:rPr>
          <w:rFonts w:ascii="Times New Roman" w:eastAsia="Times New Roman,Batang" w:hAnsi="Times New Roman"/>
          <w:bCs/>
          <w:lang w:eastAsia="ko-KR"/>
        </w:rPr>
        <w:t>acility (GEF) terminal evaluations and mid-term review evaluations, five outcome evaluations</w:t>
      </w:r>
      <w:r w:rsidR="00C20E66" w:rsidRPr="00C369EC">
        <w:rPr>
          <w:rFonts w:ascii="Times New Roman" w:eastAsia="Times New Roman,Batang" w:hAnsi="Times New Roman"/>
          <w:bCs/>
          <w:lang w:eastAsia="ko-KR"/>
        </w:rPr>
        <w:t>,</w:t>
      </w:r>
      <w:r w:rsidRPr="00C369EC">
        <w:rPr>
          <w:rFonts w:ascii="Times New Roman" w:eastAsia="Times New Roman,Batang" w:hAnsi="Times New Roman"/>
          <w:bCs/>
          <w:lang w:eastAsia="ko-KR"/>
        </w:rPr>
        <w:t xml:space="preserve"> and 17 UNDAF, thematic or country programme document evaluations. </w:t>
      </w:r>
      <w:r w:rsidR="00A03A57" w:rsidRPr="00C369EC">
        <w:rPr>
          <w:rFonts w:ascii="Times New Roman" w:eastAsia="Times New Roman,Batang" w:hAnsi="Times New Roman"/>
          <w:bCs/>
          <w:lang w:eastAsia="ko-KR"/>
        </w:rPr>
        <w:t xml:space="preserve">UNDP notes that </w:t>
      </w:r>
      <w:r w:rsidR="003312FA" w:rsidRPr="00C369EC">
        <w:rPr>
          <w:rFonts w:ascii="Times New Roman" w:eastAsia="Times New Roman,Batang" w:hAnsi="Times New Roman"/>
          <w:bCs/>
          <w:lang w:eastAsia="ko-KR"/>
        </w:rPr>
        <w:t xml:space="preserve">along with </w:t>
      </w:r>
      <w:r w:rsidR="001A05DD" w:rsidRPr="00C369EC">
        <w:rPr>
          <w:rFonts w:ascii="Times New Roman" w:eastAsia="Times New Roman,Batang" w:hAnsi="Times New Roman"/>
          <w:bCs/>
          <w:lang w:eastAsia="ko-KR"/>
        </w:rPr>
        <w:t xml:space="preserve">completing </w:t>
      </w:r>
      <w:r w:rsidR="00F1390F" w:rsidRPr="00C369EC">
        <w:rPr>
          <w:rFonts w:ascii="Times New Roman" w:eastAsia="Times New Roman,Batang" w:hAnsi="Times New Roman"/>
          <w:bCs/>
          <w:lang w:eastAsia="ko-KR"/>
        </w:rPr>
        <w:t>mandatory</w:t>
      </w:r>
      <w:r w:rsidR="003312FA" w:rsidRPr="00C369EC">
        <w:rPr>
          <w:rFonts w:ascii="Times New Roman" w:eastAsia="Times New Roman,Batang" w:hAnsi="Times New Roman"/>
          <w:bCs/>
          <w:lang w:eastAsia="ko-KR"/>
        </w:rPr>
        <w:t xml:space="preserve"> </w:t>
      </w:r>
      <w:r w:rsidR="00A03A57" w:rsidRPr="00C369EC">
        <w:rPr>
          <w:rFonts w:ascii="Times New Roman" w:eastAsia="Times New Roman,Batang" w:hAnsi="Times New Roman"/>
          <w:bCs/>
          <w:lang w:eastAsia="ko-KR"/>
        </w:rPr>
        <w:t xml:space="preserve">GEF </w:t>
      </w:r>
      <w:r w:rsidR="00F1390F" w:rsidRPr="00C369EC">
        <w:rPr>
          <w:rFonts w:ascii="Times New Roman" w:eastAsia="Times New Roman,Batang" w:hAnsi="Times New Roman"/>
          <w:bCs/>
          <w:lang w:eastAsia="ko-KR"/>
        </w:rPr>
        <w:t>evaluations, there</w:t>
      </w:r>
      <w:r w:rsidR="00A03A57" w:rsidRPr="00C369EC">
        <w:rPr>
          <w:rFonts w:ascii="Times New Roman" w:eastAsia="Times New Roman,Batang" w:hAnsi="Times New Roman"/>
          <w:bCs/>
          <w:lang w:eastAsia="ko-KR"/>
        </w:rPr>
        <w:t xml:space="preserve"> mus</w:t>
      </w:r>
      <w:r w:rsidR="001109FB" w:rsidRPr="00C369EC">
        <w:rPr>
          <w:rFonts w:ascii="Times New Roman" w:eastAsia="Times New Roman,Batang" w:hAnsi="Times New Roman"/>
          <w:bCs/>
          <w:lang w:eastAsia="ko-KR"/>
        </w:rPr>
        <w:t xml:space="preserve">t </w:t>
      </w:r>
      <w:r w:rsidR="00A03A57" w:rsidRPr="00C369EC">
        <w:rPr>
          <w:rFonts w:ascii="Times New Roman" w:eastAsia="Times New Roman,Batang" w:hAnsi="Times New Roman"/>
          <w:bCs/>
          <w:lang w:eastAsia="ko-KR"/>
        </w:rPr>
        <w:t xml:space="preserve">be </w:t>
      </w:r>
      <w:r w:rsidR="003A0D79">
        <w:rPr>
          <w:rFonts w:ascii="Times New Roman" w:eastAsia="Times New Roman,Batang" w:hAnsi="Times New Roman"/>
          <w:bCs/>
          <w:lang w:eastAsia="ko-KR"/>
        </w:rPr>
        <w:t xml:space="preserve">a </w:t>
      </w:r>
      <w:r w:rsidR="00A03A57" w:rsidRPr="00C369EC">
        <w:rPr>
          <w:rFonts w:ascii="Times New Roman" w:eastAsia="Times New Roman,Batang" w:hAnsi="Times New Roman"/>
          <w:bCs/>
          <w:lang w:eastAsia="ko-KR"/>
        </w:rPr>
        <w:t xml:space="preserve">continued emphasis on ensuring a balance </w:t>
      </w:r>
      <w:r w:rsidR="001109FB" w:rsidRPr="00C369EC">
        <w:rPr>
          <w:rFonts w:ascii="Times New Roman" w:eastAsia="Times New Roman,Batang" w:hAnsi="Times New Roman"/>
          <w:bCs/>
          <w:lang w:eastAsia="ko-KR"/>
        </w:rPr>
        <w:t xml:space="preserve">of </w:t>
      </w:r>
      <w:r w:rsidR="00A03A57" w:rsidRPr="00C369EC">
        <w:rPr>
          <w:rFonts w:ascii="Times New Roman" w:eastAsia="Times New Roman,Batang" w:hAnsi="Times New Roman"/>
          <w:bCs/>
          <w:lang w:eastAsia="ko-KR"/>
        </w:rPr>
        <w:t>evaluations across the entire programme portfolio</w:t>
      </w:r>
      <w:r w:rsidR="001A05DD" w:rsidRPr="00C369EC">
        <w:rPr>
          <w:rFonts w:ascii="Times New Roman" w:eastAsia="Times New Roman,Batang" w:hAnsi="Times New Roman"/>
          <w:bCs/>
          <w:lang w:eastAsia="ko-KR"/>
        </w:rPr>
        <w:t>.</w:t>
      </w:r>
      <w:r w:rsidR="00A03A57" w:rsidRPr="00C369EC">
        <w:rPr>
          <w:rFonts w:ascii="Times New Roman" w:eastAsia="Times New Roman,Batang" w:hAnsi="Times New Roman"/>
          <w:bCs/>
          <w:lang w:eastAsia="ko-KR"/>
        </w:rPr>
        <w:t xml:space="preserve"> </w:t>
      </w:r>
      <w:r w:rsidR="00782929" w:rsidRPr="00C369EC">
        <w:rPr>
          <w:rFonts w:ascii="Times New Roman" w:eastAsia="Times New Roman,Batang" w:hAnsi="Times New Roman"/>
          <w:bCs/>
          <w:lang w:eastAsia="ko-KR"/>
        </w:rPr>
        <w:t xml:space="preserve">The graph below </w:t>
      </w:r>
      <w:r w:rsidRPr="00C369EC">
        <w:rPr>
          <w:rFonts w:ascii="Times New Roman" w:eastAsia="Times New Roman,Batang" w:hAnsi="Times New Roman"/>
          <w:bCs/>
          <w:lang w:eastAsia="ko-KR"/>
        </w:rPr>
        <w:t>illustrate</w:t>
      </w:r>
      <w:r w:rsidR="00782929" w:rsidRPr="00C369EC">
        <w:rPr>
          <w:rFonts w:ascii="Times New Roman" w:eastAsia="Times New Roman,Batang" w:hAnsi="Times New Roman"/>
          <w:bCs/>
          <w:lang w:eastAsia="ko-KR"/>
        </w:rPr>
        <w:t>s the regional breakdown</w:t>
      </w:r>
      <w:r w:rsidR="00A03A57" w:rsidRPr="00C369EC">
        <w:rPr>
          <w:rFonts w:ascii="Times New Roman" w:eastAsia="Times New Roman,Batang" w:hAnsi="Times New Roman"/>
          <w:bCs/>
          <w:lang w:eastAsia="ko-KR"/>
        </w:rPr>
        <w:t xml:space="preserve"> of evaluations compl</w:t>
      </w:r>
      <w:r w:rsidR="001109FB" w:rsidRPr="00C369EC">
        <w:rPr>
          <w:rFonts w:ascii="Times New Roman" w:eastAsia="Times New Roman,Batang" w:hAnsi="Times New Roman"/>
          <w:bCs/>
          <w:lang w:eastAsia="ko-KR"/>
        </w:rPr>
        <w:t>e</w:t>
      </w:r>
      <w:r w:rsidR="00A03A57" w:rsidRPr="00C369EC">
        <w:rPr>
          <w:rFonts w:ascii="Times New Roman" w:eastAsia="Times New Roman,Batang" w:hAnsi="Times New Roman"/>
          <w:bCs/>
          <w:lang w:eastAsia="ko-KR"/>
        </w:rPr>
        <w:t>ted.</w:t>
      </w:r>
      <w:r w:rsidR="00782929" w:rsidRPr="00C369EC">
        <w:rPr>
          <w:rFonts w:ascii="Times New Roman" w:eastAsia="Times New Roman,Batang" w:hAnsi="Times New Roman"/>
          <w:bCs/>
          <w:lang w:eastAsia="ko-KR"/>
        </w:rPr>
        <w:t xml:space="preserve"> </w:t>
      </w:r>
      <w:bookmarkEnd w:id="2"/>
    </w:p>
    <w:p w14:paraId="164C3E96" w14:textId="77777777" w:rsidR="00C21246" w:rsidRPr="00C369EC" w:rsidRDefault="00C21246" w:rsidP="002E58A0">
      <w:pPr>
        <w:spacing w:after="0" w:line="240" w:lineRule="auto"/>
        <w:jc w:val="both"/>
        <w:rPr>
          <w:rFonts w:ascii="Times New Roman" w:eastAsia="Times New Roman,Batang" w:hAnsi="Times New Roman"/>
          <w:bCs/>
          <w:lang w:eastAsia="ko-KR"/>
        </w:rPr>
      </w:pPr>
    </w:p>
    <w:p w14:paraId="200B19BD" w14:textId="7CF3D6F6" w:rsidR="00016DE3" w:rsidRPr="00C369EC" w:rsidRDefault="00C21246" w:rsidP="002E58A0">
      <w:pPr>
        <w:spacing w:after="0" w:line="240" w:lineRule="auto"/>
        <w:jc w:val="both"/>
        <w:rPr>
          <w:rFonts w:ascii="Times New Roman" w:eastAsia="Times New Roman,Batang" w:hAnsi="Times New Roman"/>
          <w:bCs/>
          <w:lang w:eastAsia="ko-KR"/>
        </w:rPr>
      </w:pPr>
      <w:r w:rsidRPr="00C369EC">
        <w:rPr>
          <w:noProof/>
        </w:rPr>
        <w:drawing>
          <wp:inline distT="0" distB="0" distL="0" distR="0" wp14:anchorId="324E86BD" wp14:editId="407EBC00">
            <wp:extent cx="5943600" cy="2140703"/>
            <wp:effectExtent l="0" t="0" r="0" b="12065"/>
            <wp:docPr id="1" name="Chart 1">
              <a:extLst xmlns:a="http://schemas.openxmlformats.org/drawingml/2006/main">
                <a:ext uri="{FF2B5EF4-FFF2-40B4-BE49-F238E27FC236}">
                  <a16:creationId xmlns:a16="http://schemas.microsoft.com/office/drawing/2014/main" id="{0AC8AAE4-7B7C-42DD-982B-6883E36615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437044" w14:textId="0F20E50E" w:rsidR="003F055C" w:rsidRPr="00C369EC" w:rsidRDefault="00016DE3" w:rsidP="002E58A0">
      <w:pPr>
        <w:pStyle w:val="Caption"/>
        <w:spacing w:after="0"/>
        <w:jc w:val="both"/>
        <w:rPr>
          <w:rFonts w:ascii="Times New Roman" w:hAnsi="Times New Roman"/>
          <w:sz w:val="20"/>
          <w:szCs w:val="20"/>
        </w:rPr>
      </w:pPr>
      <w:r w:rsidRPr="00C369EC">
        <w:rPr>
          <w:rFonts w:ascii="Times New Roman" w:hAnsi="Times New Roman"/>
          <w:sz w:val="20"/>
          <w:szCs w:val="20"/>
        </w:rPr>
        <w:t xml:space="preserve">Figure </w:t>
      </w:r>
      <w:r w:rsidRPr="00C369EC">
        <w:rPr>
          <w:rFonts w:ascii="Times New Roman" w:hAnsi="Times New Roman"/>
          <w:sz w:val="20"/>
          <w:szCs w:val="20"/>
        </w:rPr>
        <w:fldChar w:fldCharType="begin"/>
      </w:r>
      <w:r w:rsidRPr="00C369EC">
        <w:rPr>
          <w:rFonts w:ascii="Times New Roman" w:hAnsi="Times New Roman"/>
          <w:sz w:val="20"/>
          <w:szCs w:val="20"/>
        </w:rPr>
        <w:instrText xml:space="preserve"> SEQ Figure \* ARABIC </w:instrText>
      </w:r>
      <w:r w:rsidRPr="00C369EC">
        <w:rPr>
          <w:rFonts w:ascii="Times New Roman" w:hAnsi="Times New Roman"/>
          <w:sz w:val="20"/>
          <w:szCs w:val="20"/>
        </w:rPr>
        <w:fldChar w:fldCharType="separate"/>
      </w:r>
      <w:r w:rsidR="00107E69" w:rsidRPr="00C369EC">
        <w:rPr>
          <w:rFonts w:ascii="Times New Roman" w:hAnsi="Times New Roman"/>
          <w:sz w:val="20"/>
          <w:szCs w:val="20"/>
        </w:rPr>
        <w:t>1</w:t>
      </w:r>
      <w:r w:rsidRPr="00C369EC">
        <w:rPr>
          <w:rFonts w:ascii="Times New Roman" w:hAnsi="Times New Roman"/>
          <w:sz w:val="20"/>
          <w:szCs w:val="20"/>
        </w:rPr>
        <w:fldChar w:fldCharType="end"/>
      </w:r>
      <w:r w:rsidRPr="00C369EC">
        <w:rPr>
          <w:rFonts w:ascii="Times New Roman" w:hAnsi="Times New Roman"/>
          <w:sz w:val="20"/>
          <w:szCs w:val="20"/>
        </w:rPr>
        <w:t xml:space="preserve"> </w:t>
      </w:r>
      <w:r w:rsidR="001109FB" w:rsidRPr="00C369EC">
        <w:rPr>
          <w:rFonts w:ascii="Times New Roman" w:hAnsi="Times New Roman"/>
          <w:sz w:val="20"/>
          <w:szCs w:val="20"/>
        </w:rPr>
        <w:t xml:space="preserve">Regional </w:t>
      </w:r>
      <w:r w:rsidR="004B1CCB" w:rsidRPr="00C369EC">
        <w:rPr>
          <w:rFonts w:ascii="Times New Roman" w:hAnsi="Times New Roman"/>
          <w:sz w:val="20"/>
          <w:szCs w:val="20"/>
        </w:rPr>
        <w:t>d</w:t>
      </w:r>
      <w:r w:rsidRPr="00C369EC">
        <w:rPr>
          <w:rFonts w:ascii="Times New Roman" w:hAnsi="Times New Roman"/>
          <w:sz w:val="20"/>
          <w:szCs w:val="20"/>
        </w:rPr>
        <w:t xml:space="preserve">istribution </w:t>
      </w:r>
      <w:r w:rsidR="0023550E" w:rsidRPr="00C369EC">
        <w:rPr>
          <w:rFonts w:ascii="Times New Roman" w:hAnsi="Times New Roman"/>
          <w:sz w:val="20"/>
          <w:szCs w:val="20"/>
        </w:rPr>
        <w:t xml:space="preserve">(in numbers) </w:t>
      </w:r>
      <w:r w:rsidRPr="00C369EC">
        <w:rPr>
          <w:rFonts w:ascii="Times New Roman" w:hAnsi="Times New Roman"/>
          <w:sz w:val="20"/>
          <w:szCs w:val="20"/>
        </w:rPr>
        <w:t>of the total</w:t>
      </w:r>
      <w:r w:rsidR="0023550E" w:rsidRPr="00C369EC">
        <w:rPr>
          <w:rFonts w:ascii="Times New Roman" w:hAnsi="Times New Roman"/>
          <w:sz w:val="20"/>
          <w:szCs w:val="20"/>
        </w:rPr>
        <w:t>,</w:t>
      </w:r>
      <w:r w:rsidRPr="00C369EC">
        <w:rPr>
          <w:rFonts w:ascii="Times New Roman" w:hAnsi="Times New Roman"/>
          <w:sz w:val="20"/>
          <w:szCs w:val="20"/>
        </w:rPr>
        <w:t>290</w:t>
      </w:r>
      <w:r w:rsidR="0020203B" w:rsidRPr="00C369EC">
        <w:rPr>
          <w:rFonts w:ascii="Times New Roman" w:hAnsi="Times New Roman"/>
          <w:sz w:val="20"/>
          <w:szCs w:val="20"/>
        </w:rPr>
        <w:t>,</w:t>
      </w:r>
      <w:r w:rsidRPr="00C369EC">
        <w:rPr>
          <w:rFonts w:ascii="Times New Roman" w:hAnsi="Times New Roman"/>
          <w:sz w:val="20"/>
          <w:szCs w:val="20"/>
        </w:rPr>
        <w:t xml:space="preserve"> completed decentralised evaluations conducted in 2019</w:t>
      </w:r>
      <w:r w:rsidR="007B22E0" w:rsidRPr="00C369EC">
        <w:rPr>
          <w:rFonts w:ascii="Times New Roman" w:hAnsi="Times New Roman"/>
          <w:sz w:val="20"/>
          <w:szCs w:val="20"/>
        </w:rPr>
        <w:t>.</w:t>
      </w:r>
    </w:p>
    <w:p w14:paraId="3800C72D" w14:textId="77777777" w:rsidR="00B34F11" w:rsidRPr="00C369EC" w:rsidRDefault="00B34F11" w:rsidP="002E58A0">
      <w:pPr>
        <w:spacing w:after="0" w:line="240" w:lineRule="auto"/>
        <w:jc w:val="both"/>
        <w:rPr>
          <w:rFonts w:ascii="Times New Roman" w:hAnsi="Times New Roman"/>
        </w:rPr>
      </w:pPr>
    </w:p>
    <w:p w14:paraId="12009E00" w14:textId="249A4C68" w:rsidR="00D527A5" w:rsidRPr="00C369EC" w:rsidRDefault="00867249" w:rsidP="002E58A0">
      <w:pPr>
        <w:spacing w:after="0" w:line="240" w:lineRule="auto"/>
        <w:jc w:val="both"/>
        <w:rPr>
          <w:rFonts w:ascii="Times New Roman" w:hAnsi="Times New Roman"/>
          <w:bCs/>
        </w:rPr>
      </w:pPr>
      <w:r w:rsidRPr="00C369EC">
        <w:rPr>
          <w:rFonts w:ascii="Times New Roman" w:eastAsia="Times New Roman,Batang" w:hAnsi="Times New Roman"/>
          <w:bCs/>
          <w:lang w:eastAsia="ko-KR"/>
        </w:rPr>
        <w:t>UNDP takes note of the continu</w:t>
      </w:r>
      <w:r w:rsidRPr="00C369EC">
        <w:rPr>
          <w:rFonts w:ascii="Times New Roman" w:hAnsi="Times New Roman"/>
        </w:rPr>
        <w:t>ing gaps between planned and completed evaluations during the year. In 2019, UNDP completed 290 out of the 531 planned evaluation (55</w:t>
      </w:r>
      <w:r w:rsidR="002E58A0">
        <w:rPr>
          <w:rFonts w:ascii="Times New Roman" w:hAnsi="Times New Roman"/>
        </w:rPr>
        <w:t xml:space="preserve"> per cent</w:t>
      </w:r>
      <w:r w:rsidRPr="00C369EC">
        <w:rPr>
          <w:rFonts w:ascii="Times New Roman" w:hAnsi="Times New Roman"/>
        </w:rPr>
        <w:t xml:space="preserve">), resulting in a total expenditure </w:t>
      </w:r>
      <w:r w:rsidRPr="00C369EC">
        <w:rPr>
          <w:rFonts w:ascii="Times New Roman" w:hAnsi="Times New Roman"/>
        </w:rPr>
        <w:lastRenderedPageBreak/>
        <w:t>of $7.25 million compared to the planned expenditure of $16.8 million</w:t>
      </w:r>
      <w:r w:rsidRPr="00C369EC">
        <w:rPr>
          <w:rStyle w:val="FootnoteReference"/>
          <w:rFonts w:ascii="Times New Roman" w:hAnsi="Times New Roman"/>
        </w:rPr>
        <w:footnoteReference w:id="3"/>
      </w:r>
      <w:r w:rsidRPr="00C369EC">
        <w:rPr>
          <w:rFonts w:ascii="Times New Roman" w:hAnsi="Times New Roman"/>
        </w:rPr>
        <w:t xml:space="preserve">. </w:t>
      </w:r>
      <w:bookmarkStart w:id="3" w:name="_Hlk37926102"/>
      <w:r w:rsidR="00FE3DA2">
        <w:rPr>
          <w:rFonts w:ascii="Times New Roman" w:hAnsi="Times New Roman"/>
        </w:rPr>
        <w:t xml:space="preserve">The lagging completion rate is affected by issues such as stakeholder approval, administration of project closure, </w:t>
      </w:r>
      <w:r w:rsidR="00FA27BE">
        <w:rPr>
          <w:rFonts w:ascii="Times New Roman" w:hAnsi="Times New Roman"/>
        </w:rPr>
        <w:t>consultant</w:t>
      </w:r>
      <w:r w:rsidR="00FE3DA2">
        <w:rPr>
          <w:rFonts w:ascii="Times New Roman" w:hAnsi="Times New Roman"/>
        </w:rPr>
        <w:t xml:space="preserve"> </w:t>
      </w:r>
      <w:r w:rsidR="00253285">
        <w:rPr>
          <w:rFonts w:ascii="Times New Roman" w:hAnsi="Times New Roman"/>
        </w:rPr>
        <w:t xml:space="preserve">selection </w:t>
      </w:r>
      <w:r w:rsidR="00FE3DA2">
        <w:rPr>
          <w:rFonts w:ascii="Times New Roman" w:hAnsi="Times New Roman"/>
        </w:rPr>
        <w:t xml:space="preserve">processes and funding challenges. </w:t>
      </w:r>
      <w:bookmarkEnd w:id="3"/>
      <w:r w:rsidRPr="00C369EC">
        <w:rPr>
          <w:rFonts w:ascii="Times New Roman" w:hAnsi="Times New Roman"/>
        </w:rPr>
        <w:t xml:space="preserve">UNDP acknowledges the need for more strategic and comprehensive actions to increase the timely completion of planned evaluations. The </w:t>
      </w:r>
      <w:r w:rsidRPr="00C369EC">
        <w:rPr>
          <w:rFonts w:ascii="Times New Roman" w:hAnsi="Times New Roman"/>
          <w:bCs/>
        </w:rPr>
        <w:t xml:space="preserve">revised evaluation guidelines provide instructions, examples and templates to support the evaluation processes. UNDP has also strengthened the mechanism to review the soundness and robustness of evaluation plans </w:t>
      </w:r>
      <w:r w:rsidR="00027779">
        <w:rPr>
          <w:rFonts w:ascii="Times New Roman" w:hAnsi="Times New Roman"/>
          <w:bCs/>
        </w:rPr>
        <w:t xml:space="preserve">as part of the quality assurance of </w:t>
      </w:r>
      <w:r w:rsidRPr="00C369EC">
        <w:rPr>
          <w:rFonts w:ascii="Times New Roman" w:hAnsi="Times New Roman"/>
          <w:bCs/>
        </w:rPr>
        <w:t xml:space="preserve">new CPDs.  </w:t>
      </w:r>
    </w:p>
    <w:p w14:paraId="4C4A79A7" w14:textId="77777777" w:rsidR="00D527A5" w:rsidRPr="00C369EC" w:rsidRDefault="00D527A5" w:rsidP="002E58A0">
      <w:pPr>
        <w:spacing w:after="0" w:line="240" w:lineRule="auto"/>
        <w:jc w:val="both"/>
        <w:rPr>
          <w:rFonts w:ascii="Times New Roman" w:hAnsi="Times New Roman"/>
          <w:bCs/>
        </w:rPr>
      </w:pPr>
    </w:p>
    <w:p w14:paraId="4574675A" w14:textId="3CBA25D7" w:rsidR="00016DE3" w:rsidRPr="00C369EC" w:rsidRDefault="00016DE3" w:rsidP="002E58A0">
      <w:pPr>
        <w:spacing w:after="0" w:line="240" w:lineRule="auto"/>
        <w:jc w:val="both"/>
        <w:rPr>
          <w:rFonts w:ascii="Times New Roman" w:eastAsia="Times New Roman,Batang" w:hAnsi="Times New Roman"/>
          <w:b/>
          <w:lang w:eastAsia="ko-KR"/>
        </w:rPr>
      </w:pPr>
      <w:r w:rsidRPr="00C369EC">
        <w:rPr>
          <w:rFonts w:ascii="Times New Roman" w:eastAsia="Times New Roman,Batang" w:hAnsi="Times New Roman"/>
          <w:b/>
          <w:lang w:eastAsia="ko-KR"/>
        </w:rPr>
        <w:t>Quality of evaluations</w:t>
      </w:r>
    </w:p>
    <w:p w14:paraId="1DADC61B" w14:textId="77777777" w:rsidR="00016DE3" w:rsidRPr="00C369EC" w:rsidRDefault="00016DE3" w:rsidP="002E58A0">
      <w:pPr>
        <w:spacing w:after="0" w:line="240" w:lineRule="auto"/>
        <w:jc w:val="both"/>
        <w:rPr>
          <w:rFonts w:ascii="Times New Roman" w:eastAsia="Times New Roman,Batang" w:hAnsi="Times New Roman"/>
          <w:b/>
          <w:lang w:eastAsia="ko-KR"/>
        </w:rPr>
      </w:pPr>
    </w:p>
    <w:p w14:paraId="4421E1C5" w14:textId="443DA3EE" w:rsidR="00016DE3" w:rsidRPr="00C369EC" w:rsidRDefault="00650595" w:rsidP="002E58A0">
      <w:pPr>
        <w:spacing w:after="0" w:line="240" w:lineRule="auto"/>
        <w:jc w:val="both"/>
        <w:rPr>
          <w:rFonts w:ascii="Times New Roman" w:eastAsia="Times New Roman,Batang" w:hAnsi="Times New Roman"/>
          <w:bCs/>
          <w:lang w:eastAsia="ko-KR"/>
        </w:rPr>
      </w:pPr>
      <w:r w:rsidRPr="00C369EC">
        <w:rPr>
          <w:rFonts w:ascii="Times New Roman" w:eastAsia="Times New Roman,Batang" w:hAnsi="Times New Roman"/>
          <w:bCs/>
          <w:lang w:eastAsia="ko-KR"/>
        </w:rPr>
        <w:t xml:space="preserve">The </w:t>
      </w:r>
      <w:r w:rsidR="00016DE3" w:rsidRPr="00C369EC">
        <w:rPr>
          <w:rFonts w:ascii="Times New Roman" w:eastAsia="Times New Roman,Batang" w:hAnsi="Times New Roman"/>
          <w:bCs/>
          <w:lang w:eastAsia="ko-KR"/>
        </w:rPr>
        <w:t xml:space="preserve">IEO assessed </w:t>
      </w:r>
      <w:r w:rsidR="000B2B42" w:rsidRPr="00C369EC">
        <w:rPr>
          <w:rFonts w:ascii="Times New Roman" w:eastAsia="Times New Roman,Batang" w:hAnsi="Times New Roman"/>
          <w:bCs/>
          <w:lang w:eastAsia="ko-KR"/>
        </w:rPr>
        <w:t xml:space="preserve">the quality of </w:t>
      </w:r>
      <w:r w:rsidR="00016DE3" w:rsidRPr="00C369EC">
        <w:rPr>
          <w:rFonts w:ascii="Times New Roman" w:eastAsia="Times New Roman,Batang" w:hAnsi="Times New Roman"/>
          <w:bCs/>
          <w:lang w:eastAsia="ko-KR"/>
        </w:rPr>
        <w:t xml:space="preserve">201 decentralised evaluations in 2019. The </w:t>
      </w:r>
      <w:r w:rsidR="00121427" w:rsidRPr="00C369EC">
        <w:rPr>
          <w:rFonts w:ascii="Times New Roman" w:eastAsia="Times New Roman,Batang" w:hAnsi="Times New Roman"/>
          <w:bCs/>
          <w:lang w:eastAsia="ko-KR"/>
        </w:rPr>
        <w:t>ratings</w:t>
      </w:r>
      <w:r w:rsidR="00016DE3" w:rsidRPr="00C369EC">
        <w:rPr>
          <w:rFonts w:ascii="Times New Roman" w:eastAsia="Times New Roman,Batang" w:hAnsi="Times New Roman"/>
          <w:bCs/>
          <w:lang w:eastAsia="ko-KR"/>
        </w:rPr>
        <w:t xml:space="preserve"> </w:t>
      </w:r>
      <w:r w:rsidR="000B2B42" w:rsidRPr="00C369EC">
        <w:rPr>
          <w:rFonts w:ascii="Times New Roman" w:eastAsia="Times New Roman,Batang" w:hAnsi="Times New Roman"/>
          <w:bCs/>
          <w:lang w:eastAsia="ko-KR"/>
        </w:rPr>
        <w:t>are similar to those in the</w:t>
      </w:r>
      <w:r w:rsidR="00016DE3" w:rsidRPr="00C369EC">
        <w:rPr>
          <w:rFonts w:ascii="Times New Roman" w:eastAsia="Times New Roman,Batang" w:hAnsi="Times New Roman"/>
          <w:bCs/>
          <w:lang w:eastAsia="ko-KR"/>
        </w:rPr>
        <w:t xml:space="preserve"> previous years</w:t>
      </w:r>
      <w:r w:rsidR="000B2B42" w:rsidRPr="00C369EC">
        <w:rPr>
          <w:rFonts w:ascii="Times New Roman" w:eastAsia="Times New Roman,Batang" w:hAnsi="Times New Roman"/>
          <w:bCs/>
          <w:lang w:eastAsia="ko-KR"/>
        </w:rPr>
        <w:t xml:space="preserve">: </w:t>
      </w:r>
      <w:r w:rsidR="00016DE3" w:rsidRPr="00C369EC">
        <w:rPr>
          <w:rFonts w:ascii="Times New Roman" w:eastAsia="Times New Roman,Batang" w:hAnsi="Times New Roman"/>
          <w:bCs/>
          <w:lang w:eastAsia="ko-KR"/>
        </w:rPr>
        <w:t>73</w:t>
      </w:r>
      <w:r w:rsidR="00253285">
        <w:rPr>
          <w:rFonts w:ascii="Times New Roman" w:eastAsia="Times New Roman,Batang" w:hAnsi="Times New Roman"/>
          <w:bCs/>
          <w:lang w:eastAsia="ko-KR"/>
        </w:rPr>
        <w:t xml:space="preserve"> per cent</w:t>
      </w:r>
      <w:r w:rsidR="00016DE3" w:rsidRPr="00C369EC">
        <w:rPr>
          <w:rFonts w:ascii="Times New Roman" w:eastAsia="Times New Roman,Batang" w:hAnsi="Times New Roman"/>
          <w:bCs/>
          <w:lang w:eastAsia="ko-KR"/>
        </w:rPr>
        <w:t xml:space="preserve"> of the 2019 reports were </w:t>
      </w:r>
      <w:r w:rsidR="00016DE3" w:rsidRPr="00C369EC">
        <w:rPr>
          <w:rFonts w:ascii="Times New Roman" w:hAnsi="Times New Roman"/>
        </w:rPr>
        <w:t>considered moderately satisfactory and satisfactory.</w:t>
      </w:r>
      <w:r w:rsidR="00252CC8" w:rsidRPr="00C369EC">
        <w:rPr>
          <w:rFonts w:ascii="Times New Roman" w:hAnsi="Times New Roman"/>
        </w:rPr>
        <w:t xml:space="preserve"> </w:t>
      </w:r>
      <w:r w:rsidR="001A05DD" w:rsidRPr="00C369EC">
        <w:rPr>
          <w:rFonts w:ascii="Times New Roman" w:hAnsi="Times New Roman"/>
        </w:rPr>
        <w:t xml:space="preserve"> Nonetheless, UNDP management recognises the need to continue to lift the quality of evaluations: reducing those of unsatisfactory quality and shifting more evaluations into the fully satisfactory quality rating.  </w:t>
      </w:r>
      <w:r w:rsidR="000B2B42" w:rsidRPr="00C369EC">
        <w:rPr>
          <w:rFonts w:ascii="Times New Roman" w:hAnsi="Times New Roman"/>
        </w:rPr>
        <w:t xml:space="preserve">Compared to the level of 2018, the quality of </w:t>
      </w:r>
      <w:r w:rsidR="001109FB" w:rsidRPr="00C369EC">
        <w:rPr>
          <w:rFonts w:ascii="Times New Roman" w:hAnsi="Times New Roman"/>
        </w:rPr>
        <w:t xml:space="preserve">moderately satisfactory and satisfactory </w:t>
      </w:r>
      <w:r w:rsidR="000B2B42" w:rsidRPr="00C369EC">
        <w:rPr>
          <w:rFonts w:ascii="Times New Roman" w:hAnsi="Times New Roman"/>
        </w:rPr>
        <w:t xml:space="preserve">evaluations improved </w:t>
      </w:r>
      <w:r w:rsidR="00016DE3" w:rsidRPr="00C369EC">
        <w:rPr>
          <w:rFonts w:ascii="Times New Roman" w:hAnsi="Times New Roman"/>
        </w:rPr>
        <w:t>in Africa (80</w:t>
      </w:r>
      <w:r w:rsidR="002E58A0">
        <w:rPr>
          <w:rFonts w:ascii="Times New Roman" w:hAnsi="Times New Roman"/>
        </w:rPr>
        <w:t xml:space="preserve"> per cent</w:t>
      </w:r>
      <w:r w:rsidR="00016DE3" w:rsidRPr="00C369EC">
        <w:rPr>
          <w:rFonts w:ascii="Times New Roman" w:hAnsi="Times New Roman"/>
        </w:rPr>
        <w:t>), Asia and Pacific (79</w:t>
      </w:r>
      <w:r w:rsidR="002E58A0">
        <w:rPr>
          <w:rFonts w:ascii="Times New Roman" w:hAnsi="Times New Roman"/>
        </w:rPr>
        <w:t xml:space="preserve"> per cent</w:t>
      </w:r>
      <w:r w:rsidR="00016DE3" w:rsidRPr="00C369EC">
        <w:rPr>
          <w:rFonts w:ascii="Times New Roman" w:hAnsi="Times New Roman"/>
        </w:rPr>
        <w:t>) and Global (89</w:t>
      </w:r>
      <w:r w:rsidR="002E58A0">
        <w:rPr>
          <w:rFonts w:ascii="Times New Roman" w:hAnsi="Times New Roman"/>
        </w:rPr>
        <w:t xml:space="preserve"> per cent</w:t>
      </w:r>
      <w:r w:rsidR="00016DE3" w:rsidRPr="00C369EC">
        <w:rPr>
          <w:rFonts w:ascii="Times New Roman" w:hAnsi="Times New Roman"/>
        </w:rPr>
        <w:t>)</w:t>
      </w:r>
      <w:r w:rsidR="001A05DD" w:rsidRPr="00C369EC">
        <w:rPr>
          <w:rFonts w:ascii="Times New Roman" w:hAnsi="Times New Roman"/>
        </w:rPr>
        <w:t xml:space="preserve">.  </w:t>
      </w:r>
      <w:r w:rsidR="000B2B42" w:rsidRPr="00C369EC">
        <w:rPr>
          <w:rFonts w:ascii="Times New Roman" w:hAnsi="Times New Roman"/>
        </w:rPr>
        <w:t xml:space="preserve">  </w:t>
      </w:r>
      <w:r w:rsidR="00016DE3" w:rsidRPr="00C369EC">
        <w:rPr>
          <w:rFonts w:ascii="Times New Roman" w:hAnsi="Times New Roman"/>
        </w:rPr>
        <w:t xml:space="preserve"> </w:t>
      </w:r>
    </w:p>
    <w:p w14:paraId="6EB2A0BA" w14:textId="77777777" w:rsidR="00650595" w:rsidRPr="00C369EC" w:rsidRDefault="00650595" w:rsidP="002E58A0">
      <w:pPr>
        <w:spacing w:after="0" w:line="240" w:lineRule="auto"/>
        <w:jc w:val="both"/>
        <w:rPr>
          <w:rFonts w:ascii="Times New Roman" w:eastAsia="Times New Roman,Batang" w:hAnsi="Times New Roman"/>
          <w:bCs/>
          <w:lang w:eastAsia="ko-KR"/>
        </w:rPr>
      </w:pPr>
    </w:p>
    <w:p w14:paraId="0AE7E2BF" w14:textId="77777777" w:rsidR="00016DE3" w:rsidRPr="00C369EC" w:rsidRDefault="00016DE3" w:rsidP="002E58A0">
      <w:pPr>
        <w:keepNext/>
        <w:spacing w:after="0" w:line="240" w:lineRule="auto"/>
        <w:jc w:val="both"/>
        <w:rPr>
          <w:rFonts w:ascii="Times New Roman" w:hAnsi="Times New Roman"/>
        </w:rPr>
      </w:pPr>
      <w:r w:rsidRPr="00C369EC">
        <w:rPr>
          <w:rFonts w:ascii="Times New Roman" w:hAnsi="Times New Roman"/>
          <w:noProof/>
        </w:rPr>
        <w:drawing>
          <wp:inline distT="0" distB="0" distL="0" distR="0" wp14:anchorId="592EF758" wp14:editId="4871CF88">
            <wp:extent cx="5999018" cy="2327563"/>
            <wp:effectExtent l="0" t="0" r="1905" b="15875"/>
            <wp:docPr id="2" name="Chart 2">
              <a:extLst xmlns:a="http://schemas.openxmlformats.org/drawingml/2006/main">
                <a:ext uri="{FF2B5EF4-FFF2-40B4-BE49-F238E27FC236}">
                  <a16:creationId xmlns:a16="http://schemas.microsoft.com/office/drawing/2014/main" id="{C2188F17-7393-47F9-9E31-7CDA381CBD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FEEB75" w14:textId="16D3206A" w:rsidR="00016DE3" w:rsidRPr="00C369EC" w:rsidRDefault="00016DE3" w:rsidP="002E58A0">
      <w:pPr>
        <w:pStyle w:val="Caption"/>
        <w:spacing w:after="0"/>
        <w:jc w:val="both"/>
        <w:rPr>
          <w:rFonts w:ascii="Times New Roman" w:hAnsi="Times New Roman"/>
          <w:sz w:val="20"/>
          <w:szCs w:val="20"/>
        </w:rPr>
      </w:pPr>
      <w:r w:rsidRPr="00C369EC">
        <w:rPr>
          <w:rFonts w:ascii="Times New Roman" w:hAnsi="Times New Roman"/>
          <w:sz w:val="20"/>
          <w:szCs w:val="20"/>
        </w:rPr>
        <w:t xml:space="preserve">Figure </w:t>
      </w:r>
      <w:r w:rsidRPr="00C369EC">
        <w:rPr>
          <w:rFonts w:ascii="Times New Roman" w:hAnsi="Times New Roman"/>
          <w:sz w:val="20"/>
          <w:szCs w:val="20"/>
        </w:rPr>
        <w:fldChar w:fldCharType="begin"/>
      </w:r>
      <w:r w:rsidRPr="00C369EC">
        <w:rPr>
          <w:rFonts w:ascii="Times New Roman" w:hAnsi="Times New Roman"/>
          <w:sz w:val="20"/>
          <w:szCs w:val="20"/>
        </w:rPr>
        <w:instrText xml:space="preserve"> SEQ Figure \* ARABIC </w:instrText>
      </w:r>
      <w:r w:rsidRPr="00C369EC">
        <w:rPr>
          <w:rFonts w:ascii="Times New Roman" w:hAnsi="Times New Roman"/>
          <w:sz w:val="20"/>
          <w:szCs w:val="20"/>
        </w:rPr>
        <w:fldChar w:fldCharType="separate"/>
      </w:r>
      <w:r w:rsidR="00107E69" w:rsidRPr="00C369EC">
        <w:rPr>
          <w:rFonts w:ascii="Times New Roman" w:hAnsi="Times New Roman"/>
          <w:sz w:val="20"/>
          <w:szCs w:val="20"/>
        </w:rPr>
        <w:t>2</w:t>
      </w:r>
      <w:r w:rsidRPr="00C369EC">
        <w:rPr>
          <w:rFonts w:ascii="Times New Roman" w:hAnsi="Times New Roman"/>
          <w:sz w:val="20"/>
          <w:szCs w:val="20"/>
        </w:rPr>
        <w:fldChar w:fldCharType="end"/>
      </w:r>
      <w:r w:rsidRPr="00C369EC">
        <w:rPr>
          <w:rFonts w:ascii="Times New Roman" w:hAnsi="Times New Roman"/>
          <w:sz w:val="20"/>
          <w:szCs w:val="20"/>
        </w:rPr>
        <w:t xml:space="preserve"> Number of decentralised evaluations quality assessed: 228 (2017), 254 (2018) and 210 (2019)</w:t>
      </w:r>
      <w:r w:rsidR="007B22E0" w:rsidRPr="00C369EC">
        <w:rPr>
          <w:rFonts w:ascii="Times New Roman" w:hAnsi="Times New Roman"/>
          <w:sz w:val="20"/>
          <w:szCs w:val="20"/>
        </w:rPr>
        <w:t>.</w:t>
      </w:r>
    </w:p>
    <w:p w14:paraId="4DE4CC26" w14:textId="77777777" w:rsidR="00016DE3" w:rsidRPr="00C369EC" w:rsidRDefault="00016DE3" w:rsidP="002E58A0">
      <w:pPr>
        <w:spacing w:after="0" w:line="240" w:lineRule="auto"/>
        <w:jc w:val="both"/>
        <w:rPr>
          <w:rFonts w:ascii="Times New Roman" w:hAnsi="Times New Roman"/>
          <w:b/>
          <w:bCs/>
          <w:caps/>
          <w:color w:val="464646"/>
          <w:shd w:val="clear" w:color="auto" w:fill="FFFFFF"/>
        </w:rPr>
      </w:pPr>
    </w:p>
    <w:p w14:paraId="5D78A312" w14:textId="0926E036" w:rsidR="00016DE3" w:rsidRPr="00C369EC" w:rsidRDefault="00016DE3" w:rsidP="002E58A0">
      <w:pPr>
        <w:pStyle w:val="ListParagraph"/>
        <w:widowControl w:val="0"/>
        <w:tabs>
          <w:tab w:val="left" w:pos="360"/>
        </w:tabs>
        <w:autoSpaceDE w:val="0"/>
        <w:autoSpaceDN w:val="0"/>
        <w:adjustRightInd w:val="0"/>
        <w:spacing w:after="0" w:line="240" w:lineRule="auto"/>
        <w:ind w:left="0"/>
        <w:contextualSpacing w:val="0"/>
        <w:jc w:val="both"/>
        <w:rPr>
          <w:rFonts w:ascii="Times New Roman" w:hAnsi="Times New Roman"/>
        </w:rPr>
      </w:pPr>
      <w:r w:rsidRPr="00C369EC">
        <w:rPr>
          <w:rFonts w:ascii="Times New Roman" w:hAnsi="Times New Roman"/>
          <w:color w:val="000000" w:themeColor="text1"/>
        </w:rPr>
        <w:t>The quality assessment plays a</w:t>
      </w:r>
      <w:r w:rsidR="00252CC8" w:rsidRPr="00C369EC">
        <w:rPr>
          <w:rFonts w:ascii="Times New Roman" w:hAnsi="Times New Roman"/>
          <w:color w:val="000000" w:themeColor="text1"/>
        </w:rPr>
        <w:t xml:space="preserve"> vital </w:t>
      </w:r>
      <w:r w:rsidRPr="00C369EC">
        <w:rPr>
          <w:rFonts w:ascii="Times New Roman" w:hAnsi="Times New Roman"/>
          <w:color w:val="000000" w:themeColor="text1"/>
        </w:rPr>
        <w:t xml:space="preserve">role as it allows </w:t>
      </w:r>
      <w:r w:rsidR="00840F77" w:rsidRPr="00C369EC">
        <w:rPr>
          <w:rFonts w:ascii="Times New Roman" w:hAnsi="Times New Roman"/>
        </w:rPr>
        <w:t xml:space="preserve">UNDP </w:t>
      </w:r>
      <w:r w:rsidRPr="00C369EC">
        <w:rPr>
          <w:rFonts w:ascii="Times New Roman" w:hAnsi="Times New Roman"/>
        </w:rPr>
        <w:t>to identify areas that could benefit from more support, both geographically and by evaluation type. IEO</w:t>
      </w:r>
      <w:r w:rsidR="00EA09A2" w:rsidRPr="00C369EC">
        <w:rPr>
          <w:rFonts w:ascii="Times New Roman" w:hAnsi="Times New Roman"/>
        </w:rPr>
        <w:t>’</w:t>
      </w:r>
      <w:r w:rsidRPr="00C369EC">
        <w:rPr>
          <w:rFonts w:ascii="Times New Roman" w:hAnsi="Times New Roman"/>
        </w:rPr>
        <w:t xml:space="preserve">s assessment reaffirms </w:t>
      </w:r>
      <w:r w:rsidR="00BA6B47" w:rsidRPr="00C369EC">
        <w:rPr>
          <w:rFonts w:ascii="Times New Roman" w:hAnsi="Times New Roman"/>
        </w:rPr>
        <w:t>areas of strength in dev</w:t>
      </w:r>
      <w:r w:rsidRPr="00C369EC">
        <w:rPr>
          <w:rFonts w:ascii="Times New Roman" w:hAnsi="Times New Roman"/>
        </w:rPr>
        <w:t>eloping terms of reference and evaluation design</w:t>
      </w:r>
      <w:r w:rsidR="00BA6B47" w:rsidRPr="00C369EC">
        <w:rPr>
          <w:rFonts w:ascii="Times New Roman" w:hAnsi="Times New Roman"/>
        </w:rPr>
        <w:t xml:space="preserve"> and </w:t>
      </w:r>
      <w:r w:rsidR="00252CC8" w:rsidRPr="00C369EC">
        <w:rPr>
          <w:rFonts w:ascii="Times New Roman" w:hAnsi="Times New Roman"/>
        </w:rPr>
        <w:t xml:space="preserve">links to </w:t>
      </w:r>
      <w:r w:rsidRPr="00C369EC">
        <w:rPr>
          <w:rFonts w:ascii="Times New Roman" w:hAnsi="Times New Roman"/>
        </w:rPr>
        <w:t>national strategies</w:t>
      </w:r>
      <w:r w:rsidR="00BA6B47" w:rsidRPr="00C369EC">
        <w:rPr>
          <w:rFonts w:ascii="Times New Roman" w:hAnsi="Times New Roman"/>
        </w:rPr>
        <w:t>.</w:t>
      </w:r>
      <w:r w:rsidR="002E58A0">
        <w:rPr>
          <w:rFonts w:ascii="Times New Roman" w:hAnsi="Times New Roman"/>
        </w:rPr>
        <w:t xml:space="preserve"> </w:t>
      </w:r>
      <w:r w:rsidR="00BA6B47" w:rsidRPr="00C369EC">
        <w:rPr>
          <w:rFonts w:ascii="Times New Roman" w:hAnsi="Times New Roman"/>
        </w:rPr>
        <w:t xml:space="preserve">One </w:t>
      </w:r>
      <w:r w:rsidR="00252CC8" w:rsidRPr="00C369EC">
        <w:rPr>
          <w:rFonts w:ascii="Times New Roman" w:hAnsi="Times New Roman"/>
        </w:rPr>
        <w:t>area of improvement relates to</w:t>
      </w:r>
      <w:r w:rsidRPr="00C369EC">
        <w:rPr>
          <w:rFonts w:ascii="Times New Roman" w:hAnsi="Times New Roman"/>
        </w:rPr>
        <w:t xml:space="preserve"> </w:t>
      </w:r>
      <w:r w:rsidR="00BA6B47" w:rsidRPr="00C369EC">
        <w:rPr>
          <w:rFonts w:ascii="Times New Roman" w:hAnsi="Times New Roman"/>
        </w:rPr>
        <w:t xml:space="preserve">addressing </w:t>
      </w:r>
      <w:r w:rsidRPr="00C369EC">
        <w:rPr>
          <w:rFonts w:ascii="Times New Roman" w:hAnsi="Times New Roman"/>
        </w:rPr>
        <w:t xml:space="preserve">cross-cutting </w:t>
      </w:r>
      <w:r w:rsidR="00F1390F" w:rsidRPr="00C369EC">
        <w:rPr>
          <w:rFonts w:ascii="Times New Roman" w:hAnsi="Times New Roman"/>
        </w:rPr>
        <w:t>issues</w:t>
      </w:r>
      <w:r w:rsidR="00BA6B47" w:rsidRPr="00C369EC">
        <w:rPr>
          <w:rFonts w:ascii="Times New Roman" w:hAnsi="Times New Roman"/>
        </w:rPr>
        <w:t xml:space="preserve"> where quality ratings improved by 6 </w:t>
      </w:r>
      <w:r w:rsidR="002E58A0">
        <w:rPr>
          <w:rFonts w:ascii="Times New Roman" w:hAnsi="Times New Roman"/>
        </w:rPr>
        <w:t>per cent</w:t>
      </w:r>
      <w:r w:rsidR="00CB281C">
        <w:rPr>
          <w:rFonts w:ascii="Times New Roman" w:hAnsi="Times New Roman"/>
        </w:rPr>
        <w:t xml:space="preserve"> </w:t>
      </w:r>
      <w:r w:rsidR="00BA6B47" w:rsidRPr="00C369EC">
        <w:rPr>
          <w:rFonts w:ascii="Times New Roman" w:hAnsi="Times New Roman"/>
        </w:rPr>
        <w:t>to</w:t>
      </w:r>
      <w:r w:rsidR="00CB281C">
        <w:rPr>
          <w:rFonts w:ascii="Times New Roman" w:hAnsi="Times New Roman"/>
        </w:rPr>
        <w:t xml:space="preserve"> </w:t>
      </w:r>
      <w:r w:rsidRPr="00C369EC">
        <w:rPr>
          <w:rFonts w:ascii="Times New Roman" w:hAnsi="Times New Roman"/>
        </w:rPr>
        <w:t>66</w:t>
      </w:r>
      <w:r w:rsidR="00BA6B47" w:rsidRPr="00C369EC">
        <w:rPr>
          <w:rFonts w:ascii="Times New Roman" w:hAnsi="Times New Roman"/>
        </w:rPr>
        <w:t xml:space="preserve"> </w:t>
      </w:r>
      <w:r w:rsidR="002E58A0">
        <w:rPr>
          <w:rFonts w:ascii="Times New Roman" w:hAnsi="Times New Roman"/>
        </w:rPr>
        <w:t>per cent</w:t>
      </w:r>
      <w:r w:rsidR="00CB281C">
        <w:rPr>
          <w:rFonts w:ascii="Times New Roman" w:hAnsi="Times New Roman"/>
        </w:rPr>
        <w:t xml:space="preserve">. </w:t>
      </w:r>
      <w:r w:rsidR="002B6F0A">
        <w:rPr>
          <w:rFonts w:ascii="Times New Roman" w:hAnsi="Times New Roman"/>
        </w:rPr>
        <w:t>However, m</w:t>
      </w:r>
      <w:r w:rsidR="00BA6B47" w:rsidRPr="00C369EC">
        <w:rPr>
          <w:rFonts w:ascii="Times New Roman" w:hAnsi="Times New Roman"/>
        </w:rPr>
        <w:t>ore efforts are needed</w:t>
      </w:r>
      <w:r w:rsidR="002B6F0A">
        <w:rPr>
          <w:rFonts w:ascii="Times New Roman" w:hAnsi="Times New Roman"/>
        </w:rPr>
        <w:t xml:space="preserve"> </w:t>
      </w:r>
      <w:r w:rsidR="000B4AF5">
        <w:rPr>
          <w:rFonts w:ascii="Times New Roman" w:hAnsi="Times New Roman"/>
        </w:rPr>
        <w:t>concerning</w:t>
      </w:r>
      <w:r w:rsidR="00BA6B47" w:rsidRPr="00C369EC">
        <w:rPr>
          <w:rFonts w:ascii="Times New Roman" w:hAnsi="Times New Roman"/>
        </w:rPr>
        <w:t xml:space="preserve"> </w:t>
      </w:r>
      <w:r w:rsidR="004F566D">
        <w:rPr>
          <w:rFonts w:ascii="Times New Roman" w:hAnsi="Times New Roman"/>
        </w:rPr>
        <w:t xml:space="preserve">the </w:t>
      </w:r>
      <w:r w:rsidRPr="00C369EC">
        <w:rPr>
          <w:rFonts w:ascii="Times New Roman" w:hAnsi="Times New Roman"/>
        </w:rPr>
        <w:t xml:space="preserve">usage of gender-responsive methodologies, linking reports to the </w:t>
      </w:r>
      <w:r w:rsidR="008A1377" w:rsidRPr="00C369EC">
        <w:rPr>
          <w:rFonts w:ascii="Times New Roman" w:hAnsi="Times New Roman"/>
        </w:rPr>
        <w:t>Sustainable Development Goals (SDGs)</w:t>
      </w:r>
      <w:r w:rsidRPr="00C369EC">
        <w:rPr>
          <w:rFonts w:ascii="Times New Roman" w:hAnsi="Times New Roman"/>
        </w:rPr>
        <w:t xml:space="preserve"> and </w:t>
      </w:r>
      <w:r w:rsidR="00BA6B47" w:rsidRPr="00C369EC">
        <w:rPr>
          <w:rFonts w:ascii="Times New Roman" w:hAnsi="Times New Roman"/>
        </w:rPr>
        <w:t xml:space="preserve">incorporating </w:t>
      </w:r>
      <w:r w:rsidRPr="00C369EC">
        <w:rPr>
          <w:rFonts w:ascii="Times New Roman" w:hAnsi="Times New Roman"/>
        </w:rPr>
        <w:t>risk consideration</w:t>
      </w:r>
      <w:r w:rsidR="00BA6B47" w:rsidRPr="00C369EC">
        <w:rPr>
          <w:rFonts w:ascii="Times New Roman" w:hAnsi="Times New Roman"/>
        </w:rPr>
        <w:t>s.</w:t>
      </w:r>
      <w:r w:rsidRPr="00C369EC">
        <w:rPr>
          <w:rFonts w:ascii="Times New Roman" w:hAnsi="Times New Roman"/>
        </w:rPr>
        <w:t xml:space="preserve"> </w:t>
      </w:r>
      <w:r w:rsidR="00BA6B47" w:rsidRPr="00C369EC">
        <w:rPr>
          <w:rFonts w:ascii="Times New Roman" w:hAnsi="Times New Roman"/>
        </w:rPr>
        <w:t xml:space="preserve">This </w:t>
      </w:r>
      <w:r w:rsidRPr="00C369EC">
        <w:rPr>
          <w:rFonts w:ascii="Times New Roman" w:hAnsi="Times New Roman"/>
          <w:color w:val="000000" w:themeColor="text1"/>
        </w:rPr>
        <w:t xml:space="preserve">analysis </w:t>
      </w:r>
      <w:r w:rsidR="00BA6B47" w:rsidRPr="00C369EC">
        <w:rPr>
          <w:rFonts w:ascii="Times New Roman" w:hAnsi="Times New Roman"/>
          <w:color w:val="000000" w:themeColor="text1"/>
        </w:rPr>
        <w:t xml:space="preserve">will be used </w:t>
      </w:r>
      <w:r w:rsidR="00027779">
        <w:rPr>
          <w:rFonts w:ascii="Times New Roman" w:hAnsi="Times New Roman"/>
          <w:color w:val="000000" w:themeColor="text1"/>
        </w:rPr>
        <w:t xml:space="preserve">to improve </w:t>
      </w:r>
      <w:r w:rsidR="00BA6B47" w:rsidRPr="00C369EC">
        <w:rPr>
          <w:rFonts w:ascii="Times New Roman" w:hAnsi="Times New Roman"/>
        </w:rPr>
        <w:t>the</w:t>
      </w:r>
      <w:r w:rsidRPr="00C369EC">
        <w:rPr>
          <w:rFonts w:ascii="Times New Roman" w:hAnsi="Times New Roman"/>
        </w:rPr>
        <w:t xml:space="preserve"> quality </w:t>
      </w:r>
      <w:r w:rsidR="00BA6B47" w:rsidRPr="00C369EC">
        <w:rPr>
          <w:rFonts w:ascii="Times New Roman" w:hAnsi="Times New Roman"/>
        </w:rPr>
        <w:t xml:space="preserve">of </w:t>
      </w:r>
      <w:r w:rsidR="00027779">
        <w:rPr>
          <w:rFonts w:ascii="Times New Roman" w:hAnsi="Times New Roman"/>
        </w:rPr>
        <w:t xml:space="preserve">future </w:t>
      </w:r>
      <w:r w:rsidRPr="00C369EC">
        <w:rPr>
          <w:rFonts w:ascii="Times New Roman" w:hAnsi="Times New Roman"/>
        </w:rPr>
        <w:t xml:space="preserve">evaluation reports. </w:t>
      </w:r>
    </w:p>
    <w:p w14:paraId="05AC6181" w14:textId="0C514D75" w:rsidR="00016DE3" w:rsidRPr="00C369EC" w:rsidRDefault="00016DE3" w:rsidP="002E58A0">
      <w:pPr>
        <w:spacing w:after="0" w:line="240" w:lineRule="auto"/>
        <w:jc w:val="both"/>
        <w:rPr>
          <w:rFonts w:ascii="Times New Roman" w:hAnsi="Times New Roman"/>
        </w:rPr>
      </w:pPr>
    </w:p>
    <w:p w14:paraId="017CE780" w14:textId="77777777" w:rsidR="00107E69" w:rsidRPr="00C369EC" w:rsidRDefault="00016DE3" w:rsidP="002E58A0">
      <w:pPr>
        <w:keepNext/>
        <w:spacing w:after="0" w:line="240" w:lineRule="auto"/>
        <w:jc w:val="both"/>
        <w:rPr>
          <w:rFonts w:ascii="Times New Roman" w:hAnsi="Times New Roman"/>
        </w:rPr>
      </w:pPr>
      <w:r w:rsidRPr="00C369EC">
        <w:rPr>
          <w:rFonts w:ascii="Times New Roman" w:hAnsi="Times New Roman"/>
          <w:noProof/>
        </w:rPr>
        <w:lastRenderedPageBreak/>
        <w:drawing>
          <wp:inline distT="0" distB="0" distL="0" distR="0" wp14:anchorId="5D37BB14" wp14:editId="20D2BA16">
            <wp:extent cx="5899150" cy="2057400"/>
            <wp:effectExtent l="0" t="0" r="6350" b="0"/>
            <wp:docPr id="3" name="Chart 3">
              <a:extLst xmlns:a="http://schemas.openxmlformats.org/drawingml/2006/main">
                <a:ext uri="{FF2B5EF4-FFF2-40B4-BE49-F238E27FC236}">
                  <a16:creationId xmlns:a16="http://schemas.microsoft.com/office/drawing/2014/main" id="{8684C382-36A7-43BF-8550-489C263237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532D60" w14:textId="4873E2DB" w:rsidR="00016DE3" w:rsidRPr="00C369EC" w:rsidRDefault="00107E69" w:rsidP="002E58A0">
      <w:pPr>
        <w:pStyle w:val="Caption"/>
        <w:spacing w:after="0"/>
        <w:jc w:val="both"/>
        <w:rPr>
          <w:rFonts w:ascii="Times New Roman" w:hAnsi="Times New Roman"/>
          <w:sz w:val="20"/>
          <w:szCs w:val="20"/>
        </w:rPr>
      </w:pPr>
      <w:r w:rsidRPr="00C369EC">
        <w:rPr>
          <w:rFonts w:ascii="Times New Roman" w:hAnsi="Times New Roman"/>
          <w:sz w:val="20"/>
          <w:szCs w:val="20"/>
        </w:rPr>
        <w:t xml:space="preserve">Figure </w:t>
      </w:r>
      <w:r w:rsidRPr="00C369EC">
        <w:rPr>
          <w:rFonts w:ascii="Times New Roman" w:hAnsi="Times New Roman"/>
          <w:sz w:val="20"/>
          <w:szCs w:val="20"/>
        </w:rPr>
        <w:fldChar w:fldCharType="begin"/>
      </w:r>
      <w:r w:rsidRPr="00C369EC">
        <w:rPr>
          <w:rFonts w:ascii="Times New Roman" w:hAnsi="Times New Roman"/>
          <w:sz w:val="20"/>
          <w:szCs w:val="20"/>
        </w:rPr>
        <w:instrText xml:space="preserve"> SEQ Figure \* ARABIC </w:instrText>
      </w:r>
      <w:r w:rsidRPr="00C369EC">
        <w:rPr>
          <w:rFonts w:ascii="Times New Roman" w:hAnsi="Times New Roman"/>
          <w:sz w:val="20"/>
          <w:szCs w:val="20"/>
        </w:rPr>
        <w:fldChar w:fldCharType="separate"/>
      </w:r>
      <w:r w:rsidRPr="00C369EC">
        <w:rPr>
          <w:rFonts w:ascii="Times New Roman" w:hAnsi="Times New Roman"/>
          <w:sz w:val="20"/>
          <w:szCs w:val="20"/>
        </w:rPr>
        <w:t>3</w:t>
      </w:r>
      <w:r w:rsidRPr="00C369EC">
        <w:rPr>
          <w:rFonts w:ascii="Times New Roman" w:hAnsi="Times New Roman"/>
          <w:sz w:val="20"/>
          <w:szCs w:val="20"/>
        </w:rPr>
        <w:fldChar w:fldCharType="end"/>
      </w:r>
      <w:r w:rsidRPr="00C369EC">
        <w:rPr>
          <w:rFonts w:ascii="Times New Roman" w:hAnsi="Times New Roman"/>
          <w:sz w:val="20"/>
          <w:szCs w:val="20"/>
        </w:rPr>
        <w:t xml:space="preserve">, </w:t>
      </w:r>
      <w:r w:rsidR="008D4A9E">
        <w:rPr>
          <w:rFonts w:ascii="Times New Roman" w:hAnsi="Times New Roman"/>
          <w:sz w:val="20"/>
          <w:szCs w:val="20"/>
        </w:rPr>
        <w:t>R</w:t>
      </w:r>
      <w:r w:rsidRPr="00C369EC">
        <w:rPr>
          <w:rFonts w:ascii="Times New Roman" w:hAnsi="Times New Roman"/>
          <w:sz w:val="20"/>
          <w:szCs w:val="20"/>
        </w:rPr>
        <w:t>ating based on the four quality assessment ratings</w:t>
      </w:r>
      <w:r w:rsidR="00650595" w:rsidRPr="00C369EC">
        <w:rPr>
          <w:rFonts w:ascii="Times New Roman" w:hAnsi="Times New Roman"/>
          <w:sz w:val="20"/>
          <w:szCs w:val="20"/>
        </w:rPr>
        <w:t xml:space="preserve"> </w:t>
      </w:r>
      <w:r w:rsidR="00AA301C" w:rsidRPr="00C369EC">
        <w:rPr>
          <w:rFonts w:ascii="Times New Roman" w:hAnsi="Times New Roman"/>
          <w:sz w:val="20"/>
          <w:szCs w:val="20"/>
        </w:rPr>
        <w:t>– measuring 201 quality assessed reports</w:t>
      </w:r>
      <w:r w:rsidR="007B22E0" w:rsidRPr="00C369EC">
        <w:rPr>
          <w:rFonts w:ascii="Times New Roman" w:hAnsi="Times New Roman"/>
          <w:sz w:val="20"/>
          <w:szCs w:val="20"/>
        </w:rPr>
        <w:t>.</w:t>
      </w:r>
    </w:p>
    <w:p w14:paraId="4A0CDC45" w14:textId="77777777" w:rsidR="002E58A0" w:rsidRDefault="002E58A0" w:rsidP="002E58A0">
      <w:pPr>
        <w:spacing w:after="0" w:line="240" w:lineRule="auto"/>
        <w:jc w:val="both"/>
        <w:rPr>
          <w:rFonts w:ascii="Times New Roman" w:eastAsia="Times New Roman,Batang" w:hAnsi="Times New Roman"/>
          <w:bCs/>
          <w:lang w:eastAsia="ko-KR"/>
        </w:rPr>
      </w:pPr>
    </w:p>
    <w:p w14:paraId="1ADD3CF0" w14:textId="21C398D7" w:rsidR="00121427" w:rsidRPr="00C369EC" w:rsidRDefault="00121427" w:rsidP="002E58A0">
      <w:pPr>
        <w:spacing w:after="0" w:line="240" w:lineRule="auto"/>
        <w:jc w:val="both"/>
        <w:rPr>
          <w:rFonts w:ascii="Times New Roman" w:hAnsi="Times New Roman"/>
          <w:shd w:val="clear" w:color="auto" w:fill="FFFFFF"/>
        </w:rPr>
      </w:pPr>
      <w:r w:rsidRPr="00C369EC">
        <w:rPr>
          <w:rFonts w:ascii="Times New Roman" w:eastAsia="Times New Roman,Batang" w:hAnsi="Times New Roman"/>
          <w:bCs/>
          <w:lang w:eastAsia="ko-KR"/>
        </w:rPr>
        <w:t>One of the highest-rated evaluations in 2019 was t</w:t>
      </w:r>
      <w:r w:rsidRPr="00C369EC">
        <w:rPr>
          <w:rFonts w:ascii="Times New Roman" w:hAnsi="Times New Roman"/>
          <w:shd w:val="clear" w:color="auto" w:fill="FFFFFF"/>
        </w:rPr>
        <w:t xml:space="preserve">he project evaluation, </w:t>
      </w:r>
      <w:r w:rsidR="00EA09A2" w:rsidRPr="00C369EC">
        <w:rPr>
          <w:rFonts w:ascii="Times New Roman" w:hAnsi="Times New Roman"/>
          <w:shd w:val="clear" w:color="auto" w:fill="FFFFFF"/>
        </w:rPr>
        <w:t>“</w:t>
      </w:r>
      <w:r w:rsidRPr="00C369EC">
        <w:rPr>
          <w:rFonts w:ascii="Times New Roman" w:hAnsi="Times New Roman"/>
          <w:i/>
          <w:iCs/>
          <w:shd w:val="clear" w:color="auto" w:fill="FFFFFF"/>
        </w:rPr>
        <w:t>Final Evaluation for Wetlands Portfolio – National</w:t>
      </w:r>
      <w:r w:rsidR="00EA09A2" w:rsidRPr="00C369EC">
        <w:rPr>
          <w:rFonts w:ascii="Times New Roman" w:hAnsi="Times New Roman"/>
          <w:i/>
          <w:iCs/>
          <w:shd w:val="clear" w:color="auto" w:fill="FFFFFF"/>
        </w:rPr>
        <w:t>”</w:t>
      </w:r>
      <w:r w:rsidRPr="00C369EC">
        <w:rPr>
          <w:rFonts w:ascii="Times New Roman" w:hAnsi="Times New Roman"/>
          <w:shd w:val="clear" w:color="auto" w:fill="FFFFFF"/>
        </w:rPr>
        <w:t xml:space="preserve"> conducted by the </w:t>
      </w:r>
      <w:r w:rsidR="009A32B9">
        <w:rPr>
          <w:rFonts w:ascii="Times New Roman" w:hAnsi="Times New Roman"/>
          <w:shd w:val="clear" w:color="auto" w:fill="FFFFFF"/>
        </w:rPr>
        <w:t xml:space="preserve">UNDP in </w:t>
      </w:r>
      <w:r w:rsidRPr="00C369EC">
        <w:rPr>
          <w:rFonts w:ascii="Times New Roman" w:hAnsi="Times New Roman"/>
          <w:shd w:val="clear" w:color="auto" w:fill="FFFFFF"/>
        </w:rPr>
        <w:t>China</w:t>
      </w:r>
      <w:r w:rsidR="002336A4" w:rsidRPr="00C369EC">
        <w:rPr>
          <w:rFonts w:ascii="Times New Roman" w:hAnsi="Times New Roman"/>
          <w:shd w:val="clear" w:color="auto" w:fill="FFFFFF"/>
        </w:rPr>
        <w:t xml:space="preserve">; </w:t>
      </w:r>
      <w:r w:rsidRPr="00C369EC">
        <w:rPr>
          <w:rFonts w:ascii="Times New Roman" w:hAnsi="Times New Roman"/>
          <w:shd w:val="clear" w:color="auto" w:fill="FFFFFF"/>
        </w:rPr>
        <w:t>three out of the four sections</w:t>
      </w:r>
      <w:r w:rsidRPr="00C369EC">
        <w:rPr>
          <w:rStyle w:val="FootnoteReference"/>
          <w:rFonts w:ascii="Times New Roman" w:hAnsi="Times New Roman"/>
          <w:shd w:val="clear" w:color="auto" w:fill="FFFFFF"/>
        </w:rPr>
        <w:t xml:space="preserve"> </w:t>
      </w:r>
      <w:r w:rsidRPr="00C369EC">
        <w:rPr>
          <w:rStyle w:val="FootnoteReference"/>
          <w:rFonts w:ascii="Times New Roman" w:hAnsi="Times New Roman"/>
          <w:shd w:val="clear" w:color="auto" w:fill="FFFFFF"/>
        </w:rPr>
        <w:footnoteReference w:id="4"/>
      </w:r>
      <w:r w:rsidRPr="00C369EC">
        <w:rPr>
          <w:rFonts w:ascii="Times New Roman" w:hAnsi="Times New Roman"/>
          <w:shd w:val="clear" w:color="auto" w:fill="FFFFFF"/>
        </w:rPr>
        <w:t xml:space="preserve"> rated as highly satisfactory. The evaluation presented a high quality and logic flow with proper justifications for conclusions and recommendations. The report provide</w:t>
      </w:r>
      <w:r w:rsidR="002E58A0">
        <w:rPr>
          <w:rFonts w:ascii="Times New Roman" w:hAnsi="Times New Roman"/>
          <w:shd w:val="clear" w:color="auto" w:fill="FFFFFF"/>
        </w:rPr>
        <w:t>d</w:t>
      </w:r>
      <w:r w:rsidRPr="00C369EC">
        <w:rPr>
          <w:rFonts w:ascii="Times New Roman" w:hAnsi="Times New Roman"/>
          <w:shd w:val="clear" w:color="auto" w:fill="FFFFFF"/>
        </w:rPr>
        <w:t xml:space="preserve"> </w:t>
      </w:r>
      <w:r w:rsidR="000E6A3B" w:rsidRPr="00C369EC">
        <w:rPr>
          <w:rFonts w:ascii="Times New Roman" w:hAnsi="Times New Roman"/>
          <w:shd w:val="clear" w:color="auto" w:fill="FFFFFF"/>
        </w:rPr>
        <w:t>useful</w:t>
      </w:r>
      <w:r w:rsidRPr="00C369EC">
        <w:rPr>
          <w:rFonts w:ascii="Times New Roman" w:hAnsi="Times New Roman"/>
          <w:shd w:val="clear" w:color="auto" w:fill="FFFFFF"/>
        </w:rPr>
        <w:t xml:space="preserve"> lessons for future start-ups, </w:t>
      </w:r>
      <w:r w:rsidR="00FB08AB">
        <w:rPr>
          <w:rFonts w:ascii="Times New Roman" w:hAnsi="Times New Roman"/>
          <w:shd w:val="clear" w:color="auto" w:fill="FFFFFF"/>
        </w:rPr>
        <w:t xml:space="preserve">noting </w:t>
      </w:r>
      <w:r w:rsidR="00FB08AB" w:rsidRPr="00C369EC">
        <w:rPr>
          <w:rFonts w:ascii="Times New Roman" w:hAnsi="Times New Roman"/>
          <w:shd w:val="clear" w:color="auto" w:fill="FFFFFF"/>
        </w:rPr>
        <w:t>the</w:t>
      </w:r>
      <w:r w:rsidRPr="00C369EC">
        <w:rPr>
          <w:rFonts w:ascii="Times New Roman" w:hAnsi="Times New Roman"/>
          <w:shd w:val="clear" w:color="auto" w:fill="FFFFFF"/>
        </w:rPr>
        <w:t xml:space="preserve"> importance of sufficient validation of the project strategy at the project inception</w:t>
      </w:r>
      <w:r w:rsidRPr="00C369EC">
        <w:rPr>
          <w:rStyle w:val="FootnoteReference"/>
          <w:rFonts w:ascii="Times New Roman" w:hAnsi="Times New Roman"/>
          <w:shd w:val="clear" w:color="auto" w:fill="FFFFFF"/>
        </w:rPr>
        <w:footnoteReference w:id="5"/>
      </w:r>
      <w:r w:rsidRPr="00C369EC">
        <w:rPr>
          <w:rFonts w:ascii="Times New Roman" w:hAnsi="Times New Roman"/>
          <w:shd w:val="clear" w:color="auto" w:fill="FFFFFF"/>
        </w:rPr>
        <w:t xml:space="preserve">. </w:t>
      </w:r>
      <w:r w:rsidR="002E58A0">
        <w:rPr>
          <w:rFonts w:ascii="Times New Roman" w:hAnsi="Times New Roman"/>
          <w:shd w:val="clear" w:color="auto" w:fill="FFFFFF"/>
        </w:rPr>
        <w:t>O</w:t>
      </w:r>
      <w:r w:rsidRPr="00C369EC">
        <w:rPr>
          <w:rFonts w:ascii="Times New Roman" w:hAnsi="Times New Roman"/>
          <w:shd w:val="clear" w:color="auto" w:fill="FFFFFF"/>
        </w:rPr>
        <w:t>ther high</w:t>
      </w:r>
      <w:r w:rsidR="00F57EE8" w:rsidRPr="00C369EC">
        <w:rPr>
          <w:rFonts w:ascii="Times New Roman" w:hAnsi="Times New Roman"/>
          <w:shd w:val="clear" w:color="auto" w:fill="FFFFFF"/>
        </w:rPr>
        <w:t>-</w:t>
      </w:r>
      <w:r w:rsidRPr="00C369EC">
        <w:rPr>
          <w:rFonts w:ascii="Times New Roman" w:hAnsi="Times New Roman"/>
          <w:shd w:val="clear" w:color="auto" w:fill="FFFFFF"/>
        </w:rPr>
        <w:t xml:space="preserve">quality evaluations include the </w:t>
      </w:r>
      <w:r w:rsidR="00EA09A2" w:rsidRPr="00C369EC">
        <w:rPr>
          <w:rFonts w:ascii="Times New Roman" w:hAnsi="Times New Roman"/>
          <w:shd w:val="clear" w:color="auto" w:fill="FFFFFF"/>
        </w:rPr>
        <w:t>“</w:t>
      </w:r>
      <w:r w:rsidRPr="00C369EC">
        <w:rPr>
          <w:rFonts w:ascii="Times New Roman" w:hAnsi="Times New Roman"/>
          <w:i/>
          <w:iCs/>
          <w:shd w:val="clear" w:color="auto" w:fill="FFFFFF"/>
        </w:rPr>
        <w:t>Mid-</w:t>
      </w:r>
      <w:r w:rsidRPr="00C369EC">
        <w:rPr>
          <w:rFonts w:ascii="Times New Roman" w:hAnsi="Times New Roman"/>
          <w:i/>
          <w:iCs/>
        </w:rPr>
        <w:t>Term Evaluation of the Shaping Inclusive Finance Transformations Programme SAARC Region</w:t>
      </w:r>
      <w:r w:rsidR="00EA09A2" w:rsidRPr="00C369EC">
        <w:rPr>
          <w:rFonts w:ascii="Times New Roman" w:hAnsi="Times New Roman"/>
          <w:i/>
          <w:iCs/>
        </w:rPr>
        <w:t>”</w:t>
      </w:r>
      <w:r w:rsidRPr="00C369EC">
        <w:rPr>
          <w:rFonts w:ascii="Times New Roman" w:hAnsi="Times New Roman"/>
        </w:rPr>
        <w:t xml:space="preserve"> conducted by UNCDF, </w:t>
      </w:r>
      <w:r w:rsidR="00EA09A2" w:rsidRPr="00C369EC">
        <w:rPr>
          <w:rFonts w:ascii="Times New Roman" w:hAnsi="Times New Roman"/>
        </w:rPr>
        <w:t>“</w:t>
      </w:r>
      <w:r w:rsidRPr="00C369EC">
        <w:rPr>
          <w:rFonts w:ascii="Times New Roman" w:hAnsi="Times New Roman"/>
          <w:i/>
          <w:iCs/>
        </w:rPr>
        <w:t xml:space="preserve">Evaluation Finale du projet «Diversification des opportunités économiques pour la promotion des </w:t>
      </w:r>
      <w:proofErr w:type="spellStart"/>
      <w:r w:rsidRPr="00C369EC">
        <w:rPr>
          <w:rFonts w:ascii="Times New Roman" w:hAnsi="Times New Roman"/>
          <w:i/>
          <w:iCs/>
        </w:rPr>
        <w:t>coopératives</w:t>
      </w:r>
      <w:proofErr w:type="spellEnd"/>
      <w:r w:rsidRPr="00C369EC">
        <w:rPr>
          <w:rFonts w:ascii="Times New Roman" w:hAnsi="Times New Roman"/>
          <w:i/>
          <w:iCs/>
        </w:rPr>
        <w:t xml:space="preserve"> </w:t>
      </w:r>
      <w:proofErr w:type="spellStart"/>
      <w:r w:rsidRPr="00C369EC">
        <w:rPr>
          <w:rFonts w:ascii="Times New Roman" w:hAnsi="Times New Roman"/>
          <w:i/>
          <w:iCs/>
        </w:rPr>
        <w:t>artisanales</w:t>
      </w:r>
      <w:proofErr w:type="spellEnd"/>
      <w:r w:rsidRPr="00C369EC">
        <w:rPr>
          <w:rFonts w:ascii="Times New Roman" w:hAnsi="Times New Roman"/>
          <w:i/>
          <w:iCs/>
        </w:rPr>
        <w:t xml:space="preserve"> et </w:t>
      </w:r>
      <w:proofErr w:type="spellStart"/>
      <w:r w:rsidRPr="00C369EC">
        <w:rPr>
          <w:rFonts w:ascii="Times New Roman" w:hAnsi="Times New Roman"/>
          <w:i/>
          <w:iCs/>
        </w:rPr>
        <w:t>l</w:t>
      </w:r>
      <w:r w:rsidR="00EA09A2" w:rsidRPr="00C369EC">
        <w:rPr>
          <w:rFonts w:ascii="Times New Roman" w:hAnsi="Times New Roman"/>
          <w:i/>
          <w:iCs/>
        </w:rPr>
        <w:t>’</w:t>
      </w:r>
      <w:r w:rsidRPr="00C369EC">
        <w:rPr>
          <w:rFonts w:ascii="Times New Roman" w:hAnsi="Times New Roman"/>
          <w:i/>
          <w:iCs/>
        </w:rPr>
        <w:t>accès</w:t>
      </w:r>
      <w:proofErr w:type="spellEnd"/>
      <w:r w:rsidRPr="00C369EC">
        <w:rPr>
          <w:rFonts w:ascii="Times New Roman" w:hAnsi="Times New Roman"/>
          <w:i/>
          <w:iCs/>
        </w:rPr>
        <w:t xml:space="preserve"> aux </w:t>
      </w:r>
      <w:proofErr w:type="spellStart"/>
      <w:r w:rsidRPr="00C369EC">
        <w:rPr>
          <w:rFonts w:ascii="Times New Roman" w:hAnsi="Times New Roman"/>
          <w:i/>
          <w:iCs/>
        </w:rPr>
        <w:t>marchés</w:t>
      </w:r>
      <w:proofErr w:type="spellEnd"/>
      <w:r w:rsidRPr="00C369EC">
        <w:rPr>
          <w:rFonts w:ascii="Times New Roman" w:hAnsi="Times New Roman"/>
          <w:i/>
          <w:iCs/>
        </w:rPr>
        <w:t xml:space="preserve"> </w:t>
      </w:r>
      <w:proofErr w:type="spellStart"/>
      <w:r w:rsidRPr="00C369EC">
        <w:rPr>
          <w:rFonts w:ascii="Times New Roman" w:hAnsi="Times New Roman"/>
          <w:i/>
          <w:iCs/>
        </w:rPr>
        <w:t>nationaux</w:t>
      </w:r>
      <w:proofErr w:type="spellEnd"/>
      <w:r w:rsidRPr="00C369EC">
        <w:rPr>
          <w:rFonts w:ascii="Times New Roman" w:hAnsi="Times New Roman"/>
          <w:i/>
          <w:iCs/>
        </w:rPr>
        <w:t xml:space="preserve"> et </w:t>
      </w:r>
      <w:proofErr w:type="spellStart"/>
      <w:r w:rsidRPr="00C369EC">
        <w:rPr>
          <w:rFonts w:ascii="Times New Roman" w:hAnsi="Times New Roman"/>
          <w:i/>
          <w:iCs/>
        </w:rPr>
        <w:t>Internationaux</w:t>
      </w:r>
      <w:proofErr w:type="spellEnd"/>
      <w:r w:rsidR="00EA09A2" w:rsidRPr="00C369EC">
        <w:rPr>
          <w:rFonts w:ascii="Times New Roman" w:hAnsi="Times New Roman"/>
          <w:i/>
          <w:iCs/>
        </w:rPr>
        <w:t>”</w:t>
      </w:r>
      <w:r w:rsidRPr="00C369EC">
        <w:rPr>
          <w:rFonts w:ascii="Times New Roman" w:hAnsi="Times New Roman"/>
        </w:rPr>
        <w:t xml:space="preserve">, conducted by </w:t>
      </w:r>
      <w:r w:rsidR="00394F72">
        <w:rPr>
          <w:rFonts w:ascii="Times New Roman" w:hAnsi="Times New Roman"/>
        </w:rPr>
        <w:t>UNDP</w:t>
      </w:r>
      <w:r w:rsidR="00394F72" w:rsidRPr="00C369EC">
        <w:rPr>
          <w:rFonts w:ascii="Times New Roman" w:hAnsi="Times New Roman"/>
        </w:rPr>
        <w:t xml:space="preserve"> </w:t>
      </w:r>
      <w:r w:rsidR="00394F72">
        <w:rPr>
          <w:rFonts w:ascii="Times New Roman" w:hAnsi="Times New Roman"/>
        </w:rPr>
        <w:t xml:space="preserve"> in </w:t>
      </w:r>
      <w:r w:rsidRPr="00C369EC">
        <w:rPr>
          <w:rFonts w:ascii="Times New Roman" w:hAnsi="Times New Roman"/>
        </w:rPr>
        <w:t>Burundi, and</w:t>
      </w:r>
      <w:r w:rsidRPr="00C369EC">
        <w:rPr>
          <w:rFonts w:ascii="Times New Roman" w:hAnsi="Times New Roman"/>
          <w:shd w:val="clear" w:color="auto" w:fill="F9F9F9"/>
        </w:rPr>
        <w:t xml:space="preserve"> the </w:t>
      </w:r>
      <w:r w:rsidR="00EA09A2" w:rsidRPr="00C369EC">
        <w:rPr>
          <w:rFonts w:ascii="Times New Roman" w:hAnsi="Times New Roman"/>
          <w:shd w:val="clear" w:color="auto" w:fill="F9F9F9"/>
        </w:rPr>
        <w:t>“</w:t>
      </w:r>
      <w:r w:rsidRPr="00C369EC">
        <w:rPr>
          <w:rFonts w:ascii="Times New Roman" w:hAnsi="Times New Roman"/>
          <w:i/>
          <w:iCs/>
        </w:rPr>
        <w:t>External Review and Mid-Term Evaluation of the Project - Afghanistan Access to Justice (AA2J)</w:t>
      </w:r>
      <w:r w:rsidR="00EA09A2" w:rsidRPr="00C369EC">
        <w:rPr>
          <w:rFonts w:ascii="Times New Roman" w:hAnsi="Times New Roman"/>
          <w:i/>
          <w:iCs/>
        </w:rPr>
        <w:t>”</w:t>
      </w:r>
      <w:r w:rsidRPr="00C369EC">
        <w:rPr>
          <w:rFonts w:ascii="Times New Roman" w:hAnsi="Times New Roman"/>
        </w:rPr>
        <w:t xml:space="preserve"> conducted by </w:t>
      </w:r>
      <w:r w:rsidR="009A32B9">
        <w:rPr>
          <w:rFonts w:ascii="Times New Roman" w:hAnsi="Times New Roman"/>
        </w:rPr>
        <w:t xml:space="preserve">UNDP in </w:t>
      </w:r>
      <w:r w:rsidRPr="00C369EC">
        <w:rPr>
          <w:rFonts w:ascii="Times New Roman" w:hAnsi="Times New Roman"/>
        </w:rPr>
        <w:t xml:space="preserve">Afghanistan. </w:t>
      </w:r>
    </w:p>
    <w:p w14:paraId="5C1811BB" w14:textId="77777777" w:rsidR="00F57EE8" w:rsidRPr="00C369EC" w:rsidRDefault="00F57EE8" w:rsidP="002E58A0">
      <w:pPr>
        <w:spacing w:after="0" w:line="240" w:lineRule="auto"/>
        <w:jc w:val="both"/>
        <w:rPr>
          <w:rFonts w:ascii="Times New Roman" w:hAnsi="Times New Roman"/>
          <w:shd w:val="clear" w:color="auto" w:fill="FFFFFF"/>
        </w:rPr>
      </w:pPr>
    </w:p>
    <w:p w14:paraId="1E799912" w14:textId="723D60DC" w:rsidR="009745F1" w:rsidRDefault="00121427" w:rsidP="002E58A0">
      <w:pPr>
        <w:spacing w:after="0" w:line="240" w:lineRule="auto"/>
        <w:jc w:val="both"/>
        <w:rPr>
          <w:rFonts w:ascii="Times New Roman" w:hAnsi="Times New Roman"/>
        </w:rPr>
      </w:pPr>
      <w:r w:rsidRPr="00631446">
        <w:rPr>
          <w:rFonts w:ascii="Times New Roman" w:hAnsi="Times New Roman"/>
          <w:bCs/>
        </w:rPr>
        <w:t xml:space="preserve">As part of its efforts to </w:t>
      </w:r>
      <w:r w:rsidR="00016DE3" w:rsidRPr="00631446">
        <w:rPr>
          <w:rFonts w:ascii="Times New Roman" w:hAnsi="Times New Roman"/>
          <w:bCs/>
        </w:rPr>
        <w:t>improve the quality of decentralised evaluation</w:t>
      </w:r>
      <w:r w:rsidR="000A0344" w:rsidRPr="00631446">
        <w:rPr>
          <w:rFonts w:ascii="Times New Roman" w:hAnsi="Times New Roman"/>
          <w:bCs/>
        </w:rPr>
        <w:t xml:space="preserve">, </w:t>
      </w:r>
      <w:r w:rsidRPr="00631446">
        <w:rPr>
          <w:rFonts w:ascii="Times New Roman" w:hAnsi="Times New Roman"/>
          <w:bCs/>
        </w:rPr>
        <w:t xml:space="preserve">UNDP </w:t>
      </w:r>
      <w:r w:rsidR="00027779">
        <w:rPr>
          <w:rFonts w:ascii="Times New Roman" w:hAnsi="Times New Roman"/>
          <w:bCs/>
        </w:rPr>
        <w:t xml:space="preserve">undertook steps to </w:t>
      </w:r>
      <w:r w:rsidR="00016DE3" w:rsidRPr="00631446">
        <w:rPr>
          <w:rFonts w:ascii="Times New Roman" w:hAnsi="Times New Roman"/>
          <w:bCs/>
        </w:rPr>
        <w:t xml:space="preserve">establish </w:t>
      </w:r>
      <w:r w:rsidR="00016DE3" w:rsidRPr="00631446">
        <w:rPr>
          <w:rFonts w:ascii="Times New Roman" w:hAnsi="Times New Roman"/>
        </w:rPr>
        <w:t xml:space="preserve">a </w:t>
      </w:r>
      <w:r w:rsidR="00A8475A" w:rsidRPr="00631446">
        <w:rPr>
          <w:rFonts w:ascii="Times New Roman" w:hAnsi="Times New Roman"/>
        </w:rPr>
        <w:t xml:space="preserve">generic </w:t>
      </w:r>
      <w:r w:rsidR="00016DE3" w:rsidRPr="0046035E">
        <w:rPr>
          <w:rFonts w:ascii="Times New Roman" w:hAnsi="Times New Roman"/>
          <w:b/>
        </w:rPr>
        <w:t xml:space="preserve">vetted </w:t>
      </w:r>
      <w:r w:rsidR="00016DE3" w:rsidRPr="00A52FB5">
        <w:rPr>
          <w:rFonts w:ascii="Times New Roman" w:eastAsia="Times New Roman" w:hAnsi="Times New Roman"/>
          <w:b/>
        </w:rPr>
        <w:t xml:space="preserve">roster of evaluation </w:t>
      </w:r>
      <w:r w:rsidR="00016DE3" w:rsidRPr="00A52FB5">
        <w:rPr>
          <w:rFonts w:ascii="Times New Roman" w:hAnsi="Times New Roman"/>
          <w:b/>
        </w:rPr>
        <w:t>experts</w:t>
      </w:r>
      <w:r w:rsidR="008F576C" w:rsidRPr="00096AEA">
        <w:rPr>
          <w:rFonts w:ascii="Times New Roman" w:hAnsi="Times New Roman"/>
          <w:bCs/>
        </w:rPr>
        <w:t xml:space="preserve"> </w:t>
      </w:r>
      <w:r w:rsidR="00571908" w:rsidRPr="00096AEA">
        <w:rPr>
          <w:rFonts w:ascii="Times New Roman" w:hAnsi="Times New Roman"/>
          <w:bCs/>
        </w:rPr>
        <w:t>in 2019</w:t>
      </w:r>
      <w:r w:rsidR="00386717" w:rsidRPr="00096AEA">
        <w:rPr>
          <w:rFonts w:ascii="Times New Roman" w:hAnsi="Times New Roman"/>
          <w:bCs/>
        </w:rPr>
        <w:t xml:space="preserve">. </w:t>
      </w:r>
      <w:r w:rsidR="00364A4A">
        <w:rPr>
          <w:rFonts w:ascii="Times New Roman" w:hAnsi="Times New Roman"/>
          <w:bCs/>
        </w:rPr>
        <w:t xml:space="preserve">UNDP </w:t>
      </w:r>
      <w:r w:rsidR="00386717" w:rsidRPr="00096AEA">
        <w:rPr>
          <w:rFonts w:ascii="Times New Roman" w:hAnsi="Times New Roman"/>
          <w:bCs/>
        </w:rPr>
        <w:t xml:space="preserve">advertised </w:t>
      </w:r>
      <w:r w:rsidR="00335707">
        <w:rPr>
          <w:rFonts w:ascii="Times New Roman" w:hAnsi="Times New Roman"/>
          <w:bCs/>
        </w:rPr>
        <w:t xml:space="preserve">a call for qualified evaluators </w:t>
      </w:r>
      <w:r w:rsidR="00386717" w:rsidRPr="00096AEA">
        <w:rPr>
          <w:rFonts w:ascii="Times New Roman" w:hAnsi="Times New Roman"/>
          <w:bCs/>
        </w:rPr>
        <w:t>in November 2019, which</w:t>
      </w:r>
      <w:r w:rsidR="00386717" w:rsidRPr="00D30183">
        <w:rPr>
          <w:rFonts w:ascii="Times New Roman" w:hAnsi="Times New Roman"/>
          <w:bCs/>
        </w:rPr>
        <w:t xml:space="preserve"> resulted in over </w:t>
      </w:r>
      <w:r w:rsidR="00386717" w:rsidRPr="009745F1">
        <w:rPr>
          <w:rFonts w:ascii="Times New Roman" w:hAnsi="Times New Roman"/>
          <w:bCs/>
        </w:rPr>
        <w:t>130 applicants.</w:t>
      </w:r>
      <w:r w:rsidR="00571908" w:rsidRPr="009745F1">
        <w:rPr>
          <w:rFonts w:ascii="Times New Roman" w:hAnsi="Times New Roman"/>
          <w:bCs/>
        </w:rPr>
        <w:t xml:space="preserve"> </w:t>
      </w:r>
      <w:r w:rsidR="00571908" w:rsidRPr="009745F1">
        <w:rPr>
          <w:rFonts w:ascii="Times New Roman" w:hAnsi="Times New Roman"/>
        </w:rPr>
        <w:t>The roster aims to address the demand for vetted, quality evaluators and the issue of delayed evaluation reports due to long procurement processes experienced by many Country O</w:t>
      </w:r>
      <w:r w:rsidR="00571908" w:rsidRPr="002534F8">
        <w:rPr>
          <w:rFonts w:ascii="Times New Roman" w:hAnsi="Times New Roman"/>
        </w:rPr>
        <w:t>ffices.</w:t>
      </w:r>
      <w:r w:rsidR="00A51558" w:rsidRPr="002534F8">
        <w:rPr>
          <w:rFonts w:ascii="Times New Roman" w:hAnsi="Times New Roman"/>
        </w:rPr>
        <w:t xml:space="preserve"> </w:t>
      </w:r>
      <w:r w:rsidR="0046035E">
        <w:rPr>
          <w:rFonts w:ascii="Times New Roman" w:hAnsi="Times New Roman"/>
        </w:rPr>
        <w:t>The</w:t>
      </w:r>
      <w:r w:rsidR="005B6506">
        <w:rPr>
          <w:rFonts w:ascii="Times New Roman" w:hAnsi="Times New Roman"/>
        </w:rPr>
        <w:t xml:space="preserve"> evaluation</w:t>
      </w:r>
      <w:r w:rsidR="0046035E">
        <w:rPr>
          <w:rFonts w:ascii="Times New Roman" w:hAnsi="Times New Roman"/>
        </w:rPr>
        <w:t xml:space="preserve"> roster </w:t>
      </w:r>
      <w:r w:rsidR="005B6506">
        <w:rPr>
          <w:rFonts w:ascii="Times New Roman" w:hAnsi="Times New Roman"/>
        </w:rPr>
        <w:t xml:space="preserve">is managed by the Bureau for Policy and Programme Support. </w:t>
      </w:r>
      <w:r w:rsidR="0020587A" w:rsidRPr="00631446">
        <w:rPr>
          <w:rFonts w:ascii="Times New Roman" w:hAnsi="Times New Roman"/>
          <w:bCs/>
        </w:rPr>
        <w:t xml:space="preserve">A similar roster </w:t>
      </w:r>
      <w:r w:rsidR="00386717" w:rsidRPr="00631446">
        <w:rPr>
          <w:rFonts w:ascii="Times New Roman" w:hAnsi="Times New Roman"/>
          <w:bCs/>
        </w:rPr>
        <w:t xml:space="preserve">was </w:t>
      </w:r>
      <w:r w:rsidR="0020587A" w:rsidRPr="00631446">
        <w:rPr>
          <w:rFonts w:ascii="Times New Roman" w:hAnsi="Times New Roman"/>
          <w:bCs/>
        </w:rPr>
        <w:t xml:space="preserve">established </w:t>
      </w:r>
      <w:r w:rsidR="00BA6B47" w:rsidRPr="00631446">
        <w:rPr>
          <w:rFonts w:ascii="Times New Roman" w:hAnsi="Times New Roman"/>
          <w:bCs/>
        </w:rPr>
        <w:t>for</w:t>
      </w:r>
      <w:r w:rsidR="00F1390F" w:rsidRPr="00631446">
        <w:rPr>
          <w:rFonts w:ascii="Times New Roman" w:hAnsi="Times New Roman"/>
          <w:bCs/>
        </w:rPr>
        <w:t xml:space="preserve"> </w:t>
      </w:r>
      <w:r w:rsidR="00016DE3" w:rsidRPr="00631446">
        <w:rPr>
          <w:rFonts w:ascii="Times New Roman" w:hAnsi="Times New Roman"/>
        </w:rPr>
        <w:t>Mid-Term Evaluations/Mid-Term Reviews (MTEs/MTRs) for vertical fund</w:t>
      </w:r>
      <w:r w:rsidR="00D1444E">
        <w:rPr>
          <w:rFonts w:ascii="Times New Roman" w:hAnsi="Times New Roman"/>
        </w:rPr>
        <w:t>s</w:t>
      </w:r>
      <w:r w:rsidR="00FB08AB">
        <w:rPr>
          <w:rStyle w:val="FootnoteReference"/>
          <w:rFonts w:ascii="Times New Roman" w:hAnsi="Times New Roman"/>
        </w:rPr>
        <w:footnoteReference w:id="6"/>
      </w:r>
      <w:r w:rsidR="00CB695D">
        <w:rPr>
          <w:rFonts w:ascii="Times New Roman" w:hAnsi="Times New Roman"/>
        </w:rPr>
        <w:t xml:space="preserve"> </w:t>
      </w:r>
      <w:r w:rsidR="00016DE3" w:rsidRPr="00631446">
        <w:rPr>
          <w:rFonts w:ascii="Times New Roman" w:hAnsi="Times New Roman"/>
        </w:rPr>
        <w:t>financed projects</w:t>
      </w:r>
      <w:r w:rsidR="008004AC">
        <w:rPr>
          <w:rStyle w:val="FootnoteReference"/>
          <w:rFonts w:ascii="Times New Roman" w:hAnsi="Times New Roman"/>
        </w:rPr>
        <w:footnoteReference w:id="7"/>
      </w:r>
      <w:r w:rsidR="00096AEA" w:rsidRPr="00CB695D">
        <w:rPr>
          <w:rFonts w:ascii="Times New Roman" w:hAnsi="Times New Roman"/>
          <w:bCs/>
        </w:rPr>
        <w:t xml:space="preserve"> </w:t>
      </w:r>
      <w:r w:rsidR="00096AEA">
        <w:rPr>
          <w:rFonts w:ascii="Times New Roman" w:hAnsi="Times New Roman"/>
        </w:rPr>
        <w:t>in 2019</w:t>
      </w:r>
      <w:r w:rsidR="00A52FB5" w:rsidRPr="0046035E">
        <w:rPr>
          <w:rFonts w:ascii="Times New Roman" w:hAnsi="Times New Roman"/>
        </w:rPr>
        <w:t>. Centrally managing selected MTRs using vetted experts is expected to improve the quality of reports and help ensure their timely submission</w:t>
      </w:r>
      <w:r w:rsidR="00A52FB5" w:rsidRPr="00631446">
        <w:rPr>
          <w:rFonts w:ascii="Times New Roman" w:hAnsi="Times New Roman"/>
        </w:rPr>
        <w:t xml:space="preserve">. </w:t>
      </w:r>
    </w:p>
    <w:p w14:paraId="59BB6D22" w14:textId="77777777" w:rsidR="00091804" w:rsidRDefault="00091804" w:rsidP="002E58A0">
      <w:pPr>
        <w:spacing w:after="0" w:line="240" w:lineRule="auto"/>
        <w:jc w:val="both"/>
        <w:rPr>
          <w:rFonts w:ascii="Times New Roman" w:hAnsi="Times New Roman"/>
          <w:b/>
        </w:rPr>
      </w:pPr>
    </w:p>
    <w:p w14:paraId="1FAFA555" w14:textId="77777777" w:rsidR="005F0F62" w:rsidRPr="00C369EC" w:rsidRDefault="005F0F62" w:rsidP="002E58A0">
      <w:pPr>
        <w:spacing w:after="0" w:line="240" w:lineRule="auto"/>
        <w:jc w:val="both"/>
        <w:rPr>
          <w:rFonts w:ascii="Times New Roman" w:hAnsi="Times New Roman"/>
          <w:b/>
        </w:rPr>
      </w:pPr>
    </w:p>
    <w:p w14:paraId="42997703" w14:textId="69F9A2AF" w:rsidR="00016DE3" w:rsidRPr="00C369EC" w:rsidRDefault="00107E69" w:rsidP="002E58A0">
      <w:pPr>
        <w:spacing w:after="0" w:line="240" w:lineRule="auto"/>
        <w:jc w:val="both"/>
        <w:rPr>
          <w:rFonts w:ascii="Times New Roman" w:hAnsi="Times New Roman"/>
          <w:b/>
          <w:u w:val="single"/>
        </w:rPr>
      </w:pPr>
      <w:bookmarkStart w:id="5" w:name="_Hlk35275108"/>
      <w:r w:rsidRPr="00C369EC">
        <w:rPr>
          <w:rFonts w:ascii="Times New Roman" w:hAnsi="Times New Roman"/>
          <w:b/>
          <w:u w:val="single"/>
        </w:rPr>
        <w:t>INVESTMENT IN EVALUATION</w:t>
      </w:r>
    </w:p>
    <w:p w14:paraId="0A002CA9" w14:textId="77777777" w:rsidR="00AC6388" w:rsidRPr="00C369EC" w:rsidRDefault="00AC6388" w:rsidP="002E58A0">
      <w:pPr>
        <w:spacing w:after="0" w:line="240" w:lineRule="auto"/>
        <w:jc w:val="both"/>
        <w:rPr>
          <w:rFonts w:ascii="Times New Roman" w:hAnsi="Times New Roman"/>
          <w:bCs/>
        </w:rPr>
      </w:pPr>
    </w:p>
    <w:p w14:paraId="147784B6" w14:textId="67CB283A" w:rsidR="00016DE3" w:rsidRPr="00C369EC" w:rsidRDefault="00016DE3" w:rsidP="002E58A0">
      <w:pPr>
        <w:spacing w:after="0" w:line="240" w:lineRule="auto"/>
        <w:jc w:val="both"/>
        <w:rPr>
          <w:rFonts w:ascii="Times New Roman" w:hAnsi="Times New Roman"/>
        </w:rPr>
      </w:pPr>
      <w:r w:rsidRPr="00C369EC">
        <w:rPr>
          <w:rFonts w:ascii="Times New Roman" w:hAnsi="Times New Roman"/>
          <w:bCs/>
        </w:rPr>
        <w:t>As guided by</w:t>
      </w:r>
      <w:r w:rsidR="0093049F" w:rsidRPr="00C369EC">
        <w:rPr>
          <w:rFonts w:ascii="Times New Roman" w:hAnsi="Times New Roman"/>
          <w:bCs/>
        </w:rPr>
        <w:t xml:space="preserve"> the</w:t>
      </w:r>
      <w:r w:rsidRPr="00C369EC">
        <w:rPr>
          <w:rFonts w:ascii="Times New Roman" w:hAnsi="Times New Roman"/>
          <w:bCs/>
        </w:rPr>
        <w:t xml:space="preserve"> revised Evaluation Policy</w:t>
      </w:r>
      <w:r w:rsidR="00121427" w:rsidRPr="00C369EC">
        <w:rPr>
          <w:rFonts w:ascii="Times New Roman" w:hAnsi="Times New Roman"/>
          <w:bCs/>
        </w:rPr>
        <w:t>,</w:t>
      </w:r>
      <w:r w:rsidRPr="00C369EC">
        <w:rPr>
          <w:rFonts w:ascii="Times New Roman" w:hAnsi="Times New Roman"/>
          <w:bCs/>
        </w:rPr>
        <w:t xml:space="preserve"> UNDP increased its financial investment on evaluation </w:t>
      </w:r>
      <w:r w:rsidR="00121427" w:rsidRPr="00C369EC">
        <w:rPr>
          <w:rFonts w:ascii="Times New Roman" w:hAnsi="Times New Roman"/>
          <w:bCs/>
        </w:rPr>
        <w:t xml:space="preserve">from </w:t>
      </w:r>
      <w:r w:rsidR="00121427" w:rsidRPr="00C369EC">
        <w:rPr>
          <w:rFonts w:ascii="Times New Roman" w:eastAsia="Batang" w:hAnsi="Times New Roman"/>
          <w:lang w:eastAsia="ko-KR"/>
        </w:rPr>
        <w:t xml:space="preserve">$22.08 million in </w:t>
      </w:r>
      <w:r w:rsidR="00121427" w:rsidRPr="00C369EC">
        <w:rPr>
          <w:rFonts w:ascii="Times New Roman" w:hAnsi="Times New Roman"/>
        </w:rPr>
        <w:t xml:space="preserve">2018 </w:t>
      </w:r>
      <w:r w:rsidRPr="00C369EC">
        <w:rPr>
          <w:rFonts w:ascii="Times New Roman" w:hAnsi="Times New Roman"/>
        </w:rPr>
        <w:t xml:space="preserve">to $25.7 million </w:t>
      </w:r>
      <w:r w:rsidR="00121427" w:rsidRPr="00C369EC">
        <w:rPr>
          <w:rFonts w:ascii="Times New Roman" w:hAnsi="Times New Roman"/>
        </w:rPr>
        <w:t xml:space="preserve">in 2019. </w:t>
      </w:r>
      <w:r w:rsidR="002A50E2" w:rsidRPr="00C369EC">
        <w:rPr>
          <w:rFonts w:ascii="Times New Roman" w:hAnsi="Times New Roman"/>
        </w:rPr>
        <w:t>UNDP</w:t>
      </w:r>
      <w:r w:rsidR="00EA09A2" w:rsidRPr="00C369EC">
        <w:rPr>
          <w:rFonts w:ascii="Times New Roman" w:hAnsi="Times New Roman"/>
        </w:rPr>
        <w:t>’</w:t>
      </w:r>
      <w:r w:rsidRPr="00C369EC">
        <w:rPr>
          <w:rFonts w:ascii="Times New Roman" w:hAnsi="Times New Roman"/>
        </w:rPr>
        <w:t xml:space="preserve">s allocation to the </w:t>
      </w:r>
      <w:r w:rsidR="00F1390F" w:rsidRPr="00C369EC">
        <w:rPr>
          <w:rFonts w:ascii="Times New Roman" w:hAnsi="Times New Roman"/>
        </w:rPr>
        <w:t>IEO increased</w:t>
      </w:r>
      <w:r w:rsidRPr="00C369EC">
        <w:rPr>
          <w:rFonts w:ascii="Times New Roman" w:hAnsi="Times New Roman"/>
        </w:rPr>
        <w:t xml:space="preserve"> </w:t>
      </w:r>
      <w:r w:rsidR="00121427" w:rsidRPr="00C369EC">
        <w:rPr>
          <w:rFonts w:ascii="Times New Roman" w:hAnsi="Times New Roman"/>
        </w:rPr>
        <w:t>from $</w:t>
      </w:r>
      <w:r w:rsidR="00233046" w:rsidRPr="00C369EC">
        <w:rPr>
          <w:rFonts w:ascii="Times New Roman" w:hAnsi="Times New Roman"/>
        </w:rPr>
        <w:t>9</w:t>
      </w:r>
      <w:r w:rsidR="00121427" w:rsidRPr="00C369EC">
        <w:rPr>
          <w:rFonts w:ascii="Times New Roman" w:hAnsi="Times New Roman"/>
        </w:rPr>
        <w:t xml:space="preserve"> million in 2018 </w:t>
      </w:r>
      <w:r w:rsidR="00233046" w:rsidRPr="00C369EC">
        <w:rPr>
          <w:rFonts w:ascii="Times New Roman" w:hAnsi="Times New Roman"/>
        </w:rPr>
        <w:t xml:space="preserve">to $10.9 million in </w:t>
      </w:r>
      <w:r w:rsidR="00F1390F" w:rsidRPr="00C369EC">
        <w:rPr>
          <w:rFonts w:ascii="Times New Roman" w:hAnsi="Times New Roman"/>
        </w:rPr>
        <w:t>2019, reflecting 0.25</w:t>
      </w:r>
      <w:r w:rsidR="00362C36" w:rsidRPr="00C369EC">
        <w:rPr>
          <w:rFonts w:ascii="Times New Roman" w:hAnsi="Times New Roman"/>
        </w:rPr>
        <w:t xml:space="preserve"> </w:t>
      </w:r>
      <w:r w:rsidR="002E58A0">
        <w:rPr>
          <w:rFonts w:ascii="Times New Roman" w:hAnsi="Times New Roman"/>
        </w:rPr>
        <w:t>per cent</w:t>
      </w:r>
      <w:r w:rsidRPr="00C369EC">
        <w:rPr>
          <w:rFonts w:ascii="Times New Roman" w:hAnsi="Times New Roman"/>
        </w:rPr>
        <w:t xml:space="preserve"> of UNDP</w:t>
      </w:r>
      <w:r w:rsidR="00EA09A2" w:rsidRPr="00C369EC">
        <w:rPr>
          <w:rFonts w:ascii="Times New Roman" w:hAnsi="Times New Roman"/>
        </w:rPr>
        <w:t>’</w:t>
      </w:r>
      <w:r w:rsidRPr="00C369EC">
        <w:rPr>
          <w:rFonts w:ascii="Times New Roman" w:hAnsi="Times New Roman"/>
        </w:rPr>
        <w:t xml:space="preserve">s programmatic </w:t>
      </w:r>
      <w:r w:rsidR="00233046" w:rsidRPr="00C369EC">
        <w:rPr>
          <w:rFonts w:ascii="Times New Roman" w:hAnsi="Times New Roman"/>
        </w:rPr>
        <w:t xml:space="preserve">expenditure in 2019.  </w:t>
      </w:r>
    </w:p>
    <w:p w14:paraId="5B2637AC" w14:textId="0AEBB3D9" w:rsidR="00575EEF" w:rsidRPr="00C369EC" w:rsidRDefault="00575EEF" w:rsidP="002E58A0">
      <w:pPr>
        <w:spacing w:after="0" w:line="240" w:lineRule="auto"/>
        <w:jc w:val="both"/>
        <w:rPr>
          <w:rFonts w:ascii="Times New Roman" w:hAnsi="Times New Roman"/>
        </w:rPr>
      </w:pPr>
    </w:p>
    <w:p w14:paraId="458050F1" w14:textId="6CCE1C6E" w:rsidR="00DC18AA" w:rsidRPr="00C369EC" w:rsidRDefault="00541EB7" w:rsidP="002E58A0">
      <w:pPr>
        <w:spacing w:after="0" w:line="240" w:lineRule="auto"/>
        <w:jc w:val="both"/>
        <w:rPr>
          <w:rFonts w:ascii="Times New Roman" w:hAnsi="Times New Roman"/>
        </w:rPr>
      </w:pPr>
      <w:r w:rsidRPr="00C369EC">
        <w:rPr>
          <w:rFonts w:ascii="Times New Roman" w:hAnsi="Times New Roman"/>
        </w:rPr>
        <w:t>Based on the self-reported Results</w:t>
      </w:r>
      <w:r w:rsidR="004332A1" w:rsidRPr="00C369EC">
        <w:rPr>
          <w:rFonts w:ascii="Times New Roman" w:hAnsi="Times New Roman"/>
        </w:rPr>
        <w:t>-</w:t>
      </w:r>
      <w:r w:rsidRPr="00C369EC">
        <w:rPr>
          <w:rFonts w:ascii="Times New Roman" w:hAnsi="Times New Roman"/>
        </w:rPr>
        <w:t>Oriented Annua</w:t>
      </w:r>
      <w:r w:rsidR="004332A1" w:rsidRPr="00C369EC">
        <w:rPr>
          <w:rFonts w:ascii="Times New Roman" w:hAnsi="Times New Roman"/>
        </w:rPr>
        <w:t>l</w:t>
      </w:r>
      <w:r w:rsidRPr="00C369EC">
        <w:rPr>
          <w:rFonts w:ascii="Times New Roman" w:hAnsi="Times New Roman"/>
        </w:rPr>
        <w:t xml:space="preserve"> Report data</w:t>
      </w:r>
      <w:r w:rsidR="004332A1" w:rsidRPr="00C369EC">
        <w:rPr>
          <w:rFonts w:ascii="Times New Roman" w:hAnsi="Times New Roman"/>
        </w:rPr>
        <w:t>,</w:t>
      </w:r>
      <w:r w:rsidR="00555FF8" w:rsidRPr="00C369EC">
        <w:rPr>
          <w:rFonts w:ascii="Times New Roman" w:hAnsi="Times New Roman"/>
        </w:rPr>
        <w:t xml:space="preserve"> </w:t>
      </w:r>
      <w:r w:rsidR="002649D9" w:rsidRPr="00C369EC">
        <w:rPr>
          <w:rFonts w:ascii="Times New Roman" w:hAnsi="Times New Roman"/>
        </w:rPr>
        <w:t>evaluation</w:t>
      </w:r>
      <w:r w:rsidR="00347ECC" w:rsidRPr="00C369EC">
        <w:rPr>
          <w:rFonts w:ascii="Times New Roman" w:hAnsi="Times New Roman"/>
        </w:rPr>
        <w:t>-</w:t>
      </w:r>
      <w:r w:rsidR="002649D9" w:rsidRPr="00C369EC">
        <w:rPr>
          <w:rFonts w:ascii="Times New Roman" w:hAnsi="Times New Roman"/>
        </w:rPr>
        <w:t xml:space="preserve">related </w:t>
      </w:r>
      <w:r w:rsidR="00555FF8" w:rsidRPr="00C369EC">
        <w:rPr>
          <w:rFonts w:ascii="Times New Roman" w:hAnsi="Times New Roman"/>
        </w:rPr>
        <w:t>expenditures (</w:t>
      </w:r>
      <w:r w:rsidR="00347ECC" w:rsidRPr="00C369EC">
        <w:rPr>
          <w:rFonts w:ascii="Times New Roman" w:hAnsi="Times New Roman"/>
        </w:rPr>
        <w:t xml:space="preserve">UNDP </w:t>
      </w:r>
      <w:r w:rsidR="00555FF8" w:rsidRPr="00C369EC">
        <w:rPr>
          <w:rFonts w:ascii="Times New Roman" w:hAnsi="Times New Roman"/>
        </w:rPr>
        <w:t>staff</w:t>
      </w:r>
      <w:r w:rsidR="00A07565" w:rsidRPr="00C369EC">
        <w:rPr>
          <w:rFonts w:ascii="Times New Roman" w:hAnsi="Times New Roman"/>
        </w:rPr>
        <w:t xml:space="preserve"> costs </w:t>
      </w:r>
      <w:r w:rsidR="001E01CA" w:rsidRPr="00C369EC">
        <w:rPr>
          <w:rFonts w:ascii="Times New Roman" w:hAnsi="Times New Roman"/>
        </w:rPr>
        <w:t xml:space="preserve">and additional </w:t>
      </w:r>
      <w:r w:rsidR="00CE290B" w:rsidRPr="00C369EC">
        <w:rPr>
          <w:rFonts w:ascii="Times New Roman" w:hAnsi="Times New Roman"/>
        </w:rPr>
        <w:t>eva</w:t>
      </w:r>
      <w:r w:rsidR="00441C9B" w:rsidRPr="00C369EC">
        <w:rPr>
          <w:rFonts w:ascii="Times New Roman" w:hAnsi="Times New Roman"/>
        </w:rPr>
        <w:t>luati</w:t>
      </w:r>
      <w:r w:rsidR="00CE290B" w:rsidRPr="00C369EC">
        <w:rPr>
          <w:rFonts w:ascii="Times New Roman" w:hAnsi="Times New Roman"/>
        </w:rPr>
        <w:t>on</w:t>
      </w:r>
      <w:r w:rsidR="00BD248E" w:rsidRPr="00C369EC">
        <w:rPr>
          <w:rFonts w:ascii="Times New Roman" w:hAnsi="Times New Roman"/>
        </w:rPr>
        <w:t xml:space="preserve"> costs) </w:t>
      </w:r>
      <w:r w:rsidR="002649D9" w:rsidRPr="00C369EC">
        <w:rPr>
          <w:rFonts w:ascii="Times New Roman" w:hAnsi="Times New Roman"/>
        </w:rPr>
        <w:t xml:space="preserve">increased </w:t>
      </w:r>
      <w:r w:rsidR="005C559C" w:rsidRPr="00C369EC">
        <w:rPr>
          <w:rFonts w:ascii="Times New Roman" w:hAnsi="Times New Roman"/>
        </w:rPr>
        <w:t xml:space="preserve">from </w:t>
      </w:r>
      <w:r w:rsidR="004566C9" w:rsidRPr="00C369EC">
        <w:rPr>
          <w:rFonts w:ascii="Times New Roman" w:hAnsi="Times New Roman"/>
        </w:rPr>
        <w:t>$</w:t>
      </w:r>
      <w:r w:rsidR="005C559C" w:rsidRPr="00C369EC">
        <w:rPr>
          <w:rFonts w:ascii="Times New Roman" w:hAnsi="Times New Roman"/>
        </w:rPr>
        <w:t>6.4 million in 2018</w:t>
      </w:r>
      <w:r w:rsidR="00566CCD" w:rsidRPr="00C369EC">
        <w:rPr>
          <w:rFonts w:ascii="Times New Roman" w:hAnsi="Times New Roman"/>
        </w:rPr>
        <w:t xml:space="preserve"> </w:t>
      </w:r>
      <w:r w:rsidR="002649D9" w:rsidRPr="00C369EC">
        <w:rPr>
          <w:rFonts w:ascii="Times New Roman" w:hAnsi="Times New Roman"/>
        </w:rPr>
        <w:t>to</w:t>
      </w:r>
      <w:r w:rsidR="00CE290B" w:rsidRPr="00C369EC">
        <w:rPr>
          <w:rFonts w:ascii="Times New Roman" w:hAnsi="Times New Roman"/>
        </w:rPr>
        <w:t xml:space="preserve"> </w:t>
      </w:r>
      <w:r w:rsidR="004566C9" w:rsidRPr="00C369EC">
        <w:rPr>
          <w:rFonts w:ascii="Times New Roman" w:hAnsi="Times New Roman"/>
        </w:rPr>
        <w:t>$</w:t>
      </w:r>
      <w:r w:rsidR="00CE290B" w:rsidRPr="00C369EC">
        <w:rPr>
          <w:rFonts w:ascii="Times New Roman" w:hAnsi="Times New Roman"/>
        </w:rPr>
        <w:t>7.24 million</w:t>
      </w:r>
      <w:r w:rsidR="002649D9" w:rsidRPr="00C369EC">
        <w:rPr>
          <w:rFonts w:ascii="Times New Roman" w:hAnsi="Times New Roman"/>
        </w:rPr>
        <w:t xml:space="preserve"> in 2019</w:t>
      </w:r>
      <w:r w:rsidR="006B6BD8" w:rsidRPr="00C369EC">
        <w:rPr>
          <w:rFonts w:ascii="Times New Roman" w:hAnsi="Times New Roman"/>
        </w:rPr>
        <w:t xml:space="preserve">. </w:t>
      </w:r>
      <w:r w:rsidR="00623623">
        <w:rPr>
          <w:rFonts w:ascii="Times New Roman" w:hAnsi="Times New Roman"/>
        </w:rPr>
        <w:t>T</w:t>
      </w:r>
      <w:r w:rsidR="00DC5833" w:rsidRPr="00C369EC">
        <w:rPr>
          <w:rFonts w:ascii="Times New Roman" w:hAnsi="Times New Roman"/>
        </w:rPr>
        <w:t xml:space="preserve">he number of </w:t>
      </w:r>
      <w:r w:rsidR="00623623">
        <w:rPr>
          <w:rFonts w:ascii="Times New Roman" w:hAnsi="Times New Roman"/>
        </w:rPr>
        <w:t xml:space="preserve">reported </w:t>
      </w:r>
      <w:r w:rsidR="00DC5833" w:rsidRPr="00C369EC">
        <w:rPr>
          <w:rFonts w:ascii="Times New Roman" w:hAnsi="Times New Roman"/>
        </w:rPr>
        <w:t xml:space="preserve">dedicated M&amp;E staff </w:t>
      </w:r>
      <w:r w:rsidR="00D6520C" w:rsidRPr="00C369EC">
        <w:rPr>
          <w:rFonts w:ascii="Times New Roman" w:hAnsi="Times New Roman"/>
        </w:rPr>
        <w:t>was</w:t>
      </w:r>
      <w:r w:rsidR="00992878" w:rsidRPr="00C369EC">
        <w:rPr>
          <w:rFonts w:ascii="Times New Roman" w:hAnsi="Times New Roman"/>
        </w:rPr>
        <w:t xml:space="preserve"> </w:t>
      </w:r>
      <w:r w:rsidR="00DC5833" w:rsidRPr="00C369EC">
        <w:rPr>
          <w:rFonts w:ascii="Times New Roman" w:hAnsi="Times New Roman"/>
        </w:rPr>
        <w:t>higher</w:t>
      </w:r>
      <w:r w:rsidR="00F660E2" w:rsidRPr="00C369EC">
        <w:rPr>
          <w:rFonts w:ascii="Times New Roman" w:hAnsi="Times New Roman"/>
        </w:rPr>
        <w:t xml:space="preserve"> </w:t>
      </w:r>
      <w:r w:rsidR="00992878" w:rsidRPr="00C369EC">
        <w:rPr>
          <w:rFonts w:ascii="Times New Roman" w:hAnsi="Times New Roman"/>
        </w:rPr>
        <w:t>tha</w:t>
      </w:r>
      <w:r w:rsidR="005341D4" w:rsidRPr="00C369EC">
        <w:rPr>
          <w:rFonts w:ascii="Times New Roman" w:hAnsi="Times New Roman"/>
        </w:rPr>
        <w:t>n i</w:t>
      </w:r>
      <w:r w:rsidR="00992878" w:rsidRPr="00C369EC">
        <w:rPr>
          <w:rFonts w:ascii="Times New Roman" w:hAnsi="Times New Roman"/>
        </w:rPr>
        <w:t>n</w:t>
      </w:r>
      <w:r w:rsidR="00F660E2" w:rsidRPr="00C369EC">
        <w:rPr>
          <w:rFonts w:ascii="Times New Roman" w:hAnsi="Times New Roman"/>
        </w:rPr>
        <w:t xml:space="preserve"> </w:t>
      </w:r>
      <w:r w:rsidR="00295A3F" w:rsidRPr="00C369EC">
        <w:rPr>
          <w:rFonts w:ascii="Times New Roman" w:hAnsi="Times New Roman"/>
        </w:rPr>
        <w:t>p</w:t>
      </w:r>
      <w:r w:rsidR="004D6B58" w:rsidRPr="00C369EC">
        <w:rPr>
          <w:rFonts w:ascii="Times New Roman" w:hAnsi="Times New Roman"/>
        </w:rPr>
        <w:t>re</w:t>
      </w:r>
      <w:r w:rsidR="00295A3F" w:rsidRPr="00C369EC">
        <w:rPr>
          <w:rFonts w:ascii="Times New Roman" w:hAnsi="Times New Roman"/>
        </w:rPr>
        <w:t>vious year</w:t>
      </w:r>
      <w:r w:rsidR="004D6B58" w:rsidRPr="00C369EC">
        <w:rPr>
          <w:rFonts w:ascii="Times New Roman" w:hAnsi="Times New Roman"/>
        </w:rPr>
        <w:t>s</w:t>
      </w:r>
      <w:r w:rsidR="00FC3FCD" w:rsidRPr="00C369EC">
        <w:rPr>
          <w:rFonts w:ascii="Times New Roman" w:hAnsi="Times New Roman"/>
        </w:rPr>
        <w:t xml:space="preserve">, </w:t>
      </w:r>
      <w:r w:rsidR="00623623">
        <w:rPr>
          <w:rFonts w:ascii="Times New Roman" w:hAnsi="Times New Roman"/>
        </w:rPr>
        <w:t xml:space="preserve">although it is recognised </w:t>
      </w:r>
      <w:r w:rsidR="0060170B">
        <w:rPr>
          <w:rFonts w:ascii="Times New Roman" w:hAnsi="Times New Roman"/>
        </w:rPr>
        <w:lastRenderedPageBreak/>
        <w:t>that</w:t>
      </w:r>
      <w:r w:rsidR="003B67AF">
        <w:rPr>
          <w:rFonts w:ascii="Times New Roman" w:hAnsi="Times New Roman"/>
        </w:rPr>
        <w:t xml:space="preserve"> </w:t>
      </w:r>
      <w:r w:rsidR="00623623">
        <w:rPr>
          <w:rFonts w:ascii="Times New Roman" w:hAnsi="Times New Roman"/>
        </w:rPr>
        <w:t>20</w:t>
      </w:r>
      <w:r w:rsidR="002E58A0">
        <w:rPr>
          <w:rFonts w:ascii="Times New Roman" w:hAnsi="Times New Roman"/>
        </w:rPr>
        <w:t xml:space="preserve"> per cent</w:t>
      </w:r>
      <w:r w:rsidR="00C807B3" w:rsidRPr="00C369EC">
        <w:rPr>
          <w:rFonts w:ascii="Times New Roman" w:hAnsi="Times New Roman"/>
        </w:rPr>
        <w:t xml:space="preserve"> </w:t>
      </w:r>
      <w:r w:rsidR="00233ED9" w:rsidRPr="00C369EC">
        <w:rPr>
          <w:rFonts w:ascii="Times New Roman" w:hAnsi="Times New Roman"/>
        </w:rPr>
        <w:t>of</w:t>
      </w:r>
      <w:r w:rsidR="00746CE3" w:rsidRPr="00C369EC">
        <w:rPr>
          <w:rFonts w:ascii="Times New Roman" w:hAnsi="Times New Roman"/>
        </w:rPr>
        <w:t xml:space="preserve"> the</w:t>
      </w:r>
      <w:r w:rsidR="00233ED9" w:rsidRPr="00C369EC">
        <w:rPr>
          <w:rFonts w:ascii="Times New Roman" w:hAnsi="Times New Roman"/>
        </w:rPr>
        <w:t xml:space="preserve"> </w:t>
      </w:r>
      <w:r w:rsidR="00C807B3" w:rsidRPr="00C369EC">
        <w:rPr>
          <w:rFonts w:ascii="Times New Roman" w:hAnsi="Times New Roman"/>
        </w:rPr>
        <w:t>allocated time</w:t>
      </w:r>
      <w:r w:rsidR="007F5A08" w:rsidRPr="00C369EC">
        <w:rPr>
          <w:rFonts w:ascii="Times New Roman" w:hAnsi="Times New Roman"/>
        </w:rPr>
        <w:t xml:space="preserve"> </w:t>
      </w:r>
      <w:r w:rsidR="005F0F62">
        <w:rPr>
          <w:rFonts w:ascii="Times New Roman" w:hAnsi="Times New Roman"/>
        </w:rPr>
        <w:t xml:space="preserve">was </w:t>
      </w:r>
      <w:r w:rsidR="007F5A08" w:rsidRPr="00C369EC">
        <w:rPr>
          <w:rFonts w:ascii="Times New Roman" w:hAnsi="Times New Roman"/>
        </w:rPr>
        <w:t>dedicated to</w:t>
      </w:r>
      <w:r w:rsidR="00C807B3" w:rsidRPr="00C369EC">
        <w:rPr>
          <w:rFonts w:ascii="Times New Roman" w:hAnsi="Times New Roman"/>
        </w:rPr>
        <w:t xml:space="preserve"> ev</w:t>
      </w:r>
      <w:r w:rsidR="001043A0" w:rsidRPr="00C369EC">
        <w:rPr>
          <w:rFonts w:ascii="Times New Roman" w:hAnsi="Times New Roman"/>
        </w:rPr>
        <w:t>alu</w:t>
      </w:r>
      <w:r w:rsidR="00C807B3" w:rsidRPr="00C369EC">
        <w:rPr>
          <w:rFonts w:ascii="Times New Roman" w:hAnsi="Times New Roman"/>
        </w:rPr>
        <w:t>ation</w:t>
      </w:r>
      <w:r w:rsidR="00AD156D">
        <w:rPr>
          <w:rFonts w:ascii="Times New Roman" w:hAnsi="Times New Roman"/>
        </w:rPr>
        <w:t>,</w:t>
      </w:r>
      <w:r w:rsidR="00C807B3" w:rsidRPr="00C369EC">
        <w:rPr>
          <w:rFonts w:ascii="Times New Roman" w:hAnsi="Times New Roman"/>
        </w:rPr>
        <w:t xml:space="preserve"> </w:t>
      </w:r>
      <w:r w:rsidR="00746CE3" w:rsidRPr="00C369EC">
        <w:rPr>
          <w:rFonts w:ascii="Times New Roman" w:hAnsi="Times New Roman"/>
        </w:rPr>
        <w:t>whereas</w:t>
      </w:r>
      <w:r w:rsidR="004D6B58" w:rsidRPr="00C369EC">
        <w:rPr>
          <w:rFonts w:ascii="Times New Roman" w:hAnsi="Times New Roman"/>
        </w:rPr>
        <w:t xml:space="preserve"> greater emphasis</w:t>
      </w:r>
      <w:r w:rsidR="00B960A6" w:rsidRPr="00C369EC">
        <w:rPr>
          <w:rFonts w:ascii="Times New Roman" w:hAnsi="Times New Roman"/>
        </w:rPr>
        <w:t xml:space="preserve"> </w:t>
      </w:r>
      <w:r w:rsidR="005F0F62">
        <w:rPr>
          <w:rFonts w:ascii="Times New Roman" w:hAnsi="Times New Roman"/>
        </w:rPr>
        <w:t xml:space="preserve">was </w:t>
      </w:r>
      <w:r w:rsidR="004D6B58" w:rsidRPr="00C369EC">
        <w:rPr>
          <w:rFonts w:ascii="Times New Roman" w:hAnsi="Times New Roman"/>
        </w:rPr>
        <w:t>given to monitoring</w:t>
      </w:r>
      <w:r w:rsidR="00EB09CA" w:rsidRPr="00C369EC">
        <w:rPr>
          <w:rFonts w:ascii="Times New Roman" w:hAnsi="Times New Roman"/>
        </w:rPr>
        <w:t xml:space="preserve"> tasks</w:t>
      </w:r>
      <w:r w:rsidR="004D6B58" w:rsidRPr="00C369EC">
        <w:rPr>
          <w:rFonts w:ascii="Times New Roman" w:hAnsi="Times New Roman"/>
        </w:rPr>
        <w:t xml:space="preserve">. </w:t>
      </w:r>
      <w:r w:rsidR="004D6B58" w:rsidRPr="00C369EC">
        <w:rPr>
          <w:rFonts w:ascii="Times New Roman" w:hAnsi="Times New Roman"/>
          <w:color w:val="000000"/>
        </w:rPr>
        <w:t>While monitoring and evaluation are mutually supportive, there is a distinct difference between the two functions.</w:t>
      </w:r>
      <w:bookmarkEnd w:id="5"/>
    </w:p>
    <w:p w14:paraId="772A22C2" w14:textId="77777777" w:rsidR="00016DE3" w:rsidRPr="00C369EC" w:rsidRDefault="00016DE3" w:rsidP="002E58A0">
      <w:pPr>
        <w:spacing w:after="0" w:line="240" w:lineRule="auto"/>
        <w:jc w:val="both"/>
        <w:rPr>
          <w:rFonts w:ascii="Times New Roman" w:hAnsi="Times New Roman"/>
        </w:rPr>
      </w:pPr>
    </w:p>
    <w:p w14:paraId="2684675C" w14:textId="18005EFD" w:rsidR="00016DE3" w:rsidRPr="00C369EC" w:rsidRDefault="00016DE3" w:rsidP="002E58A0">
      <w:pPr>
        <w:spacing w:after="0" w:line="240" w:lineRule="auto"/>
        <w:jc w:val="both"/>
        <w:rPr>
          <w:rFonts w:ascii="Times New Roman" w:eastAsia="Times New Roman,Batang" w:hAnsi="Times New Roman"/>
          <w:b/>
          <w:lang w:eastAsia="ko-KR"/>
        </w:rPr>
      </w:pPr>
      <w:r w:rsidRPr="00C369EC">
        <w:rPr>
          <w:rFonts w:ascii="Times New Roman" w:eastAsia="Times New Roman,Batang" w:hAnsi="Times New Roman"/>
          <w:b/>
          <w:lang w:eastAsia="ko-KR"/>
        </w:rPr>
        <w:t xml:space="preserve">Status of implementation </w:t>
      </w:r>
      <w:r w:rsidR="0060170B">
        <w:rPr>
          <w:rFonts w:ascii="Times New Roman" w:eastAsia="Times New Roman,Batang" w:hAnsi="Times New Roman"/>
          <w:b/>
          <w:lang w:eastAsia="ko-KR"/>
        </w:rPr>
        <w:t>of</w:t>
      </w:r>
      <w:r w:rsidR="0060170B" w:rsidRPr="00C369EC">
        <w:rPr>
          <w:rFonts w:ascii="Times New Roman" w:eastAsia="Times New Roman,Batang" w:hAnsi="Times New Roman"/>
          <w:b/>
          <w:lang w:eastAsia="ko-KR"/>
        </w:rPr>
        <w:t xml:space="preserve"> </w:t>
      </w:r>
      <w:r w:rsidRPr="00C369EC">
        <w:rPr>
          <w:rFonts w:ascii="Times New Roman" w:eastAsia="Times New Roman,Batang" w:hAnsi="Times New Roman"/>
          <w:b/>
          <w:lang w:eastAsia="ko-KR"/>
        </w:rPr>
        <w:t>management responses to independent and decentrali</w:t>
      </w:r>
      <w:r w:rsidR="00E33004" w:rsidRPr="00C369EC">
        <w:rPr>
          <w:rFonts w:ascii="Times New Roman" w:eastAsia="Times New Roman,Batang" w:hAnsi="Times New Roman"/>
          <w:b/>
          <w:lang w:eastAsia="ko-KR"/>
        </w:rPr>
        <w:t>s</w:t>
      </w:r>
      <w:r w:rsidRPr="00C369EC">
        <w:rPr>
          <w:rFonts w:ascii="Times New Roman" w:eastAsia="Times New Roman,Batang" w:hAnsi="Times New Roman"/>
          <w:b/>
          <w:lang w:eastAsia="ko-KR"/>
        </w:rPr>
        <w:t>ed evaluations</w:t>
      </w:r>
    </w:p>
    <w:p w14:paraId="56B56ECC" w14:textId="77777777" w:rsidR="00DD6E88" w:rsidRPr="00C369EC" w:rsidRDefault="00DD6E88" w:rsidP="002E58A0">
      <w:pPr>
        <w:spacing w:after="0" w:line="240" w:lineRule="auto"/>
        <w:jc w:val="both"/>
        <w:rPr>
          <w:rFonts w:ascii="Times New Roman" w:eastAsia="Times New Roman,Batang" w:hAnsi="Times New Roman"/>
          <w:bCs/>
          <w:lang w:eastAsia="ko-KR"/>
        </w:rPr>
      </w:pPr>
    </w:p>
    <w:p w14:paraId="407E0A11" w14:textId="337438F5" w:rsidR="00016DE3" w:rsidRPr="00C369EC" w:rsidRDefault="00016DE3" w:rsidP="002E58A0">
      <w:pPr>
        <w:spacing w:after="0" w:line="240" w:lineRule="auto"/>
        <w:jc w:val="both"/>
        <w:rPr>
          <w:rFonts w:ascii="Times New Roman" w:eastAsia="Times New Roman,Batang" w:hAnsi="Times New Roman"/>
          <w:lang w:eastAsia="ko-KR"/>
        </w:rPr>
      </w:pPr>
      <w:r w:rsidRPr="00C369EC">
        <w:rPr>
          <w:rFonts w:ascii="Times New Roman" w:eastAsia="Times New Roman,Batang" w:hAnsi="Times New Roman"/>
          <w:bCs/>
          <w:lang w:eastAsia="ko-KR"/>
        </w:rPr>
        <w:t xml:space="preserve">The IEO conducted a total of 58 </w:t>
      </w:r>
      <w:r w:rsidR="005C7BAC" w:rsidRPr="00C369EC">
        <w:rPr>
          <w:rFonts w:ascii="Times New Roman" w:eastAsia="Times New Roman,Batang" w:hAnsi="Times New Roman"/>
          <w:bCs/>
          <w:lang w:eastAsia="ko-KR"/>
        </w:rPr>
        <w:t>i</w:t>
      </w:r>
      <w:r w:rsidRPr="00C369EC">
        <w:rPr>
          <w:rFonts w:ascii="Times New Roman" w:eastAsia="Times New Roman,Batang" w:hAnsi="Times New Roman"/>
          <w:bCs/>
          <w:lang w:eastAsia="ko-KR"/>
        </w:rPr>
        <w:t>ndependent evaluations between 2015 and 2019, out of which 91</w:t>
      </w:r>
      <w:r w:rsidR="00606BD1" w:rsidRPr="00C369EC">
        <w:rPr>
          <w:rFonts w:ascii="Times New Roman" w:eastAsia="Times New Roman,Batang" w:hAnsi="Times New Roman"/>
          <w:bCs/>
          <w:lang w:eastAsia="ko-KR"/>
        </w:rPr>
        <w:t xml:space="preserve"> </w:t>
      </w:r>
      <w:r w:rsidR="002E58A0">
        <w:rPr>
          <w:rFonts w:ascii="Times New Roman" w:eastAsia="Times New Roman,Batang" w:hAnsi="Times New Roman"/>
          <w:bCs/>
          <w:lang w:eastAsia="ko-KR"/>
        </w:rPr>
        <w:t>per cent</w:t>
      </w:r>
      <w:r w:rsidRPr="00C369EC">
        <w:rPr>
          <w:rFonts w:ascii="Times New Roman" w:eastAsia="Times New Roman,Batang" w:hAnsi="Times New Roman"/>
          <w:bCs/>
          <w:lang w:eastAsia="ko-KR"/>
        </w:rPr>
        <w:t xml:space="preserve"> had a management response. </w:t>
      </w:r>
      <w:r w:rsidR="005C7BAC" w:rsidRPr="00C369EC">
        <w:rPr>
          <w:rFonts w:ascii="Times New Roman" w:eastAsia="Times New Roman,Batang" w:hAnsi="Times New Roman"/>
          <w:bCs/>
          <w:lang w:eastAsia="ko-KR"/>
        </w:rPr>
        <w:t xml:space="preserve"> </w:t>
      </w:r>
      <w:r w:rsidRPr="00C369EC">
        <w:rPr>
          <w:rFonts w:ascii="Times New Roman" w:eastAsia="Times New Roman,Batang" w:hAnsi="Times New Roman"/>
          <w:bCs/>
          <w:lang w:eastAsia="ko-KR"/>
        </w:rPr>
        <w:t xml:space="preserve">Four of the evaluations without </w:t>
      </w:r>
      <w:r w:rsidR="004657C1" w:rsidRPr="00C369EC">
        <w:rPr>
          <w:rFonts w:ascii="Times New Roman" w:eastAsia="Times New Roman,Batang" w:hAnsi="Times New Roman"/>
          <w:bCs/>
          <w:lang w:eastAsia="ko-KR"/>
        </w:rPr>
        <w:t>a management response</w:t>
      </w:r>
      <w:r w:rsidRPr="00C369EC">
        <w:rPr>
          <w:rFonts w:ascii="Times New Roman" w:eastAsia="Times New Roman,Batang" w:hAnsi="Times New Roman"/>
          <w:bCs/>
          <w:lang w:eastAsia="ko-KR"/>
        </w:rPr>
        <w:t xml:space="preserve"> are ICP</w:t>
      </w:r>
      <w:r w:rsidR="005C7BAC" w:rsidRPr="00C369EC">
        <w:rPr>
          <w:rFonts w:ascii="Times New Roman" w:eastAsia="Times New Roman,Batang" w:hAnsi="Times New Roman"/>
          <w:bCs/>
          <w:lang w:eastAsia="ko-KR"/>
        </w:rPr>
        <w:t>Es</w:t>
      </w:r>
      <w:r w:rsidR="00D023BE" w:rsidRPr="00C369EC">
        <w:rPr>
          <w:rFonts w:ascii="Times New Roman" w:eastAsia="Times New Roman,Batang" w:hAnsi="Times New Roman"/>
          <w:bCs/>
          <w:lang w:eastAsia="ko-KR"/>
        </w:rPr>
        <w:t>,</w:t>
      </w:r>
      <w:r w:rsidRPr="00C369EC">
        <w:rPr>
          <w:rFonts w:ascii="Times New Roman" w:eastAsia="Times New Roman,Batang" w:hAnsi="Times New Roman"/>
          <w:bCs/>
          <w:lang w:eastAsia="ko-KR"/>
        </w:rPr>
        <w:t xml:space="preserve"> while one is an A</w:t>
      </w:r>
      <w:r w:rsidR="005C7BAC" w:rsidRPr="00C369EC">
        <w:rPr>
          <w:rFonts w:ascii="Times New Roman" w:eastAsia="Times New Roman,Batang" w:hAnsi="Times New Roman"/>
          <w:bCs/>
          <w:lang w:eastAsia="ko-KR"/>
        </w:rPr>
        <w:t>ssessment of Development Results (ADR)</w:t>
      </w:r>
      <w:r w:rsidRPr="00C369EC">
        <w:rPr>
          <w:rFonts w:ascii="Times New Roman" w:eastAsia="Times New Roman,Batang" w:hAnsi="Times New Roman"/>
          <w:bCs/>
          <w:lang w:eastAsia="ko-KR"/>
        </w:rPr>
        <w:t>. UNDP completed 69</w:t>
      </w:r>
      <w:r w:rsidR="00606BD1" w:rsidRPr="00C369EC">
        <w:rPr>
          <w:rFonts w:ascii="Times New Roman" w:eastAsia="Times New Roman,Batang" w:hAnsi="Times New Roman"/>
          <w:bCs/>
          <w:lang w:eastAsia="ko-KR"/>
        </w:rPr>
        <w:t xml:space="preserve"> </w:t>
      </w:r>
      <w:r w:rsidR="002E58A0">
        <w:rPr>
          <w:rFonts w:ascii="Times New Roman" w:eastAsia="Times New Roman,Batang" w:hAnsi="Times New Roman"/>
          <w:bCs/>
          <w:lang w:eastAsia="ko-KR"/>
        </w:rPr>
        <w:t>per cent</w:t>
      </w:r>
      <w:r w:rsidRPr="00C369EC">
        <w:rPr>
          <w:rFonts w:ascii="Times New Roman" w:eastAsia="Times New Roman,Batang" w:hAnsi="Times New Roman"/>
          <w:bCs/>
          <w:lang w:eastAsia="ko-KR"/>
        </w:rPr>
        <w:t xml:space="preserve"> of planned key actions in 2019 compared to 66</w:t>
      </w:r>
      <w:r w:rsidR="002E58A0">
        <w:rPr>
          <w:rFonts w:ascii="Times New Roman" w:eastAsia="Times New Roman,Batang" w:hAnsi="Times New Roman"/>
          <w:bCs/>
          <w:lang w:eastAsia="ko-KR"/>
        </w:rPr>
        <w:t xml:space="preserve"> per cent</w:t>
      </w:r>
      <w:r w:rsidRPr="00C369EC">
        <w:rPr>
          <w:rFonts w:ascii="Times New Roman" w:eastAsia="Times New Roman,Batang" w:hAnsi="Times New Roman"/>
          <w:bCs/>
          <w:lang w:eastAsia="ko-KR"/>
        </w:rPr>
        <w:t xml:space="preserve"> in 2018, while 14</w:t>
      </w:r>
      <w:r w:rsidR="002E58A0">
        <w:rPr>
          <w:rFonts w:ascii="Times New Roman" w:eastAsia="Times New Roman,Batang" w:hAnsi="Times New Roman"/>
          <w:bCs/>
          <w:lang w:eastAsia="ko-KR"/>
        </w:rPr>
        <w:t xml:space="preserve"> per cent</w:t>
      </w:r>
      <w:r w:rsidRPr="00C369EC">
        <w:rPr>
          <w:rFonts w:ascii="Times New Roman" w:eastAsia="Times New Roman,Batang" w:hAnsi="Times New Roman"/>
          <w:bCs/>
          <w:lang w:eastAsia="ko-KR"/>
        </w:rPr>
        <w:t xml:space="preserve"> were ongoing, 2</w:t>
      </w:r>
      <w:r w:rsidR="002E58A0">
        <w:rPr>
          <w:rFonts w:ascii="Times New Roman" w:eastAsia="Times New Roman,Batang" w:hAnsi="Times New Roman"/>
          <w:bCs/>
          <w:lang w:eastAsia="ko-KR"/>
        </w:rPr>
        <w:t xml:space="preserve"> per cent</w:t>
      </w:r>
      <w:r w:rsidRPr="00C369EC">
        <w:rPr>
          <w:rFonts w:ascii="Times New Roman" w:eastAsia="Times New Roman,Batang" w:hAnsi="Times New Roman"/>
          <w:bCs/>
          <w:lang w:eastAsia="ko-KR"/>
        </w:rPr>
        <w:t xml:space="preserve"> had not initiated, 14</w:t>
      </w:r>
      <w:r w:rsidR="00606BD1" w:rsidRPr="00C369EC">
        <w:rPr>
          <w:rFonts w:ascii="Times New Roman" w:eastAsia="Times New Roman,Batang" w:hAnsi="Times New Roman"/>
          <w:bCs/>
          <w:lang w:eastAsia="ko-KR"/>
        </w:rPr>
        <w:t xml:space="preserve"> </w:t>
      </w:r>
      <w:r w:rsidR="002E58A0">
        <w:rPr>
          <w:rFonts w:ascii="Times New Roman" w:eastAsia="Times New Roman,Batang" w:hAnsi="Times New Roman"/>
          <w:bCs/>
          <w:lang w:eastAsia="ko-KR"/>
        </w:rPr>
        <w:t>per cent</w:t>
      </w:r>
      <w:r w:rsidRPr="00C369EC">
        <w:rPr>
          <w:rFonts w:ascii="Times New Roman" w:eastAsia="Times New Roman,Batang" w:hAnsi="Times New Roman"/>
          <w:bCs/>
          <w:lang w:eastAsia="ko-KR"/>
        </w:rPr>
        <w:t xml:space="preserve"> were overdue, and 1 </w:t>
      </w:r>
      <w:r w:rsidR="002E58A0">
        <w:rPr>
          <w:rFonts w:ascii="Times New Roman" w:eastAsia="Times New Roman,Batang" w:hAnsi="Times New Roman"/>
          <w:bCs/>
          <w:lang w:eastAsia="ko-KR"/>
        </w:rPr>
        <w:t>per cent</w:t>
      </w:r>
      <w:r w:rsidRPr="00C369EC">
        <w:rPr>
          <w:rFonts w:ascii="Times New Roman" w:eastAsia="Times New Roman,Batang" w:hAnsi="Times New Roman"/>
          <w:bCs/>
          <w:lang w:eastAsia="ko-KR"/>
        </w:rPr>
        <w:t xml:space="preserve"> was no longer </w:t>
      </w:r>
      <w:r w:rsidRPr="00C369EC">
        <w:rPr>
          <w:rFonts w:ascii="Times New Roman" w:eastAsia="Times New Roman,Batang" w:hAnsi="Times New Roman"/>
          <w:lang w:eastAsia="ko-KR"/>
        </w:rPr>
        <w:t>applicable</w:t>
      </w:r>
      <w:r w:rsidRPr="00C369EC">
        <w:rPr>
          <w:rStyle w:val="FootnoteReference"/>
          <w:rFonts w:ascii="Times New Roman" w:eastAsia="Times New Roman,Batang" w:hAnsi="Times New Roman"/>
          <w:lang w:eastAsia="ko-KR"/>
        </w:rPr>
        <w:footnoteReference w:id="8"/>
      </w:r>
      <w:r w:rsidRPr="00C369EC">
        <w:rPr>
          <w:rFonts w:ascii="Times New Roman" w:eastAsia="Times New Roman,Batang" w:hAnsi="Times New Roman"/>
          <w:lang w:eastAsia="ko-KR"/>
        </w:rPr>
        <w:t>. Out of 58 independent evaluations, 24 evaluations (41</w:t>
      </w:r>
      <w:r w:rsidR="002E58A0">
        <w:rPr>
          <w:rFonts w:ascii="Times New Roman" w:eastAsia="Times New Roman,Batang" w:hAnsi="Times New Roman"/>
          <w:lang w:eastAsia="ko-KR"/>
        </w:rPr>
        <w:t xml:space="preserve"> per cent</w:t>
      </w:r>
      <w:r w:rsidRPr="00C369EC">
        <w:rPr>
          <w:rFonts w:ascii="Times New Roman" w:eastAsia="Times New Roman,Batang" w:hAnsi="Times New Roman"/>
          <w:lang w:eastAsia="ko-KR"/>
        </w:rPr>
        <w:t>) ha</w:t>
      </w:r>
      <w:r w:rsidR="00867249" w:rsidRPr="00C369EC">
        <w:rPr>
          <w:rFonts w:ascii="Times New Roman" w:eastAsia="Times New Roman,Batang" w:hAnsi="Times New Roman"/>
          <w:lang w:eastAsia="ko-KR"/>
        </w:rPr>
        <w:t xml:space="preserve">ve </w:t>
      </w:r>
      <w:r w:rsidR="00F1390F" w:rsidRPr="00C369EC">
        <w:rPr>
          <w:rFonts w:ascii="Times New Roman" w:eastAsia="Times New Roman,Batang" w:hAnsi="Times New Roman"/>
          <w:lang w:eastAsia="ko-KR"/>
        </w:rPr>
        <w:t>implemented all</w:t>
      </w:r>
      <w:r w:rsidRPr="00C369EC">
        <w:rPr>
          <w:rFonts w:ascii="Times New Roman" w:eastAsia="Times New Roman,Batang" w:hAnsi="Times New Roman"/>
          <w:lang w:eastAsia="ko-KR"/>
        </w:rPr>
        <w:t xml:space="preserve"> </w:t>
      </w:r>
      <w:r w:rsidR="005C7BAC" w:rsidRPr="00C369EC">
        <w:rPr>
          <w:rFonts w:ascii="Times New Roman" w:eastAsia="Times New Roman,Batang" w:hAnsi="Times New Roman"/>
          <w:lang w:eastAsia="ko-KR"/>
        </w:rPr>
        <w:t xml:space="preserve">management </w:t>
      </w:r>
      <w:r w:rsidR="00F1390F" w:rsidRPr="00C369EC">
        <w:rPr>
          <w:rFonts w:ascii="Times New Roman" w:eastAsia="Times New Roman,Batang" w:hAnsi="Times New Roman"/>
          <w:lang w:eastAsia="ko-KR"/>
        </w:rPr>
        <w:t>actions.</w:t>
      </w:r>
    </w:p>
    <w:p w14:paraId="3E54F941" w14:textId="77777777" w:rsidR="00016DE3" w:rsidRPr="00C369EC" w:rsidRDefault="00016DE3" w:rsidP="002E58A0">
      <w:pPr>
        <w:spacing w:after="0" w:line="240" w:lineRule="auto"/>
        <w:jc w:val="both"/>
        <w:rPr>
          <w:rFonts w:ascii="Times New Roman" w:eastAsia="Times New Roman,Batang" w:hAnsi="Times New Roman"/>
          <w:lang w:eastAsia="ko-KR"/>
        </w:rPr>
      </w:pPr>
    </w:p>
    <w:p w14:paraId="5CEB0C9A" w14:textId="644FDB0A" w:rsidR="00016DE3" w:rsidRPr="00C369EC" w:rsidRDefault="00016DE3" w:rsidP="002E58A0">
      <w:pPr>
        <w:spacing w:after="0" w:line="240" w:lineRule="auto"/>
        <w:jc w:val="both"/>
        <w:rPr>
          <w:rFonts w:ascii="Times New Roman" w:eastAsia="Times New Roman,Batang" w:hAnsi="Times New Roman"/>
          <w:lang w:eastAsia="ko-KR"/>
        </w:rPr>
      </w:pPr>
      <w:r w:rsidRPr="00C369EC">
        <w:rPr>
          <w:rFonts w:ascii="Times New Roman" w:eastAsia="Times New Roman,Batang" w:hAnsi="Times New Roman"/>
          <w:lang w:eastAsia="ko-KR"/>
        </w:rPr>
        <w:t>The total number of completed decentralised evaluations over the same period was 1</w:t>
      </w:r>
      <w:r w:rsidR="001669AB" w:rsidRPr="00C369EC">
        <w:rPr>
          <w:rFonts w:ascii="Times New Roman" w:eastAsia="Times New Roman,Batang" w:hAnsi="Times New Roman"/>
          <w:lang w:eastAsia="ko-KR"/>
        </w:rPr>
        <w:t>,</w:t>
      </w:r>
      <w:r w:rsidRPr="00C369EC">
        <w:rPr>
          <w:rFonts w:ascii="Times New Roman" w:eastAsia="Times New Roman,Batang" w:hAnsi="Times New Roman"/>
          <w:lang w:eastAsia="ko-KR"/>
        </w:rPr>
        <w:t>557, out of which 94</w:t>
      </w:r>
      <w:r w:rsidR="00606BD1" w:rsidRPr="00C369EC">
        <w:rPr>
          <w:rFonts w:ascii="Times New Roman" w:eastAsia="Times New Roman,Batang" w:hAnsi="Times New Roman"/>
          <w:lang w:eastAsia="ko-KR"/>
        </w:rPr>
        <w:t xml:space="preserve"> </w:t>
      </w:r>
      <w:r w:rsidR="002E58A0">
        <w:rPr>
          <w:rFonts w:ascii="Times New Roman" w:eastAsia="Times New Roman,Batang" w:hAnsi="Times New Roman"/>
          <w:lang w:eastAsia="ko-KR"/>
        </w:rPr>
        <w:t>per cent</w:t>
      </w:r>
      <w:r w:rsidRPr="00C369EC">
        <w:rPr>
          <w:rFonts w:ascii="Times New Roman" w:eastAsia="Times New Roman,Batang" w:hAnsi="Times New Roman"/>
          <w:lang w:eastAsia="ko-KR"/>
        </w:rPr>
        <w:t xml:space="preserve"> had management response</w:t>
      </w:r>
      <w:r w:rsidR="005C7BAC" w:rsidRPr="00C369EC">
        <w:rPr>
          <w:rFonts w:ascii="Times New Roman" w:eastAsia="Times New Roman,Batang" w:hAnsi="Times New Roman"/>
          <w:lang w:eastAsia="ko-KR"/>
        </w:rPr>
        <w:t>s</w:t>
      </w:r>
      <w:r w:rsidRPr="00C369EC">
        <w:rPr>
          <w:rFonts w:ascii="Times New Roman" w:eastAsia="Times New Roman,Batang" w:hAnsi="Times New Roman"/>
          <w:lang w:eastAsia="ko-KR"/>
        </w:rPr>
        <w:t>. UNDP completed 70</w:t>
      </w:r>
      <w:r w:rsidR="00606BD1" w:rsidRPr="00C369EC">
        <w:rPr>
          <w:rFonts w:ascii="Times New Roman" w:eastAsia="Times New Roman,Batang" w:hAnsi="Times New Roman"/>
          <w:lang w:eastAsia="ko-KR"/>
        </w:rPr>
        <w:t xml:space="preserve"> </w:t>
      </w:r>
      <w:r w:rsidR="002E58A0">
        <w:rPr>
          <w:rFonts w:ascii="Times New Roman" w:eastAsia="Times New Roman,Batang" w:hAnsi="Times New Roman"/>
          <w:lang w:eastAsia="ko-KR"/>
        </w:rPr>
        <w:t>per cent</w:t>
      </w:r>
      <w:r w:rsidRPr="00C369EC">
        <w:rPr>
          <w:rFonts w:ascii="Times New Roman" w:eastAsia="Times New Roman,Batang" w:hAnsi="Times New Roman"/>
          <w:lang w:eastAsia="ko-KR"/>
        </w:rPr>
        <w:t xml:space="preserve"> of the planned key actions (compared to 66</w:t>
      </w:r>
      <w:r w:rsidR="00606BD1" w:rsidRPr="00C369EC">
        <w:rPr>
          <w:rFonts w:ascii="Times New Roman" w:eastAsia="Times New Roman,Batang" w:hAnsi="Times New Roman"/>
          <w:lang w:eastAsia="ko-KR"/>
        </w:rPr>
        <w:t xml:space="preserve"> </w:t>
      </w:r>
      <w:r w:rsidR="002E58A0">
        <w:rPr>
          <w:rFonts w:ascii="Times New Roman" w:eastAsia="Times New Roman,Batang" w:hAnsi="Times New Roman"/>
          <w:lang w:eastAsia="ko-KR"/>
        </w:rPr>
        <w:t>per cent</w:t>
      </w:r>
      <w:r w:rsidRPr="00C369EC">
        <w:rPr>
          <w:rFonts w:ascii="Times New Roman" w:eastAsia="Times New Roman,Batang" w:hAnsi="Times New Roman"/>
          <w:lang w:eastAsia="ko-KR"/>
        </w:rPr>
        <w:t xml:space="preserve"> in 2018), 14</w:t>
      </w:r>
      <w:r w:rsidR="00606BD1" w:rsidRPr="00C369EC">
        <w:rPr>
          <w:rFonts w:ascii="Times New Roman" w:eastAsia="Times New Roman,Batang" w:hAnsi="Times New Roman"/>
          <w:lang w:eastAsia="ko-KR"/>
        </w:rPr>
        <w:t xml:space="preserve"> </w:t>
      </w:r>
      <w:r w:rsidR="002E58A0">
        <w:rPr>
          <w:rFonts w:ascii="Times New Roman" w:eastAsia="Times New Roman,Batang" w:hAnsi="Times New Roman"/>
          <w:lang w:eastAsia="ko-KR"/>
        </w:rPr>
        <w:t>per cent</w:t>
      </w:r>
      <w:r w:rsidRPr="00C369EC">
        <w:rPr>
          <w:rFonts w:ascii="Times New Roman" w:eastAsia="Times New Roman,Batang" w:hAnsi="Times New Roman"/>
          <w:lang w:eastAsia="ko-KR"/>
        </w:rPr>
        <w:t xml:space="preserve"> were ongoing, 6</w:t>
      </w:r>
      <w:r w:rsidR="00F071BD">
        <w:rPr>
          <w:rFonts w:ascii="Times New Roman" w:eastAsia="Times New Roman,Batang" w:hAnsi="Times New Roman"/>
          <w:lang w:eastAsia="ko-KR"/>
        </w:rPr>
        <w:t xml:space="preserve"> </w:t>
      </w:r>
      <w:r w:rsidR="002E58A0">
        <w:rPr>
          <w:rFonts w:ascii="Times New Roman" w:eastAsia="Times New Roman,Batang" w:hAnsi="Times New Roman"/>
          <w:lang w:eastAsia="ko-KR"/>
        </w:rPr>
        <w:t>per cent</w:t>
      </w:r>
      <w:r w:rsidRPr="00C369EC">
        <w:rPr>
          <w:rFonts w:ascii="Times New Roman" w:eastAsia="Times New Roman,Batang" w:hAnsi="Times New Roman"/>
          <w:lang w:eastAsia="ko-KR"/>
        </w:rPr>
        <w:t xml:space="preserve"> </w:t>
      </w:r>
      <w:r w:rsidR="00C00328" w:rsidRPr="00C369EC">
        <w:rPr>
          <w:rFonts w:ascii="Times New Roman" w:eastAsia="Times New Roman,Batang" w:hAnsi="Times New Roman"/>
          <w:lang w:eastAsia="ko-KR"/>
        </w:rPr>
        <w:t>had</w:t>
      </w:r>
      <w:r w:rsidRPr="00C369EC">
        <w:rPr>
          <w:rFonts w:ascii="Times New Roman" w:eastAsia="Times New Roman,Batang" w:hAnsi="Times New Roman"/>
          <w:lang w:eastAsia="ko-KR"/>
        </w:rPr>
        <w:t xml:space="preserve"> not initiated, 1</w:t>
      </w:r>
      <w:r w:rsidR="00606BD1" w:rsidRPr="00C369EC">
        <w:rPr>
          <w:rFonts w:ascii="Times New Roman" w:eastAsia="Times New Roman,Batang" w:hAnsi="Times New Roman"/>
          <w:lang w:eastAsia="ko-KR"/>
        </w:rPr>
        <w:t xml:space="preserve"> </w:t>
      </w:r>
      <w:r w:rsidR="002E58A0">
        <w:rPr>
          <w:rFonts w:ascii="Times New Roman" w:eastAsia="Times New Roman,Batang" w:hAnsi="Times New Roman"/>
          <w:lang w:eastAsia="ko-KR"/>
        </w:rPr>
        <w:t>per cent</w:t>
      </w:r>
      <w:r w:rsidRPr="00C369EC">
        <w:rPr>
          <w:rFonts w:ascii="Times New Roman" w:eastAsia="Times New Roman,Batang" w:hAnsi="Times New Roman"/>
          <w:lang w:eastAsia="ko-KR"/>
        </w:rPr>
        <w:t xml:space="preserve"> w</w:t>
      </w:r>
      <w:r w:rsidR="005C7BAC" w:rsidRPr="00C369EC">
        <w:rPr>
          <w:rFonts w:ascii="Times New Roman" w:eastAsia="Times New Roman,Batang" w:hAnsi="Times New Roman"/>
          <w:lang w:eastAsia="ko-KR"/>
        </w:rPr>
        <w:t>ere</w:t>
      </w:r>
      <w:r w:rsidRPr="00C369EC">
        <w:rPr>
          <w:rFonts w:ascii="Times New Roman" w:eastAsia="Times New Roman,Batang" w:hAnsi="Times New Roman"/>
          <w:lang w:eastAsia="ko-KR"/>
        </w:rPr>
        <w:t xml:space="preserve"> ongoing without a due date</w:t>
      </w:r>
      <w:r w:rsidR="005C7BAC" w:rsidRPr="00C369EC">
        <w:rPr>
          <w:rFonts w:ascii="Times New Roman" w:eastAsia="Times New Roman,Batang" w:hAnsi="Times New Roman"/>
          <w:lang w:eastAsia="ko-KR"/>
        </w:rPr>
        <w:t xml:space="preserve">, </w:t>
      </w:r>
      <w:r w:rsidRPr="00C369EC">
        <w:rPr>
          <w:rFonts w:ascii="Times New Roman" w:eastAsia="Times New Roman,Batang" w:hAnsi="Times New Roman"/>
          <w:lang w:eastAsia="ko-KR"/>
        </w:rPr>
        <w:t>5</w:t>
      </w:r>
      <w:r w:rsidR="00606BD1" w:rsidRPr="00C369EC">
        <w:rPr>
          <w:rFonts w:ascii="Times New Roman" w:eastAsia="Times New Roman,Batang" w:hAnsi="Times New Roman"/>
          <w:lang w:eastAsia="ko-KR"/>
        </w:rPr>
        <w:t xml:space="preserve"> </w:t>
      </w:r>
      <w:r w:rsidR="002E58A0">
        <w:rPr>
          <w:rFonts w:ascii="Times New Roman" w:eastAsia="Times New Roman,Batang" w:hAnsi="Times New Roman"/>
          <w:lang w:eastAsia="ko-KR"/>
        </w:rPr>
        <w:t>per cent</w:t>
      </w:r>
      <w:r w:rsidRPr="00C369EC">
        <w:rPr>
          <w:rFonts w:ascii="Times New Roman" w:eastAsia="Times New Roman,Batang" w:hAnsi="Times New Roman"/>
          <w:lang w:eastAsia="ko-KR"/>
        </w:rPr>
        <w:t xml:space="preserve"> were no longer applicable</w:t>
      </w:r>
      <w:r w:rsidR="005C7BAC" w:rsidRPr="00C369EC">
        <w:rPr>
          <w:rFonts w:ascii="Times New Roman" w:eastAsia="Times New Roman,Batang" w:hAnsi="Times New Roman"/>
          <w:lang w:eastAsia="ko-KR"/>
        </w:rPr>
        <w:t xml:space="preserve">, and </w:t>
      </w:r>
      <w:r w:rsidRPr="00C369EC">
        <w:rPr>
          <w:rFonts w:ascii="Times New Roman" w:eastAsia="Times New Roman,Batang" w:hAnsi="Times New Roman"/>
          <w:lang w:eastAsia="ko-KR"/>
        </w:rPr>
        <w:t xml:space="preserve">6 </w:t>
      </w:r>
      <w:r w:rsidR="002E58A0">
        <w:rPr>
          <w:rFonts w:ascii="Times New Roman" w:eastAsia="Times New Roman,Batang" w:hAnsi="Times New Roman"/>
          <w:lang w:eastAsia="ko-KR"/>
        </w:rPr>
        <w:t>per cent</w:t>
      </w:r>
      <w:r w:rsidRPr="00C369EC">
        <w:rPr>
          <w:rFonts w:ascii="Times New Roman" w:eastAsia="Times New Roman,Batang" w:hAnsi="Times New Roman"/>
          <w:lang w:eastAsia="ko-KR"/>
        </w:rPr>
        <w:t xml:space="preserve"> were overdue.</w:t>
      </w:r>
    </w:p>
    <w:p w14:paraId="404F4F8E" w14:textId="77777777" w:rsidR="00016DE3" w:rsidRPr="00C369EC" w:rsidRDefault="00016DE3" w:rsidP="002E58A0">
      <w:pPr>
        <w:spacing w:after="0" w:line="240" w:lineRule="auto"/>
        <w:jc w:val="both"/>
        <w:rPr>
          <w:rFonts w:ascii="Times New Roman" w:eastAsia="Times New Roman,Batang" w:hAnsi="Times New Roman"/>
          <w:lang w:eastAsia="ko-KR"/>
        </w:rPr>
      </w:pPr>
    </w:p>
    <w:p w14:paraId="02B3BA46" w14:textId="7EE676CC" w:rsidR="00016DE3" w:rsidRPr="00C369EC" w:rsidRDefault="00016DE3" w:rsidP="002E58A0">
      <w:pPr>
        <w:spacing w:after="0" w:line="240" w:lineRule="auto"/>
        <w:jc w:val="both"/>
        <w:rPr>
          <w:rFonts w:ascii="Times New Roman" w:hAnsi="Times New Roman"/>
        </w:rPr>
      </w:pPr>
      <w:r w:rsidRPr="00C369EC">
        <w:rPr>
          <w:rFonts w:ascii="Times New Roman" w:eastAsia="Times New Roman,Batang" w:hAnsi="Times New Roman"/>
          <w:lang w:eastAsia="ko-KR"/>
        </w:rPr>
        <w:t xml:space="preserve">UNDP </w:t>
      </w:r>
      <w:r w:rsidR="00867249" w:rsidRPr="00C369EC">
        <w:rPr>
          <w:rFonts w:ascii="Times New Roman" w:eastAsia="Times New Roman,Batang" w:hAnsi="Times New Roman"/>
          <w:lang w:eastAsia="ko-KR"/>
        </w:rPr>
        <w:t xml:space="preserve">continues to make good progress </w:t>
      </w:r>
      <w:r w:rsidR="00F1390F" w:rsidRPr="00C369EC">
        <w:rPr>
          <w:rFonts w:ascii="Times New Roman" w:eastAsia="Times New Roman,Batang" w:hAnsi="Times New Roman"/>
          <w:lang w:eastAsia="ko-KR"/>
        </w:rPr>
        <w:t>in</w:t>
      </w:r>
      <w:r w:rsidR="00867249" w:rsidRPr="00C369EC">
        <w:rPr>
          <w:rFonts w:ascii="Times New Roman" w:eastAsia="Times New Roman,Batang" w:hAnsi="Times New Roman"/>
          <w:lang w:eastAsia="ko-KR"/>
        </w:rPr>
        <w:t xml:space="preserve"> implementing management actions and will continue to make </w:t>
      </w:r>
      <w:r w:rsidRPr="00C369EC">
        <w:rPr>
          <w:rFonts w:ascii="Times New Roman" w:eastAsia="Times New Roman,Batang" w:hAnsi="Times New Roman"/>
          <w:lang w:eastAsia="ko-KR"/>
        </w:rPr>
        <w:t xml:space="preserve">sustained efforts to </w:t>
      </w:r>
      <w:r w:rsidR="005C7BAC" w:rsidRPr="00C369EC">
        <w:rPr>
          <w:rFonts w:ascii="Times New Roman" w:eastAsia="Times New Roman,Batang" w:hAnsi="Times New Roman"/>
          <w:lang w:eastAsia="ko-KR"/>
        </w:rPr>
        <w:t>address</w:t>
      </w:r>
      <w:r w:rsidRPr="00C369EC">
        <w:rPr>
          <w:rFonts w:ascii="Times New Roman" w:eastAsia="Times New Roman,Batang" w:hAnsi="Times New Roman"/>
          <w:lang w:eastAsia="ko-KR"/>
        </w:rPr>
        <w:t xml:space="preserve"> overdue key actions. </w:t>
      </w:r>
    </w:p>
    <w:p w14:paraId="099FCB0C" w14:textId="77777777" w:rsidR="007D43F4" w:rsidRPr="00C369EC" w:rsidRDefault="007D43F4" w:rsidP="002E58A0">
      <w:pPr>
        <w:spacing w:after="0" w:line="240" w:lineRule="auto"/>
        <w:jc w:val="both"/>
        <w:rPr>
          <w:rFonts w:ascii="Times New Roman" w:eastAsia="Times New Roman,Batang" w:hAnsi="Times New Roman"/>
          <w:lang w:eastAsia="ko-KR"/>
        </w:rPr>
      </w:pPr>
    </w:p>
    <w:p w14:paraId="43FDD424" w14:textId="549738A9" w:rsidR="00016DE3" w:rsidRPr="00C369EC" w:rsidRDefault="00016DE3" w:rsidP="002E58A0">
      <w:pPr>
        <w:spacing w:after="0" w:line="240" w:lineRule="auto"/>
        <w:jc w:val="both"/>
        <w:rPr>
          <w:rFonts w:ascii="Times New Roman" w:eastAsia="Times New Roman,Batang" w:hAnsi="Times New Roman"/>
          <w:u w:val="single"/>
          <w:lang w:eastAsia="ko-KR"/>
        </w:rPr>
      </w:pPr>
    </w:p>
    <w:p w14:paraId="7BC03235" w14:textId="51F0BAFE" w:rsidR="00016DE3" w:rsidRPr="00C369EC" w:rsidRDefault="00107E69" w:rsidP="002E58A0">
      <w:pPr>
        <w:spacing w:after="0" w:line="240" w:lineRule="auto"/>
        <w:jc w:val="both"/>
        <w:rPr>
          <w:rFonts w:ascii="Times New Roman" w:eastAsia="Times New Roman,Batang" w:hAnsi="Times New Roman"/>
          <w:b/>
          <w:bCs/>
          <w:u w:val="single"/>
          <w:lang w:eastAsia="ko-KR"/>
        </w:rPr>
      </w:pPr>
      <w:r w:rsidRPr="00C369EC">
        <w:rPr>
          <w:rFonts w:ascii="Times New Roman" w:eastAsia="Times New Roman,Batang" w:hAnsi="Times New Roman"/>
          <w:b/>
          <w:bCs/>
          <w:u w:val="single"/>
          <w:lang w:eastAsia="ko-KR"/>
        </w:rPr>
        <w:t xml:space="preserve">CONCLUSION </w:t>
      </w:r>
    </w:p>
    <w:p w14:paraId="66A1F95A" w14:textId="7624F0BE" w:rsidR="00394F72" w:rsidRPr="002E58A0" w:rsidRDefault="00394F72" w:rsidP="002E58A0">
      <w:pPr>
        <w:spacing w:after="0" w:line="240" w:lineRule="auto"/>
        <w:jc w:val="both"/>
        <w:rPr>
          <w:rFonts w:ascii="Times New Roman" w:hAnsi="Times New Roman"/>
        </w:rPr>
      </w:pPr>
      <w:r w:rsidRPr="00394F72">
        <w:rPr>
          <w:rFonts w:ascii="Times New Roman" w:hAnsi="Times New Roman"/>
        </w:rPr>
        <w:t xml:space="preserve"> </w:t>
      </w:r>
    </w:p>
    <w:p w14:paraId="4FCE3A0C" w14:textId="0AA59A2B" w:rsidR="00216BFD" w:rsidRPr="00C369EC" w:rsidRDefault="00216BFD" w:rsidP="002E58A0">
      <w:pPr>
        <w:spacing w:after="0" w:line="240" w:lineRule="auto"/>
        <w:jc w:val="both"/>
        <w:rPr>
          <w:rFonts w:ascii="Times New Roman" w:hAnsi="Times New Roman"/>
        </w:rPr>
      </w:pPr>
      <w:r w:rsidRPr="00C369EC">
        <w:rPr>
          <w:rFonts w:ascii="Times New Roman" w:eastAsia="Times New Roman,Batang" w:hAnsi="Times New Roman"/>
          <w:lang w:eastAsia="ko-KR"/>
        </w:rPr>
        <w:t xml:space="preserve">The Organisational Performance Group </w:t>
      </w:r>
      <w:r w:rsidRPr="00C369EC">
        <w:rPr>
          <w:rFonts w:ascii="Times New Roman" w:hAnsi="Times New Roman"/>
        </w:rPr>
        <w:t xml:space="preserve">reviewed UNDP’s evaluation performance in October 2019. It endorsed actions to strengthen the evaluation function and to increase learning as well as requested relevant bureaux to follow-up on evaluation-related challenges in coordination and consultation with the Bureau for Policy and Programme Support and the IEO as needed. </w:t>
      </w:r>
    </w:p>
    <w:p w14:paraId="4DA8589A" w14:textId="77777777" w:rsidR="00216BFD" w:rsidRPr="00C369EC" w:rsidRDefault="00216BFD" w:rsidP="002E58A0">
      <w:pPr>
        <w:spacing w:after="0" w:line="240" w:lineRule="auto"/>
        <w:jc w:val="both"/>
        <w:rPr>
          <w:rFonts w:ascii="Times New Roman" w:hAnsi="Times New Roman"/>
        </w:rPr>
      </w:pPr>
    </w:p>
    <w:p w14:paraId="06BE874F" w14:textId="35A78470" w:rsidR="00016DE3" w:rsidRPr="00C369EC" w:rsidRDefault="00016DE3" w:rsidP="002E58A0">
      <w:pPr>
        <w:spacing w:after="0" w:line="240" w:lineRule="auto"/>
        <w:jc w:val="both"/>
        <w:rPr>
          <w:rFonts w:ascii="Times New Roman" w:eastAsia="Batang" w:hAnsi="Times New Roman"/>
          <w:lang w:eastAsia="ko-KR"/>
        </w:rPr>
      </w:pPr>
      <w:r w:rsidRPr="00C369EC">
        <w:rPr>
          <w:rFonts w:ascii="Times New Roman" w:eastAsia="Batang" w:hAnsi="Times New Roman"/>
          <w:lang w:eastAsia="ko-KR"/>
        </w:rPr>
        <w:t>Evaluation plays a critical role in UNDP</w:t>
      </w:r>
      <w:r w:rsidR="00EA09A2" w:rsidRPr="00C369EC">
        <w:rPr>
          <w:rFonts w:ascii="Times New Roman" w:eastAsia="Batang" w:hAnsi="Times New Roman"/>
          <w:lang w:eastAsia="ko-KR"/>
        </w:rPr>
        <w:t>’</w:t>
      </w:r>
      <w:r w:rsidRPr="00C369EC">
        <w:rPr>
          <w:rFonts w:ascii="Times New Roman" w:eastAsia="Batang" w:hAnsi="Times New Roman"/>
          <w:lang w:eastAsia="ko-KR"/>
        </w:rPr>
        <w:t xml:space="preserve">s programme delivery as it supports the organisation </w:t>
      </w:r>
      <w:r w:rsidR="006E6C0E">
        <w:rPr>
          <w:rFonts w:ascii="Times New Roman" w:eastAsia="Batang" w:hAnsi="Times New Roman"/>
          <w:lang w:eastAsia="ko-KR"/>
        </w:rPr>
        <w:t xml:space="preserve">to </w:t>
      </w:r>
      <w:r w:rsidR="00216BFD" w:rsidRPr="00C369EC">
        <w:rPr>
          <w:rFonts w:ascii="Times New Roman" w:eastAsia="Batang" w:hAnsi="Times New Roman"/>
          <w:lang w:eastAsia="ko-KR"/>
        </w:rPr>
        <w:t xml:space="preserve">deliver evidence-based programmes and </w:t>
      </w:r>
      <w:r w:rsidRPr="00C369EC">
        <w:rPr>
          <w:rFonts w:ascii="Times New Roman" w:eastAsia="Batang" w:hAnsi="Times New Roman"/>
          <w:lang w:eastAsia="ko-KR"/>
        </w:rPr>
        <w:t xml:space="preserve">to remain agile. UNDP </w:t>
      </w:r>
      <w:r w:rsidR="00623623">
        <w:rPr>
          <w:rFonts w:ascii="Times New Roman" w:eastAsia="Batang" w:hAnsi="Times New Roman"/>
          <w:lang w:eastAsia="ko-KR"/>
        </w:rPr>
        <w:t xml:space="preserve">is continuing to take </w:t>
      </w:r>
      <w:r w:rsidR="0060170B">
        <w:rPr>
          <w:rFonts w:ascii="Times New Roman" w:eastAsia="Batang" w:hAnsi="Times New Roman"/>
          <w:lang w:eastAsia="ko-KR"/>
        </w:rPr>
        <w:t xml:space="preserve">actions </w:t>
      </w:r>
      <w:r w:rsidR="0060170B" w:rsidRPr="00C369EC">
        <w:rPr>
          <w:rFonts w:ascii="Times New Roman" w:eastAsia="Batang" w:hAnsi="Times New Roman"/>
          <w:lang w:eastAsia="ko-KR"/>
        </w:rPr>
        <w:t>to</w:t>
      </w:r>
      <w:r w:rsidRPr="00C369EC">
        <w:rPr>
          <w:rFonts w:ascii="Times New Roman" w:eastAsia="Batang" w:hAnsi="Times New Roman"/>
          <w:lang w:eastAsia="ko-KR"/>
        </w:rPr>
        <w:t xml:space="preserve"> </w:t>
      </w:r>
      <w:r w:rsidR="006E6C0E" w:rsidRPr="00C369EC">
        <w:rPr>
          <w:rFonts w:ascii="Times New Roman" w:eastAsia="Batang" w:hAnsi="Times New Roman"/>
          <w:lang w:eastAsia="ko-KR"/>
        </w:rPr>
        <w:t>improv</w:t>
      </w:r>
      <w:r w:rsidR="00623623">
        <w:rPr>
          <w:rFonts w:ascii="Times New Roman" w:eastAsia="Batang" w:hAnsi="Times New Roman"/>
          <w:lang w:eastAsia="ko-KR"/>
        </w:rPr>
        <w:t>e</w:t>
      </w:r>
      <w:r w:rsidR="006E6C0E" w:rsidRPr="00C369EC">
        <w:rPr>
          <w:rFonts w:ascii="Times New Roman" w:eastAsia="Batang" w:hAnsi="Times New Roman"/>
          <w:lang w:eastAsia="ko-KR"/>
        </w:rPr>
        <w:t xml:space="preserve"> </w:t>
      </w:r>
      <w:r w:rsidRPr="00C369EC">
        <w:rPr>
          <w:rFonts w:ascii="Times New Roman" w:eastAsia="Batang" w:hAnsi="Times New Roman"/>
          <w:lang w:eastAsia="ko-KR"/>
        </w:rPr>
        <w:t xml:space="preserve">the quality of decentralised evaluations, as well as to strengthen their utility for organisational performance and the relevance of UNDP support. </w:t>
      </w:r>
    </w:p>
    <w:p w14:paraId="3B6770D1" w14:textId="411DC969" w:rsidR="00B02558" w:rsidRPr="00C369EC" w:rsidRDefault="00B02558" w:rsidP="002E58A0">
      <w:pPr>
        <w:spacing w:after="0" w:line="240" w:lineRule="auto"/>
        <w:jc w:val="both"/>
        <w:rPr>
          <w:rFonts w:ascii="Times New Roman" w:hAnsi="Times New Roman"/>
        </w:rPr>
      </w:pPr>
      <w:r w:rsidRPr="00C369EC">
        <w:rPr>
          <w:rFonts w:ascii="Times New Roman" w:hAnsi="Times New Roman"/>
        </w:rPr>
        <w:br w:type="page"/>
      </w:r>
    </w:p>
    <w:p w14:paraId="3604AF6B" w14:textId="3F5106FF" w:rsidR="000B4584" w:rsidRPr="00C369EC" w:rsidRDefault="0089568A" w:rsidP="002E58A0">
      <w:pPr>
        <w:spacing w:after="0" w:line="240" w:lineRule="auto"/>
        <w:rPr>
          <w:rFonts w:ascii="Times New Roman" w:hAnsi="Times New Roman"/>
          <w:b/>
          <w:color w:val="FF0000"/>
          <w:u w:val="single"/>
        </w:rPr>
      </w:pPr>
      <w:r w:rsidRPr="00C369EC">
        <w:rPr>
          <w:rFonts w:ascii="Times New Roman" w:eastAsia="Times New Roman,Batang" w:hAnsi="Times New Roman"/>
          <w:b/>
          <w:u w:val="single"/>
          <w:lang w:eastAsia="ko-KR"/>
        </w:rPr>
        <w:lastRenderedPageBreak/>
        <w:t xml:space="preserve">KEY RESULTS ACHIEVED, </w:t>
      </w:r>
      <w:r w:rsidRPr="00C369EC">
        <w:rPr>
          <w:rFonts w:ascii="Times New Roman" w:hAnsi="Times New Roman"/>
          <w:b/>
          <w:u w:val="single"/>
        </w:rPr>
        <w:t xml:space="preserve">AND LESSONS LEARNED </w:t>
      </w:r>
      <w:r w:rsidR="00623623">
        <w:rPr>
          <w:rFonts w:ascii="Times New Roman" w:hAnsi="Times New Roman"/>
          <w:b/>
          <w:u w:val="single"/>
        </w:rPr>
        <w:t>–</w:t>
      </w:r>
      <w:r w:rsidRPr="00C369EC">
        <w:rPr>
          <w:rFonts w:ascii="Times New Roman" w:hAnsi="Times New Roman"/>
          <w:b/>
          <w:u w:val="single"/>
        </w:rPr>
        <w:t xml:space="preserve"> </w:t>
      </w:r>
      <w:r w:rsidR="00623623">
        <w:rPr>
          <w:rFonts w:ascii="Times New Roman" w:hAnsi="Times New Roman"/>
          <w:b/>
          <w:u w:val="single"/>
        </w:rPr>
        <w:t xml:space="preserve">SELECTED </w:t>
      </w:r>
      <w:r w:rsidRPr="00C369EC">
        <w:rPr>
          <w:rFonts w:ascii="Times New Roman" w:hAnsi="Times New Roman"/>
          <w:b/>
          <w:u w:val="single"/>
        </w:rPr>
        <w:t xml:space="preserve">THEMATIC EVALUATIONS </w:t>
      </w:r>
    </w:p>
    <w:p w14:paraId="48936FB2" w14:textId="4E446A61" w:rsidR="008A3FC8" w:rsidRPr="00C369EC" w:rsidRDefault="00303562" w:rsidP="002E58A0">
      <w:pPr>
        <w:tabs>
          <w:tab w:val="left" w:pos="1760"/>
        </w:tabs>
        <w:spacing w:after="0" w:line="240" w:lineRule="auto"/>
        <w:jc w:val="both"/>
        <w:rPr>
          <w:rFonts w:ascii="Times New Roman" w:hAnsi="Times New Roman"/>
        </w:rPr>
      </w:pPr>
      <w:r w:rsidRPr="00C369EC">
        <w:rPr>
          <w:rFonts w:ascii="Times New Roman" w:hAnsi="Times New Roman"/>
        </w:rPr>
        <w:tab/>
      </w:r>
    </w:p>
    <w:p w14:paraId="10BFF842" w14:textId="30AAE32C" w:rsidR="00CD3B8E" w:rsidRPr="00C369EC" w:rsidRDefault="00216BFD" w:rsidP="002E58A0">
      <w:pPr>
        <w:spacing w:after="0" w:line="240" w:lineRule="auto"/>
        <w:jc w:val="both"/>
        <w:rPr>
          <w:rFonts w:ascii="Times New Roman" w:hAnsi="Times New Roman"/>
        </w:rPr>
      </w:pPr>
      <w:r w:rsidRPr="00C369EC">
        <w:rPr>
          <w:rFonts w:ascii="Times New Roman" w:hAnsi="Times New Roman"/>
        </w:rPr>
        <w:t xml:space="preserve">This </w:t>
      </w:r>
      <w:r w:rsidR="00707FC7" w:rsidRPr="00C369EC">
        <w:rPr>
          <w:rFonts w:ascii="Times New Roman" w:hAnsi="Times New Roman"/>
        </w:rPr>
        <w:t xml:space="preserve">management </w:t>
      </w:r>
      <w:r w:rsidR="0078378A" w:rsidRPr="00C369EC">
        <w:rPr>
          <w:rFonts w:ascii="Times New Roman" w:hAnsi="Times New Roman"/>
        </w:rPr>
        <w:t>commentary</w:t>
      </w:r>
      <w:r w:rsidR="002D676B" w:rsidRPr="00C369EC">
        <w:rPr>
          <w:rFonts w:ascii="Times New Roman" w:hAnsi="Times New Roman"/>
        </w:rPr>
        <w:t xml:space="preserve"> </w:t>
      </w:r>
      <w:r w:rsidR="002A1476" w:rsidRPr="00C369EC">
        <w:rPr>
          <w:rFonts w:ascii="Times New Roman" w:hAnsi="Times New Roman"/>
        </w:rPr>
        <w:t>focuses</w:t>
      </w:r>
      <w:r w:rsidR="00A05C2E" w:rsidRPr="00C369EC">
        <w:rPr>
          <w:rFonts w:ascii="Times New Roman" w:hAnsi="Times New Roman"/>
        </w:rPr>
        <w:t xml:space="preserve"> on </w:t>
      </w:r>
      <w:r w:rsidRPr="00C369EC">
        <w:rPr>
          <w:rFonts w:ascii="Times New Roman" w:hAnsi="Times New Roman"/>
        </w:rPr>
        <w:t>four</w:t>
      </w:r>
      <w:r w:rsidR="00A05C2E" w:rsidRPr="00C369EC">
        <w:rPr>
          <w:rFonts w:ascii="Times New Roman" w:hAnsi="Times New Roman"/>
        </w:rPr>
        <w:t xml:space="preserve"> evaluation</w:t>
      </w:r>
      <w:r w:rsidRPr="00C369EC">
        <w:rPr>
          <w:rFonts w:ascii="Times New Roman" w:hAnsi="Times New Roman"/>
        </w:rPr>
        <w:t xml:space="preserve">s to reflect on how lessons learned from the evaluation and the implementation of management actions have assisted the organisation’s programmatic and operational decision-making.  This includes: </w:t>
      </w:r>
      <w:r w:rsidR="000E075F" w:rsidRPr="00C369EC">
        <w:rPr>
          <w:rFonts w:ascii="Times New Roman" w:hAnsi="Times New Roman"/>
          <w:b/>
          <w:bCs/>
          <w:shd w:val="clear" w:color="auto" w:fill="FFFFFF"/>
        </w:rPr>
        <w:t xml:space="preserve"> </w:t>
      </w:r>
      <w:r w:rsidR="000E075F" w:rsidRPr="00C369EC">
        <w:rPr>
          <w:rFonts w:ascii="Times New Roman" w:hAnsi="Times New Roman"/>
          <w:i/>
          <w:iCs/>
          <w:shd w:val="clear" w:color="auto" w:fill="FFFFFF"/>
        </w:rPr>
        <w:t>Evaluation of UNDP Contribution to Anti-corruption and Addressing Drivers of Corruption</w:t>
      </w:r>
      <w:r w:rsidRPr="00C369EC">
        <w:rPr>
          <w:rFonts w:ascii="Times New Roman" w:hAnsi="Times New Roman"/>
          <w:shd w:val="clear" w:color="auto" w:fill="FFFFFF"/>
        </w:rPr>
        <w:t xml:space="preserve">; </w:t>
      </w:r>
      <w:r w:rsidR="002F6ECD" w:rsidRPr="00C369EC">
        <w:rPr>
          <w:rFonts w:ascii="Times New Roman" w:hAnsi="Times New Roman"/>
          <w:i/>
          <w:iCs/>
          <w:spacing w:val="8"/>
        </w:rPr>
        <w:t>Evaluation of UNDP Support to Poverty Eradication in Least Developed Countries</w:t>
      </w:r>
      <w:r w:rsidRPr="00C369EC">
        <w:rPr>
          <w:rFonts w:ascii="Times New Roman" w:hAnsi="Times New Roman"/>
          <w:i/>
          <w:iCs/>
          <w:spacing w:val="8"/>
        </w:rPr>
        <w:t xml:space="preserve">; </w:t>
      </w:r>
      <w:r w:rsidR="00746AAC" w:rsidRPr="00C369EC">
        <w:rPr>
          <w:rFonts w:ascii="Times New Roman" w:eastAsia="Batang" w:hAnsi="Times New Roman"/>
          <w:i/>
          <w:iCs/>
          <w:lang w:eastAsia="ko-KR"/>
        </w:rPr>
        <w:t>Evaluation of UNDP’s Inter-Agency Pooled Financing Services</w:t>
      </w:r>
      <w:r w:rsidRPr="00C369EC">
        <w:rPr>
          <w:rFonts w:ascii="Times New Roman" w:eastAsia="Batang" w:hAnsi="Times New Roman"/>
          <w:i/>
          <w:iCs/>
          <w:lang w:eastAsia="ko-KR"/>
        </w:rPr>
        <w:t>;</w:t>
      </w:r>
      <w:r w:rsidR="0086241C">
        <w:rPr>
          <w:rFonts w:ascii="Times New Roman" w:eastAsia="Batang" w:hAnsi="Times New Roman"/>
          <w:i/>
          <w:iCs/>
          <w:lang w:eastAsia="ko-KR"/>
        </w:rPr>
        <w:t xml:space="preserve"> </w:t>
      </w:r>
      <w:r w:rsidR="00F1390F" w:rsidRPr="00C369EC">
        <w:rPr>
          <w:rFonts w:ascii="Times New Roman" w:eastAsia="Batang" w:hAnsi="Times New Roman"/>
          <w:lang w:eastAsia="ko-KR"/>
        </w:rPr>
        <w:t>and</w:t>
      </w:r>
      <w:r w:rsidR="00F1390F" w:rsidRPr="00C369EC">
        <w:rPr>
          <w:rFonts w:ascii="Times New Roman" w:eastAsia="Batang" w:hAnsi="Times New Roman"/>
          <w:i/>
          <w:iCs/>
          <w:lang w:eastAsia="ko-KR"/>
        </w:rPr>
        <w:t xml:space="preserve"> </w:t>
      </w:r>
      <w:r w:rsidR="0086241C">
        <w:rPr>
          <w:rFonts w:ascii="Times New Roman" w:eastAsia="Batang" w:hAnsi="Times New Roman"/>
          <w:lang w:eastAsia="ko-KR"/>
        </w:rPr>
        <w:t xml:space="preserve">the </w:t>
      </w:r>
      <w:r w:rsidR="0086241C" w:rsidRPr="0086241C">
        <w:rPr>
          <w:rFonts w:ascii="Times New Roman" w:hAnsi="Times New Roman"/>
          <w:i/>
          <w:iCs/>
        </w:rPr>
        <w:t>Evaluation of UNDP inter-agency operational services</w:t>
      </w:r>
      <w:r w:rsidR="0086241C">
        <w:rPr>
          <w:rFonts w:ascii="Times New Roman" w:hAnsi="Times New Roman"/>
          <w:b/>
          <w:bCs/>
        </w:rPr>
        <w:t>.</w:t>
      </w:r>
    </w:p>
    <w:p w14:paraId="34301697" w14:textId="77777777" w:rsidR="00CD3B8E" w:rsidRPr="00C369EC" w:rsidRDefault="00CD3B8E" w:rsidP="002E58A0">
      <w:pPr>
        <w:spacing w:after="0" w:line="240" w:lineRule="auto"/>
        <w:jc w:val="both"/>
        <w:rPr>
          <w:rFonts w:ascii="Times New Roman" w:hAnsi="Times New Roman"/>
        </w:rPr>
      </w:pPr>
    </w:p>
    <w:p w14:paraId="78D512E6" w14:textId="73F229B5" w:rsidR="00216BFD" w:rsidRPr="00C369EC" w:rsidRDefault="004149D2" w:rsidP="002E58A0">
      <w:pPr>
        <w:spacing w:after="0" w:line="240" w:lineRule="auto"/>
        <w:jc w:val="both"/>
        <w:rPr>
          <w:rFonts w:ascii="Times New Roman" w:hAnsi="Times New Roman"/>
        </w:rPr>
      </w:pPr>
      <w:r w:rsidRPr="00C369EC">
        <w:rPr>
          <w:rFonts w:ascii="Times New Roman" w:hAnsi="Times New Roman"/>
        </w:rPr>
        <w:t xml:space="preserve">UNDP </w:t>
      </w:r>
      <w:r w:rsidR="00216BFD" w:rsidRPr="00C369EC">
        <w:rPr>
          <w:rFonts w:ascii="Times New Roman" w:hAnsi="Times New Roman"/>
        </w:rPr>
        <w:t xml:space="preserve">has also undertaken a </w:t>
      </w:r>
      <w:r w:rsidRPr="00C369EC">
        <w:rPr>
          <w:rFonts w:ascii="Times New Roman" w:hAnsi="Times New Roman"/>
        </w:rPr>
        <w:t>gender</w:t>
      </w:r>
      <w:r w:rsidR="009D3678" w:rsidRPr="00C369EC">
        <w:rPr>
          <w:rFonts w:ascii="Times New Roman" w:hAnsi="Times New Roman"/>
        </w:rPr>
        <w:t>-</w:t>
      </w:r>
      <w:r w:rsidRPr="00C369EC">
        <w:rPr>
          <w:rFonts w:ascii="Times New Roman" w:hAnsi="Times New Roman"/>
        </w:rPr>
        <w:t>responsive analysis o</w:t>
      </w:r>
      <w:r w:rsidR="009D3678" w:rsidRPr="00C369EC">
        <w:rPr>
          <w:rFonts w:ascii="Times New Roman" w:hAnsi="Times New Roman"/>
        </w:rPr>
        <w:t>f</w:t>
      </w:r>
      <w:r w:rsidRPr="00C369EC">
        <w:rPr>
          <w:rFonts w:ascii="Times New Roman" w:hAnsi="Times New Roman"/>
        </w:rPr>
        <w:t xml:space="preserve"> lessons learned </w:t>
      </w:r>
      <w:r w:rsidR="00A15E35" w:rsidRPr="00C369EC">
        <w:rPr>
          <w:rFonts w:ascii="Times New Roman" w:hAnsi="Times New Roman"/>
        </w:rPr>
        <w:t xml:space="preserve">from </w:t>
      </w:r>
      <w:r w:rsidR="00216BFD" w:rsidRPr="00C369EC">
        <w:rPr>
          <w:rFonts w:ascii="Times New Roman" w:hAnsi="Times New Roman"/>
        </w:rPr>
        <w:t xml:space="preserve">all </w:t>
      </w:r>
      <w:r w:rsidR="00A15E35" w:rsidRPr="00C369EC">
        <w:rPr>
          <w:rFonts w:ascii="Times New Roman" w:hAnsi="Times New Roman"/>
        </w:rPr>
        <w:t>Independent Evaluations</w:t>
      </w:r>
      <w:r w:rsidR="00216BFD" w:rsidRPr="00C369EC">
        <w:rPr>
          <w:rFonts w:ascii="Times New Roman" w:hAnsi="Times New Roman"/>
        </w:rPr>
        <w:t xml:space="preserve"> to inform the implementation of its Gender Equality Strategy and implementation of the Strategic Plan.  </w:t>
      </w:r>
    </w:p>
    <w:p w14:paraId="20B16018" w14:textId="4F7FDD84" w:rsidR="00972E43" w:rsidRPr="00C369EC" w:rsidRDefault="00972E43" w:rsidP="002E58A0">
      <w:pPr>
        <w:spacing w:after="0" w:line="240" w:lineRule="auto"/>
        <w:jc w:val="both"/>
        <w:rPr>
          <w:rFonts w:ascii="Times New Roman" w:eastAsiaTheme="minorHAnsi" w:hAnsi="Times New Roman"/>
        </w:rPr>
      </w:pPr>
    </w:p>
    <w:p w14:paraId="3B42462E" w14:textId="58432577" w:rsidR="00263AA1" w:rsidRDefault="00263AA1" w:rsidP="002E58A0">
      <w:pPr>
        <w:pStyle w:val="ColorfulShading-Accent31"/>
        <w:spacing w:after="0" w:line="240" w:lineRule="auto"/>
        <w:ind w:left="0"/>
        <w:jc w:val="both"/>
        <w:rPr>
          <w:rFonts w:ascii="Times New Roman" w:eastAsia="Times New Roman,Batang" w:hAnsi="Times New Roman"/>
          <w:lang w:eastAsia="ko-KR"/>
        </w:rPr>
      </w:pPr>
      <w:r w:rsidRPr="00C369EC">
        <w:rPr>
          <w:rFonts w:ascii="Times New Roman" w:eastAsia="Times New Roman,Batang" w:hAnsi="Times New Roman"/>
          <w:lang w:eastAsia="ko-KR"/>
        </w:rPr>
        <w:t xml:space="preserve">The full set of evaluations conducted by the IEO and UNDP programme units and their related management responses are available in the </w:t>
      </w:r>
      <w:hyperlink r:id="rId18">
        <w:r w:rsidRPr="00C369EC">
          <w:rPr>
            <w:rStyle w:val="Hyperlink"/>
            <w:rFonts w:ascii="Times New Roman" w:eastAsia="Times New Roman,Batang" w:hAnsi="Times New Roman"/>
            <w:lang w:eastAsia="ko-KR"/>
          </w:rPr>
          <w:t>ERC</w:t>
        </w:r>
      </w:hyperlink>
      <w:r w:rsidRPr="00C369EC">
        <w:rPr>
          <w:rFonts w:ascii="Times New Roman" w:eastAsia="Times New Roman,Batang" w:hAnsi="Times New Roman"/>
          <w:lang w:eastAsia="ko-KR"/>
        </w:rPr>
        <w:t xml:space="preserve">.  </w:t>
      </w:r>
    </w:p>
    <w:p w14:paraId="7CCB648C" w14:textId="77777777" w:rsidR="00233AB4" w:rsidRPr="00C369EC" w:rsidRDefault="00233AB4" w:rsidP="002E58A0">
      <w:pPr>
        <w:spacing w:after="0" w:line="240" w:lineRule="auto"/>
        <w:jc w:val="both"/>
        <w:rPr>
          <w:rFonts w:ascii="Times New Roman" w:eastAsia="Batang" w:hAnsi="Times New Roman"/>
          <w:b/>
          <w:bCs/>
          <w:lang w:eastAsia="ko-KR"/>
        </w:rPr>
      </w:pPr>
    </w:p>
    <w:p w14:paraId="24A821DC" w14:textId="77777777" w:rsidR="00BC41C4" w:rsidRDefault="00BC41C4" w:rsidP="002E58A0">
      <w:pPr>
        <w:spacing w:after="0" w:line="240" w:lineRule="auto"/>
        <w:jc w:val="both"/>
        <w:rPr>
          <w:rFonts w:ascii="Times New Roman" w:eastAsia="Batang" w:hAnsi="Times New Roman"/>
          <w:b/>
          <w:bCs/>
          <w:lang w:eastAsia="ko-KR"/>
        </w:rPr>
      </w:pPr>
    </w:p>
    <w:p w14:paraId="52616DC5" w14:textId="32ACA7A5" w:rsidR="00897101" w:rsidRPr="00C369EC" w:rsidRDefault="007D4671" w:rsidP="002E58A0">
      <w:pPr>
        <w:spacing w:after="0" w:line="240" w:lineRule="auto"/>
        <w:jc w:val="both"/>
        <w:rPr>
          <w:rFonts w:ascii="Times New Roman" w:eastAsia="Batang" w:hAnsi="Times New Roman"/>
          <w:b/>
          <w:bCs/>
          <w:lang w:eastAsia="ko-KR"/>
        </w:rPr>
      </w:pPr>
      <w:r w:rsidRPr="00C369EC">
        <w:rPr>
          <w:rFonts w:ascii="Times New Roman" w:eastAsia="Batang" w:hAnsi="Times New Roman"/>
          <w:b/>
          <w:bCs/>
          <w:lang w:eastAsia="ko-KR"/>
        </w:rPr>
        <w:t>Evaluation of UNDP Contribution to Anti-corruption and Addressing Drivers of Corruption</w:t>
      </w:r>
    </w:p>
    <w:p w14:paraId="2289DFD6" w14:textId="45C6A052" w:rsidR="00897101" w:rsidRPr="00C369EC" w:rsidRDefault="00897101" w:rsidP="002E58A0">
      <w:pPr>
        <w:spacing w:after="0" w:line="240" w:lineRule="auto"/>
        <w:jc w:val="both"/>
        <w:rPr>
          <w:rFonts w:ascii="Times New Roman" w:eastAsia="Batang" w:hAnsi="Times New Roman"/>
          <w:i/>
          <w:iCs/>
          <w:lang w:eastAsia="ko-KR"/>
        </w:rPr>
      </w:pPr>
      <w:r w:rsidRPr="00C369EC">
        <w:rPr>
          <w:rFonts w:ascii="Times New Roman" w:eastAsia="Batang" w:hAnsi="Times New Roman"/>
          <w:i/>
          <w:iCs/>
          <w:lang w:eastAsia="ko-KR"/>
        </w:rPr>
        <w:t xml:space="preserve">Completed in </w:t>
      </w:r>
      <w:r w:rsidR="00781ED6" w:rsidRPr="00C369EC">
        <w:rPr>
          <w:rFonts w:ascii="Times New Roman" w:eastAsia="Batang" w:hAnsi="Times New Roman"/>
          <w:i/>
          <w:iCs/>
          <w:lang w:eastAsia="ko-KR"/>
        </w:rPr>
        <w:t>December 2016</w:t>
      </w:r>
    </w:p>
    <w:p w14:paraId="619B8AB2" w14:textId="2724B3AB" w:rsidR="007D4671" w:rsidRPr="00C369EC" w:rsidRDefault="007D4671" w:rsidP="002E58A0">
      <w:pPr>
        <w:spacing w:after="0" w:line="240" w:lineRule="auto"/>
        <w:jc w:val="both"/>
        <w:rPr>
          <w:rFonts w:ascii="Times New Roman" w:hAnsi="Times New Roman"/>
          <w:b/>
          <w:bCs/>
          <w:color w:val="000000"/>
          <w:shd w:val="clear" w:color="auto" w:fill="FFFFFF"/>
        </w:rPr>
      </w:pPr>
    </w:p>
    <w:p w14:paraId="0E3EB8DF" w14:textId="0234A40F" w:rsidR="007D4671" w:rsidRDefault="007D4671" w:rsidP="002E58A0">
      <w:pPr>
        <w:spacing w:after="0" w:line="240" w:lineRule="auto"/>
        <w:jc w:val="both"/>
        <w:rPr>
          <w:rFonts w:ascii="Times New Roman" w:hAnsi="Times New Roman"/>
        </w:rPr>
      </w:pPr>
      <w:r w:rsidRPr="00C369EC">
        <w:rPr>
          <w:rFonts w:ascii="Times New Roman" w:hAnsi="Times New Roman"/>
        </w:rPr>
        <w:t>The 2016 evaluation of UNDP’s Contribution to Anti-Corruption and Addressing Drivers of Corruption conducted by UNDP’s Independent Evaluation Office highlighted the need for linking anti-corruption approach</w:t>
      </w:r>
      <w:r w:rsidR="00030EB9" w:rsidRPr="00C369EC">
        <w:rPr>
          <w:rFonts w:ascii="Times New Roman" w:hAnsi="Times New Roman"/>
        </w:rPr>
        <w:t>es</w:t>
      </w:r>
      <w:r w:rsidRPr="00C369EC">
        <w:rPr>
          <w:rFonts w:ascii="Times New Roman" w:hAnsi="Times New Roman"/>
        </w:rPr>
        <w:t xml:space="preserve"> to other development programming, </w:t>
      </w:r>
      <w:r w:rsidR="00030EB9" w:rsidRPr="00C369EC">
        <w:rPr>
          <w:rFonts w:ascii="Times New Roman" w:hAnsi="Times New Roman"/>
        </w:rPr>
        <w:t>prioritising</w:t>
      </w:r>
      <w:r w:rsidRPr="00C369EC">
        <w:rPr>
          <w:rFonts w:ascii="Times New Roman" w:hAnsi="Times New Roman"/>
        </w:rPr>
        <w:t xml:space="preserve"> anti-corruption and governance risk assessments</w:t>
      </w:r>
      <w:r w:rsidR="000E1902">
        <w:rPr>
          <w:rFonts w:ascii="Times New Roman" w:hAnsi="Times New Roman"/>
        </w:rPr>
        <w:t>, i</w:t>
      </w:r>
      <w:r w:rsidR="00030EB9" w:rsidRPr="00C369EC">
        <w:rPr>
          <w:rFonts w:ascii="Times New Roman" w:hAnsi="Times New Roman"/>
        </w:rPr>
        <w:t>ncluding</w:t>
      </w:r>
      <w:r w:rsidRPr="00C369EC">
        <w:rPr>
          <w:rFonts w:ascii="Times New Roman" w:hAnsi="Times New Roman"/>
        </w:rPr>
        <w:t xml:space="preserve">, </w:t>
      </w:r>
      <w:r w:rsidR="00513E48" w:rsidRPr="00C369EC">
        <w:rPr>
          <w:rFonts w:ascii="Times New Roman" w:hAnsi="Times New Roman"/>
        </w:rPr>
        <w:t>increased support</w:t>
      </w:r>
      <w:r w:rsidRPr="00C369EC">
        <w:rPr>
          <w:rFonts w:ascii="Times New Roman" w:hAnsi="Times New Roman"/>
        </w:rPr>
        <w:t xml:space="preserve"> at the local level through social accountability initiatives, mobili</w:t>
      </w:r>
      <w:r w:rsidR="00030EB9" w:rsidRPr="00C369EC">
        <w:rPr>
          <w:rFonts w:ascii="Times New Roman" w:hAnsi="Times New Roman"/>
        </w:rPr>
        <w:t>s</w:t>
      </w:r>
      <w:r w:rsidRPr="00C369EC">
        <w:rPr>
          <w:rFonts w:ascii="Times New Roman" w:hAnsi="Times New Roman"/>
        </w:rPr>
        <w:t xml:space="preserve">ing more resources for anti-corruption programming, strengthening capacities at the global and regional levels to support </w:t>
      </w:r>
      <w:r w:rsidR="00030EB9" w:rsidRPr="00C369EC">
        <w:rPr>
          <w:rFonts w:ascii="Times New Roman" w:hAnsi="Times New Roman"/>
        </w:rPr>
        <w:t>country-</w:t>
      </w:r>
      <w:r w:rsidRPr="00C369EC">
        <w:rPr>
          <w:rFonts w:ascii="Times New Roman" w:hAnsi="Times New Roman"/>
        </w:rPr>
        <w:t>led initiatives</w:t>
      </w:r>
      <w:r w:rsidR="00921670" w:rsidRPr="00C369EC">
        <w:rPr>
          <w:rFonts w:ascii="Times New Roman" w:hAnsi="Times New Roman"/>
        </w:rPr>
        <w:t>.</w:t>
      </w:r>
      <w:r w:rsidRPr="00C369EC">
        <w:rPr>
          <w:rFonts w:ascii="Times New Roman" w:hAnsi="Times New Roman"/>
        </w:rPr>
        <w:t xml:space="preserve"> </w:t>
      </w:r>
    </w:p>
    <w:p w14:paraId="388690D1" w14:textId="77777777" w:rsidR="002E58A0" w:rsidRPr="00C369EC" w:rsidRDefault="002E58A0" w:rsidP="002E58A0">
      <w:pPr>
        <w:spacing w:after="0" w:line="240" w:lineRule="auto"/>
        <w:jc w:val="both"/>
        <w:rPr>
          <w:rFonts w:ascii="Times New Roman" w:hAnsi="Times New Roman"/>
        </w:rPr>
      </w:pPr>
    </w:p>
    <w:p w14:paraId="723DA17D" w14:textId="6C55BFEC" w:rsidR="007D4671" w:rsidRPr="00C369EC" w:rsidRDefault="007D4671" w:rsidP="002E58A0">
      <w:pPr>
        <w:pStyle w:val="Default"/>
        <w:jc w:val="both"/>
        <w:rPr>
          <w:sz w:val="22"/>
          <w:szCs w:val="22"/>
          <w:lang w:val="en-GB"/>
        </w:rPr>
      </w:pPr>
      <w:r w:rsidRPr="00C369EC">
        <w:rPr>
          <w:sz w:val="22"/>
          <w:szCs w:val="22"/>
          <w:lang w:val="en-GB"/>
        </w:rPr>
        <w:t>The evaluation</w:t>
      </w:r>
      <w:r w:rsidR="00B44CA2" w:rsidRPr="00C369EC">
        <w:rPr>
          <w:sz w:val="22"/>
          <w:szCs w:val="22"/>
          <w:lang w:val="en-GB"/>
        </w:rPr>
        <w:t xml:space="preserve"> findings</w:t>
      </w:r>
      <w:r w:rsidRPr="00C369EC">
        <w:rPr>
          <w:sz w:val="22"/>
          <w:szCs w:val="22"/>
          <w:lang w:val="en-GB"/>
        </w:rPr>
        <w:t xml:space="preserve"> assisted UNDP to </w:t>
      </w:r>
      <w:r w:rsidR="00B64BF8" w:rsidRPr="00C369EC">
        <w:rPr>
          <w:sz w:val="22"/>
          <w:szCs w:val="22"/>
          <w:lang w:val="en-GB"/>
        </w:rPr>
        <w:t xml:space="preserve">incorporate </w:t>
      </w:r>
      <w:r w:rsidRPr="00C369EC">
        <w:rPr>
          <w:sz w:val="22"/>
          <w:szCs w:val="22"/>
          <w:lang w:val="en-GB"/>
        </w:rPr>
        <w:t xml:space="preserve">comprehensive anti-corruption </w:t>
      </w:r>
      <w:r w:rsidR="00240EB7" w:rsidRPr="00C369EC">
        <w:rPr>
          <w:sz w:val="22"/>
          <w:szCs w:val="22"/>
          <w:lang w:val="en-GB"/>
        </w:rPr>
        <w:t>approach</w:t>
      </w:r>
      <w:r w:rsidR="00B64BF8" w:rsidRPr="00C369EC">
        <w:rPr>
          <w:sz w:val="22"/>
          <w:szCs w:val="22"/>
          <w:lang w:val="en-GB"/>
        </w:rPr>
        <w:t>es</w:t>
      </w:r>
      <w:r w:rsidR="00240EB7" w:rsidRPr="00C369EC">
        <w:rPr>
          <w:sz w:val="22"/>
          <w:szCs w:val="22"/>
          <w:lang w:val="en-GB"/>
        </w:rPr>
        <w:t xml:space="preserve"> </w:t>
      </w:r>
      <w:r w:rsidRPr="00C369EC">
        <w:rPr>
          <w:color w:val="auto"/>
          <w:sz w:val="22"/>
          <w:szCs w:val="22"/>
          <w:lang w:val="en-GB"/>
        </w:rPr>
        <w:t>in</w:t>
      </w:r>
      <w:r w:rsidR="00B64BF8" w:rsidRPr="00C369EC">
        <w:rPr>
          <w:color w:val="auto"/>
          <w:sz w:val="22"/>
          <w:szCs w:val="22"/>
          <w:lang w:val="en-GB"/>
        </w:rPr>
        <w:t>to</w:t>
      </w:r>
      <w:r w:rsidRPr="00C369EC">
        <w:rPr>
          <w:color w:val="auto"/>
          <w:sz w:val="22"/>
          <w:szCs w:val="22"/>
          <w:lang w:val="en-GB"/>
        </w:rPr>
        <w:t xml:space="preserve"> UNDP</w:t>
      </w:r>
      <w:r w:rsidRPr="00C369EC">
        <w:rPr>
          <w:sz w:val="22"/>
          <w:szCs w:val="22"/>
          <w:lang w:val="en-GB"/>
        </w:rPr>
        <w:t>’s</w:t>
      </w:r>
      <w:r w:rsidRPr="00C369EC">
        <w:rPr>
          <w:color w:val="auto"/>
          <w:sz w:val="22"/>
          <w:szCs w:val="22"/>
          <w:lang w:val="en-GB"/>
        </w:rPr>
        <w:t xml:space="preserve"> strategic plan</w:t>
      </w:r>
      <w:r w:rsidRPr="00C369EC">
        <w:rPr>
          <w:sz w:val="22"/>
          <w:szCs w:val="22"/>
          <w:lang w:val="en-GB"/>
        </w:rPr>
        <w:t xml:space="preserve"> </w:t>
      </w:r>
      <w:r w:rsidRPr="00C369EC">
        <w:rPr>
          <w:color w:val="auto"/>
          <w:sz w:val="22"/>
          <w:szCs w:val="22"/>
          <w:lang w:val="en-GB"/>
        </w:rPr>
        <w:t>2018-2021</w:t>
      </w:r>
      <w:r w:rsidR="00030EB9" w:rsidRPr="00C369EC">
        <w:rPr>
          <w:color w:val="auto"/>
          <w:sz w:val="22"/>
          <w:szCs w:val="22"/>
          <w:lang w:val="en-GB"/>
        </w:rPr>
        <w:t xml:space="preserve">. </w:t>
      </w:r>
      <w:r w:rsidR="00030EB9" w:rsidRPr="00C369EC">
        <w:rPr>
          <w:sz w:val="22"/>
          <w:szCs w:val="22"/>
          <w:lang w:val="en-GB"/>
        </w:rPr>
        <w:t xml:space="preserve">For </w:t>
      </w:r>
      <w:r w:rsidR="00240EB7" w:rsidRPr="00C369EC">
        <w:rPr>
          <w:sz w:val="22"/>
          <w:szCs w:val="22"/>
          <w:lang w:val="en-GB"/>
        </w:rPr>
        <w:t>example, Signature</w:t>
      </w:r>
      <w:r w:rsidRPr="00C369EC">
        <w:rPr>
          <w:sz w:val="22"/>
          <w:szCs w:val="22"/>
          <w:lang w:val="en-GB"/>
        </w:rPr>
        <w:t xml:space="preserve"> </w:t>
      </w:r>
      <w:r w:rsidR="00030EB9" w:rsidRPr="00C369EC">
        <w:rPr>
          <w:sz w:val="22"/>
          <w:szCs w:val="22"/>
          <w:lang w:val="en-GB"/>
        </w:rPr>
        <w:t>S</w:t>
      </w:r>
      <w:r w:rsidRPr="00C369EC">
        <w:rPr>
          <w:sz w:val="22"/>
          <w:szCs w:val="22"/>
          <w:lang w:val="en-GB"/>
        </w:rPr>
        <w:t>olution 2</w:t>
      </w:r>
      <w:r w:rsidR="00030EB9" w:rsidRPr="00C369EC">
        <w:rPr>
          <w:sz w:val="22"/>
          <w:szCs w:val="22"/>
          <w:lang w:val="en-GB"/>
        </w:rPr>
        <w:t>,</w:t>
      </w:r>
      <w:r w:rsidRPr="00C369EC">
        <w:rPr>
          <w:sz w:val="22"/>
          <w:szCs w:val="22"/>
          <w:lang w:val="en-GB"/>
        </w:rPr>
        <w:t xml:space="preserve"> </w:t>
      </w:r>
      <w:r w:rsidR="00030EB9" w:rsidRPr="004D2A40">
        <w:rPr>
          <w:i/>
          <w:iCs/>
          <w:sz w:val="22"/>
          <w:szCs w:val="22"/>
          <w:lang w:val="en-GB"/>
        </w:rPr>
        <w:t xml:space="preserve">Governance for peaceful, just, and inclusive </w:t>
      </w:r>
      <w:r w:rsidR="00F1390F" w:rsidRPr="004D2A40">
        <w:rPr>
          <w:i/>
          <w:iCs/>
          <w:sz w:val="22"/>
          <w:szCs w:val="22"/>
          <w:lang w:val="en-GB"/>
        </w:rPr>
        <w:t>societies</w:t>
      </w:r>
      <w:r w:rsidR="00F1390F" w:rsidRPr="00C369EC">
        <w:rPr>
          <w:sz w:val="22"/>
          <w:szCs w:val="22"/>
          <w:lang w:val="en-GB"/>
        </w:rPr>
        <w:t xml:space="preserve">, </w:t>
      </w:r>
      <w:r w:rsidR="00A50525" w:rsidRPr="00C369EC">
        <w:rPr>
          <w:sz w:val="22"/>
          <w:szCs w:val="22"/>
          <w:lang w:val="en-GB"/>
        </w:rPr>
        <w:t>address</w:t>
      </w:r>
      <w:r w:rsidR="00623623">
        <w:rPr>
          <w:sz w:val="22"/>
          <w:szCs w:val="22"/>
          <w:lang w:val="en-GB"/>
        </w:rPr>
        <w:t>es</w:t>
      </w:r>
      <w:r w:rsidR="00A50525" w:rsidRPr="00C369EC">
        <w:rPr>
          <w:sz w:val="22"/>
          <w:szCs w:val="22"/>
          <w:lang w:val="en-GB"/>
        </w:rPr>
        <w:t xml:space="preserve"> </w:t>
      </w:r>
      <w:r w:rsidRPr="00C369EC">
        <w:rPr>
          <w:sz w:val="22"/>
          <w:szCs w:val="22"/>
          <w:lang w:val="en-GB"/>
        </w:rPr>
        <w:t xml:space="preserve">corruption risks to development and </w:t>
      </w:r>
      <w:r w:rsidR="00F1390F" w:rsidRPr="00C369EC">
        <w:rPr>
          <w:sz w:val="22"/>
          <w:szCs w:val="22"/>
          <w:lang w:val="en-GB"/>
        </w:rPr>
        <w:t>build</w:t>
      </w:r>
      <w:r w:rsidR="00623623">
        <w:rPr>
          <w:sz w:val="22"/>
          <w:szCs w:val="22"/>
          <w:lang w:val="en-GB"/>
        </w:rPr>
        <w:t>ing</w:t>
      </w:r>
      <w:r w:rsidR="00F1390F" w:rsidRPr="00C369EC">
        <w:rPr>
          <w:sz w:val="22"/>
          <w:szCs w:val="22"/>
          <w:lang w:val="en-GB"/>
        </w:rPr>
        <w:t xml:space="preserve"> anti</w:t>
      </w:r>
      <w:r w:rsidRPr="00C369EC">
        <w:rPr>
          <w:sz w:val="22"/>
          <w:szCs w:val="22"/>
          <w:lang w:val="en-GB"/>
        </w:rPr>
        <w:t>-corruption capacities in institution</w:t>
      </w:r>
      <w:r w:rsidR="00CD3B8E" w:rsidRPr="00C369EC">
        <w:rPr>
          <w:sz w:val="22"/>
          <w:szCs w:val="22"/>
          <w:lang w:val="en-GB"/>
        </w:rPr>
        <w:t>s</w:t>
      </w:r>
      <w:r w:rsidR="00A05CAC" w:rsidRPr="00C369EC">
        <w:rPr>
          <w:sz w:val="22"/>
          <w:szCs w:val="22"/>
          <w:lang w:val="en-GB"/>
        </w:rPr>
        <w:t xml:space="preserve"> by </w:t>
      </w:r>
      <w:r w:rsidRPr="00C369EC">
        <w:rPr>
          <w:sz w:val="22"/>
          <w:szCs w:val="22"/>
          <w:lang w:val="en-GB"/>
        </w:rPr>
        <w:t>strengthening process</w:t>
      </w:r>
      <w:r w:rsidR="00623623">
        <w:rPr>
          <w:sz w:val="22"/>
          <w:szCs w:val="22"/>
          <w:lang w:val="en-GB"/>
        </w:rPr>
        <w:t>es</w:t>
      </w:r>
      <w:r w:rsidRPr="00C369EC">
        <w:rPr>
          <w:sz w:val="22"/>
          <w:szCs w:val="22"/>
          <w:lang w:val="en-GB"/>
        </w:rPr>
        <w:t xml:space="preserve"> to achieve the SDGs. </w:t>
      </w:r>
      <w:r w:rsidR="004529D9" w:rsidRPr="00C369EC">
        <w:rPr>
          <w:sz w:val="22"/>
          <w:szCs w:val="22"/>
          <w:lang w:val="en-GB"/>
        </w:rPr>
        <w:t>Also</w:t>
      </w:r>
      <w:r w:rsidRPr="00C369EC">
        <w:rPr>
          <w:sz w:val="22"/>
          <w:szCs w:val="22"/>
          <w:lang w:val="en-GB"/>
        </w:rPr>
        <w:t>, the Integrated Results and Resources Framework of the UNDP Strategic Plan for 2018-</w:t>
      </w:r>
      <w:r w:rsidR="000B3BFC" w:rsidRPr="00C369EC">
        <w:rPr>
          <w:sz w:val="22"/>
          <w:szCs w:val="22"/>
          <w:lang w:val="en-GB"/>
        </w:rPr>
        <w:t>20</w:t>
      </w:r>
      <w:r w:rsidRPr="00C369EC">
        <w:rPr>
          <w:sz w:val="22"/>
          <w:szCs w:val="22"/>
          <w:lang w:val="en-GB"/>
        </w:rPr>
        <w:t>21 has a dedicated output on anti-corruption</w:t>
      </w:r>
      <w:r w:rsidR="004655A7" w:rsidRPr="00C369EC">
        <w:rPr>
          <w:rStyle w:val="FootnoteReference"/>
          <w:sz w:val="22"/>
          <w:szCs w:val="22"/>
          <w:lang w:val="en-GB"/>
        </w:rPr>
        <w:footnoteReference w:id="9"/>
      </w:r>
      <w:r w:rsidR="004655A7" w:rsidRPr="00C369EC">
        <w:rPr>
          <w:sz w:val="22"/>
          <w:szCs w:val="22"/>
          <w:lang w:val="en-GB"/>
        </w:rPr>
        <w:t xml:space="preserve">. </w:t>
      </w:r>
      <w:r w:rsidRPr="00C369EC">
        <w:rPr>
          <w:sz w:val="22"/>
          <w:szCs w:val="22"/>
          <w:lang w:val="en-GB"/>
        </w:rPr>
        <w:t xml:space="preserve"> </w:t>
      </w:r>
    </w:p>
    <w:p w14:paraId="292BE936" w14:textId="77777777" w:rsidR="00B02558" w:rsidRPr="00C369EC" w:rsidRDefault="00B02558" w:rsidP="002E58A0">
      <w:pPr>
        <w:pStyle w:val="Default"/>
        <w:jc w:val="both"/>
        <w:rPr>
          <w:sz w:val="22"/>
          <w:szCs w:val="22"/>
          <w:lang w:val="en-GB"/>
        </w:rPr>
      </w:pPr>
    </w:p>
    <w:p w14:paraId="15F7270B" w14:textId="1D6E72B4" w:rsidR="00030EB9" w:rsidRPr="00C369EC" w:rsidRDefault="007D4671" w:rsidP="002E58A0">
      <w:pPr>
        <w:pStyle w:val="Default"/>
        <w:jc w:val="both"/>
        <w:rPr>
          <w:sz w:val="22"/>
          <w:szCs w:val="22"/>
          <w:lang w:val="en-GB"/>
        </w:rPr>
      </w:pPr>
      <w:r w:rsidRPr="00C369EC">
        <w:rPr>
          <w:sz w:val="22"/>
          <w:szCs w:val="22"/>
          <w:lang w:val="en-GB"/>
        </w:rPr>
        <w:t>Based on the</w:t>
      </w:r>
      <w:r w:rsidR="00A734B3" w:rsidRPr="00C369EC">
        <w:rPr>
          <w:sz w:val="22"/>
          <w:szCs w:val="22"/>
          <w:lang w:val="en-GB"/>
        </w:rPr>
        <w:t xml:space="preserve"> evaluation’s</w:t>
      </w:r>
      <w:r w:rsidRPr="00C369EC">
        <w:rPr>
          <w:sz w:val="22"/>
          <w:szCs w:val="22"/>
          <w:lang w:val="en-GB"/>
        </w:rPr>
        <w:t xml:space="preserve"> key recommendations, UNDP continued strengthening its anti-corruption efforts to integrate anti-corruption solutions in service delivery by engaging with communities including women and youth groups, particularly at the local level. UNDP supported countries in the Asia-Pacific, Arab States, Europe and </w:t>
      </w:r>
      <w:r w:rsidR="00856936">
        <w:rPr>
          <w:sz w:val="22"/>
          <w:szCs w:val="22"/>
          <w:lang w:val="en-GB"/>
        </w:rPr>
        <w:t>the</w:t>
      </w:r>
      <w:r w:rsidRPr="00C369EC">
        <w:rPr>
          <w:sz w:val="22"/>
          <w:szCs w:val="22"/>
          <w:lang w:val="en-GB"/>
        </w:rPr>
        <w:t xml:space="preserve"> CIS regions to mitigate corruption risks in service delivery sectors (e.g., health and education) and </w:t>
      </w:r>
      <w:r w:rsidR="00E95A72" w:rsidRPr="00C369EC">
        <w:rPr>
          <w:sz w:val="22"/>
          <w:szCs w:val="22"/>
          <w:lang w:val="en-GB"/>
        </w:rPr>
        <w:t xml:space="preserve">to build </w:t>
      </w:r>
      <w:r w:rsidRPr="00C369EC">
        <w:rPr>
          <w:sz w:val="22"/>
          <w:szCs w:val="22"/>
          <w:lang w:val="en-GB"/>
        </w:rPr>
        <w:t>the capacity of anti-corruption institutions to prevent corruption.</w:t>
      </w:r>
      <w:r w:rsidR="00F94F93">
        <w:rPr>
          <w:sz w:val="22"/>
          <w:szCs w:val="22"/>
          <w:lang w:val="en-GB"/>
        </w:rPr>
        <w:t xml:space="preserve"> </w:t>
      </w:r>
      <w:r w:rsidR="00030EB9" w:rsidRPr="00C369EC">
        <w:rPr>
          <w:sz w:val="22"/>
          <w:szCs w:val="22"/>
          <w:lang w:val="en-GB"/>
        </w:rPr>
        <w:t>I</w:t>
      </w:r>
      <w:r w:rsidRPr="00C369EC">
        <w:rPr>
          <w:sz w:val="22"/>
          <w:szCs w:val="22"/>
          <w:lang w:val="en-GB"/>
        </w:rPr>
        <w:t>n Thailand, UNDP supported the implementation of the new Public Procurement Act in 2019</w:t>
      </w:r>
      <w:r w:rsidR="00F94F93">
        <w:rPr>
          <w:sz w:val="22"/>
          <w:szCs w:val="22"/>
          <w:lang w:val="en-GB"/>
        </w:rPr>
        <w:t>,</w:t>
      </w:r>
      <w:r w:rsidRPr="00C369EC">
        <w:rPr>
          <w:sz w:val="22"/>
          <w:szCs w:val="22"/>
          <w:lang w:val="en-GB"/>
        </w:rPr>
        <w:t xml:space="preserve"> which contributed to government savings of $2.5 billion, equal to a 50</w:t>
      </w:r>
      <w:r w:rsidR="002E58A0">
        <w:rPr>
          <w:sz w:val="22"/>
          <w:szCs w:val="22"/>
          <w:lang w:val="en-GB"/>
        </w:rPr>
        <w:t xml:space="preserve"> per cent</w:t>
      </w:r>
      <w:r w:rsidRPr="00C369EC">
        <w:rPr>
          <w:sz w:val="22"/>
          <w:szCs w:val="22"/>
          <w:lang w:val="en-GB"/>
        </w:rPr>
        <w:t xml:space="preserve"> pension increase for 9 million people.  UNDP supported more accountable and efficient systems for health delivery in 138 countries. In 2019, UNDP, the Global Fund and the World Health Organization launched the Anti-Corruption, Transparency and Accountability Alliance for Health to address the $455 billion global losses annually from healthcare fraud and abuse.  </w:t>
      </w:r>
    </w:p>
    <w:p w14:paraId="62411229" w14:textId="77777777" w:rsidR="00030EB9" w:rsidRPr="00C369EC" w:rsidRDefault="00030EB9" w:rsidP="002E58A0">
      <w:pPr>
        <w:pStyle w:val="Default"/>
        <w:jc w:val="both"/>
        <w:rPr>
          <w:sz w:val="22"/>
          <w:szCs w:val="22"/>
          <w:lang w:val="en-GB"/>
        </w:rPr>
      </w:pPr>
    </w:p>
    <w:p w14:paraId="416923DC" w14:textId="31332687" w:rsidR="007D4671" w:rsidRPr="00C369EC" w:rsidRDefault="007D4671" w:rsidP="002E58A0">
      <w:pPr>
        <w:pStyle w:val="Default"/>
        <w:jc w:val="both"/>
        <w:rPr>
          <w:sz w:val="22"/>
          <w:szCs w:val="22"/>
          <w:lang w:val="en-GB"/>
        </w:rPr>
      </w:pPr>
      <w:r w:rsidRPr="00C369EC">
        <w:rPr>
          <w:sz w:val="22"/>
          <w:szCs w:val="22"/>
          <w:lang w:val="en-GB"/>
        </w:rPr>
        <w:t xml:space="preserve">UNDP has increasingly harnessed the benefits of technology and innovation to </w:t>
      </w:r>
      <w:r w:rsidR="00030EB9" w:rsidRPr="00C369EC">
        <w:rPr>
          <w:sz w:val="22"/>
          <w:szCs w:val="22"/>
          <w:lang w:val="en-GB"/>
        </w:rPr>
        <w:t xml:space="preserve">mitigate </w:t>
      </w:r>
      <w:r w:rsidRPr="00C369EC">
        <w:rPr>
          <w:sz w:val="22"/>
          <w:szCs w:val="22"/>
          <w:lang w:val="en-GB"/>
        </w:rPr>
        <w:t xml:space="preserve">corruption risks in service delivery, public funds and infrastructure projects.  In Papua New Guinea, the support provided by UNDP enabled citizens to voice </w:t>
      </w:r>
      <w:r w:rsidR="00030EB9" w:rsidRPr="00C369EC">
        <w:rPr>
          <w:sz w:val="22"/>
          <w:szCs w:val="22"/>
          <w:lang w:val="en-GB"/>
        </w:rPr>
        <w:t>corruption-</w:t>
      </w:r>
      <w:r w:rsidRPr="00C369EC">
        <w:rPr>
          <w:sz w:val="22"/>
          <w:szCs w:val="22"/>
          <w:lang w:val="en-GB"/>
        </w:rPr>
        <w:t xml:space="preserve">related complaints via mobile SMS message.  UNDP supported </w:t>
      </w:r>
      <w:r w:rsidRPr="00C369EC">
        <w:rPr>
          <w:sz w:val="22"/>
          <w:szCs w:val="22"/>
          <w:lang w:val="en-GB"/>
        </w:rPr>
        <w:lastRenderedPageBreak/>
        <w:t>the expansion of the Phones Against Corruption (P@C) mobile platform in more than 30 government departments and 15 provinces to strengthen accountability in the use of public funds. In the Philippines, UNDP supported the implementation of the DevelopmentLIVE app in 300 schools and 300 local governments units to enable citizens to monitor progress and provide real-time feedback on SDG-related local infrastructure projects, with 98</w:t>
      </w:r>
      <w:r w:rsidR="002E58A0">
        <w:rPr>
          <w:sz w:val="22"/>
          <w:szCs w:val="22"/>
          <w:lang w:val="en-GB"/>
        </w:rPr>
        <w:t xml:space="preserve"> per cent</w:t>
      </w:r>
      <w:r w:rsidRPr="00C369EC">
        <w:rPr>
          <w:sz w:val="22"/>
          <w:szCs w:val="22"/>
          <w:lang w:val="en-GB"/>
        </w:rPr>
        <w:t xml:space="preserve"> of citizens being satisfied with the interface. </w:t>
      </w:r>
    </w:p>
    <w:p w14:paraId="799174AD" w14:textId="77777777" w:rsidR="007D4671" w:rsidRPr="00C369EC" w:rsidRDefault="007D4671" w:rsidP="002E58A0">
      <w:pPr>
        <w:pStyle w:val="Default"/>
        <w:jc w:val="both"/>
        <w:rPr>
          <w:sz w:val="22"/>
          <w:szCs w:val="22"/>
          <w:lang w:val="en-GB"/>
        </w:rPr>
      </w:pPr>
    </w:p>
    <w:p w14:paraId="5C36152B" w14:textId="197CA9CC" w:rsidR="007D4671" w:rsidRPr="00C369EC" w:rsidRDefault="007D4671" w:rsidP="002E58A0">
      <w:pPr>
        <w:pStyle w:val="Default"/>
        <w:jc w:val="both"/>
        <w:rPr>
          <w:sz w:val="22"/>
          <w:szCs w:val="22"/>
          <w:lang w:val="en-GB"/>
        </w:rPr>
      </w:pPr>
      <w:r w:rsidRPr="00C369EC">
        <w:rPr>
          <w:sz w:val="22"/>
          <w:szCs w:val="22"/>
          <w:lang w:val="en-GB"/>
        </w:rPr>
        <w:t>UNDP continued strengthening its role as a lead player on global knowledge and advocacy on anti-corruption. In 2018, UNODC and UNDP developed a ‘</w:t>
      </w:r>
      <w:hyperlink r:id="rId19" w:history="1">
        <w:r w:rsidRPr="00C369EC">
          <w:rPr>
            <w:rStyle w:val="Hyperlink"/>
            <w:sz w:val="22"/>
            <w:szCs w:val="22"/>
            <w:lang w:val="en-GB"/>
          </w:rPr>
          <w:t>Manual on Corruption Surveys</w:t>
        </w:r>
      </w:hyperlink>
      <w:r w:rsidRPr="00C369EC">
        <w:rPr>
          <w:rStyle w:val="Hyperlink"/>
          <w:b/>
          <w:sz w:val="22"/>
          <w:szCs w:val="22"/>
          <w:lang w:val="en-GB"/>
        </w:rPr>
        <w:t>’</w:t>
      </w:r>
      <w:r w:rsidRPr="00C369EC">
        <w:rPr>
          <w:sz w:val="22"/>
          <w:szCs w:val="22"/>
          <w:lang w:val="en-GB"/>
        </w:rPr>
        <w:t>, which highlights the value of producing experience-based statistical information on corruption</w:t>
      </w:r>
      <w:r w:rsidR="00030EB9" w:rsidRPr="00C369EC">
        <w:rPr>
          <w:sz w:val="22"/>
          <w:szCs w:val="22"/>
          <w:lang w:val="en-GB"/>
        </w:rPr>
        <w:t xml:space="preserve">. </w:t>
      </w:r>
      <w:r w:rsidR="003463E2" w:rsidRPr="00C369EC">
        <w:rPr>
          <w:sz w:val="22"/>
          <w:szCs w:val="22"/>
          <w:lang w:val="en-GB"/>
        </w:rPr>
        <w:t>The tool</w:t>
      </w:r>
      <w:r w:rsidR="00A73EF9">
        <w:rPr>
          <w:sz w:val="22"/>
          <w:szCs w:val="22"/>
          <w:lang w:val="en-GB"/>
        </w:rPr>
        <w:t xml:space="preserve"> </w:t>
      </w:r>
      <w:r w:rsidR="00DC00DF">
        <w:rPr>
          <w:sz w:val="22"/>
          <w:szCs w:val="22"/>
          <w:lang w:val="en-GB"/>
        </w:rPr>
        <w:t>is intended</w:t>
      </w:r>
      <w:r w:rsidRPr="00C369EC">
        <w:rPr>
          <w:sz w:val="22"/>
          <w:szCs w:val="22"/>
          <w:lang w:val="en-GB"/>
        </w:rPr>
        <w:t xml:space="preserve"> to support evidence-based policymaking and inform the design, implementation and monitoring of policy and programmes in </w:t>
      </w:r>
      <w:r w:rsidR="00030EB9" w:rsidRPr="00C369EC">
        <w:rPr>
          <w:sz w:val="22"/>
          <w:szCs w:val="22"/>
          <w:lang w:val="en-GB"/>
        </w:rPr>
        <w:t xml:space="preserve">the </w:t>
      </w:r>
      <w:r w:rsidRPr="00C369EC">
        <w:rPr>
          <w:sz w:val="22"/>
          <w:szCs w:val="22"/>
          <w:lang w:val="en-GB"/>
        </w:rPr>
        <w:t>fight against corruption, particularly by measuring SDG indicators 16.5.1 and 16.5.2.</w:t>
      </w:r>
    </w:p>
    <w:p w14:paraId="21D70A6F" w14:textId="77777777" w:rsidR="007D4671" w:rsidRPr="00C369EC" w:rsidRDefault="007D4671" w:rsidP="002E58A0">
      <w:pPr>
        <w:pStyle w:val="Default"/>
        <w:jc w:val="both"/>
        <w:rPr>
          <w:sz w:val="22"/>
          <w:szCs w:val="22"/>
          <w:lang w:val="en-GB"/>
        </w:rPr>
      </w:pPr>
    </w:p>
    <w:p w14:paraId="460D7B44" w14:textId="51617B86" w:rsidR="007D4671" w:rsidRPr="00BC41C4" w:rsidRDefault="007D4671" w:rsidP="002E58A0">
      <w:pPr>
        <w:pStyle w:val="Default"/>
        <w:jc w:val="both"/>
        <w:rPr>
          <w:sz w:val="22"/>
          <w:szCs w:val="22"/>
          <w:lang w:val="en-GB"/>
        </w:rPr>
      </w:pPr>
      <w:r w:rsidRPr="00C369EC">
        <w:rPr>
          <w:sz w:val="22"/>
          <w:szCs w:val="22"/>
          <w:lang w:val="en-GB"/>
        </w:rPr>
        <w:t xml:space="preserve">In 2019, UNDP and UN System Staff College (UNSSC)  rolled out </w:t>
      </w:r>
      <w:r w:rsidR="00CD3B8E" w:rsidRPr="00C369EC">
        <w:rPr>
          <w:sz w:val="22"/>
          <w:szCs w:val="22"/>
          <w:lang w:val="en-GB"/>
        </w:rPr>
        <w:t xml:space="preserve">a </w:t>
      </w:r>
      <w:r w:rsidRPr="00C369EC">
        <w:rPr>
          <w:sz w:val="22"/>
          <w:szCs w:val="22"/>
          <w:lang w:val="en-GB"/>
        </w:rPr>
        <w:t>five-week online course</w:t>
      </w:r>
      <w:r w:rsidR="00030EB9" w:rsidRPr="00C369EC">
        <w:rPr>
          <w:sz w:val="22"/>
          <w:szCs w:val="22"/>
          <w:lang w:val="en-GB"/>
        </w:rPr>
        <w:t>;</w:t>
      </w:r>
      <w:r w:rsidRPr="00C369EC">
        <w:rPr>
          <w:sz w:val="22"/>
          <w:szCs w:val="22"/>
          <w:lang w:val="en-GB"/>
        </w:rPr>
        <w:t xml:space="preserve"> ‘</w:t>
      </w:r>
      <w:hyperlink r:id="rId20" w:history="1">
        <w:r w:rsidRPr="00C369EC">
          <w:rPr>
            <w:rStyle w:val="Hyperlink"/>
            <w:sz w:val="22"/>
            <w:szCs w:val="22"/>
            <w:lang w:val="en-GB"/>
          </w:rPr>
          <w:t>Anti-Corruption in the Context of the 2030 Agenda for Sustainable Development</w:t>
        </w:r>
      </w:hyperlink>
      <w:r w:rsidRPr="00C369EC">
        <w:rPr>
          <w:sz w:val="22"/>
          <w:szCs w:val="22"/>
          <w:lang w:val="en-GB"/>
        </w:rPr>
        <w:t>’ in two editions</w:t>
      </w:r>
      <w:r w:rsidR="00030EB9" w:rsidRPr="00C369EC">
        <w:rPr>
          <w:sz w:val="22"/>
          <w:szCs w:val="22"/>
          <w:lang w:val="en-GB"/>
        </w:rPr>
        <w:t>. The course aimed</w:t>
      </w:r>
      <w:r w:rsidRPr="00C369EC">
        <w:rPr>
          <w:sz w:val="22"/>
          <w:szCs w:val="22"/>
          <w:lang w:val="en-GB"/>
        </w:rPr>
        <w:t xml:space="preserve"> to provide guidance on integrating anti-corruption in the SDGs and implementing anti-corruption targets of SDG 16. </w:t>
      </w:r>
    </w:p>
    <w:p w14:paraId="71FB41C3" w14:textId="77777777" w:rsidR="00B02558" w:rsidRPr="00C369EC" w:rsidRDefault="00B02558" w:rsidP="002E58A0">
      <w:pPr>
        <w:spacing w:after="0" w:line="240" w:lineRule="auto"/>
        <w:jc w:val="both"/>
        <w:rPr>
          <w:rFonts w:ascii="Times New Roman" w:hAnsi="Times New Roman"/>
          <w:b/>
          <w:bCs/>
          <w:color w:val="000000"/>
          <w:shd w:val="clear" w:color="auto" w:fill="FFFFFF"/>
        </w:rPr>
      </w:pPr>
    </w:p>
    <w:p w14:paraId="7B88302A" w14:textId="77777777" w:rsidR="00BC41C4" w:rsidRDefault="00BC41C4" w:rsidP="002E58A0">
      <w:pPr>
        <w:spacing w:after="0" w:line="240" w:lineRule="auto"/>
        <w:jc w:val="both"/>
        <w:rPr>
          <w:rFonts w:ascii="Times New Roman" w:hAnsi="Times New Roman"/>
          <w:b/>
          <w:bCs/>
          <w:color w:val="0A0A0A"/>
          <w:spacing w:val="8"/>
        </w:rPr>
      </w:pPr>
    </w:p>
    <w:p w14:paraId="3CB2F7D3" w14:textId="0F6A493C" w:rsidR="00952E67" w:rsidRPr="00C369EC" w:rsidRDefault="00952E67" w:rsidP="002E58A0">
      <w:pPr>
        <w:spacing w:after="0" w:line="240" w:lineRule="auto"/>
        <w:jc w:val="both"/>
        <w:rPr>
          <w:rFonts w:ascii="Times New Roman" w:hAnsi="Times New Roman"/>
          <w:b/>
          <w:bCs/>
          <w:color w:val="0A0A0A"/>
          <w:spacing w:val="8"/>
        </w:rPr>
      </w:pPr>
      <w:r w:rsidRPr="00C369EC">
        <w:rPr>
          <w:rFonts w:ascii="Times New Roman" w:hAnsi="Times New Roman"/>
          <w:b/>
          <w:bCs/>
          <w:color w:val="0A0A0A"/>
          <w:spacing w:val="8"/>
        </w:rPr>
        <w:t xml:space="preserve">Evaluation of UNDP Support to Poverty Eradication in Least Developed Countries  </w:t>
      </w:r>
    </w:p>
    <w:p w14:paraId="7BCB8650" w14:textId="165860CB" w:rsidR="00781ED6" w:rsidRPr="00C369EC" w:rsidRDefault="00781ED6" w:rsidP="002E58A0">
      <w:pPr>
        <w:spacing w:after="0" w:line="240" w:lineRule="auto"/>
        <w:jc w:val="both"/>
        <w:rPr>
          <w:rFonts w:ascii="Times New Roman" w:hAnsi="Times New Roman"/>
          <w:i/>
          <w:iCs/>
          <w:color w:val="0A0A0A"/>
          <w:spacing w:val="8"/>
        </w:rPr>
      </w:pPr>
      <w:r w:rsidRPr="00C369EC">
        <w:rPr>
          <w:rFonts w:ascii="Times New Roman" w:hAnsi="Times New Roman"/>
          <w:i/>
          <w:iCs/>
          <w:color w:val="0A0A0A"/>
          <w:spacing w:val="8"/>
        </w:rPr>
        <w:t xml:space="preserve">Completed in </w:t>
      </w:r>
      <w:r w:rsidR="003509C2" w:rsidRPr="00C369EC">
        <w:rPr>
          <w:rFonts w:ascii="Times New Roman" w:hAnsi="Times New Roman"/>
          <w:i/>
          <w:iCs/>
          <w:color w:val="0A0A0A"/>
          <w:spacing w:val="8"/>
        </w:rPr>
        <w:t>December</w:t>
      </w:r>
      <w:r w:rsidRPr="00C369EC">
        <w:rPr>
          <w:rFonts w:ascii="Times New Roman" w:hAnsi="Times New Roman"/>
          <w:i/>
          <w:iCs/>
          <w:color w:val="0A0A0A"/>
          <w:spacing w:val="8"/>
        </w:rPr>
        <w:t xml:space="preserve"> 2018</w:t>
      </w:r>
    </w:p>
    <w:p w14:paraId="38DA1FDC" w14:textId="77777777" w:rsidR="00952E67" w:rsidRPr="00C369EC" w:rsidRDefault="00952E67" w:rsidP="002E58A0">
      <w:pPr>
        <w:spacing w:after="0" w:line="240" w:lineRule="auto"/>
        <w:jc w:val="both"/>
        <w:rPr>
          <w:rFonts w:ascii="Times New Roman" w:hAnsi="Times New Roman"/>
          <w:b/>
          <w:bCs/>
          <w:color w:val="0A0A0A"/>
          <w:spacing w:val="8"/>
          <w:u w:val="single"/>
        </w:rPr>
      </w:pPr>
    </w:p>
    <w:p w14:paraId="335B77E8" w14:textId="707B1287" w:rsidR="004E7ABC" w:rsidRDefault="004E7ABC" w:rsidP="002E58A0">
      <w:pPr>
        <w:spacing w:after="0" w:line="240" w:lineRule="auto"/>
        <w:jc w:val="both"/>
        <w:rPr>
          <w:rFonts w:ascii="Times New Roman" w:hAnsi="Times New Roman"/>
        </w:rPr>
      </w:pPr>
      <w:bookmarkStart w:id="6" w:name="_Hlk35588083"/>
      <w:r w:rsidRPr="00C369EC">
        <w:rPr>
          <w:rFonts w:ascii="Times New Roman" w:hAnsi="Times New Roman"/>
          <w:bCs/>
        </w:rPr>
        <w:t xml:space="preserve">UNDP welcomed the evaluation of its support to poverty reduction in LDCs as a unique opportunity to conduct extensive consultations internally with its staff and externally with member states, Executive Board Members and IEO. With the recognition that </w:t>
      </w:r>
      <w:r w:rsidRPr="00C369EC">
        <w:rPr>
          <w:rFonts w:ascii="Times New Roman" w:hAnsi="Times New Roman"/>
        </w:rPr>
        <w:t>there are striking differences within the least developed countries’ category (out of the 47 LDCs, 17 are middle-income countries, 9 are small island developing States, 17 are landlocked</w:t>
      </w:r>
      <w:r w:rsidR="008F7A7D">
        <w:rPr>
          <w:rFonts w:ascii="Times New Roman" w:hAnsi="Times New Roman"/>
        </w:rPr>
        <w:t>,</w:t>
      </w:r>
      <w:r w:rsidRPr="00C369EC">
        <w:rPr>
          <w:rFonts w:ascii="Times New Roman" w:hAnsi="Times New Roman"/>
        </w:rPr>
        <w:t xml:space="preserve"> and 20 are considered fragile), UNDP has refocused its poverty offer to provide the analytical tools and technical support to assist countries </w:t>
      </w:r>
      <w:r w:rsidR="008F7A7D">
        <w:rPr>
          <w:rFonts w:ascii="Times New Roman" w:hAnsi="Times New Roman"/>
        </w:rPr>
        <w:t xml:space="preserve">to </w:t>
      </w:r>
      <w:r w:rsidRPr="00C369EC">
        <w:rPr>
          <w:rFonts w:ascii="Times New Roman" w:hAnsi="Times New Roman"/>
        </w:rPr>
        <w:t xml:space="preserve">develop policies and capacities to advance sustainable and inclusive growth in line with its Strategic Plan (2018-2021), its Signature Solution </w:t>
      </w:r>
      <w:r w:rsidR="00F87352" w:rsidRPr="00C369EC">
        <w:rPr>
          <w:rFonts w:ascii="Times New Roman" w:hAnsi="Times New Roman"/>
        </w:rPr>
        <w:t xml:space="preserve">1 </w:t>
      </w:r>
      <w:r w:rsidRPr="00C369EC">
        <w:rPr>
          <w:rFonts w:ascii="Times New Roman" w:hAnsi="Times New Roman"/>
        </w:rPr>
        <w:t xml:space="preserve">on Keeping People out of Poverty; and the Istanbul Programme of Action for LDCs. </w:t>
      </w:r>
    </w:p>
    <w:p w14:paraId="3C82B8CF" w14:textId="77777777" w:rsidR="00BC41C4" w:rsidRPr="00C369EC" w:rsidRDefault="00BC41C4" w:rsidP="002E58A0">
      <w:pPr>
        <w:spacing w:after="0" w:line="240" w:lineRule="auto"/>
        <w:jc w:val="both"/>
        <w:rPr>
          <w:rFonts w:ascii="Times New Roman" w:hAnsi="Times New Roman"/>
          <w:bCs/>
        </w:rPr>
      </w:pPr>
    </w:p>
    <w:p w14:paraId="2C1932FE" w14:textId="4CF02F1E" w:rsidR="004E7ABC" w:rsidRDefault="004E7ABC" w:rsidP="002E58A0">
      <w:pPr>
        <w:tabs>
          <w:tab w:val="left" w:pos="1080"/>
          <w:tab w:val="left" w:pos="9180"/>
        </w:tabs>
        <w:spacing w:after="0" w:line="240" w:lineRule="auto"/>
        <w:jc w:val="both"/>
        <w:rPr>
          <w:rFonts w:ascii="Times New Roman" w:hAnsi="Times New Roman"/>
        </w:rPr>
      </w:pPr>
      <w:r w:rsidRPr="00C369EC">
        <w:rPr>
          <w:rFonts w:ascii="Times New Roman" w:hAnsi="Times New Roman"/>
        </w:rPr>
        <w:t xml:space="preserve">Building on the </w:t>
      </w:r>
      <w:r w:rsidR="00623623">
        <w:rPr>
          <w:rFonts w:ascii="Times New Roman" w:hAnsi="Times New Roman"/>
        </w:rPr>
        <w:t xml:space="preserve">evaluation’s recommendations, </w:t>
      </w:r>
      <w:r w:rsidRPr="00C369EC">
        <w:rPr>
          <w:rFonts w:ascii="Times New Roman" w:hAnsi="Times New Roman"/>
        </w:rPr>
        <w:t xml:space="preserve">UNDP worked to revisit its global narrative on poverty eradication and inequality, continued to work on its </w:t>
      </w:r>
      <w:r w:rsidR="008F7A7D" w:rsidRPr="00C369EC">
        <w:rPr>
          <w:rFonts w:ascii="Times New Roman" w:hAnsi="Times New Roman"/>
        </w:rPr>
        <w:t>next</w:t>
      </w:r>
      <w:r w:rsidR="008F7A7D">
        <w:rPr>
          <w:rFonts w:ascii="Times New Roman" w:hAnsi="Times New Roman"/>
        </w:rPr>
        <w:t>-</w:t>
      </w:r>
      <w:r w:rsidRPr="00C369EC">
        <w:rPr>
          <w:rFonts w:ascii="Times New Roman" w:hAnsi="Times New Roman"/>
        </w:rPr>
        <w:t>generation offer; including a focus on the changing nature of social protection to better integrate multiple vulnerabilities like gender, climate change and disaster risk reduction; and leveraging and investing in multidimensional poverty. A set of deep-dive inclusive growth policy offers have been developed and disseminated to inform the next generation of programming in country offices (e.g. multidimensional poverty and inequality measurements, development planning, social protection, jobs and livelihoods</w:t>
      </w:r>
      <w:r w:rsidR="006F64C0" w:rsidRPr="00C369EC">
        <w:rPr>
          <w:rFonts w:ascii="Times New Roman" w:hAnsi="Times New Roman"/>
        </w:rPr>
        <w:t xml:space="preserve"> </w:t>
      </w:r>
      <w:r w:rsidRPr="00C369EC">
        <w:rPr>
          <w:rFonts w:ascii="Times New Roman" w:hAnsi="Times New Roman"/>
        </w:rPr>
        <w:t>future of work, women and economic empowerment, extractive industries and trade and value chains). These are meant to become living documents to adapt to the changing needs of countries to respond to emerging poverty and inequality challenges.</w:t>
      </w:r>
    </w:p>
    <w:p w14:paraId="3AAB40AC" w14:textId="77777777" w:rsidR="002E58A0" w:rsidRPr="00C369EC" w:rsidRDefault="002E58A0" w:rsidP="002E58A0">
      <w:pPr>
        <w:tabs>
          <w:tab w:val="left" w:pos="1080"/>
          <w:tab w:val="left" w:pos="9180"/>
        </w:tabs>
        <w:spacing w:after="0" w:line="240" w:lineRule="auto"/>
        <w:jc w:val="both"/>
        <w:rPr>
          <w:rFonts w:ascii="Times New Roman" w:hAnsi="Times New Roman"/>
        </w:rPr>
      </w:pPr>
    </w:p>
    <w:p w14:paraId="5DC5FE3B" w14:textId="56DCD888" w:rsidR="004E7ABC" w:rsidRDefault="004E7ABC" w:rsidP="002E58A0">
      <w:pPr>
        <w:spacing w:after="0" w:line="240" w:lineRule="auto"/>
        <w:jc w:val="both"/>
        <w:rPr>
          <w:rStyle w:val="Hyperlink"/>
          <w:rFonts w:ascii="Times New Roman" w:hAnsi="Times New Roman"/>
        </w:rPr>
      </w:pPr>
      <w:r w:rsidRPr="00C369EC">
        <w:rPr>
          <w:rFonts w:ascii="Times New Roman" w:hAnsi="Times New Roman"/>
          <w:bCs/>
        </w:rPr>
        <w:t xml:space="preserve">Following up on the recommendation to ensure adequate investment in technical poverty-related areas and capacities, </w:t>
      </w:r>
      <w:r w:rsidRPr="00C369EC">
        <w:rPr>
          <w:rFonts w:ascii="Times New Roman" w:hAnsi="Times New Roman"/>
          <w:color w:val="000000" w:themeColor="text1"/>
        </w:rPr>
        <w:t xml:space="preserve">UNDP continues to help governments develop inclusive policies and expand local capacities for </w:t>
      </w:r>
      <w:r w:rsidRPr="00C369EC">
        <w:rPr>
          <w:rFonts w:ascii="Times New Roman" w:hAnsi="Times New Roman"/>
          <w:bCs/>
        </w:rPr>
        <w:t xml:space="preserve">embedding </w:t>
      </w:r>
      <w:r w:rsidRPr="00C369EC">
        <w:rPr>
          <w:rFonts w:ascii="Times New Roman" w:hAnsi="Times New Roman"/>
          <w:color w:val="000000" w:themeColor="text1"/>
        </w:rPr>
        <w:t xml:space="preserve">a multidimensional perspective of poverty across national </w:t>
      </w:r>
      <w:r w:rsidR="00F1390F" w:rsidRPr="00C369EC">
        <w:rPr>
          <w:rFonts w:ascii="Times New Roman" w:hAnsi="Times New Roman"/>
          <w:color w:val="000000" w:themeColor="text1"/>
        </w:rPr>
        <w:t>policymaking</w:t>
      </w:r>
      <w:r w:rsidRPr="00C369EC">
        <w:rPr>
          <w:rFonts w:ascii="Times New Roman" w:hAnsi="Times New Roman"/>
        </w:rPr>
        <w:t xml:space="preserve">. </w:t>
      </w:r>
      <w:r w:rsidRPr="00C369EC">
        <w:rPr>
          <w:rFonts w:ascii="Times New Roman" w:hAnsi="Times New Roman"/>
          <w:lang w:eastAsia="zh-CN"/>
        </w:rPr>
        <w:t xml:space="preserve">In 2019, UNDP, in partnership with the Oxford Poverty and Human Development Initiative (OPHI), Oxford University, published a </w:t>
      </w:r>
      <w:hyperlink r:id="rId21" w:history="1">
        <w:r w:rsidRPr="00C369EC">
          <w:rPr>
            <w:rStyle w:val="Hyperlink"/>
            <w:rFonts w:ascii="Times New Roman" w:hAnsi="Times New Roman"/>
            <w:lang w:eastAsia="zh-CN"/>
          </w:rPr>
          <w:t>Handbook on How to Build a National MPI</w:t>
        </w:r>
      </w:hyperlink>
      <w:r w:rsidRPr="00C369EC">
        <w:rPr>
          <w:rStyle w:val="Hyperlink"/>
          <w:rFonts w:ascii="Times New Roman" w:hAnsi="Times New Roman"/>
          <w:lang w:eastAsia="zh-CN"/>
        </w:rPr>
        <w:t>.</w:t>
      </w:r>
      <w:r w:rsidRPr="00C369EC">
        <w:rPr>
          <w:rFonts w:ascii="Times New Roman" w:hAnsi="Times New Roman"/>
        </w:rPr>
        <w:t xml:space="preserve"> The Handbook aims to build the capacities of countries in developing national multidimensional poverty measures in accordance with SDG target 1.2 to track multiple sets of deprivations relating to health, education, basic standards of living, employment and other relevant dimensions of poverty to complement existing monetary poverty measures.  As of March 2020, </w:t>
      </w:r>
      <w:hyperlink r:id="rId22" w:history="1">
        <w:r w:rsidRPr="00C369EC">
          <w:rPr>
            <w:rStyle w:val="Hyperlink"/>
            <w:rFonts w:ascii="Times New Roman" w:hAnsi="Times New Roman"/>
          </w:rPr>
          <w:t>UNDP launched a free five-week Massive Open Online Course (MOOC)</w:t>
        </w:r>
      </w:hyperlink>
      <w:r w:rsidRPr="00C369EC">
        <w:rPr>
          <w:rStyle w:val="mc-toc-title"/>
          <w:rFonts w:ascii="Times New Roman" w:hAnsi="Times New Roman"/>
        </w:rPr>
        <w:t xml:space="preserve"> on “Designing a Multidimensional Poverty Index”</w:t>
      </w:r>
      <w:r w:rsidR="00195F8C" w:rsidRPr="00C369EC">
        <w:rPr>
          <w:rStyle w:val="mc-toc-title"/>
          <w:rFonts w:ascii="Times New Roman" w:hAnsi="Times New Roman"/>
        </w:rPr>
        <w:t>,</w:t>
      </w:r>
      <w:r w:rsidRPr="00C369EC">
        <w:rPr>
          <w:rStyle w:val="mc-toc-title"/>
          <w:rFonts w:ascii="Times New Roman" w:hAnsi="Times New Roman"/>
        </w:rPr>
        <w:t xml:space="preserve"> co-developed by UNDP and OPHI. The course will help practitioners </w:t>
      </w:r>
      <w:r w:rsidRPr="00C369EC">
        <w:rPr>
          <w:rStyle w:val="mc-toc-title"/>
          <w:rFonts w:ascii="Times New Roman" w:hAnsi="Times New Roman"/>
        </w:rPr>
        <w:lastRenderedPageBreak/>
        <w:t xml:space="preserve">and </w:t>
      </w:r>
      <w:r w:rsidR="00195F8C" w:rsidRPr="00C369EC">
        <w:rPr>
          <w:rStyle w:val="mc-toc-title"/>
          <w:rFonts w:ascii="Times New Roman" w:hAnsi="Times New Roman"/>
        </w:rPr>
        <w:t>policymakers</w:t>
      </w:r>
      <w:r w:rsidRPr="00C369EC">
        <w:rPr>
          <w:rStyle w:val="mc-toc-title"/>
          <w:rFonts w:ascii="Times New Roman" w:hAnsi="Times New Roman"/>
        </w:rPr>
        <w:t xml:space="preserve"> </w:t>
      </w:r>
      <w:r w:rsidRPr="00C369EC">
        <w:rPr>
          <w:rFonts w:ascii="Times New Roman" w:hAnsi="Times New Roman"/>
        </w:rPr>
        <w:t>learn to develop a holistic</w:t>
      </w:r>
      <w:r w:rsidR="00B25A58">
        <w:rPr>
          <w:rFonts w:ascii="Times New Roman" w:hAnsi="Times New Roman"/>
        </w:rPr>
        <w:t>,</w:t>
      </w:r>
      <w:r w:rsidRPr="00C369EC">
        <w:rPr>
          <w:rFonts w:ascii="Times New Roman" w:hAnsi="Times New Roman"/>
        </w:rPr>
        <w:t xml:space="preserve"> multidimensional poverty measure. So far, </w:t>
      </w:r>
      <w:hyperlink r:id="rId23" w:history="1">
        <w:r w:rsidRPr="00C369EC">
          <w:rPr>
            <w:rStyle w:val="Hyperlink"/>
            <w:rFonts w:ascii="Times New Roman" w:hAnsi="Times New Roman"/>
          </w:rPr>
          <w:t>2000+ participants have registered.</w:t>
        </w:r>
      </w:hyperlink>
    </w:p>
    <w:p w14:paraId="716BAF45" w14:textId="77777777" w:rsidR="002E58A0" w:rsidRPr="00C369EC" w:rsidRDefault="002E58A0" w:rsidP="002E58A0">
      <w:pPr>
        <w:spacing w:after="0" w:line="240" w:lineRule="auto"/>
        <w:jc w:val="both"/>
        <w:rPr>
          <w:rFonts w:ascii="Times New Roman" w:hAnsi="Times New Roman"/>
        </w:rPr>
      </w:pPr>
    </w:p>
    <w:p w14:paraId="0BD8B72F" w14:textId="09E2DD3E" w:rsidR="00783D0D" w:rsidRDefault="0084008B" w:rsidP="002E58A0">
      <w:pPr>
        <w:spacing w:after="0" w:line="240" w:lineRule="auto"/>
        <w:jc w:val="both"/>
        <w:rPr>
          <w:rFonts w:ascii="Times New Roman" w:hAnsi="Times New Roman"/>
        </w:rPr>
      </w:pPr>
      <w:r w:rsidRPr="00C369EC">
        <w:rPr>
          <w:rFonts w:ascii="Times New Roman" w:hAnsi="Times New Roman"/>
        </w:rPr>
        <w:t xml:space="preserve">As </w:t>
      </w:r>
      <w:r w:rsidR="006F206C">
        <w:rPr>
          <w:rFonts w:ascii="Times New Roman" w:hAnsi="Times New Roman"/>
        </w:rPr>
        <w:t xml:space="preserve">a </w:t>
      </w:r>
      <w:r w:rsidRPr="00C369EC">
        <w:rPr>
          <w:rFonts w:ascii="Times New Roman" w:hAnsi="Times New Roman"/>
        </w:rPr>
        <w:t>follow-up to the recommendations of the poverty evaluation, ongoing efforts include advancing policy and programmatic offer on women’s economic empowerment; and enhanced vertical funds’ support for sustainable livelihoods and rural development including through broader partnerships (e.g. a collaborative framework with FAO is being discussed)</w:t>
      </w:r>
      <w:bookmarkEnd w:id="6"/>
      <w:r w:rsidR="00B02558" w:rsidRPr="00C369EC">
        <w:rPr>
          <w:rFonts w:ascii="Times New Roman" w:hAnsi="Times New Roman"/>
        </w:rPr>
        <w:t>.</w:t>
      </w:r>
    </w:p>
    <w:p w14:paraId="367F53FB" w14:textId="008BB611" w:rsidR="00783D0D" w:rsidRDefault="00783D0D" w:rsidP="002E58A0">
      <w:pPr>
        <w:spacing w:after="0" w:line="240" w:lineRule="auto"/>
        <w:jc w:val="both"/>
        <w:rPr>
          <w:rFonts w:ascii="Times New Roman" w:hAnsi="Times New Roman"/>
        </w:rPr>
      </w:pPr>
    </w:p>
    <w:p w14:paraId="0AD45916" w14:textId="77777777" w:rsidR="00BC41C4" w:rsidRPr="00C369EC" w:rsidRDefault="00BC41C4" w:rsidP="002E58A0">
      <w:pPr>
        <w:spacing w:after="0" w:line="240" w:lineRule="auto"/>
        <w:jc w:val="both"/>
        <w:rPr>
          <w:rFonts w:ascii="Times New Roman" w:hAnsi="Times New Roman"/>
        </w:rPr>
      </w:pPr>
    </w:p>
    <w:p w14:paraId="333D2F52" w14:textId="77777777" w:rsidR="003E424C" w:rsidRPr="00C369EC" w:rsidRDefault="003E424C" w:rsidP="002E58A0">
      <w:pPr>
        <w:spacing w:after="0" w:line="240" w:lineRule="auto"/>
        <w:jc w:val="both"/>
        <w:rPr>
          <w:rFonts w:ascii="Times New Roman" w:eastAsia="Batang" w:hAnsi="Times New Roman"/>
          <w:b/>
          <w:bCs/>
          <w:lang w:eastAsia="ko-KR"/>
        </w:rPr>
      </w:pPr>
      <w:r w:rsidRPr="00C369EC">
        <w:rPr>
          <w:rFonts w:ascii="Times New Roman" w:eastAsia="Batang" w:hAnsi="Times New Roman"/>
          <w:b/>
          <w:bCs/>
          <w:lang w:eastAsia="ko-KR"/>
        </w:rPr>
        <w:t>Evaluation of UNDP’s Inter-Agency Pooled Financing Services</w:t>
      </w:r>
    </w:p>
    <w:p w14:paraId="4D4D2E03" w14:textId="77777777" w:rsidR="003E424C" w:rsidRPr="00C369EC" w:rsidRDefault="003E424C" w:rsidP="002E58A0">
      <w:pPr>
        <w:spacing w:after="0" w:line="240" w:lineRule="auto"/>
        <w:jc w:val="both"/>
        <w:rPr>
          <w:rFonts w:ascii="Times New Roman" w:eastAsia="Batang" w:hAnsi="Times New Roman"/>
          <w:i/>
          <w:iCs/>
          <w:lang w:eastAsia="ko-KR"/>
        </w:rPr>
      </w:pPr>
      <w:r w:rsidRPr="00C369EC">
        <w:rPr>
          <w:rFonts w:ascii="Times New Roman" w:eastAsia="Batang" w:hAnsi="Times New Roman"/>
          <w:i/>
          <w:iCs/>
          <w:lang w:eastAsia="ko-KR"/>
        </w:rPr>
        <w:t>Completed in August 2018</w:t>
      </w:r>
    </w:p>
    <w:p w14:paraId="355C03AE" w14:textId="77777777" w:rsidR="003E424C" w:rsidRPr="00C369EC" w:rsidRDefault="003E424C" w:rsidP="002E58A0">
      <w:pPr>
        <w:spacing w:after="0" w:line="240" w:lineRule="auto"/>
        <w:rPr>
          <w:rFonts w:ascii="Times New Roman" w:hAnsi="Times New Roman"/>
        </w:rPr>
      </w:pPr>
    </w:p>
    <w:p w14:paraId="4A40ACC3" w14:textId="769A4CA4" w:rsidR="003E424C" w:rsidRPr="00C369EC" w:rsidRDefault="003E424C" w:rsidP="002E58A0">
      <w:pPr>
        <w:spacing w:after="0" w:line="240" w:lineRule="auto"/>
        <w:jc w:val="both"/>
        <w:rPr>
          <w:rFonts w:ascii="Times New Roman" w:hAnsi="Times New Roman"/>
        </w:rPr>
      </w:pPr>
      <w:r w:rsidRPr="00C369EC">
        <w:rPr>
          <w:rFonts w:ascii="Times New Roman" w:hAnsi="Times New Roman"/>
        </w:rPr>
        <w:t xml:space="preserve">The UN Multi-Partner Trust Fund (MPTF) Office is the </w:t>
      </w:r>
      <w:r w:rsidR="00783D0D" w:rsidRPr="00C369EC">
        <w:rPr>
          <w:rFonts w:ascii="Times New Roman" w:hAnsi="Times New Roman"/>
        </w:rPr>
        <w:t xml:space="preserve">United Nations (UN) </w:t>
      </w:r>
      <w:r w:rsidR="009C2C8D" w:rsidRPr="00C369EC">
        <w:rPr>
          <w:rFonts w:ascii="Times New Roman" w:hAnsi="Times New Roman"/>
        </w:rPr>
        <w:t xml:space="preserve">centre </w:t>
      </w:r>
      <w:r w:rsidRPr="00C369EC">
        <w:rPr>
          <w:rFonts w:ascii="Times New Roman" w:hAnsi="Times New Roman"/>
        </w:rPr>
        <w:t xml:space="preserve">of expertise in pooled funding. A UN system-wide </w:t>
      </w:r>
      <w:r w:rsidR="001A58DB" w:rsidRPr="00C369EC">
        <w:rPr>
          <w:rFonts w:ascii="Times New Roman" w:hAnsi="Times New Roman"/>
        </w:rPr>
        <w:t>asse</w:t>
      </w:r>
      <w:r w:rsidR="001A58DB">
        <w:rPr>
          <w:rFonts w:ascii="Times New Roman" w:hAnsi="Times New Roman"/>
        </w:rPr>
        <w:t>t</w:t>
      </w:r>
      <w:r w:rsidR="001A58DB" w:rsidRPr="00C369EC">
        <w:rPr>
          <w:rFonts w:ascii="Times New Roman" w:hAnsi="Times New Roman"/>
        </w:rPr>
        <w:t xml:space="preserve"> </w:t>
      </w:r>
      <w:r w:rsidRPr="00C369EC">
        <w:rPr>
          <w:rFonts w:ascii="Times New Roman" w:hAnsi="Times New Roman"/>
        </w:rPr>
        <w:t xml:space="preserve">hosted by UNDP, it is the only UN unit exclusively dedicated to the design and administration of multi-stakeholder pooled financing instruments. Since 2004, </w:t>
      </w:r>
      <w:r w:rsidR="009C2C8D" w:rsidRPr="00C369EC">
        <w:rPr>
          <w:rFonts w:ascii="Times New Roman" w:hAnsi="Times New Roman"/>
        </w:rPr>
        <w:t>the MPTF Office</w:t>
      </w:r>
      <w:r w:rsidRPr="00C369EC">
        <w:rPr>
          <w:rFonts w:ascii="Times New Roman" w:hAnsi="Times New Roman"/>
        </w:rPr>
        <w:t xml:space="preserve"> has supported the UN in launching over 200 pooled funds covering the full humanitarian-development-peace spectrum. </w:t>
      </w:r>
    </w:p>
    <w:p w14:paraId="50379E83" w14:textId="77777777" w:rsidR="003E424C" w:rsidRPr="00C369EC" w:rsidRDefault="003E424C" w:rsidP="002E58A0">
      <w:pPr>
        <w:spacing w:after="0" w:line="240" w:lineRule="auto"/>
        <w:jc w:val="both"/>
        <w:rPr>
          <w:rFonts w:ascii="Times New Roman" w:hAnsi="Times New Roman"/>
        </w:rPr>
      </w:pPr>
    </w:p>
    <w:p w14:paraId="669198DB" w14:textId="729D042A" w:rsidR="00783D0D" w:rsidRPr="00C369EC" w:rsidRDefault="003E424C" w:rsidP="002E58A0">
      <w:pPr>
        <w:spacing w:after="0" w:line="240" w:lineRule="auto"/>
        <w:jc w:val="both"/>
        <w:rPr>
          <w:rFonts w:ascii="Times New Roman" w:hAnsi="Times New Roman"/>
        </w:rPr>
      </w:pPr>
      <w:r w:rsidRPr="00C369EC">
        <w:rPr>
          <w:rFonts w:ascii="Times New Roman" w:hAnsi="Times New Roman"/>
        </w:rPr>
        <w:t xml:space="preserve">The 2018 independent evaluation concluded that pooled funds have become a well-established mechanism that is critical to the current UN reform process and the implementation of </w:t>
      </w:r>
      <w:r w:rsidR="001A58DB">
        <w:rPr>
          <w:rFonts w:ascii="Times New Roman" w:hAnsi="Times New Roman"/>
        </w:rPr>
        <w:t xml:space="preserve">the </w:t>
      </w:r>
      <w:r w:rsidRPr="00C369EC">
        <w:rPr>
          <w:rFonts w:ascii="Times New Roman" w:hAnsi="Times New Roman"/>
        </w:rPr>
        <w:t xml:space="preserve">2030 Agenda. </w:t>
      </w:r>
      <w:r w:rsidR="00C914BE" w:rsidRPr="00C369EC">
        <w:rPr>
          <w:rFonts w:ascii="Times New Roman" w:hAnsi="Times New Roman"/>
        </w:rPr>
        <w:t xml:space="preserve">The </w:t>
      </w:r>
      <w:r w:rsidR="00A006C7" w:rsidRPr="00C369EC">
        <w:rPr>
          <w:rFonts w:ascii="Times New Roman" w:hAnsi="Times New Roman"/>
        </w:rPr>
        <w:t>evaluation</w:t>
      </w:r>
      <w:r w:rsidRPr="00C369EC">
        <w:rPr>
          <w:rFonts w:ascii="Times New Roman" w:hAnsi="Times New Roman"/>
        </w:rPr>
        <w:t xml:space="preserve"> recogni</w:t>
      </w:r>
      <w:r w:rsidR="00783D0D" w:rsidRPr="00C369EC">
        <w:rPr>
          <w:rFonts w:ascii="Times New Roman" w:hAnsi="Times New Roman"/>
        </w:rPr>
        <w:t>s</w:t>
      </w:r>
      <w:r w:rsidRPr="00C369EC">
        <w:rPr>
          <w:rFonts w:ascii="Times New Roman" w:hAnsi="Times New Roman"/>
        </w:rPr>
        <w:t>ed</w:t>
      </w:r>
      <w:r w:rsidR="00F80BBE">
        <w:rPr>
          <w:rFonts w:ascii="Times New Roman" w:hAnsi="Times New Roman"/>
        </w:rPr>
        <w:t xml:space="preserve"> that</w:t>
      </w:r>
      <w:r w:rsidRPr="00C369EC">
        <w:rPr>
          <w:rFonts w:ascii="Times New Roman" w:hAnsi="Times New Roman"/>
        </w:rPr>
        <w:t xml:space="preserve"> the MPTF Office</w:t>
      </w:r>
      <w:r w:rsidR="009C2C8D" w:rsidRPr="00C369EC">
        <w:rPr>
          <w:rFonts w:ascii="Times New Roman" w:hAnsi="Times New Roman"/>
        </w:rPr>
        <w:t xml:space="preserve"> </w:t>
      </w:r>
      <w:r w:rsidRPr="00C369EC">
        <w:rPr>
          <w:rFonts w:ascii="Times New Roman" w:hAnsi="Times New Roman"/>
        </w:rPr>
        <w:t>“sets the standard for administrative agent service of all agencies</w:t>
      </w:r>
      <w:r w:rsidR="00FB08AB" w:rsidRPr="00C369EC">
        <w:rPr>
          <w:rFonts w:ascii="Times New Roman" w:hAnsi="Times New Roman"/>
        </w:rPr>
        <w:t>” and</w:t>
      </w:r>
      <w:r w:rsidRPr="00C369EC">
        <w:rPr>
          <w:rFonts w:ascii="Times New Roman" w:hAnsi="Times New Roman"/>
        </w:rPr>
        <w:t xml:space="preserve"> confirmed that the firewall between MPTF Office as an Administrative Agent and UNDP as a participating UN organi</w:t>
      </w:r>
      <w:r w:rsidR="00783D0D" w:rsidRPr="00C369EC">
        <w:rPr>
          <w:rFonts w:ascii="Times New Roman" w:hAnsi="Times New Roman"/>
        </w:rPr>
        <w:t>s</w:t>
      </w:r>
      <w:r w:rsidRPr="00C369EC">
        <w:rPr>
          <w:rFonts w:ascii="Times New Roman" w:hAnsi="Times New Roman"/>
        </w:rPr>
        <w:t>ation has worked as it should. The result</w:t>
      </w:r>
      <w:r w:rsidR="00783D0D" w:rsidRPr="00C369EC">
        <w:rPr>
          <w:rFonts w:ascii="Times New Roman" w:hAnsi="Times New Roman"/>
        </w:rPr>
        <w:t>s</w:t>
      </w:r>
      <w:r w:rsidRPr="00C369EC">
        <w:rPr>
          <w:rFonts w:ascii="Times New Roman" w:hAnsi="Times New Roman"/>
        </w:rPr>
        <w:t xml:space="preserve"> of </w:t>
      </w:r>
      <w:r w:rsidR="00783D0D" w:rsidRPr="00C369EC">
        <w:rPr>
          <w:rFonts w:ascii="Times New Roman" w:hAnsi="Times New Roman"/>
        </w:rPr>
        <w:t xml:space="preserve">the 2018 </w:t>
      </w:r>
      <w:r w:rsidRPr="00C369EC">
        <w:rPr>
          <w:rFonts w:ascii="Times New Roman" w:hAnsi="Times New Roman"/>
        </w:rPr>
        <w:t xml:space="preserve">evaluation, </w:t>
      </w:r>
      <w:r w:rsidR="00C914BE" w:rsidRPr="00C369EC">
        <w:rPr>
          <w:rFonts w:ascii="Times New Roman" w:hAnsi="Times New Roman"/>
        </w:rPr>
        <w:t xml:space="preserve">including </w:t>
      </w:r>
      <w:r w:rsidRPr="00C369EC">
        <w:rPr>
          <w:rFonts w:ascii="Times New Roman" w:hAnsi="Times New Roman"/>
        </w:rPr>
        <w:t>related Executive Board decision</w:t>
      </w:r>
      <w:r w:rsidR="00554552" w:rsidRPr="00C369EC">
        <w:rPr>
          <w:rFonts w:ascii="Times New Roman" w:hAnsi="Times New Roman"/>
        </w:rPr>
        <w:t>,</w:t>
      </w:r>
      <w:r w:rsidRPr="00C369EC">
        <w:rPr>
          <w:rFonts w:ascii="Times New Roman" w:hAnsi="Times New Roman"/>
        </w:rPr>
        <w:t xml:space="preserve"> </w:t>
      </w:r>
      <w:r w:rsidR="00C914BE" w:rsidRPr="00C369EC">
        <w:rPr>
          <w:rFonts w:ascii="Times New Roman" w:hAnsi="Times New Roman"/>
        </w:rPr>
        <w:t xml:space="preserve">and </w:t>
      </w:r>
      <w:r w:rsidRPr="00C369EC">
        <w:rPr>
          <w:rFonts w:ascii="Times New Roman" w:hAnsi="Times New Roman"/>
        </w:rPr>
        <w:t>the 2019 Evaluation of Norway’s multilateral Partnerships Portfolio</w:t>
      </w:r>
      <w:r w:rsidR="00D33E92">
        <w:rPr>
          <w:rFonts w:ascii="Times New Roman" w:hAnsi="Times New Roman"/>
        </w:rPr>
        <w:t xml:space="preserve"> </w:t>
      </w:r>
      <w:proofErr w:type="gramStart"/>
      <w:r w:rsidRPr="007B6569">
        <w:rPr>
          <w:rFonts w:ascii="Times New Roman" w:hAnsi="Times New Roman"/>
          <w:i/>
          <w:iCs/>
        </w:rPr>
        <w:t>The</w:t>
      </w:r>
      <w:proofErr w:type="gramEnd"/>
      <w:r w:rsidRPr="007B6569">
        <w:rPr>
          <w:rFonts w:ascii="Times New Roman" w:hAnsi="Times New Roman"/>
          <w:i/>
          <w:iCs/>
        </w:rPr>
        <w:t xml:space="preserve"> World Bank and UN Inter-Agency Trust Funds</w:t>
      </w:r>
      <w:r w:rsidRPr="00C369EC">
        <w:rPr>
          <w:rFonts w:ascii="Times New Roman" w:hAnsi="Times New Roman"/>
        </w:rPr>
        <w:t xml:space="preserve">, have informed several strategic MPTF Office management initiatives since mid-2018. </w:t>
      </w:r>
      <w:r w:rsidR="00783D0D" w:rsidRPr="00C369EC">
        <w:rPr>
          <w:rFonts w:ascii="Times New Roman" w:hAnsi="Times New Roman"/>
        </w:rPr>
        <w:t>T</w:t>
      </w:r>
      <w:r w:rsidRPr="00C369EC">
        <w:rPr>
          <w:rFonts w:ascii="Times New Roman" w:hAnsi="Times New Roman"/>
        </w:rPr>
        <w:t>he office has institutionali</w:t>
      </w:r>
      <w:r w:rsidR="00783D0D" w:rsidRPr="00C369EC">
        <w:rPr>
          <w:rFonts w:ascii="Times New Roman" w:hAnsi="Times New Roman"/>
        </w:rPr>
        <w:t>s</w:t>
      </w:r>
      <w:r w:rsidRPr="00C369EC">
        <w:rPr>
          <w:rFonts w:ascii="Times New Roman" w:hAnsi="Times New Roman"/>
        </w:rPr>
        <w:t xml:space="preserve">ed multi-stakeholder discussion </w:t>
      </w:r>
      <w:r w:rsidR="00D33E92" w:rsidRPr="00C369EC">
        <w:rPr>
          <w:rFonts w:ascii="Times New Roman" w:hAnsi="Times New Roman"/>
        </w:rPr>
        <w:t>for</w:t>
      </w:r>
      <w:r w:rsidR="00D33E92">
        <w:rPr>
          <w:rFonts w:ascii="Times New Roman" w:hAnsi="Times New Roman"/>
        </w:rPr>
        <w:t>a</w:t>
      </w:r>
      <w:r w:rsidR="00D33E92" w:rsidRPr="00C369EC">
        <w:rPr>
          <w:rFonts w:ascii="Times New Roman" w:hAnsi="Times New Roman"/>
        </w:rPr>
        <w:t xml:space="preserve"> </w:t>
      </w:r>
      <w:r w:rsidRPr="00C369EC">
        <w:rPr>
          <w:rFonts w:ascii="Times New Roman" w:hAnsi="Times New Roman"/>
        </w:rPr>
        <w:t xml:space="preserve">on pooled financing, as requested in </w:t>
      </w:r>
      <w:r w:rsidR="006B345D">
        <w:rPr>
          <w:rFonts w:ascii="Times New Roman" w:hAnsi="Times New Roman"/>
        </w:rPr>
        <w:t xml:space="preserve">the </w:t>
      </w:r>
      <w:r w:rsidRPr="00C369EC">
        <w:rPr>
          <w:rFonts w:ascii="Times New Roman" w:hAnsi="Times New Roman"/>
        </w:rPr>
        <w:t xml:space="preserve">Executive Board decision. This informal consultative body meets periodically - two </w:t>
      </w:r>
      <w:r w:rsidR="00D33E92">
        <w:rPr>
          <w:rFonts w:ascii="Times New Roman" w:hAnsi="Times New Roman"/>
        </w:rPr>
        <w:t>fora</w:t>
      </w:r>
      <w:r w:rsidR="00D33E92" w:rsidRPr="00C369EC">
        <w:rPr>
          <w:rFonts w:ascii="Times New Roman" w:hAnsi="Times New Roman"/>
        </w:rPr>
        <w:t xml:space="preserve"> </w:t>
      </w:r>
      <w:r w:rsidRPr="00C369EC">
        <w:rPr>
          <w:rFonts w:ascii="Times New Roman" w:hAnsi="Times New Roman"/>
        </w:rPr>
        <w:t xml:space="preserve">were held in 2019 and </w:t>
      </w:r>
      <w:r w:rsidR="00C914BE" w:rsidRPr="00C369EC">
        <w:rPr>
          <w:rFonts w:ascii="Times New Roman" w:hAnsi="Times New Roman"/>
        </w:rPr>
        <w:t xml:space="preserve">additional </w:t>
      </w:r>
      <w:r w:rsidRPr="00C369EC">
        <w:rPr>
          <w:rFonts w:ascii="Times New Roman" w:hAnsi="Times New Roman"/>
        </w:rPr>
        <w:t xml:space="preserve">two are planned for 2020. </w:t>
      </w:r>
    </w:p>
    <w:p w14:paraId="346BDA60" w14:textId="77777777" w:rsidR="00783D0D" w:rsidRPr="00C369EC" w:rsidRDefault="00783D0D" w:rsidP="002E58A0">
      <w:pPr>
        <w:spacing w:after="0" w:line="240" w:lineRule="auto"/>
        <w:jc w:val="both"/>
        <w:rPr>
          <w:rFonts w:ascii="Times New Roman" w:hAnsi="Times New Roman"/>
        </w:rPr>
      </w:pPr>
    </w:p>
    <w:p w14:paraId="7628385C" w14:textId="012D7FC7" w:rsidR="00783D0D" w:rsidRPr="00C369EC" w:rsidRDefault="00783D0D" w:rsidP="002E58A0">
      <w:pPr>
        <w:spacing w:after="0" w:line="240" w:lineRule="auto"/>
        <w:jc w:val="both"/>
        <w:rPr>
          <w:rFonts w:ascii="Times New Roman" w:hAnsi="Times New Roman"/>
        </w:rPr>
      </w:pPr>
      <w:r w:rsidRPr="00C369EC">
        <w:rPr>
          <w:rFonts w:ascii="Times New Roman" w:hAnsi="Times New Roman"/>
        </w:rPr>
        <w:t>T</w:t>
      </w:r>
      <w:r w:rsidR="003E424C" w:rsidRPr="00C369EC">
        <w:rPr>
          <w:rFonts w:ascii="Times New Roman" w:hAnsi="Times New Roman"/>
        </w:rPr>
        <w:t xml:space="preserve">he recommendations from UNDP’s independent evaluation have </w:t>
      </w:r>
      <w:r w:rsidRPr="00C369EC">
        <w:rPr>
          <w:rFonts w:ascii="Times New Roman" w:hAnsi="Times New Roman"/>
        </w:rPr>
        <w:t xml:space="preserve">further been </w:t>
      </w:r>
      <w:r w:rsidR="003E424C" w:rsidRPr="00C369EC">
        <w:rPr>
          <w:rFonts w:ascii="Times New Roman" w:hAnsi="Times New Roman"/>
        </w:rPr>
        <w:t xml:space="preserve">incorporated in the MPTF Office’s </w:t>
      </w:r>
      <w:r w:rsidR="00697985" w:rsidRPr="00C369EC">
        <w:rPr>
          <w:rFonts w:ascii="Times New Roman" w:hAnsi="Times New Roman"/>
        </w:rPr>
        <w:t xml:space="preserve">update of the </w:t>
      </w:r>
      <w:r w:rsidR="003E424C" w:rsidRPr="00C369EC">
        <w:rPr>
          <w:rFonts w:ascii="Times New Roman" w:hAnsi="Times New Roman"/>
        </w:rPr>
        <w:t>digital management platform, the MPTF Office Gateway</w:t>
      </w:r>
      <w:r w:rsidR="00D33E92">
        <w:rPr>
          <w:rFonts w:ascii="Times New Roman" w:hAnsi="Times New Roman"/>
        </w:rPr>
        <w:t xml:space="preserve">, </w:t>
      </w:r>
      <w:r w:rsidR="003E424C" w:rsidRPr="00C369EC">
        <w:rPr>
          <w:rFonts w:ascii="Times New Roman" w:hAnsi="Times New Roman"/>
        </w:rPr>
        <w:t>to be launched in 2020. One key element is a new Results</w:t>
      </w:r>
      <w:r w:rsidR="00C06055">
        <w:rPr>
          <w:rFonts w:ascii="Times New Roman" w:hAnsi="Times New Roman"/>
        </w:rPr>
        <w:t>-</w:t>
      </w:r>
      <w:r w:rsidR="003E424C" w:rsidRPr="00C369EC">
        <w:rPr>
          <w:rFonts w:ascii="Times New Roman" w:hAnsi="Times New Roman"/>
        </w:rPr>
        <w:t xml:space="preserve">Based System (RBM) which has been embedded in the new MPTF Office Gateway </w:t>
      </w:r>
      <w:r w:rsidR="006B345D">
        <w:rPr>
          <w:rFonts w:ascii="Times New Roman" w:hAnsi="Times New Roman"/>
        </w:rPr>
        <w:t xml:space="preserve">to </w:t>
      </w:r>
      <w:r w:rsidR="003E424C" w:rsidRPr="00C369EC">
        <w:rPr>
          <w:rFonts w:ascii="Times New Roman" w:hAnsi="Times New Roman"/>
        </w:rPr>
        <w:t>enabl</w:t>
      </w:r>
      <w:r w:rsidR="00C06055">
        <w:rPr>
          <w:rFonts w:ascii="Times New Roman" w:hAnsi="Times New Roman"/>
        </w:rPr>
        <w:t>e</w:t>
      </w:r>
      <w:r w:rsidR="003E424C" w:rsidRPr="00C369EC">
        <w:rPr>
          <w:rFonts w:ascii="Times New Roman" w:hAnsi="Times New Roman"/>
        </w:rPr>
        <w:t xml:space="preserve"> monitoring of programmatic and financial performance indicators. </w:t>
      </w:r>
      <w:r w:rsidRPr="00C369EC">
        <w:rPr>
          <w:rFonts w:ascii="Times New Roman" w:hAnsi="Times New Roman"/>
        </w:rPr>
        <w:t>F</w:t>
      </w:r>
      <w:r w:rsidR="003E424C" w:rsidRPr="00C369EC">
        <w:rPr>
          <w:rFonts w:ascii="Times New Roman" w:hAnsi="Times New Roman"/>
        </w:rPr>
        <w:t xml:space="preserve">inancial data </w:t>
      </w:r>
      <w:r w:rsidRPr="00C369EC">
        <w:rPr>
          <w:rFonts w:ascii="Times New Roman" w:hAnsi="Times New Roman"/>
        </w:rPr>
        <w:t xml:space="preserve">is </w:t>
      </w:r>
      <w:r w:rsidR="003E424C" w:rsidRPr="00C369EC">
        <w:rPr>
          <w:rFonts w:ascii="Times New Roman" w:hAnsi="Times New Roman"/>
        </w:rPr>
        <w:t xml:space="preserve">reported according to the UN data standards for financial reporting and IATI standards.  The mainstreaming of </w:t>
      </w:r>
      <w:r w:rsidR="006B345D">
        <w:rPr>
          <w:rFonts w:ascii="Times New Roman" w:hAnsi="Times New Roman"/>
        </w:rPr>
        <w:t xml:space="preserve">the </w:t>
      </w:r>
      <w:r w:rsidR="003E424C" w:rsidRPr="00C369EC">
        <w:rPr>
          <w:rFonts w:ascii="Times New Roman" w:hAnsi="Times New Roman"/>
        </w:rPr>
        <w:t xml:space="preserve">UN data standard on </w:t>
      </w:r>
      <w:r w:rsidR="00554552" w:rsidRPr="00C369EC">
        <w:rPr>
          <w:rFonts w:ascii="Times New Roman" w:hAnsi="Times New Roman"/>
        </w:rPr>
        <w:t xml:space="preserve">the </w:t>
      </w:r>
      <w:r w:rsidR="003E424C" w:rsidRPr="00C369EC">
        <w:rPr>
          <w:rFonts w:ascii="Times New Roman" w:hAnsi="Times New Roman"/>
        </w:rPr>
        <w:t xml:space="preserve">SDGs ensures that all interventions at project- and fund levels are linked to the SDGs. Fund-level </w:t>
      </w:r>
      <w:r w:rsidR="00F1390F" w:rsidRPr="00C369EC">
        <w:rPr>
          <w:rFonts w:ascii="Times New Roman" w:hAnsi="Times New Roman"/>
        </w:rPr>
        <w:t>indicators</w:t>
      </w:r>
      <w:r w:rsidR="003E424C" w:rsidRPr="00C369EC">
        <w:rPr>
          <w:rFonts w:ascii="Times New Roman" w:hAnsi="Times New Roman"/>
        </w:rPr>
        <w:t xml:space="preserve"> make sure that the results to which the United Nations contributes directly and are attributable to Fund interventions</w:t>
      </w:r>
      <w:r w:rsidR="007B6569">
        <w:rPr>
          <w:rFonts w:ascii="Times New Roman" w:hAnsi="Times New Roman"/>
        </w:rPr>
        <w:t>,</w:t>
      </w:r>
      <w:r w:rsidR="003E424C" w:rsidRPr="00C369EC">
        <w:rPr>
          <w:rFonts w:ascii="Times New Roman" w:hAnsi="Times New Roman"/>
        </w:rPr>
        <w:t xml:space="preserve"> </w:t>
      </w:r>
      <w:r w:rsidR="00E34790">
        <w:rPr>
          <w:rFonts w:ascii="Times New Roman" w:hAnsi="Times New Roman"/>
        </w:rPr>
        <w:t>are</w:t>
      </w:r>
      <w:r w:rsidR="00E34790" w:rsidRPr="00C369EC">
        <w:rPr>
          <w:rFonts w:ascii="Times New Roman" w:hAnsi="Times New Roman"/>
        </w:rPr>
        <w:t xml:space="preserve"> </w:t>
      </w:r>
      <w:r w:rsidR="003E424C" w:rsidRPr="00C369EC">
        <w:rPr>
          <w:rFonts w:ascii="Times New Roman" w:hAnsi="Times New Roman"/>
        </w:rPr>
        <w:t xml:space="preserve">visible. </w:t>
      </w:r>
      <w:r w:rsidR="007E755B">
        <w:rPr>
          <w:rFonts w:ascii="Times New Roman" w:hAnsi="Times New Roman"/>
        </w:rPr>
        <w:t>Further, t</w:t>
      </w:r>
      <w:r w:rsidRPr="00C369EC">
        <w:rPr>
          <w:rFonts w:ascii="Times New Roman" w:hAnsi="Times New Roman"/>
        </w:rPr>
        <w:t xml:space="preserve">he </w:t>
      </w:r>
      <w:r w:rsidR="003E424C" w:rsidRPr="00C369EC">
        <w:rPr>
          <w:rFonts w:ascii="Times New Roman" w:hAnsi="Times New Roman"/>
        </w:rPr>
        <w:t xml:space="preserve">standard operational indicators measure the operational performance of each Fund and the overall MPTF Office portfolio against defined key performance indicators. </w:t>
      </w:r>
      <w:r w:rsidR="006B345D">
        <w:rPr>
          <w:rFonts w:ascii="Times New Roman" w:hAnsi="Times New Roman"/>
        </w:rPr>
        <w:t>An a</w:t>
      </w:r>
      <w:r w:rsidR="00F1390F" w:rsidRPr="00C369EC">
        <w:rPr>
          <w:rFonts w:ascii="Times New Roman" w:hAnsi="Times New Roman"/>
        </w:rPr>
        <w:t>dditional</w:t>
      </w:r>
      <w:r w:rsidRPr="00C369EC">
        <w:rPr>
          <w:rFonts w:ascii="Times New Roman" w:hAnsi="Times New Roman"/>
        </w:rPr>
        <w:t xml:space="preserve"> </w:t>
      </w:r>
      <w:r w:rsidR="003E424C" w:rsidRPr="00C369EC">
        <w:rPr>
          <w:rFonts w:ascii="Times New Roman" w:hAnsi="Times New Roman"/>
        </w:rPr>
        <w:t>element of the new Gateway is the introduction of a grant management module, which enables pooled fund secretariats to track results of projects towards fund and operational performance indicators. Contributions to gender equality will be track</w:t>
      </w:r>
      <w:r w:rsidR="008322D4">
        <w:rPr>
          <w:rFonts w:ascii="Times New Roman" w:hAnsi="Times New Roman"/>
        </w:rPr>
        <w:t>ed</w:t>
      </w:r>
      <w:r w:rsidR="003E424C" w:rsidRPr="00C369EC">
        <w:rPr>
          <w:rFonts w:ascii="Times New Roman" w:hAnsi="Times New Roman"/>
        </w:rPr>
        <w:t xml:space="preserve"> through a gender equality marker at project level</w:t>
      </w:r>
      <w:r w:rsidR="007E755B">
        <w:rPr>
          <w:rFonts w:ascii="Times New Roman" w:hAnsi="Times New Roman"/>
        </w:rPr>
        <w:t>,</w:t>
      </w:r>
      <w:r w:rsidR="007E755B" w:rsidRPr="00C369EC">
        <w:rPr>
          <w:rFonts w:ascii="Times New Roman" w:hAnsi="Times New Roman"/>
        </w:rPr>
        <w:t xml:space="preserve"> </w:t>
      </w:r>
      <w:r w:rsidR="003E424C" w:rsidRPr="00C369EC">
        <w:rPr>
          <w:rFonts w:ascii="Times New Roman" w:hAnsi="Times New Roman"/>
        </w:rPr>
        <w:t>and with a new section on funds in the pipeline</w:t>
      </w:r>
      <w:r w:rsidR="008322D4">
        <w:rPr>
          <w:rFonts w:ascii="Times New Roman" w:hAnsi="Times New Roman"/>
        </w:rPr>
        <w:t>,</w:t>
      </w:r>
      <w:r w:rsidR="003E424C" w:rsidRPr="00C369EC">
        <w:rPr>
          <w:rFonts w:ascii="Times New Roman" w:hAnsi="Times New Roman"/>
        </w:rPr>
        <w:t xml:space="preserve"> stakeholders will be informed of new opportunities to invest and participate in pooled funds in the development. </w:t>
      </w:r>
    </w:p>
    <w:p w14:paraId="2A6002F1" w14:textId="77777777" w:rsidR="00783D0D" w:rsidRPr="00C369EC" w:rsidRDefault="00783D0D" w:rsidP="002E58A0">
      <w:pPr>
        <w:spacing w:after="0" w:line="240" w:lineRule="auto"/>
        <w:jc w:val="both"/>
        <w:rPr>
          <w:rFonts w:ascii="Times New Roman" w:hAnsi="Times New Roman"/>
        </w:rPr>
      </w:pPr>
    </w:p>
    <w:p w14:paraId="7FEC62EF" w14:textId="05D9FEF5" w:rsidR="00B02558" w:rsidRDefault="003E424C" w:rsidP="002E58A0">
      <w:pPr>
        <w:spacing w:after="0" w:line="240" w:lineRule="auto"/>
        <w:jc w:val="both"/>
        <w:rPr>
          <w:rFonts w:ascii="Times New Roman" w:hAnsi="Times New Roman"/>
        </w:rPr>
      </w:pPr>
      <w:r w:rsidRPr="00C369EC">
        <w:rPr>
          <w:rFonts w:ascii="Times New Roman" w:hAnsi="Times New Roman"/>
        </w:rPr>
        <w:t>Lastly, in line with the management response</w:t>
      </w:r>
      <w:r w:rsidR="00554552" w:rsidRPr="00C369EC">
        <w:rPr>
          <w:rFonts w:ascii="Times New Roman" w:hAnsi="Times New Roman"/>
        </w:rPr>
        <w:t>,</w:t>
      </w:r>
      <w:r w:rsidRPr="00C369EC">
        <w:rPr>
          <w:rFonts w:ascii="Times New Roman" w:hAnsi="Times New Roman"/>
        </w:rPr>
        <w:t xml:space="preserve"> the Office is taking the lead within the context of the UN Sustainable Development Group </w:t>
      </w:r>
      <w:r w:rsidR="00697985" w:rsidRPr="00C369EC">
        <w:rPr>
          <w:rFonts w:ascii="Times New Roman" w:hAnsi="Times New Roman"/>
        </w:rPr>
        <w:t xml:space="preserve">(UNSDG) </w:t>
      </w:r>
      <w:r w:rsidRPr="00C369EC">
        <w:rPr>
          <w:rFonts w:ascii="Times New Roman" w:hAnsi="Times New Roman"/>
        </w:rPr>
        <w:t xml:space="preserve">on the follow-up </w:t>
      </w:r>
      <w:r w:rsidR="004550DC" w:rsidRPr="00C369EC">
        <w:rPr>
          <w:rFonts w:ascii="Times New Roman" w:hAnsi="Times New Roman"/>
        </w:rPr>
        <w:t xml:space="preserve">of the </w:t>
      </w:r>
      <w:r w:rsidRPr="00C369EC">
        <w:rPr>
          <w:rFonts w:ascii="Times New Roman" w:hAnsi="Times New Roman"/>
        </w:rPr>
        <w:t>funding compact commitment 14</w:t>
      </w:r>
      <w:r w:rsidR="004550DC" w:rsidRPr="00C369EC">
        <w:rPr>
          <w:rFonts w:ascii="Times New Roman" w:hAnsi="Times New Roman"/>
        </w:rPr>
        <w:t>, which refers to the</w:t>
      </w:r>
      <w:r w:rsidRPr="00C369EC">
        <w:rPr>
          <w:rFonts w:ascii="Times New Roman" w:hAnsi="Times New Roman"/>
        </w:rPr>
        <w:t xml:space="preserve"> common management features of pooled funds. These features</w:t>
      </w:r>
      <w:r w:rsidR="004550DC" w:rsidRPr="00C369EC">
        <w:rPr>
          <w:rFonts w:ascii="Times New Roman" w:hAnsi="Times New Roman"/>
        </w:rPr>
        <w:t>,</w:t>
      </w:r>
      <w:r w:rsidRPr="00C369EC">
        <w:rPr>
          <w:rFonts w:ascii="Times New Roman" w:hAnsi="Times New Roman"/>
        </w:rPr>
        <w:t xml:space="preserve"> also mentioned in the evaluation recommendations,</w:t>
      </w:r>
      <w:r w:rsidR="004550DC" w:rsidRPr="00C369EC">
        <w:rPr>
          <w:rFonts w:ascii="Times New Roman" w:hAnsi="Times New Roman"/>
        </w:rPr>
        <w:t xml:space="preserve"> refer to</w:t>
      </w:r>
      <w:r w:rsidRPr="00C369EC">
        <w:rPr>
          <w:rFonts w:ascii="Times New Roman" w:hAnsi="Times New Roman"/>
        </w:rPr>
        <w:t xml:space="preserve"> clear</w:t>
      </w:r>
      <w:r w:rsidR="004550DC" w:rsidRPr="00C369EC">
        <w:rPr>
          <w:rFonts w:ascii="Times New Roman" w:hAnsi="Times New Roman"/>
        </w:rPr>
        <w:t>er</w:t>
      </w:r>
      <w:r w:rsidRPr="00C369EC">
        <w:rPr>
          <w:rFonts w:ascii="Times New Roman" w:hAnsi="Times New Roman"/>
        </w:rPr>
        <w:t xml:space="preserve"> theories of change; solid Results-Based Management systems; and operational effectiveness/reporting/visibility/transparency standards. The last feature is the planning and funding for joint and system wide evaluations that meet </w:t>
      </w:r>
      <w:r w:rsidR="00FB08AB">
        <w:rPr>
          <w:rFonts w:ascii="Times New Roman" w:hAnsi="Times New Roman"/>
        </w:rPr>
        <w:t>UN Evaluation Group (UNEG)</w:t>
      </w:r>
      <w:r w:rsidRPr="00C369EC">
        <w:rPr>
          <w:rFonts w:ascii="Times New Roman" w:hAnsi="Times New Roman"/>
        </w:rPr>
        <w:t xml:space="preserve"> norms and standards.</w:t>
      </w:r>
    </w:p>
    <w:p w14:paraId="18C9AC41" w14:textId="3131EDE8" w:rsidR="00B02558" w:rsidRPr="00C369EC" w:rsidRDefault="00B02558" w:rsidP="002E58A0">
      <w:pPr>
        <w:spacing w:after="0" w:line="240" w:lineRule="auto"/>
        <w:rPr>
          <w:rFonts w:ascii="Times New Roman" w:hAnsi="Times New Roman"/>
          <w:i/>
          <w:iCs/>
        </w:rPr>
      </w:pPr>
      <w:r w:rsidRPr="00C369EC">
        <w:rPr>
          <w:rFonts w:ascii="Times New Roman" w:hAnsi="Times New Roman"/>
          <w:b/>
          <w:bCs/>
        </w:rPr>
        <w:lastRenderedPageBreak/>
        <w:t>Evaluation of UNDP inter-agency operational services</w:t>
      </w:r>
      <w:r w:rsidRPr="00C369EC">
        <w:rPr>
          <w:rFonts w:ascii="Times New Roman" w:hAnsi="Times New Roman"/>
          <w:b/>
          <w:bCs/>
        </w:rPr>
        <w:br/>
      </w:r>
      <w:r w:rsidRPr="00C369EC">
        <w:rPr>
          <w:rFonts w:ascii="Times New Roman" w:hAnsi="Times New Roman"/>
          <w:i/>
          <w:iCs/>
        </w:rPr>
        <w:t>Completed August 2018</w:t>
      </w:r>
    </w:p>
    <w:p w14:paraId="63809DA5" w14:textId="77777777" w:rsidR="00F3008D" w:rsidRPr="00C369EC" w:rsidRDefault="00F3008D" w:rsidP="002E58A0">
      <w:pPr>
        <w:spacing w:after="0" w:line="240" w:lineRule="auto"/>
        <w:rPr>
          <w:rFonts w:ascii="Times New Roman" w:hAnsi="Times New Roman"/>
          <w:i/>
          <w:iCs/>
        </w:rPr>
      </w:pPr>
    </w:p>
    <w:p w14:paraId="314EA857" w14:textId="354C6359" w:rsidR="00F377CE" w:rsidRDefault="00697985" w:rsidP="002E58A0">
      <w:pPr>
        <w:spacing w:after="0" w:line="240" w:lineRule="auto"/>
        <w:jc w:val="both"/>
        <w:rPr>
          <w:rFonts w:ascii="Times New Roman" w:hAnsi="Times New Roman"/>
          <w:spacing w:val="8"/>
        </w:rPr>
      </w:pPr>
      <w:r w:rsidRPr="00CB6C7D">
        <w:rPr>
          <w:rFonts w:ascii="Times New Roman" w:hAnsi="Times New Roman"/>
        </w:rPr>
        <w:t>UNDP welcomed the recommendations of the evaluation report on inter-agency operational services</w:t>
      </w:r>
      <w:r w:rsidR="00CB25C5" w:rsidRPr="00CB6C7D">
        <w:rPr>
          <w:rFonts w:ascii="Times New Roman" w:hAnsi="Times New Roman"/>
        </w:rPr>
        <w:t xml:space="preserve"> which has assisted the </w:t>
      </w:r>
      <w:r w:rsidR="00F1390F" w:rsidRPr="00CB6C7D">
        <w:rPr>
          <w:rFonts w:ascii="Times New Roman" w:hAnsi="Times New Roman"/>
        </w:rPr>
        <w:t>organisation</w:t>
      </w:r>
      <w:r w:rsidR="00CB25C5" w:rsidRPr="00CB6C7D">
        <w:rPr>
          <w:rFonts w:ascii="Times New Roman" w:hAnsi="Times New Roman"/>
        </w:rPr>
        <w:t xml:space="preserve"> to improve its business model and streamline business processes for operational services. </w:t>
      </w:r>
      <w:r w:rsidR="00B02558" w:rsidRPr="00CB6C7D">
        <w:rPr>
          <w:rFonts w:ascii="Times New Roman" w:hAnsi="Times New Roman"/>
        </w:rPr>
        <w:t>UNDP</w:t>
      </w:r>
      <w:r w:rsidR="00CB25C5" w:rsidRPr="00CB6C7D">
        <w:rPr>
          <w:rFonts w:ascii="Times New Roman" w:hAnsi="Times New Roman"/>
        </w:rPr>
        <w:t xml:space="preserve"> </w:t>
      </w:r>
      <w:r w:rsidR="00F1390F" w:rsidRPr="00CB6C7D">
        <w:rPr>
          <w:rFonts w:ascii="Times New Roman" w:hAnsi="Times New Roman"/>
        </w:rPr>
        <w:t>remains committed</w:t>
      </w:r>
      <w:r w:rsidR="00B02558" w:rsidRPr="00CB6C7D">
        <w:rPr>
          <w:rFonts w:ascii="Times New Roman" w:hAnsi="Times New Roman"/>
        </w:rPr>
        <w:t xml:space="preserve"> to the UN Secretary General’s reform agenda and continues to </w:t>
      </w:r>
      <w:r w:rsidR="005E31E3" w:rsidRPr="00CB6C7D">
        <w:rPr>
          <w:rFonts w:ascii="Times New Roman" w:hAnsi="Times New Roman"/>
        </w:rPr>
        <w:t>support the United Nations System Development Reform actively</w:t>
      </w:r>
      <w:r w:rsidR="00B02558" w:rsidRPr="00CB6C7D">
        <w:rPr>
          <w:rFonts w:ascii="Times New Roman" w:hAnsi="Times New Roman"/>
        </w:rPr>
        <w:t>. Beyond its financial contribution, UNDP has actively provided policy and operational support as part of the 4+1 agencies, co-leading the United Nations Sustainable Development Group (UNSDG) Business Innovations Group (BIG) on various fronts and as an integral part of the Secretary General’s efforts to ensure common Business Operations Strategy (BOS), common premises, and other operational initiatives</w:t>
      </w:r>
      <w:r w:rsidR="00C22D4A" w:rsidRPr="00CB6C7D">
        <w:rPr>
          <w:rFonts w:ascii="Times New Roman" w:hAnsi="Times New Roman"/>
        </w:rPr>
        <w:t xml:space="preserve"> </w:t>
      </w:r>
      <w:r w:rsidR="00B02558" w:rsidRPr="00CB6C7D">
        <w:rPr>
          <w:rFonts w:ascii="Times New Roman" w:hAnsi="Times New Roman"/>
        </w:rPr>
        <w:t>UNDP continues to engage proactively in interagency collaboration.</w:t>
      </w:r>
      <w:r w:rsidR="00B02558" w:rsidRPr="00CB6C7D">
        <w:rPr>
          <w:rFonts w:ascii="Times New Roman" w:hAnsi="Times New Roman"/>
          <w:spacing w:val="8"/>
        </w:rPr>
        <w:t xml:space="preserve"> </w:t>
      </w:r>
    </w:p>
    <w:p w14:paraId="5C2EAE1A" w14:textId="77777777" w:rsidR="002E58A0" w:rsidRPr="00CB6C7D" w:rsidRDefault="002E58A0" w:rsidP="002E58A0">
      <w:pPr>
        <w:spacing w:after="0" w:line="240" w:lineRule="auto"/>
        <w:jc w:val="both"/>
        <w:rPr>
          <w:rFonts w:ascii="Times New Roman" w:hAnsi="Times New Roman"/>
          <w:spacing w:val="8"/>
        </w:rPr>
      </w:pPr>
    </w:p>
    <w:p w14:paraId="013E5945" w14:textId="4E8C11D1" w:rsidR="007B6569" w:rsidRDefault="0056227C" w:rsidP="002E58A0">
      <w:pPr>
        <w:spacing w:after="0" w:line="240" w:lineRule="auto"/>
        <w:jc w:val="both"/>
        <w:rPr>
          <w:rFonts w:ascii="Times New Roman" w:hAnsi="Times New Roman"/>
          <w:color w:val="000000"/>
        </w:rPr>
      </w:pPr>
      <w:r w:rsidRPr="00CB6C7D">
        <w:rPr>
          <w:rFonts w:ascii="Times New Roman" w:hAnsi="Times New Roman"/>
        </w:rPr>
        <w:t xml:space="preserve">As recommended by the </w:t>
      </w:r>
      <w:r w:rsidR="00E85604" w:rsidRPr="00CB6C7D">
        <w:rPr>
          <w:rFonts w:ascii="Times New Roman" w:hAnsi="Times New Roman"/>
        </w:rPr>
        <w:t>eva</w:t>
      </w:r>
      <w:r w:rsidR="00263B56" w:rsidRPr="00CB6C7D">
        <w:rPr>
          <w:rFonts w:ascii="Times New Roman" w:hAnsi="Times New Roman"/>
        </w:rPr>
        <w:t>lu</w:t>
      </w:r>
      <w:r w:rsidR="00E85604" w:rsidRPr="00CB6C7D">
        <w:rPr>
          <w:rFonts w:ascii="Times New Roman" w:hAnsi="Times New Roman"/>
        </w:rPr>
        <w:t xml:space="preserve">ation </w:t>
      </w:r>
      <w:r w:rsidRPr="00CB6C7D">
        <w:rPr>
          <w:rFonts w:ascii="Times New Roman" w:hAnsi="Times New Roman"/>
        </w:rPr>
        <w:t xml:space="preserve">findings and </w:t>
      </w:r>
      <w:r w:rsidR="00E85604" w:rsidRPr="00CB6C7D">
        <w:rPr>
          <w:rFonts w:ascii="Times New Roman" w:hAnsi="Times New Roman"/>
        </w:rPr>
        <w:t>a</w:t>
      </w:r>
      <w:r w:rsidR="00B02558" w:rsidRPr="00CB6C7D">
        <w:rPr>
          <w:rFonts w:ascii="Times New Roman" w:hAnsi="Times New Roman"/>
        </w:rPr>
        <w:t xml:space="preserve">s the main service provider to the Resident Coordinator system, UNDP rolled out a web-based Service Portal in June 2019, which serves as a single-entry point for Resident Coordinator Offices (RCOs) and UNDP Country Offices (COs) for initiating, processing and tracking service requests, and in accessing financial information. The portal offers space for feedback on services received, with UNDP </w:t>
      </w:r>
      <w:r w:rsidR="008779E6" w:rsidRPr="00CB6C7D">
        <w:rPr>
          <w:rFonts w:ascii="Times New Roman" w:hAnsi="Times New Roman"/>
          <w:color w:val="000000"/>
        </w:rPr>
        <w:t>rated at 4.24 out of 5 stars</w:t>
      </w:r>
      <w:r w:rsidR="00304960" w:rsidRPr="00CB6C7D">
        <w:rPr>
          <w:rFonts w:ascii="Times New Roman" w:hAnsi="Times New Roman"/>
          <w:color w:val="000000"/>
        </w:rPr>
        <w:t xml:space="preserve"> by its users</w:t>
      </w:r>
      <w:r w:rsidR="00131FD4" w:rsidRPr="00CB6C7D">
        <w:rPr>
          <w:rFonts w:ascii="Times New Roman" w:hAnsi="Times New Roman"/>
          <w:color w:val="000000"/>
        </w:rPr>
        <w:t xml:space="preserve">. </w:t>
      </w:r>
      <w:r w:rsidR="00C22D4A" w:rsidRPr="00CB6C7D">
        <w:rPr>
          <w:rFonts w:ascii="Times New Roman" w:hAnsi="Times New Roman"/>
          <w:color w:val="000000"/>
        </w:rPr>
        <w:t>UNDP also served as the operational backbone of the United Nations, disbursing $3 billion in payroll, over half on behalf of partner agencies; providing $95 million in travel services and $618 million in procurement; and managing more than 200 shared services.</w:t>
      </w:r>
    </w:p>
    <w:p w14:paraId="78662AA5" w14:textId="77777777" w:rsidR="002E58A0" w:rsidRPr="00CB6C7D" w:rsidRDefault="002E58A0" w:rsidP="002E58A0">
      <w:pPr>
        <w:spacing w:after="0" w:line="240" w:lineRule="auto"/>
        <w:jc w:val="both"/>
        <w:rPr>
          <w:rFonts w:ascii="Times New Roman" w:hAnsi="Times New Roman"/>
          <w:color w:val="000000"/>
        </w:rPr>
      </w:pPr>
    </w:p>
    <w:p w14:paraId="5B3E860B" w14:textId="6E945983" w:rsidR="00D4032B" w:rsidRDefault="00B02558" w:rsidP="002E58A0">
      <w:pPr>
        <w:spacing w:after="0" w:line="240" w:lineRule="auto"/>
        <w:jc w:val="both"/>
        <w:rPr>
          <w:rFonts w:ascii="Times New Roman" w:hAnsi="Times New Roman"/>
          <w:color w:val="000000"/>
        </w:rPr>
      </w:pPr>
      <w:r w:rsidRPr="00CB6C7D">
        <w:rPr>
          <w:rFonts w:ascii="Times New Roman" w:hAnsi="Times New Roman"/>
        </w:rPr>
        <w:t>UNDP has substantially contributed to the development of updated BOS guidance. Following its launch by the UN Development Coordination Office in October 2019, UNDP has further developed a dedicated BOS digital platform. The BOS platform includes reporting capabilit</w:t>
      </w:r>
      <w:r w:rsidR="00604D56" w:rsidRPr="00CB6C7D">
        <w:rPr>
          <w:rFonts w:ascii="Times New Roman" w:hAnsi="Times New Roman"/>
        </w:rPr>
        <w:t>ies</w:t>
      </w:r>
      <w:r w:rsidRPr="00CB6C7D">
        <w:rPr>
          <w:rFonts w:ascii="Times New Roman" w:hAnsi="Times New Roman"/>
        </w:rPr>
        <w:t xml:space="preserve"> that allows Resident Coordinators (RCs) and UN Country Teams to establish baselines, assess impact and progress on their BOS implementation, compare countries and regions in terms of BOS impact, and assess actual efficiency or quality gains. The platform also significantly cuts the time in the development of a Business Operations Strategy from an average of 6 months to 8 weeks. </w:t>
      </w:r>
      <w:r w:rsidR="0056227C" w:rsidRPr="00CB6C7D">
        <w:rPr>
          <w:rFonts w:ascii="Times New Roman" w:hAnsi="Times New Roman"/>
        </w:rPr>
        <w:t>Building on</w:t>
      </w:r>
      <w:r w:rsidR="005116D2" w:rsidRPr="00CB6C7D">
        <w:rPr>
          <w:rFonts w:ascii="Times New Roman" w:hAnsi="Times New Roman"/>
        </w:rPr>
        <w:t xml:space="preserve"> the evaluation recommendations, </w:t>
      </w:r>
      <w:r w:rsidR="00B65D5E" w:rsidRPr="00CB6C7D">
        <w:rPr>
          <w:rFonts w:ascii="Times New Roman" w:hAnsi="Times New Roman"/>
        </w:rPr>
        <w:t xml:space="preserve">UNDP </w:t>
      </w:r>
      <w:r w:rsidR="00B65D5E" w:rsidRPr="00CB6C7D">
        <w:rPr>
          <w:rFonts w:ascii="Times New Roman" w:hAnsi="Times New Roman"/>
          <w:color w:val="000000"/>
        </w:rPr>
        <w:t xml:space="preserve">finalised its new digital strategy and </w:t>
      </w:r>
      <w:r w:rsidR="006B345D" w:rsidRPr="00CB6C7D">
        <w:rPr>
          <w:rFonts w:ascii="Times New Roman" w:hAnsi="Times New Roman"/>
          <w:color w:val="000000"/>
        </w:rPr>
        <w:t xml:space="preserve">commenced </w:t>
      </w:r>
      <w:r w:rsidR="00B65D5E" w:rsidRPr="00CB6C7D">
        <w:rPr>
          <w:rFonts w:ascii="Times New Roman" w:hAnsi="Times New Roman"/>
          <w:color w:val="000000"/>
        </w:rPr>
        <w:t>implement</w:t>
      </w:r>
      <w:r w:rsidR="006B345D" w:rsidRPr="00CB6C7D">
        <w:rPr>
          <w:rFonts w:ascii="Times New Roman" w:hAnsi="Times New Roman"/>
          <w:color w:val="000000"/>
        </w:rPr>
        <w:t xml:space="preserve">ation. </w:t>
      </w:r>
      <w:r w:rsidR="00B65D5E" w:rsidRPr="00CB6C7D">
        <w:rPr>
          <w:rFonts w:ascii="Times New Roman" w:hAnsi="Times New Roman"/>
          <w:color w:val="000000"/>
        </w:rPr>
        <w:t xml:space="preserve">The </w:t>
      </w:r>
      <w:r w:rsidR="00F1390F" w:rsidRPr="00CB6C7D">
        <w:rPr>
          <w:rFonts w:ascii="Times New Roman" w:hAnsi="Times New Roman"/>
          <w:color w:val="000000"/>
        </w:rPr>
        <w:t>strategy responds</w:t>
      </w:r>
      <w:r w:rsidR="00B65D5E" w:rsidRPr="00CB6C7D">
        <w:rPr>
          <w:rFonts w:ascii="Times New Roman" w:hAnsi="Times New Roman"/>
          <w:color w:val="000000"/>
        </w:rPr>
        <w:t xml:space="preserve"> to governments’ increasing demand for support in IT capabilities, while it will help UNDP to deliver more effectively, </w:t>
      </w:r>
      <w:r w:rsidR="006B345D" w:rsidRPr="00CB6C7D">
        <w:rPr>
          <w:rFonts w:ascii="Times New Roman" w:hAnsi="Times New Roman"/>
          <w:color w:val="000000"/>
        </w:rPr>
        <w:t xml:space="preserve">including </w:t>
      </w:r>
      <w:r w:rsidR="00B65D5E" w:rsidRPr="00CB6C7D">
        <w:rPr>
          <w:rFonts w:ascii="Times New Roman" w:hAnsi="Times New Roman"/>
          <w:color w:val="000000"/>
        </w:rPr>
        <w:t xml:space="preserve">through client-facing platforms </w:t>
      </w:r>
      <w:r w:rsidR="006B345D" w:rsidRPr="00CB6C7D">
        <w:rPr>
          <w:rFonts w:ascii="Times New Roman" w:hAnsi="Times New Roman"/>
          <w:color w:val="000000"/>
        </w:rPr>
        <w:t>such as the</w:t>
      </w:r>
      <w:r w:rsidR="00B65D5E" w:rsidRPr="00CB6C7D">
        <w:rPr>
          <w:rFonts w:ascii="Times New Roman" w:hAnsi="Times New Roman"/>
          <w:color w:val="000000"/>
        </w:rPr>
        <w:t xml:space="preserve"> global service tracker</w:t>
      </w:r>
      <w:r w:rsidR="00D4032B" w:rsidRPr="00CB6C7D">
        <w:rPr>
          <w:rFonts w:ascii="Times New Roman" w:hAnsi="Times New Roman"/>
          <w:color w:val="000000"/>
        </w:rPr>
        <w:t xml:space="preserve">. </w:t>
      </w:r>
    </w:p>
    <w:p w14:paraId="29E1C1A0" w14:textId="77777777" w:rsidR="002E58A0" w:rsidRPr="00CB6C7D" w:rsidRDefault="002E58A0" w:rsidP="002E58A0">
      <w:pPr>
        <w:spacing w:after="0" w:line="240" w:lineRule="auto"/>
        <w:jc w:val="both"/>
        <w:rPr>
          <w:rFonts w:ascii="Times New Roman" w:hAnsi="Times New Roman"/>
          <w:color w:val="000000"/>
        </w:rPr>
      </w:pPr>
    </w:p>
    <w:p w14:paraId="33F00C68" w14:textId="1B18AF86" w:rsidR="002E58A0" w:rsidRDefault="006B345D" w:rsidP="002E58A0">
      <w:pPr>
        <w:spacing w:after="0" w:line="240" w:lineRule="auto"/>
        <w:jc w:val="both"/>
        <w:rPr>
          <w:rFonts w:ascii="Times New Roman" w:hAnsi="Times New Roman"/>
          <w:color w:val="000000"/>
        </w:rPr>
      </w:pPr>
      <w:r w:rsidRPr="00CB6C7D">
        <w:rPr>
          <w:rFonts w:ascii="Times New Roman" w:hAnsi="Times New Roman"/>
          <w:color w:val="000000"/>
        </w:rPr>
        <w:t xml:space="preserve">Building also from the </w:t>
      </w:r>
      <w:r w:rsidR="004D6E4F" w:rsidRPr="00CB6C7D">
        <w:rPr>
          <w:rFonts w:ascii="Times New Roman" w:hAnsi="Times New Roman"/>
          <w:color w:val="000000"/>
        </w:rPr>
        <w:t xml:space="preserve">related </w:t>
      </w:r>
      <w:r w:rsidR="00514EE4" w:rsidRPr="00CB6C7D">
        <w:rPr>
          <w:rFonts w:ascii="Times New Roman" w:hAnsi="Times New Roman"/>
          <w:color w:val="0A0A0A"/>
          <w:spacing w:val="4"/>
          <w:shd w:val="clear" w:color="auto" w:fill="FEFEFE"/>
        </w:rPr>
        <w:t>Office of Audit and Investigations findings</w:t>
      </w:r>
      <w:r w:rsidR="007A27F9" w:rsidRPr="00CB6C7D">
        <w:rPr>
          <w:rFonts w:ascii="Times New Roman" w:hAnsi="Times New Roman"/>
          <w:color w:val="0A0A0A"/>
          <w:spacing w:val="4"/>
          <w:shd w:val="clear" w:color="auto" w:fill="FEFEFE"/>
        </w:rPr>
        <w:t xml:space="preserve">, </w:t>
      </w:r>
      <w:r w:rsidR="00AE5E85" w:rsidRPr="00CB6C7D">
        <w:rPr>
          <w:rFonts w:ascii="Times New Roman" w:hAnsi="Times New Roman"/>
          <w:color w:val="0A0A0A"/>
          <w:spacing w:val="4"/>
          <w:shd w:val="clear" w:color="auto" w:fill="FEFEFE"/>
        </w:rPr>
        <w:t>UNDP</w:t>
      </w:r>
      <w:r w:rsidR="00F3008D" w:rsidRPr="00CB6C7D">
        <w:rPr>
          <w:rFonts w:ascii="Times New Roman" w:hAnsi="Times New Roman"/>
          <w:color w:val="000000"/>
        </w:rPr>
        <w:t xml:space="preserve"> accelerate</w:t>
      </w:r>
      <w:r w:rsidR="00651CE7" w:rsidRPr="00CB6C7D">
        <w:rPr>
          <w:rFonts w:ascii="Times New Roman" w:hAnsi="Times New Roman"/>
          <w:color w:val="000000"/>
        </w:rPr>
        <w:t>d</w:t>
      </w:r>
      <w:r w:rsidR="00F3008D" w:rsidRPr="00CB6C7D">
        <w:rPr>
          <w:rFonts w:ascii="Times New Roman" w:hAnsi="Times New Roman"/>
          <w:color w:val="000000"/>
        </w:rPr>
        <w:t xml:space="preserve"> its </w:t>
      </w:r>
      <w:r w:rsidR="00F1390F" w:rsidRPr="00CB6C7D">
        <w:rPr>
          <w:rFonts w:ascii="Times New Roman" w:hAnsi="Times New Roman"/>
          <w:color w:val="000000"/>
        </w:rPr>
        <w:t>operational</w:t>
      </w:r>
      <w:r w:rsidR="00F3008D" w:rsidRPr="00CB6C7D">
        <w:rPr>
          <w:rFonts w:ascii="Times New Roman" w:hAnsi="Times New Roman"/>
          <w:color w:val="000000"/>
        </w:rPr>
        <w:t xml:space="preserve"> services</w:t>
      </w:r>
      <w:r w:rsidR="00AE5E85" w:rsidRPr="00CB6C7D">
        <w:rPr>
          <w:rFonts w:ascii="Times New Roman" w:hAnsi="Times New Roman"/>
          <w:color w:val="000000"/>
        </w:rPr>
        <w:t xml:space="preserve"> and </w:t>
      </w:r>
      <w:r w:rsidR="00F1390F" w:rsidRPr="00CB6C7D">
        <w:rPr>
          <w:rFonts w:ascii="Times New Roman" w:hAnsi="Times New Roman"/>
          <w:color w:val="000000"/>
        </w:rPr>
        <w:t>strengthened</w:t>
      </w:r>
      <w:r w:rsidR="00D4032B" w:rsidRPr="00CB6C7D">
        <w:rPr>
          <w:rFonts w:ascii="Times New Roman" w:hAnsi="Times New Roman"/>
          <w:color w:val="000000"/>
        </w:rPr>
        <w:t xml:space="preserve"> </w:t>
      </w:r>
      <w:r w:rsidR="00F3008D" w:rsidRPr="00CB6C7D">
        <w:rPr>
          <w:rFonts w:ascii="Times New Roman" w:hAnsi="Times New Roman"/>
          <w:color w:val="000000"/>
        </w:rPr>
        <w:t xml:space="preserve">its clustering </w:t>
      </w:r>
      <w:r w:rsidR="00F1390F" w:rsidRPr="00CB6C7D">
        <w:rPr>
          <w:rFonts w:ascii="Times New Roman" w:hAnsi="Times New Roman"/>
          <w:color w:val="000000"/>
        </w:rPr>
        <w:t>initiative</w:t>
      </w:r>
      <w:r w:rsidR="000B46C7" w:rsidRPr="00CB6C7D">
        <w:rPr>
          <w:rFonts w:ascii="Times New Roman" w:hAnsi="Times New Roman"/>
          <w:color w:val="000000"/>
        </w:rPr>
        <w:t>.</w:t>
      </w:r>
      <w:r w:rsidR="002E58A0">
        <w:rPr>
          <w:rFonts w:ascii="Times New Roman" w:hAnsi="Times New Roman"/>
          <w:color w:val="000000"/>
        </w:rPr>
        <w:t xml:space="preserve"> </w:t>
      </w:r>
      <w:r w:rsidR="000B46C7" w:rsidRPr="00CB6C7D">
        <w:rPr>
          <w:rFonts w:ascii="Times New Roman" w:hAnsi="Times New Roman"/>
          <w:color w:val="000000"/>
        </w:rPr>
        <w:t>T</w:t>
      </w:r>
      <w:r w:rsidR="00F1390F" w:rsidRPr="00CB6C7D">
        <w:rPr>
          <w:rFonts w:ascii="Times New Roman" w:hAnsi="Times New Roman"/>
          <w:color w:val="000000"/>
        </w:rPr>
        <w:t>he global</w:t>
      </w:r>
      <w:r w:rsidR="00F3008D" w:rsidRPr="00CB6C7D">
        <w:rPr>
          <w:rFonts w:ascii="Times New Roman" w:hAnsi="Times New Roman"/>
          <w:color w:val="000000"/>
        </w:rPr>
        <w:t xml:space="preserve"> shared services initiative</w:t>
      </w:r>
      <w:r w:rsidR="001A79BA" w:rsidRPr="00CB6C7D">
        <w:rPr>
          <w:rFonts w:ascii="Times New Roman" w:hAnsi="Times New Roman"/>
          <w:color w:val="000000"/>
        </w:rPr>
        <w:t>/cluster</w:t>
      </w:r>
      <w:r w:rsidR="000B46C7" w:rsidRPr="00CB6C7D">
        <w:rPr>
          <w:rFonts w:ascii="Times New Roman" w:hAnsi="Times New Roman"/>
          <w:color w:val="000000"/>
        </w:rPr>
        <w:t>ing</w:t>
      </w:r>
      <w:r w:rsidR="00F3008D" w:rsidRPr="00CB6C7D">
        <w:rPr>
          <w:rFonts w:ascii="Times New Roman" w:hAnsi="Times New Roman"/>
          <w:color w:val="000000"/>
        </w:rPr>
        <w:t xml:space="preserve"> is consolidating 57 country office processes in finance, human resources and procurement, which will address up to 65 per cent of country-level audit issues. </w:t>
      </w:r>
    </w:p>
    <w:p w14:paraId="74E88436" w14:textId="77777777" w:rsidR="00BC41C4" w:rsidRPr="00BC41C4" w:rsidRDefault="00BC41C4" w:rsidP="002E58A0">
      <w:pPr>
        <w:spacing w:after="0" w:line="240" w:lineRule="auto"/>
        <w:jc w:val="both"/>
        <w:rPr>
          <w:rFonts w:ascii="Times New Roman" w:hAnsi="Times New Roman"/>
          <w:color w:val="000000"/>
        </w:rPr>
      </w:pPr>
    </w:p>
    <w:p w14:paraId="4048823E" w14:textId="77777777" w:rsidR="00BC41C4" w:rsidRDefault="00BC41C4" w:rsidP="002E58A0">
      <w:pPr>
        <w:spacing w:after="0" w:line="240" w:lineRule="auto"/>
        <w:jc w:val="both"/>
        <w:rPr>
          <w:rFonts w:ascii="Times New Roman" w:hAnsi="Times New Roman"/>
          <w:b/>
          <w:bCs/>
        </w:rPr>
      </w:pPr>
    </w:p>
    <w:p w14:paraId="4D5AD43E" w14:textId="057A4F80" w:rsidR="007B48D1" w:rsidRPr="00C369EC" w:rsidRDefault="00B6600B" w:rsidP="002E58A0">
      <w:pPr>
        <w:spacing w:after="0" w:line="240" w:lineRule="auto"/>
        <w:jc w:val="both"/>
        <w:rPr>
          <w:rFonts w:ascii="Times New Roman" w:hAnsi="Times New Roman"/>
          <w:b/>
          <w:bCs/>
        </w:rPr>
      </w:pPr>
      <w:r w:rsidRPr="00C369EC">
        <w:rPr>
          <w:rFonts w:ascii="Times New Roman" w:hAnsi="Times New Roman"/>
          <w:b/>
          <w:bCs/>
        </w:rPr>
        <w:t xml:space="preserve">Gender </w:t>
      </w:r>
      <w:r w:rsidR="00775C5F" w:rsidRPr="00C369EC">
        <w:rPr>
          <w:rFonts w:ascii="Times New Roman" w:hAnsi="Times New Roman"/>
          <w:b/>
          <w:bCs/>
        </w:rPr>
        <w:t>responsive</w:t>
      </w:r>
      <w:r w:rsidRPr="00C369EC">
        <w:rPr>
          <w:rFonts w:ascii="Times New Roman" w:hAnsi="Times New Roman"/>
          <w:b/>
          <w:bCs/>
        </w:rPr>
        <w:t xml:space="preserve"> </w:t>
      </w:r>
      <w:r w:rsidR="00775C5F" w:rsidRPr="00C369EC">
        <w:rPr>
          <w:rFonts w:ascii="Times New Roman" w:hAnsi="Times New Roman"/>
          <w:b/>
          <w:bCs/>
        </w:rPr>
        <w:t>evaluations</w:t>
      </w:r>
    </w:p>
    <w:p w14:paraId="25A5EEE9" w14:textId="77777777" w:rsidR="00775C5F" w:rsidRPr="00C369EC" w:rsidRDefault="00775C5F" w:rsidP="002E58A0">
      <w:pPr>
        <w:spacing w:after="0" w:line="240" w:lineRule="auto"/>
        <w:jc w:val="both"/>
        <w:rPr>
          <w:rFonts w:ascii="Times New Roman" w:hAnsi="Times New Roman"/>
          <w:b/>
          <w:bCs/>
        </w:rPr>
      </w:pPr>
    </w:p>
    <w:p w14:paraId="56B4FD07" w14:textId="328205B7" w:rsidR="00775C5F" w:rsidRPr="00C369EC" w:rsidRDefault="00775C5F" w:rsidP="002E58A0">
      <w:pPr>
        <w:spacing w:after="0" w:line="240" w:lineRule="auto"/>
        <w:jc w:val="both"/>
        <w:rPr>
          <w:rFonts w:ascii="Times New Roman" w:hAnsi="Times New Roman"/>
        </w:rPr>
      </w:pPr>
      <w:r w:rsidRPr="00C369EC">
        <w:rPr>
          <w:rFonts w:ascii="Times New Roman" w:hAnsi="Times New Roman"/>
        </w:rPr>
        <w:t xml:space="preserve">Lessons </w:t>
      </w:r>
      <w:r w:rsidR="00B703A7" w:rsidRPr="00C369EC">
        <w:rPr>
          <w:rFonts w:ascii="Times New Roman" w:hAnsi="Times New Roman"/>
        </w:rPr>
        <w:t xml:space="preserve">learned </w:t>
      </w:r>
      <w:r w:rsidRPr="00C369EC">
        <w:rPr>
          <w:rFonts w:ascii="Times New Roman" w:hAnsi="Times New Roman"/>
        </w:rPr>
        <w:t>from the evaluations of UNDP’s work on gender equality and</w:t>
      </w:r>
      <w:r w:rsidR="00D45ED2" w:rsidRPr="00C369EC">
        <w:rPr>
          <w:rFonts w:ascii="Times New Roman" w:hAnsi="Times New Roman"/>
        </w:rPr>
        <w:t>,</w:t>
      </w:r>
      <w:r w:rsidRPr="00C369EC">
        <w:rPr>
          <w:rFonts w:ascii="Times New Roman" w:hAnsi="Times New Roman"/>
        </w:rPr>
        <w:t xml:space="preserve"> women’s empowerment show</w:t>
      </w:r>
      <w:r w:rsidR="00D45ED2" w:rsidRPr="00C369EC">
        <w:rPr>
          <w:rFonts w:ascii="Times New Roman" w:hAnsi="Times New Roman"/>
        </w:rPr>
        <w:t>s</w:t>
      </w:r>
      <w:r w:rsidRPr="00C369EC">
        <w:rPr>
          <w:rFonts w:ascii="Times New Roman" w:hAnsi="Times New Roman"/>
        </w:rPr>
        <w:t xml:space="preserve"> that UNDP has been able to </w:t>
      </w:r>
      <w:r w:rsidRPr="00C369EC">
        <w:rPr>
          <w:rFonts w:ascii="Times New Roman" w:hAnsi="Times New Roman"/>
          <w:bCs/>
        </w:rPr>
        <w:t>strengthen its gender-responsive development performance due to three key factors</w:t>
      </w:r>
      <w:r w:rsidRPr="00C369EC">
        <w:rPr>
          <w:rStyle w:val="FootnoteReference"/>
          <w:rFonts w:ascii="Times New Roman" w:hAnsi="Times New Roman"/>
        </w:rPr>
        <w:footnoteReference w:id="10"/>
      </w:r>
      <w:r w:rsidRPr="00C369EC">
        <w:rPr>
          <w:rFonts w:ascii="Times New Roman" w:hAnsi="Times New Roman"/>
          <w:bCs/>
        </w:rPr>
        <w:t>. Firstly, systematic gender analysis throughout the programme cycle</w:t>
      </w:r>
      <w:r w:rsidRPr="00C369EC">
        <w:rPr>
          <w:rFonts w:ascii="Times New Roman" w:hAnsi="Times New Roman"/>
        </w:rPr>
        <w:t xml:space="preserve"> has been crucial in a</w:t>
      </w:r>
      <w:r w:rsidRPr="00C369EC">
        <w:rPr>
          <w:rFonts w:ascii="Times New Roman" w:hAnsi="Times New Roman"/>
          <w:bCs/>
        </w:rPr>
        <w:t>ddressing structural causes of gender inequality and achieving transformative results, as evidenced by the Gender Equality Seal certification process.</w:t>
      </w:r>
      <w:r w:rsidRPr="00C369EC">
        <w:rPr>
          <w:rFonts w:ascii="Times New Roman" w:hAnsi="Times New Roman"/>
        </w:rPr>
        <w:t xml:space="preserve"> Secondly, interventions that shifted from the dominant angle of counting women as beneficiaries towards making them managers and decisions-makers have been </w:t>
      </w:r>
      <w:r w:rsidRPr="00C369EC">
        <w:rPr>
          <w:rFonts w:ascii="Times New Roman" w:hAnsi="Times New Roman"/>
        </w:rPr>
        <w:lastRenderedPageBreak/>
        <w:t xml:space="preserve">instrumental in enabling women’s agency and transforming power relations. Thirdly, a synergy between gender-specific interventions and </w:t>
      </w:r>
      <w:r w:rsidRPr="00C369EC">
        <w:rPr>
          <w:rFonts w:ascii="Times New Roman" w:eastAsia="Times New Roman" w:hAnsi="Times New Roman"/>
        </w:rPr>
        <w:t>addressing gender concerns in developing, planning and implementing policies and programmes</w:t>
      </w:r>
      <w:r w:rsidRPr="00C369EC">
        <w:rPr>
          <w:rFonts w:ascii="Times New Roman" w:hAnsi="Times New Roman"/>
        </w:rPr>
        <w:t xml:space="preserve"> has been most conducive to ensuring best results. </w:t>
      </w:r>
    </w:p>
    <w:p w14:paraId="785BC9AF" w14:textId="77777777" w:rsidR="00775C5F" w:rsidRPr="00C369EC" w:rsidRDefault="00775C5F" w:rsidP="002E58A0">
      <w:pPr>
        <w:spacing w:after="0" w:line="240" w:lineRule="auto"/>
        <w:jc w:val="both"/>
        <w:rPr>
          <w:rFonts w:ascii="Times New Roman" w:hAnsi="Times New Roman"/>
        </w:rPr>
      </w:pPr>
    </w:p>
    <w:p w14:paraId="74553E19" w14:textId="41220E07" w:rsidR="00775C5F" w:rsidRPr="00C369EC" w:rsidRDefault="00775C5F" w:rsidP="002E58A0">
      <w:pPr>
        <w:spacing w:after="0" w:line="240" w:lineRule="auto"/>
        <w:jc w:val="both"/>
        <w:rPr>
          <w:rFonts w:ascii="Times New Roman" w:hAnsi="Times New Roman"/>
          <w:b/>
          <w:bCs/>
        </w:rPr>
      </w:pPr>
      <w:r w:rsidRPr="00C369EC">
        <w:rPr>
          <w:rFonts w:ascii="Times New Roman" w:hAnsi="Times New Roman"/>
        </w:rPr>
        <w:t xml:space="preserve">At the same time, the lessons </w:t>
      </w:r>
      <w:r w:rsidR="00454AD5" w:rsidRPr="00C369EC">
        <w:rPr>
          <w:rFonts w:ascii="Times New Roman" w:hAnsi="Times New Roman"/>
        </w:rPr>
        <w:t xml:space="preserve">learned </w:t>
      </w:r>
      <w:r w:rsidRPr="00C369EC">
        <w:rPr>
          <w:rFonts w:ascii="Times New Roman" w:hAnsi="Times New Roman"/>
        </w:rPr>
        <w:t xml:space="preserve">pointed to further actions needed to </w:t>
      </w:r>
      <w:r w:rsidRPr="00C369EC">
        <w:rPr>
          <w:rFonts w:ascii="Times New Roman" w:eastAsia="Times New Roman" w:hAnsi="Times New Roman"/>
          <w:color w:val="000000"/>
        </w:rPr>
        <w:t>achieve impactful and transformative outcomes in gender equality and women’s empowerment.</w:t>
      </w:r>
      <w:r w:rsidRPr="00C369EC">
        <w:rPr>
          <w:rFonts w:ascii="Times New Roman" w:hAnsi="Times New Roman"/>
        </w:rPr>
        <w:t xml:space="preserve"> These include: (i) strengthening awareness</w:t>
      </w:r>
      <w:r w:rsidRPr="00C369EC">
        <w:rPr>
          <w:rFonts w:ascii="Times New Roman" w:hAnsi="Times New Roman"/>
          <w:bCs/>
        </w:rPr>
        <w:t xml:space="preserve"> of gender roles, responsibilities and power relations throughout all CPD priorities, projects and programmes; (ii)</w:t>
      </w:r>
      <w:r w:rsidRPr="00C369EC">
        <w:rPr>
          <w:rFonts w:ascii="Times New Roman" w:hAnsi="Times New Roman"/>
        </w:rPr>
        <w:t xml:space="preserve"> putting in place a more gender-responsive results framework with better integration of gender considerations in all interventions – from planning and design to implementation and assessment; and (iii) improving the linkage between </w:t>
      </w:r>
      <w:r w:rsidRPr="00C369EC">
        <w:rPr>
          <w:rFonts w:ascii="Times New Roman" w:eastAsia="Times New Roman" w:hAnsi="Times New Roman"/>
          <w:color w:val="000000"/>
        </w:rPr>
        <w:t xml:space="preserve">project interventions and enabling policy processes, as noted in the </w:t>
      </w:r>
      <w:r w:rsidRPr="00C369EC">
        <w:rPr>
          <w:rFonts w:ascii="Times New Roman" w:hAnsi="Times New Roman"/>
        </w:rPr>
        <w:t>evaluation of UNDP’s work on poverty reduction in LDCs.</w:t>
      </w:r>
    </w:p>
    <w:p w14:paraId="3D538016" w14:textId="77777777" w:rsidR="00B6600B" w:rsidRPr="00C369EC" w:rsidRDefault="00B6600B" w:rsidP="002E58A0">
      <w:pPr>
        <w:spacing w:after="0" w:line="240" w:lineRule="auto"/>
        <w:jc w:val="both"/>
        <w:rPr>
          <w:rFonts w:ascii="Times New Roman" w:hAnsi="Times New Roman"/>
        </w:rPr>
      </w:pPr>
    </w:p>
    <w:sectPr w:rsidR="00B6600B" w:rsidRPr="00C369EC">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2A3A8" w14:textId="77777777" w:rsidR="003070AD" w:rsidRDefault="003070AD" w:rsidP="003F055C">
      <w:pPr>
        <w:spacing w:after="0" w:line="240" w:lineRule="auto"/>
      </w:pPr>
      <w:r>
        <w:separator/>
      </w:r>
    </w:p>
  </w:endnote>
  <w:endnote w:type="continuationSeparator" w:id="0">
    <w:p w14:paraId="2ADF4477" w14:textId="77777777" w:rsidR="003070AD" w:rsidRDefault="003070AD" w:rsidP="003F055C">
      <w:pPr>
        <w:spacing w:after="0" w:line="240" w:lineRule="auto"/>
      </w:pPr>
      <w:r>
        <w:continuationSeparator/>
      </w:r>
    </w:p>
  </w:endnote>
  <w:endnote w:type="continuationNotice" w:id="1">
    <w:p w14:paraId="3B2018B3" w14:textId="77777777" w:rsidR="003070AD" w:rsidRDefault="00307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Batang">
    <w:altName w:val="Times New Roman"/>
    <w:panose1 w:val="00000000000000000000"/>
    <w:charset w:val="00"/>
    <w:family w:val="auto"/>
    <w:notTrueType/>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247777"/>
      <w:docPartObj>
        <w:docPartGallery w:val="Page Numbers (Bottom of Page)"/>
        <w:docPartUnique/>
      </w:docPartObj>
    </w:sdtPr>
    <w:sdtEndPr/>
    <w:sdtContent>
      <w:sdt>
        <w:sdtPr>
          <w:id w:val="-1769616900"/>
          <w:docPartObj>
            <w:docPartGallery w:val="Page Numbers (Top of Page)"/>
            <w:docPartUnique/>
          </w:docPartObj>
        </w:sdtPr>
        <w:sdtEndPr/>
        <w:sdtContent>
          <w:p w14:paraId="008E73C8" w14:textId="35D41CCB" w:rsidR="00C22228" w:rsidRDefault="00C22228">
            <w:pPr>
              <w:pStyle w:val="Footer"/>
              <w:jc w:val="right"/>
            </w:pPr>
            <w:r w:rsidRPr="00AD1F18">
              <w:rPr>
                <w:rFonts w:ascii="Times New Roman" w:hAnsi="Times New Roman"/>
                <w:sz w:val="20"/>
                <w:szCs w:val="20"/>
              </w:rPr>
              <w:t xml:space="preserve">Page </w:t>
            </w:r>
            <w:r w:rsidRPr="00AD1F18">
              <w:rPr>
                <w:rFonts w:ascii="Times New Roman" w:hAnsi="Times New Roman"/>
                <w:b/>
                <w:bCs/>
                <w:sz w:val="20"/>
                <w:szCs w:val="20"/>
              </w:rPr>
              <w:fldChar w:fldCharType="begin"/>
            </w:r>
            <w:r w:rsidRPr="00AD1F18">
              <w:rPr>
                <w:rFonts w:ascii="Times New Roman" w:hAnsi="Times New Roman"/>
                <w:b/>
                <w:bCs/>
                <w:sz w:val="20"/>
                <w:szCs w:val="20"/>
              </w:rPr>
              <w:instrText xml:space="preserve"> PAGE </w:instrText>
            </w:r>
            <w:r w:rsidRPr="00AD1F18">
              <w:rPr>
                <w:rFonts w:ascii="Times New Roman" w:hAnsi="Times New Roman"/>
                <w:b/>
                <w:bCs/>
                <w:sz w:val="20"/>
                <w:szCs w:val="20"/>
              </w:rPr>
              <w:fldChar w:fldCharType="separate"/>
            </w:r>
            <w:r w:rsidRPr="00AD1F18">
              <w:rPr>
                <w:rFonts w:ascii="Times New Roman" w:hAnsi="Times New Roman"/>
                <w:b/>
                <w:bCs/>
                <w:noProof/>
                <w:sz w:val="20"/>
                <w:szCs w:val="20"/>
              </w:rPr>
              <w:t>2</w:t>
            </w:r>
            <w:r w:rsidRPr="00AD1F18">
              <w:rPr>
                <w:rFonts w:ascii="Times New Roman" w:hAnsi="Times New Roman"/>
                <w:b/>
                <w:bCs/>
                <w:sz w:val="20"/>
                <w:szCs w:val="20"/>
              </w:rPr>
              <w:fldChar w:fldCharType="end"/>
            </w:r>
            <w:r w:rsidRPr="00AD1F18">
              <w:rPr>
                <w:rFonts w:ascii="Times New Roman" w:hAnsi="Times New Roman"/>
                <w:sz w:val="20"/>
                <w:szCs w:val="20"/>
              </w:rPr>
              <w:t xml:space="preserve"> of </w:t>
            </w:r>
            <w:r w:rsidRPr="00AD1F18">
              <w:rPr>
                <w:rFonts w:ascii="Times New Roman" w:hAnsi="Times New Roman"/>
                <w:b/>
                <w:bCs/>
                <w:sz w:val="20"/>
                <w:szCs w:val="20"/>
              </w:rPr>
              <w:fldChar w:fldCharType="begin"/>
            </w:r>
            <w:r w:rsidRPr="00AD1F18">
              <w:rPr>
                <w:rFonts w:ascii="Times New Roman" w:hAnsi="Times New Roman"/>
                <w:b/>
                <w:bCs/>
                <w:sz w:val="20"/>
                <w:szCs w:val="20"/>
              </w:rPr>
              <w:instrText xml:space="preserve"> NUMPAGES  </w:instrText>
            </w:r>
            <w:r w:rsidRPr="00AD1F18">
              <w:rPr>
                <w:rFonts w:ascii="Times New Roman" w:hAnsi="Times New Roman"/>
                <w:b/>
                <w:bCs/>
                <w:sz w:val="20"/>
                <w:szCs w:val="20"/>
              </w:rPr>
              <w:fldChar w:fldCharType="separate"/>
            </w:r>
            <w:r w:rsidRPr="00AD1F18">
              <w:rPr>
                <w:rFonts w:ascii="Times New Roman" w:hAnsi="Times New Roman"/>
                <w:b/>
                <w:bCs/>
                <w:noProof/>
                <w:sz w:val="20"/>
                <w:szCs w:val="20"/>
              </w:rPr>
              <w:t>2</w:t>
            </w:r>
            <w:r w:rsidRPr="00AD1F18">
              <w:rPr>
                <w:rFonts w:ascii="Times New Roman" w:hAnsi="Times New Roman"/>
                <w:b/>
                <w:bCs/>
                <w:sz w:val="20"/>
                <w:szCs w:val="20"/>
              </w:rPr>
              <w:fldChar w:fldCharType="end"/>
            </w:r>
          </w:p>
        </w:sdtContent>
      </w:sdt>
    </w:sdtContent>
  </w:sdt>
  <w:p w14:paraId="5010B04B" w14:textId="77777777" w:rsidR="00C22228" w:rsidRDefault="00C2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36CA9" w14:textId="77777777" w:rsidR="003070AD" w:rsidRDefault="003070AD" w:rsidP="003F055C">
      <w:pPr>
        <w:spacing w:after="0" w:line="240" w:lineRule="auto"/>
      </w:pPr>
      <w:r>
        <w:separator/>
      </w:r>
    </w:p>
  </w:footnote>
  <w:footnote w:type="continuationSeparator" w:id="0">
    <w:p w14:paraId="27F1C706" w14:textId="77777777" w:rsidR="003070AD" w:rsidRDefault="003070AD" w:rsidP="003F055C">
      <w:pPr>
        <w:spacing w:after="0" w:line="240" w:lineRule="auto"/>
      </w:pPr>
      <w:r>
        <w:continuationSeparator/>
      </w:r>
    </w:p>
  </w:footnote>
  <w:footnote w:type="continuationNotice" w:id="1">
    <w:p w14:paraId="4B9DBAE8" w14:textId="77777777" w:rsidR="003070AD" w:rsidRDefault="003070AD">
      <w:pPr>
        <w:spacing w:after="0" w:line="240" w:lineRule="auto"/>
      </w:pPr>
    </w:p>
  </w:footnote>
  <w:footnote w:id="2">
    <w:p w14:paraId="7F402FAE" w14:textId="77777777" w:rsidR="00C22228" w:rsidRPr="00A568CC" w:rsidRDefault="00C22228" w:rsidP="003F055C">
      <w:pPr>
        <w:pStyle w:val="FootnoteText"/>
      </w:pPr>
      <w:r w:rsidRPr="00E25FE1">
        <w:rPr>
          <w:rStyle w:val="FootnoteReference"/>
          <w:rFonts w:ascii="Times New Roman" w:hAnsi="Times New Roman"/>
          <w:sz w:val="18"/>
          <w:szCs w:val="18"/>
        </w:rPr>
        <w:footnoteRef/>
      </w:r>
      <w:r w:rsidRPr="00E25FE1">
        <w:rPr>
          <w:rFonts w:ascii="Times New Roman" w:hAnsi="Times New Roman"/>
          <w:sz w:val="18"/>
          <w:szCs w:val="18"/>
        </w:rPr>
        <w:t xml:space="preserve"> Azerbaijan, Bangladesh, Ethiopia, Guinea-Bissau, Iraq, Maldives, Mozambique, Panama, Seychelles and Uruguay</w:t>
      </w:r>
      <w:r>
        <w:t xml:space="preserve"> </w:t>
      </w:r>
    </w:p>
  </w:footnote>
  <w:footnote w:id="3">
    <w:p w14:paraId="302FF6A4" w14:textId="77777777" w:rsidR="00C22228" w:rsidRDefault="00C22228" w:rsidP="00867249">
      <w:pPr>
        <w:pStyle w:val="FootnoteText"/>
      </w:pPr>
      <w:r>
        <w:rPr>
          <w:rStyle w:val="FootnoteReference"/>
        </w:rPr>
        <w:footnoteRef/>
      </w:r>
      <w:r>
        <w:t xml:space="preserve"> </w:t>
      </w:r>
      <w:r w:rsidRPr="004B6F2A">
        <w:rPr>
          <w:rFonts w:ascii="Times New Roman" w:hAnsi="Times New Roman"/>
          <w:sz w:val="18"/>
          <w:szCs w:val="18"/>
        </w:rPr>
        <w:t>IEO Annual Report on Evaluation 2019</w:t>
      </w:r>
      <w:r>
        <w:rPr>
          <w:rFonts w:ascii="Times New Roman" w:hAnsi="Times New Roman"/>
          <w:sz w:val="18"/>
          <w:szCs w:val="18"/>
        </w:rPr>
        <w:t xml:space="preserve">, point 51. </w:t>
      </w:r>
    </w:p>
  </w:footnote>
  <w:footnote w:id="4">
    <w:p w14:paraId="5238C346" w14:textId="6894572A" w:rsidR="00C22228" w:rsidRDefault="00C22228" w:rsidP="00FB08AB">
      <w:pPr>
        <w:pStyle w:val="FootnoteText"/>
      </w:pPr>
      <w:r>
        <w:rPr>
          <w:rStyle w:val="FootnoteReference"/>
        </w:rPr>
        <w:footnoteRef/>
      </w:r>
      <w:r>
        <w:t xml:space="preserve"> </w:t>
      </w:r>
      <w:r w:rsidRPr="00967CA1">
        <w:rPr>
          <w:rFonts w:ascii="Times New Roman" w:hAnsi="Times New Roman"/>
          <w:sz w:val="18"/>
          <w:szCs w:val="18"/>
        </w:rPr>
        <w:t>1. Evaluation structure and design (15</w:t>
      </w:r>
      <w:r w:rsidR="002E58A0">
        <w:rPr>
          <w:rFonts w:ascii="Times New Roman" w:hAnsi="Times New Roman"/>
          <w:sz w:val="18"/>
          <w:szCs w:val="18"/>
        </w:rPr>
        <w:t xml:space="preserve"> per cent</w:t>
      </w:r>
      <w:r w:rsidRPr="00967CA1">
        <w:rPr>
          <w:rFonts w:ascii="Times New Roman" w:hAnsi="Times New Roman"/>
          <w:sz w:val="18"/>
          <w:szCs w:val="18"/>
        </w:rPr>
        <w:t>), 2. Evaluation report &amp; methodology (30</w:t>
      </w:r>
      <w:r w:rsidR="002E58A0">
        <w:rPr>
          <w:rFonts w:ascii="Times New Roman" w:hAnsi="Times New Roman"/>
          <w:sz w:val="18"/>
          <w:szCs w:val="18"/>
        </w:rPr>
        <w:t xml:space="preserve"> per cent</w:t>
      </w:r>
      <w:r w:rsidRPr="00967CA1">
        <w:rPr>
          <w:rFonts w:ascii="Times New Roman" w:hAnsi="Times New Roman"/>
          <w:sz w:val="18"/>
          <w:szCs w:val="18"/>
        </w:rPr>
        <w:t>), 3. Cross-cutting and gender issues (15</w:t>
      </w:r>
      <w:r w:rsidR="002E58A0">
        <w:rPr>
          <w:rFonts w:ascii="Times New Roman" w:hAnsi="Times New Roman"/>
          <w:sz w:val="18"/>
          <w:szCs w:val="18"/>
        </w:rPr>
        <w:t xml:space="preserve"> per cent</w:t>
      </w:r>
      <w:r w:rsidRPr="00967CA1">
        <w:rPr>
          <w:rFonts w:ascii="Times New Roman" w:hAnsi="Times New Roman"/>
          <w:sz w:val="18"/>
          <w:szCs w:val="18"/>
        </w:rPr>
        <w:t>), and 4. Evaluations results, findings, conclusions and recommendations (40</w:t>
      </w:r>
      <w:r w:rsidR="002E58A0">
        <w:rPr>
          <w:rFonts w:ascii="Times New Roman" w:hAnsi="Times New Roman"/>
          <w:sz w:val="18"/>
          <w:szCs w:val="18"/>
        </w:rPr>
        <w:t xml:space="preserve"> per cent</w:t>
      </w:r>
      <w:r w:rsidRPr="00967CA1">
        <w:rPr>
          <w:rFonts w:ascii="Times New Roman" w:hAnsi="Times New Roman"/>
          <w:sz w:val="18"/>
          <w:szCs w:val="18"/>
        </w:rPr>
        <w:t>).</w:t>
      </w:r>
      <w:r w:rsidRPr="00967CA1">
        <w:rPr>
          <w:sz w:val="18"/>
          <w:szCs w:val="18"/>
        </w:rPr>
        <w:t xml:space="preserve"> </w:t>
      </w:r>
    </w:p>
  </w:footnote>
  <w:footnote w:id="5">
    <w:p w14:paraId="66A8444C" w14:textId="77777777" w:rsidR="00C22228" w:rsidRDefault="00C22228" w:rsidP="00FB08AB">
      <w:pPr>
        <w:pStyle w:val="FootnoteText"/>
      </w:pPr>
      <w:r>
        <w:rPr>
          <w:rStyle w:val="FootnoteReference"/>
        </w:rPr>
        <w:footnoteRef/>
      </w:r>
      <w:r>
        <w:t xml:space="preserve"> </w:t>
      </w:r>
      <w:r w:rsidRPr="0072212B">
        <w:rPr>
          <w:rFonts w:ascii="Times New Roman" w:hAnsi="Times New Roman"/>
          <w:sz w:val="18"/>
          <w:szCs w:val="18"/>
        </w:rPr>
        <w:t xml:space="preserve">ERC Quality assessment </w:t>
      </w:r>
      <w:hyperlink r:id="rId1" w:history="1">
        <w:r w:rsidRPr="0072212B">
          <w:rPr>
            <w:rStyle w:val="Hyperlink"/>
            <w:rFonts w:ascii="Times New Roman" w:hAnsi="Times New Roman"/>
            <w:sz w:val="18"/>
            <w:szCs w:val="18"/>
          </w:rPr>
          <w:t>https://erc.undp.org/qa/reports/viewassessmentdetails/4383</w:t>
        </w:r>
      </w:hyperlink>
      <w:r w:rsidRPr="0072212B">
        <w:rPr>
          <w:rFonts w:ascii="Times New Roman" w:hAnsi="Times New Roman"/>
          <w:sz w:val="18"/>
          <w:szCs w:val="18"/>
        </w:rPr>
        <w:t xml:space="preserve"> - 2020-03-16</w:t>
      </w:r>
    </w:p>
  </w:footnote>
  <w:footnote w:id="6">
    <w:p w14:paraId="37B9D833" w14:textId="62D6860D" w:rsidR="00FB08AB" w:rsidRPr="00FB08AB" w:rsidRDefault="00FB08AB" w:rsidP="00FB08AB">
      <w:pPr>
        <w:spacing w:after="0" w:line="240" w:lineRule="auto"/>
      </w:pPr>
      <w:r>
        <w:rPr>
          <w:rStyle w:val="FootnoteReference"/>
        </w:rPr>
        <w:footnoteRef/>
      </w:r>
      <w:r>
        <w:t xml:space="preserve"> </w:t>
      </w:r>
      <w:r w:rsidRPr="0067139E">
        <w:rPr>
          <w:rFonts w:ascii="Times New Roman" w:hAnsi="Times New Roman"/>
          <w:sz w:val="18"/>
          <w:szCs w:val="18"/>
        </w:rPr>
        <w:t>GEF, Green Climate Fund/GCF, Adaptation Fund/AF</w:t>
      </w:r>
    </w:p>
  </w:footnote>
  <w:footnote w:id="7">
    <w:p w14:paraId="5E48D109" w14:textId="1039F794" w:rsidR="008004AC" w:rsidRPr="008004AC" w:rsidRDefault="008004AC" w:rsidP="00FB08AB">
      <w:pPr>
        <w:pStyle w:val="FootnoteText"/>
        <w:rPr>
          <w:lang w:val="en-US"/>
        </w:rPr>
      </w:pPr>
      <w:r>
        <w:rPr>
          <w:rStyle w:val="FootnoteReference"/>
        </w:rPr>
        <w:footnoteRef/>
      </w:r>
      <w:r>
        <w:t xml:space="preserve"> </w:t>
      </w:r>
      <w:bookmarkStart w:id="4" w:name="_Hlk37265545"/>
      <w:r w:rsidRPr="008004AC">
        <w:rPr>
          <w:rFonts w:ascii="Times New Roman" w:hAnsi="Times New Roman"/>
          <w:sz w:val="18"/>
          <w:szCs w:val="18"/>
        </w:rPr>
        <w:t xml:space="preserve">The roster currently </w:t>
      </w:r>
      <w:r w:rsidR="006C5D24" w:rsidRPr="008004AC">
        <w:rPr>
          <w:rFonts w:ascii="Times New Roman" w:hAnsi="Times New Roman"/>
          <w:sz w:val="18"/>
          <w:szCs w:val="18"/>
        </w:rPr>
        <w:t>has</w:t>
      </w:r>
      <w:r w:rsidRPr="008004AC">
        <w:rPr>
          <w:rFonts w:ascii="Times New Roman" w:hAnsi="Times New Roman"/>
          <w:sz w:val="18"/>
          <w:szCs w:val="18"/>
        </w:rPr>
        <w:t xml:space="preserve"> 41 vetted candidates</w:t>
      </w:r>
      <w:bookmarkEnd w:id="4"/>
    </w:p>
  </w:footnote>
  <w:footnote w:id="8">
    <w:p w14:paraId="2E9F1B31" w14:textId="77777777" w:rsidR="00C22228" w:rsidRDefault="00C22228" w:rsidP="00016DE3">
      <w:pPr>
        <w:pStyle w:val="FootnoteText"/>
      </w:pPr>
      <w:r>
        <w:rPr>
          <w:rStyle w:val="FootnoteReference"/>
        </w:rPr>
        <w:footnoteRef/>
      </w:r>
      <w:r>
        <w:t xml:space="preserve"> </w:t>
      </w:r>
      <w:r w:rsidRPr="00876800">
        <w:rPr>
          <w:rFonts w:ascii="Times New Roman" w:hAnsi="Times New Roman"/>
          <w:sz w:val="18"/>
          <w:szCs w:val="18"/>
        </w:rPr>
        <w:t>Figures based on ERC data as of 17 March 2020</w:t>
      </w:r>
    </w:p>
  </w:footnote>
  <w:footnote w:id="9">
    <w:p w14:paraId="1DC3D4D7" w14:textId="36FE3C35" w:rsidR="00C22228" w:rsidRDefault="00C22228">
      <w:pPr>
        <w:pStyle w:val="FootnoteText"/>
      </w:pPr>
      <w:r>
        <w:rPr>
          <w:rStyle w:val="FootnoteReference"/>
        </w:rPr>
        <w:footnoteRef/>
      </w:r>
      <w:r>
        <w:t xml:space="preserve">  </w:t>
      </w:r>
      <w:r w:rsidRPr="00E967BB">
        <w:rPr>
          <w:rFonts w:ascii="Times New Roman" w:hAnsi="Times New Roman"/>
          <w:sz w:val="18"/>
          <w:szCs w:val="18"/>
        </w:rPr>
        <w:t>Output 1.2.3</w:t>
      </w:r>
      <w:r>
        <w:t xml:space="preserve"> </w:t>
      </w:r>
      <w:r w:rsidRPr="004655A7">
        <w:rPr>
          <w:rFonts w:ascii="Times New Roman" w:hAnsi="Times New Roman"/>
          <w:sz w:val="18"/>
          <w:szCs w:val="18"/>
        </w:rPr>
        <w:t>Institutions and systems enabled to address awareness, prevention and enforcement of anti-corruption measures to maximise the availability of resources for poverty eradication</w:t>
      </w:r>
    </w:p>
  </w:footnote>
  <w:footnote w:id="10">
    <w:p w14:paraId="053C4B48" w14:textId="77777777" w:rsidR="00C22228" w:rsidRPr="00447C62" w:rsidRDefault="00C22228" w:rsidP="00775C5F">
      <w:pPr>
        <w:spacing w:after="0" w:line="240" w:lineRule="auto"/>
        <w:jc w:val="both"/>
        <w:rPr>
          <w:rFonts w:cstheme="minorHAnsi"/>
          <w:sz w:val="20"/>
          <w:szCs w:val="20"/>
        </w:rPr>
      </w:pPr>
      <w:r w:rsidRPr="00447C62">
        <w:rPr>
          <w:rStyle w:val="FootnoteReference"/>
          <w:sz w:val="20"/>
          <w:szCs w:val="20"/>
        </w:rPr>
        <w:footnoteRef/>
      </w:r>
      <w:r w:rsidRPr="00447C62">
        <w:rPr>
          <w:rFonts w:cstheme="minorHAnsi"/>
          <w:sz w:val="20"/>
          <w:szCs w:val="20"/>
        </w:rPr>
        <w:t xml:space="preserve"> </w:t>
      </w:r>
      <w:r w:rsidRPr="00D4032B">
        <w:rPr>
          <w:rFonts w:ascii="Times New Roman" w:hAnsi="Times New Roman"/>
          <w:sz w:val="18"/>
          <w:szCs w:val="18"/>
        </w:rPr>
        <w:t>These lessons learnt are derived from a review of evaluations of UNDP’s work on gender equality and women’s empowerment conducted between December 2019 and February 2020. The methodology of the review entailed a desk review and a mapping exercise of 49 evaluations covering the period of 2017-2019.</w:t>
      </w:r>
      <w:r w:rsidRPr="00447C62">
        <w:rPr>
          <w:rFonts w:cstheme="minorHAns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F27A" w14:textId="77777777" w:rsidR="00394F72" w:rsidRDefault="0039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202E1"/>
    <w:multiLevelType w:val="hybridMultilevel"/>
    <w:tmpl w:val="516A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82418B"/>
    <w:multiLevelType w:val="hybridMultilevel"/>
    <w:tmpl w:val="27CADE1C"/>
    <w:lvl w:ilvl="0" w:tplc="D388BFE6">
      <w:start w:val="1"/>
      <w:numFmt w:val="decimal"/>
      <w:lvlText w:val="%1."/>
      <w:lvlJc w:val="left"/>
      <w:pPr>
        <w:ind w:left="630" w:hanging="360"/>
      </w:pPr>
      <w:rPr>
        <w:b w:val="0"/>
        <w:i w:val="0"/>
        <w:color w:val="000000" w:themeColor="text1"/>
        <w:sz w:val="20"/>
        <w:szCs w:val="20"/>
      </w:rPr>
    </w:lvl>
    <w:lvl w:ilvl="1" w:tplc="08090019">
      <w:start w:val="1"/>
      <w:numFmt w:val="lowerLetter"/>
      <w:lvlText w:val="%2."/>
      <w:lvlJc w:val="left"/>
      <w:pPr>
        <w:ind w:left="2250" w:hanging="360"/>
      </w:pPr>
    </w:lvl>
    <w:lvl w:ilvl="2" w:tplc="0809001B">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NjczNDY1NjA0NTRQ0lEKTi0uzszPAykwNKoFACjJ4E8tAAAA"/>
  </w:docVars>
  <w:rsids>
    <w:rsidRoot w:val="003F055C"/>
    <w:rsid w:val="00002256"/>
    <w:rsid w:val="00003B22"/>
    <w:rsid w:val="00016DE3"/>
    <w:rsid w:val="000172A8"/>
    <w:rsid w:val="00020115"/>
    <w:rsid w:val="00025AEE"/>
    <w:rsid w:val="00026F05"/>
    <w:rsid w:val="00027779"/>
    <w:rsid w:val="00030EB9"/>
    <w:rsid w:val="00031BF5"/>
    <w:rsid w:val="0003231E"/>
    <w:rsid w:val="00043638"/>
    <w:rsid w:val="0005191F"/>
    <w:rsid w:val="00062BDF"/>
    <w:rsid w:val="00065219"/>
    <w:rsid w:val="000804D9"/>
    <w:rsid w:val="00081320"/>
    <w:rsid w:val="0008422B"/>
    <w:rsid w:val="00091804"/>
    <w:rsid w:val="000921EE"/>
    <w:rsid w:val="000925DA"/>
    <w:rsid w:val="00093529"/>
    <w:rsid w:val="00096AEA"/>
    <w:rsid w:val="000A0344"/>
    <w:rsid w:val="000A73E4"/>
    <w:rsid w:val="000B1D03"/>
    <w:rsid w:val="000B2B42"/>
    <w:rsid w:val="000B2BF8"/>
    <w:rsid w:val="000B3BFC"/>
    <w:rsid w:val="000B4584"/>
    <w:rsid w:val="000B46C7"/>
    <w:rsid w:val="000B4AF5"/>
    <w:rsid w:val="000B7473"/>
    <w:rsid w:val="000C003F"/>
    <w:rsid w:val="000C2D07"/>
    <w:rsid w:val="000D393C"/>
    <w:rsid w:val="000D3B29"/>
    <w:rsid w:val="000D4815"/>
    <w:rsid w:val="000E075F"/>
    <w:rsid w:val="000E1902"/>
    <w:rsid w:val="000E36C0"/>
    <w:rsid w:val="000E6A3B"/>
    <w:rsid w:val="000F35D6"/>
    <w:rsid w:val="001043A0"/>
    <w:rsid w:val="00107E69"/>
    <w:rsid w:val="001109FB"/>
    <w:rsid w:val="00111A18"/>
    <w:rsid w:val="00114BC9"/>
    <w:rsid w:val="0012082F"/>
    <w:rsid w:val="00121427"/>
    <w:rsid w:val="001249A2"/>
    <w:rsid w:val="00131FD4"/>
    <w:rsid w:val="00133D1D"/>
    <w:rsid w:val="00141734"/>
    <w:rsid w:val="00152608"/>
    <w:rsid w:val="00155448"/>
    <w:rsid w:val="00156597"/>
    <w:rsid w:val="001669AB"/>
    <w:rsid w:val="00176F17"/>
    <w:rsid w:val="00181DD9"/>
    <w:rsid w:val="001870C3"/>
    <w:rsid w:val="001902CF"/>
    <w:rsid w:val="001904FB"/>
    <w:rsid w:val="001926C7"/>
    <w:rsid w:val="0019418C"/>
    <w:rsid w:val="0019420F"/>
    <w:rsid w:val="00195F8C"/>
    <w:rsid w:val="001A05DD"/>
    <w:rsid w:val="001A4603"/>
    <w:rsid w:val="001A58DB"/>
    <w:rsid w:val="001A79BA"/>
    <w:rsid w:val="001B0AF0"/>
    <w:rsid w:val="001B61BF"/>
    <w:rsid w:val="001B7A41"/>
    <w:rsid w:val="001C2432"/>
    <w:rsid w:val="001C3238"/>
    <w:rsid w:val="001C637B"/>
    <w:rsid w:val="001C7A47"/>
    <w:rsid w:val="001C7AE1"/>
    <w:rsid w:val="001D0CCA"/>
    <w:rsid w:val="001D19E0"/>
    <w:rsid w:val="001D6D7A"/>
    <w:rsid w:val="001D7341"/>
    <w:rsid w:val="001E01CA"/>
    <w:rsid w:val="001E3BC2"/>
    <w:rsid w:val="001E4142"/>
    <w:rsid w:val="0020203B"/>
    <w:rsid w:val="002039AA"/>
    <w:rsid w:val="0020587A"/>
    <w:rsid w:val="002059D6"/>
    <w:rsid w:val="00207EDB"/>
    <w:rsid w:val="002100FA"/>
    <w:rsid w:val="00212C0C"/>
    <w:rsid w:val="00216BFD"/>
    <w:rsid w:val="002178BF"/>
    <w:rsid w:val="00232EC5"/>
    <w:rsid w:val="00233046"/>
    <w:rsid w:val="002336A4"/>
    <w:rsid w:val="002337C0"/>
    <w:rsid w:val="0023388A"/>
    <w:rsid w:val="00233AB4"/>
    <w:rsid w:val="00233ED9"/>
    <w:rsid w:val="0023550E"/>
    <w:rsid w:val="00236B0D"/>
    <w:rsid w:val="00240EB7"/>
    <w:rsid w:val="0024210F"/>
    <w:rsid w:val="002436F5"/>
    <w:rsid w:val="00245706"/>
    <w:rsid w:val="00251EF1"/>
    <w:rsid w:val="00252CC8"/>
    <w:rsid w:val="00253285"/>
    <w:rsid w:val="002534F8"/>
    <w:rsid w:val="002635BA"/>
    <w:rsid w:val="00263AA1"/>
    <w:rsid w:val="00263B56"/>
    <w:rsid w:val="002649D9"/>
    <w:rsid w:val="00274EC1"/>
    <w:rsid w:val="00275389"/>
    <w:rsid w:val="00286ECD"/>
    <w:rsid w:val="0029208A"/>
    <w:rsid w:val="00292193"/>
    <w:rsid w:val="00295A3F"/>
    <w:rsid w:val="00297CE5"/>
    <w:rsid w:val="002A1218"/>
    <w:rsid w:val="002A1476"/>
    <w:rsid w:val="002A174F"/>
    <w:rsid w:val="002A370C"/>
    <w:rsid w:val="002A50E2"/>
    <w:rsid w:val="002B0B2B"/>
    <w:rsid w:val="002B4B95"/>
    <w:rsid w:val="002B6F0A"/>
    <w:rsid w:val="002C4E84"/>
    <w:rsid w:val="002D201E"/>
    <w:rsid w:val="002D6147"/>
    <w:rsid w:val="002D676B"/>
    <w:rsid w:val="002E58A0"/>
    <w:rsid w:val="002F0D94"/>
    <w:rsid w:val="002F6CDD"/>
    <w:rsid w:val="002F6ECD"/>
    <w:rsid w:val="002F77C7"/>
    <w:rsid w:val="00302750"/>
    <w:rsid w:val="00302BAC"/>
    <w:rsid w:val="00303562"/>
    <w:rsid w:val="00304960"/>
    <w:rsid w:val="00305192"/>
    <w:rsid w:val="003070AD"/>
    <w:rsid w:val="00330EEA"/>
    <w:rsid w:val="003312FA"/>
    <w:rsid w:val="0033152A"/>
    <w:rsid w:val="00335707"/>
    <w:rsid w:val="00340F0B"/>
    <w:rsid w:val="00344943"/>
    <w:rsid w:val="003463E2"/>
    <w:rsid w:val="00347ECC"/>
    <w:rsid w:val="003509C2"/>
    <w:rsid w:val="00352D57"/>
    <w:rsid w:val="00356543"/>
    <w:rsid w:val="00362C36"/>
    <w:rsid w:val="00364A4A"/>
    <w:rsid w:val="00374341"/>
    <w:rsid w:val="00375248"/>
    <w:rsid w:val="003800E0"/>
    <w:rsid w:val="0038230F"/>
    <w:rsid w:val="0038494A"/>
    <w:rsid w:val="00384B6C"/>
    <w:rsid w:val="003861AC"/>
    <w:rsid w:val="00386717"/>
    <w:rsid w:val="003869A5"/>
    <w:rsid w:val="003902AA"/>
    <w:rsid w:val="00391ECB"/>
    <w:rsid w:val="00393063"/>
    <w:rsid w:val="00394F72"/>
    <w:rsid w:val="0039644B"/>
    <w:rsid w:val="003968FB"/>
    <w:rsid w:val="003A0D79"/>
    <w:rsid w:val="003A570A"/>
    <w:rsid w:val="003B2EE4"/>
    <w:rsid w:val="003B51E3"/>
    <w:rsid w:val="003B67AF"/>
    <w:rsid w:val="003C117C"/>
    <w:rsid w:val="003C48FC"/>
    <w:rsid w:val="003C7C3B"/>
    <w:rsid w:val="003E0DCD"/>
    <w:rsid w:val="003E424C"/>
    <w:rsid w:val="003E4DBC"/>
    <w:rsid w:val="003F055C"/>
    <w:rsid w:val="003F3E87"/>
    <w:rsid w:val="00401DDD"/>
    <w:rsid w:val="00402230"/>
    <w:rsid w:val="00404725"/>
    <w:rsid w:val="00414748"/>
    <w:rsid w:val="004149D2"/>
    <w:rsid w:val="004149FE"/>
    <w:rsid w:val="00415B97"/>
    <w:rsid w:val="0041601D"/>
    <w:rsid w:val="00417FDD"/>
    <w:rsid w:val="00427290"/>
    <w:rsid w:val="00431BC8"/>
    <w:rsid w:val="004332A1"/>
    <w:rsid w:val="0043528D"/>
    <w:rsid w:val="004372C2"/>
    <w:rsid w:val="00441C9B"/>
    <w:rsid w:val="00447F32"/>
    <w:rsid w:val="0045070D"/>
    <w:rsid w:val="00451BA7"/>
    <w:rsid w:val="004529D9"/>
    <w:rsid w:val="00453DF6"/>
    <w:rsid w:val="00454AD5"/>
    <w:rsid w:val="004550DC"/>
    <w:rsid w:val="004566C9"/>
    <w:rsid w:val="0046035E"/>
    <w:rsid w:val="004611B1"/>
    <w:rsid w:val="00461BE5"/>
    <w:rsid w:val="00465520"/>
    <w:rsid w:val="004655A7"/>
    <w:rsid w:val="004657C1"/>
    <w:rsid w:val="00480B25"/>
    <w:rsid w:val="0048114E"/>
    <w:rsid w:val="004827DE"/>
    <w:rsid w:val="00492AB1"/>
    <w:rsid w:val="004A3BAB"/>
    <w:rsid w:val="004B1CCB"/>
    <w:rsid w:val="004D0D58"/>
    <w:rsid w:val="004D13CB"/>
    <w:rsid w:val="004D1FDA"/>
    <w:rsid w:val="004D275A"/>
    <w:rsid w:val="004D2A40"/>
    <w:rsid w:val="004D6B58"/>
    <w:rsid w:val="004D6E4F"/>
    <w:rsid w:val="004E01EA"/>
    <w:rsid w:val="004E3C7F"/>
    <w:rsid w:val="004E4C5A"/>
    <w:rsid w:val="004E4F93"/>
    <w:rsid w:val="004E7ABC"/>
    <w:rsid w:val="004F3849"/>
    <w:rsid w:val="004F4749"/>
    <w:rsid w:val="004F566D"/>
    <w:rsid w:val="005116D2"/>
    <w:rsid w:val="00513E48"/>
    <w:rsid w:val="0051426C"/>
    <w:rsid w:val="00514EE4"/>
    <w:rsid w:val="00515046"/>
    <w:rsid w:val="0052361D"/>
    <w:rsid w:val="00527466"/>
    <w:rsid w:val="0053133D"/>
    <w:rsid w:val="005341D4"/>
    <w:rsid w:val="00535350"/>
    <w:rsid w:val="00541EB7"/>
    <w:rsid w:val="0055379D"/>
    <w:rsid w:val="00554552"/>
    <w:rsid w:val="00555FF8"/>
    <w:rsid w:val="0056227C"/>
    <w:rsid w:val="00563524"/>
    <w:rsid w:val="00566CCD"/>
    <w:rsid w:val="00571908"/>
    <w:rsid w:val="00574226"/>
    <w:rsid w:val="00574914"/>
    <w:rsid w:val="00575EEF"/>
    <w:rsid w:val="00583C20"/>
    <w:rsid w:val="00585CB9"/>
    <w:rsid w:val="00591BCA"/>
    <w:rsid w:val="0059480B"/>
    <w:rsid w:val="00594839"/>
    <w:rsid w:val="00597535"/>
    <w:rsid w:val="005A0C0F"/>
    <w:rsid w:val="005A39E8"/>
    <w:rsid w:val="005A69D0"/>
    <w:rsid w:val="005B1E89"/>
    <w:rsid w:val="005B3E17"/>
    <w:rsid w:val="005B6506"/>
    <w:rsid w:val="005C2432"/>
    <w:rsid w:val="005C559C"/>
    <w:rsid w:val="005C7BAC"/>
    <w:rsid w:val="005D45E6"/>
    <w:rsid w:val="005D6405"/>
    <w:rsid w:val="005D7EFE"/>
    <w:rsid w:val="005E31E3"/>
    <w:rsid w:val="005F0F62"/>
    <w:rsid w:val="005F5322"/>
    <w:rsid w:val="00600BFB"/>
    <w:rsid w:val="0060170B"/>
    <w:rsid w:val="00603886"/>
    <w:rsid w:val="00604D56"/>
    <w:rsid w:val="0060530E"/>
    <w:rsid w:val="00606BD1"/>
    <w:rsid w:val="006119DE"/>
    <w:rsid w:val="00613980"/>
    <w:rsid w:val="00614B28"/>
    <w:rsid w:val="00615D6B"/>
    <w:rsid w:val="00617014"/>
    <w:rsid w:val="00623623"/>
    <w:rsid w:val="00631446"/>
    <w:rsid w:val="006317D5"/>
    <w:rsid w:val="00635CE5"/>
    <w:rsid w:val="006363A1"/>
    <w:rsid w:val="00645B8C"/>
    <w:rsid w:val="0064669C"/>
    <w:rsid w:val="006466BE"/>
    <w:rsid w:val="00650595"/>
    <w:rsid w:val="00651CE7"/>
    <w:rsid w:val="00660914"/>
    <w:rsid w:val="00661BC3"/>
    <w:rsid w:val="00665558"/>
    <w:rsid w:val="00667B3C"/>
    <w:rsid w:val="0067232E"/>
    <w:rsid w:val="006741A1"/>
    <w:rsid w:val="006801BE"/>
    <w:rsid w:val="00682972"/>
    <w:rsid w:val="00682C67"/>
    <w:rsid w:val="00687DDE"/>
    <w:rsid w:val="00697985"/>
    <w:rsid w:val="006A04B6"/>
    <w:rsid w:val="006B0F5F"/>
    <w:rsid w:val="006B345D"/>
    <w:rsid w:val="006B6BD8"/>
    <w:rsid w:val="006B6F29"/>
    <w:rsid w:val="006B7567"/>
    <w:rsid w:val="006C0547"/>
    <w:rsid w:val="006C5D24"/>
    <w:rsid w:val="006D6C58"/>
    <w:rsid w:val="006D7169"/>
    <w:rsid w:val="006E6C0E"/>
    <w:rsid w:val="006F0EB0"/>
    <w:rsid w:val="006F206C"/>
    <w:rsid w:val="006F23F3"/>
    <w:rsid w:val="006F64C0"/>
    <w:rsid w:val="006F7EFE"/>
    <w:rsid w:val="00707FC7"/>
    <w:rsid w:val="00710D84"/>
    <w:rsid w:val="00713A0D"/>
    <w:rsid w:val="007204DF"/>
    <w:rsid w:val="00722027"/>
    <w:rsid w:val="00743CB3"/>
    <w:rsid w:val="00746AAC"/>
    <w:rsid w:val="00746CE3"/>
    <w:rsid w:val="007503AF"/>
    <w:rsid w:val="0075139C"/>
    <w:rsid w:val="00757B2B"/>
    <w:rsid w:val="00760398"/>
    <w:rsid w:val="007616B5"/>
    <w:rsid w:val="007644A2"/>
    <w:rsid w:val="0077094E"/>
    <w:rsid w:val="00772342"/>
    <w:rsid w:val="007732F7"/>
    <w:rsid w:val="007755F9"/>
    <w:rsid w:val="0077596F"/>
    <w:rsid w:val="00775C5F"/>
    <w:rsid w:val="00781ED6"/>
    <w:rsid w:val="00782929"/>
    <w:rsid w:val="0078334A"/>
    <w:rsid w:val="0078378A"/>
    <w:rsid w:val="00783D0D"/>
    <w:rsid w:val="00793AA3"/>
    <w:rsid w:val="00797A0A"/>
    <w:rsid w:val="007A27F9"/>
    <w:rsid w:val="007B0A85"/>
    <w:rsid w:val="007B22E0"/>
    <w:rsid w:val="007B48D1"/>
    <w:rsid w:val="007B6569"/>
    <w:rsid w:val="007D2BC3"/>
    <w:rsid w:val="007D43F4"/>
    <w:rsid w:val="007D4671"/>
    <w:rsid w:val="007E01A9"/>
    <w:rsid w:val="007E2F35"/>
    <w:rsid w:val="007E755B"/>
    <w:rsid w:val="007F3BD8"/>
    <w:rsid w:val="007F5A08"/>
    <w:rsid w:val="007F6811"/>
    <w:rsid w:val="008004AC"/>
    <w:rsid w:val="00801B4B"/>
    <w:rsid w:val="00810482"/>
    <w:rsid w:val="00811C5E"/>
    <w:rsid w:val="00813776"/>
    <w:rsid w:val="008242A9"/>
    <w:rsid w:val="008248DE"/>
    <w:rsid w:val="0082675A"/>
    <w:rsid w:val="008278AE"/>
    <w:rsid w:val="008322D4"/>
    <w:rsid w:val="0083585C"/>
    <w:rsid w:val="0084008B"/>
    <w:rsid w:val="00840F77"/>
    <w:rsid w:val="008415B7"/>
    <w:rsid w:val="0084262D"/>
    <w:rsid w:val="00852739"/>
    <w:rsid w:val="00855844"/>
    <w:rsid w:val="00856936"/>
    <w:rsid w:val="00857E8D"/>
    <w:rsid w:val="00860118"/>
    <w:rsid w:val="0086241C"/>
    <w:rsid w:val="00862F19"/>
    <w:rsid w:val="00867249"/>
    <w:rsid w:val="008718E5"/>
    <w:rsid w:val="008779E6"/>
    <w:rsid w:val="00881F42"/>
    <w:rsid w:val="008851B6"/>
    <w:rsid w:val="00893D73"/>
    <w:rsid w:val="0089568A"/>
    <w:rsid w:val="00897101"/>
    <w:rsid w:val="008A1377"/>
    <w:rsid w:val="008A3FC8"/>
    <w:rsid w:val="008B01E2"/>
    <w:rsid w:val="008B1DD3"/>
    <w:rsid w:val="008B7DED"/>
    <w:rsid w:val="008C115E"/>
    <w:rsid w:val="008C5C79"/>
    <w:rsid w:val="008D4A9E"/>
    <w:rsid w:val="008E252F"/>
    <w:rsid w:val="008E4240"/>
    <w:rsid w:val="008E5906"/>
    <w:rsid w:val="008E70E2"/>
    <w:rsid w:val="008F05C4"/>
    <w:rsid w:val="008F4675"/>
    <w:rsid w:val="008F576C"/>
    <w:rsid w:val="008F7A7D"/>
    <w:rsid w:val="00900ABB"/>
    <w:rsid w:val="0090751E"/>
    <w:rsid w:val="0091471D"/>
    <w:rsid w:val="00920FDE"/>
    <w:rsid w:val="00921670"/>
    <w:rsid w:val="00924B6C"/>
    <w:rsid w:val="0093049F"/>
    <w:rsid w:val="00935243"/>
    <w:rsid w:val="009449E6"/>
    <w:rsid w:val="0094549E"/>
    <w:rsid w:val="00952E67"/>
    <w:rsid w:val="0095654E"/>
    <w:rsid w:val="009568D6"/>
    <w:rsid w:val="00963844"/>
    <w:rsid w:val="0096744E"/>
    <w:rsid w:val="009679A6"/>
    <w:rsid w:val="0097285D"/>
    <w:rsid w:val="00972E43"/>
    <w:rsid w:val="0097433E"/>
    <w:rsid w:val="009745F1"/>
    <w:rsid w:val="00982667"/>
    <w:rsid w:val="00991A73"/>
    <w:rsid w:val="00992144"/>
    <w:rsid w:val="00992878"/>
    <w:rsid w:val="00992B9E"/>
    <w:rsid w:val="009A0CE4"/>
    <w:rsid w:val="009A1CA5"/>
    <w:rsid w:val="009A32B9"/>
    <w:rsid w:val="009B24DB"/>
    <w:rsid w:val="009B473C"/>
    <w:rsid w:val="009B7E2A"/>
    <w:rsid w:val="009C2C8D"/>
    <w:rsid w:val="009D0CA7"/>
    <w:rsid w:val="009D1660"/>
    <w:rsid w:val="009D3678"/>
    <w:rsid w:val="009E0933"/>
    <w:rsid w:val="009F6055"/>
    <w:rsid w:val="00A006C7"/>
    <w:rsid w:val="00A03A57"/>
    <w:rsid w:val="00A05C2E"/>
    <w:rsid w:val="00A05CAC"/>
    <w:rsid w:val="00A07009"/>
    <w:rsid w:val="00A07565"/>
    <w:rsid w:val="00A13616"/>
    <w:rsid w:val="00A15E35"/>
    <w:rsid w:val="00A21368"/>
    <w:rsid w:val="00A2487B"/>
    <w:rsid w:val="00A268A5"/>
    <w:rsid w:val="00A31496"/>
    <w:rsid w:val="00A32C2C"/>
    <w:rsid w:val="00A357E6"/>
    <w:rsid w:val="00A4270E"/>
    <w:rsid w:val="00A471A5"/>
    <w:rsid w:val="00A50525"/>
    <w:rsid w:val="00A51558"/>
    <w:rsid w:val="00A51F33"/>
    <w:rsid w:val="00A52F73"/>
    <w:rsid w:val="00A52FB5"/>
    <w:rsid w:val="00A66865"/>
    <w:rsid w:val="00A677D7"/>
    <w:rsid w:val="00A734B3"/>
    <w:rsid w:val="00A7389B"/>
    <w:rsid w:val="00A73EF9"/>
    <w:rsid w:val="00A8475A"/>
    <w:rsid w:val="00A8528F"/>
    <w:rsid w:val="00A92626"/>
    <w:rsid w:val="00A92C82"/>
    <w:rsid w:val="00A96149"/>
    <w:rsid w:val="00A97AF8"/>
    <w:rsid w:val="00AA0D32"/>
    <w:rsid w:val="00AA2B56"/>
    <w:rsid w:val="00AA301C"/>
    <w:rsid w:val="00AA3BBD"/>
    <w:rsid w:val="00AB11C8"/>
    <w:rsid w:val="00AB45A7"/>
    <w:rsid w:val="00AC4FE4"/>
    <w:rsid w:val="00AC6388"/>
    <w:rsid w:val="00AC6D2D"/>
    <w:rsid w:val="00AD156D"/>
    <w:rsid w:val="00AD1F18"/>
    <w:rsid w:val="00AD6277"/>
    <w:rsid w:val="00AD6887"/>
    <w:rsid w:val="00AE255F"/>
    <w:rsid w:val="00AE5E85"/>
    <w:rsid w:val="00AF40F0"/>
    <w:rsid w:val="00B02558"/>
    <w:rsid w:val="00B05C30"/>
    <w:rsid w:val="00B16318"/>
    <w:rsid w:val="00B233C0"/>
    <w:rsid w:val="00B25A58"/>
    <w:rsid w:val="00B34A25"/>
    <w:rsid w:val="00B34F11"/>
    <w:rsid w:val="00B360E1"/>
    <w:rsid w:val="00B37A9D"/>
    <w:rsid w:val="00B44CA2"/>
    <w:rsid w:val="00B4505B"/>
    <w:rsid w:val="00B504BE"/>
    <w:rsid w:val="00B505E4"/>
    <w:rsid w:val="00B52531"/>
    <w:rsid w:val="00B5609A"/>
    <w:rsid w:val="00B6309B"/>
    <w:rsid w:val="00B64BF8"/>
    <w:rsid w:val="00B65D5E"/>
    <w:rsid w:val="00B6600B"/>
    <w:rsid w:val="00B6697F"/>
    <w:rsid w:val="00B703A7"/>
    <w:rsid w:val="00B72C5E"/>
    <w:rsid w:val="00B80270"/>
    <w:rsid w:val="00B822D1"/>
    <w:rsid w:val="00B82E03"/>
    <w:rsid w:val="00B8389F"/>
    <w:rsid w:val="00B85C23"/>
    <w:rsid w:val="00B91B9E"/>
    <w:rsid w:val="00B960A6"/>
    <w:rsid w:val="00BA32CA"/>
    <w:rsid w:val="00BA3B7A"/>
    <w:rsid w:val="00BA6B47"/>
    <w:rsid w:val="00BB4FA6"/>
    <w:rsid w:val="00BC41C4"/>
    <w:rsid w:val="00BD19DD"/>
    <w:rsid w:val="00BD248E"/>
    <w:rsid w:val="00BD649F"/>
    <w:rsid w:val="00BD7830"/>
    <w:rsid w:val="00BE3B2E"/>
    <w:rsid w:val="00BE6853"/>
    <w:rsid w:val="00BF38CA"/>
    <w:rsid w:val="00BF503A"/>
    <w:rsid w:val="00C00328"/>
    <w:rsid w:val="00C06055"/>
    <w:rsid w:val="00C20E66"/>
    <w:rsid w:val="00C21246"/>
    <w:rsid w:val="00C22228"/>
    <w:rsid w:val="00C22D4A"/>
    <w:rsid w:val="00C263C8"/>
    <w:rsid w:val="00C27E9E"/>
    <w:rsid w:val="00C369EC"/>
    <w:rsid w:val="00C41B94"/>
    <w:rsid w:val="00C46B3F"/>
    <w:rsid w:val="00C51800"/>
    <w:rsid w:val="00C53159"/>
    <w:rsid w:val="00C5728E"/>
    <w:rsid w:val="00C62CEB"/>
    <w:rsid w:val="00C807B3"/>
    <w:rsid w:val="00C82716"/>
    <w:rsid w:val="00C85976"/>
    <w:rsid w:val="00C86E51"/>
    <w:rsid w:val="00C87715"/>
    <w:rsid w:val="00C87C71"/>
    <w:rsid w:val="00C914BE"/>
    <w:rsid w:val="00C91A1D"/>
    <w:rsid w:val="00C92405"/>
    <w:rsid w:val="00C94218"/>
    <w:rsid w:val="00C94B47"/>
    <w:rsid w:val="00CA0551"/>
    <w:rsid w:val="00CA3608"/>
    <w:rsid w:val="00CA431B"/>
    <w:rsid w:val="00CA631E"/>
    <w:rsid w:val="00CA6B10"/>
    <w:rsid w:val="00CB25C5"/>
    <w:rsid w:val="00CB281C"/>
    <w:rsid w:val="00CB695D"/>
    <w:rsid w:val="00CB6C7D"/>
    <w:rsid w:val="00CC3EF5"/>
    <w:rsid w:val="00CD1EAD"/>
    <w:rsid w:val="00CD3B8E"/>
    <w:rsid w:val="00CD6472"/>
    <w:rsid w:val="00CE0A55"/>
    <w:rsid w:val="00CE290B"/>
    <w:rsid w:val="00CE6F91"/>
    <w:rsid w:val="00D00149"/>
    <w:rsid w:val="00D023BE"/>
    <w:rsid w:val="00D049C0"/>
    <w:rsid w:val="00D05B8E"/>
    <w:rsid w:val="00D1444E"/>
    <w:rsid w:val="00D170CC"/>
    <w:rsid w:val="00D17518"/>
    <w:rsid w:val="00D23CD6"/>
    <w:rsid w:val="00D24227"/>
    <w:rsid w:val="00D30183"/>
    <w:rsid w:val="00D31323"/>
    <w:rsid w:val="00D33E92"/>
    <w:rsid w:val="00D4032B"/>
    <w:rsid w:val="00D41AC1"/>
    <w:rsid w:val="00D44604"/>
    <w:rsid w:val="00D4538B"/>
    <w:rsid w:val="00D45ED2"/>
    <w:rsid w:val="00D46ADD"/>
    <w:rsid w:val="00D4721F"/>
    <w:rsid w:val="00D527A5"/>
    <w:rsid w:val="00D6520C"/>
    <w:rsid w:val="00D74BFA"/>
    <w:rsid w:val="00D75478"/>
    <w:rsid w:val="00D758F7"/>
    <w:rsid w:val="00D76287"/>
    <w:rsid w:val="00D77695"/>
    <w:rsid w:val="00D77B59"/>
    <w:rsid w:val="00D84AC8"/>
    <w:rsid w:val="00D85233"/>
    <w:rsid w:val="00D90815"/>
    <w:rsid w:val="00D9796D"/>
    <w:rsid w:val="00D97C56"/>
    <w:rsid w:val="00DA3972"/>
    <w:rsid w:val="00DA4032"/>
    <w:rsid w:val="00DA747A"/>
    <w:rsid w:val="00DB3544"/>
    <w:rsid w:val="00DB4918"/>
    <w:rsid w:val="00DB7826"/>
    <w:rsid w:val="00DC00DF"/>
    <w:rsid w:val="00DC110B"/>
    <w:rsid w:val="00DC18AA"/>
    <w:rsid w:val="00DC4D62"/>
    <w:rsid w:val="00DC559D"/>
    <w:rsid w:val="00DC5833"/>
    <w:rsid w:val="00DD116B"/>
    <w:rsid w:val="00DD21C6"/>
    <w:rsid w:val="00DD6E88"/>
    <w:rsid w:val="00DF02B6"/>
    <w:rsid w:val="00DF5F9E"/>
    <w:rsid w:val="00DF6E4D"/>
    <w:rsid w:val="00E03A08"/>
    <w:rsid w:val="00E22BDB"/>
    <w:rsid w:val="00E24601"/>
    <w:rsid w:val="00E2469C"/>
    <w:rsid w:val="00E24C24"/>
    <w:rsid w:val="00E33004"/>
    <w:rsid w:val="00E335BE"/>
    <w:rsid w:val="00E34790"/>
    <w:rsid w:val="00E407B1"/>
    <w:rsid w:val="00E46385"/>
    <w:rsid w:val="00E57704"/>
    <w:rsid w:val="00E57C54"/>
    <w:rsid w:val="00E61B7E"/>
    <w:rsid w:val="00E64E34"/>
    <w:rsid w:val="00E66C62"/>
    <w:rsid w:val="00E70EA1"/>
    <w:rsid w:val="00E72140"/>
    <w:rsid w:val="00E72EF3"/>
    <w:rsid w:val="00E85604"/>
    <w:rsid w:val="00E90F8C"/>
    <w:rsid w:val="00E93D76"/>
    <w:rsid w:val="00E95A72"/>
    <w:rsid w:val="00E967BB"/>
    <w:rsid w:val="00EA09A2"/>
    <w:rsid w:val="00EA2EE3"/>
    <w:rsid w:val="00EA4A13"/>
    <w:rsid w:val="00EA528F"/>
    <w:rsid w:val="00EA5F2F"/>
    <w:rsid w:val="00EB09CA"/>
    <w:rsid w:val="00EB1A53"/>
    <w:rsid w:val="00EB3A2A"/>
    <w:rsid w:val="00EC0320"/>
    <w:rsid w:val="00EC743D"/>
    <w:rsid w:val="00ED0643"/>
    <w:rsid w:val="00ED3E09"/>
    <w:rsid w:val="00ED5FFE"/>
    <w:rsid w:val="00ED7071"/>
    <w:rsid w:val="00EE55B9"/>
    <w:rsid w:val="00EF0187"/>
    <w:rsid w:val="00EF482F"/>
    <w:rsid w:val="00EF5CDA"/>
    <w:rsid w:val="00F008A5"/>
    <w:rsid w:val="00F02CF0"/>
    <w:rsid w:val="00F06743"/>
    <w:rsid w:val="00F06F9C"/>
    <w:rsid w:val="00F071BD"/>
    <w:rsid w:val="00F1390F"/>
    <w:rsid w:val="00F162DD"/>
    <w:rsid w:val="00F17B03"/>
    <w:rsid w:val="00F207DC"/>
    <w:rsid w:val="00F21D88"/>
    <w:rsid w:val="00F2236B"/>
    <w:rsid w:val="00F241FA"/>
    <w:rsid w:val="00F241FE"/>
    <w:rsid w:val="00F27E67"/>
    <w:rsid w:val="00F3008D"/>
    <w:rsid w:val="00F32C77"/>
    <w:rsid w:val="00F377CE"/>
    <w:rsid w:val="00F4103B"/>
    <w:rsid w:val="00F43CA2"/>
    <w:rsid w:val="00F5301D"/>
    <w:rsid w:val="00F57EE8"/>
    <w:rsid w:val="00F660E2"/>
    <w:rsid w:val="00F71280"/>
    <w:rsid w:val="00F72B67"/>
    <w:rsid w:val="00F72C55"/>
    <w:rsid w:val="00F809AC"/>
    <w:rsid w:val="00F80BBE"/>
    <w:rsid w:val="00F84029"/>
    <w:rsid w:val="00F86D72"/>
    <w:rsid w:val="00F87352"/>
    <w:rsid w:val="00F94F93"/>
    <w:rsid w:val="00F97CA8"/>
    <w:rsid w:val="00FA181C"/>
    <w:rsid w:val="00FA27BE"/>
    <w:rsid w:val="00FB08AB"/>
    <w:rsid w:val="00FC3FCD"/>
    <w:rsid w:val="00FD07D2"/>
    <w:rsid w:val="00FD082A"/>
    <w:rsid w:val="00FD33E4"/>
    <w:rsid w:val="00FD6BC4"/>
    <w:rsid w:val="00FE3DA2"/>
    <w:rsid w:val="00FE6ACC"/>
    <w:rsid w:val="00FF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0487"/>
  <w15:chartTrackingRefBased/>
  <w15:docId w15:val="{AECCDB4F-9779-42AF-933F-8ECCB09C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55C"/>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55C"/>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F055C"/>
    <w:rPr>
      <w:rFonts w:ascii="Segoe UI" w:hAnsi="Segoe UI" w:cs="Segoe UI"/>
      <w:sz w:val="18"/>
      <w:szCs w:val="18"/>
    </w:rPr>
  </w:style>
  <w:style w:type="character" w:styleId="Hyperlink">
    <w:name w:val="Hyperlink"/>
    <w:uiPriority w:val="99"/>
    <w:rsid w:val="003F055C"/>
    <w:rPr>
      <w:color w:val="0000FF"/>
      <w:u w:val="single"/>
    </w:rPr>
  </w:style>
  <w:style w:type="paragraph" w:styleId="FootnoteText">
    <w:name w:val="footnote text"/>
    <w:aliases w:val="single space,fn,ft,Footnote Text Char Char Char Char,Footnote Text Char Char,footnote text,Footnote Text Char2,Footnote Text Char1 Char1,Footnote Text Char Char Char,Footnote Text Char2 Char Char Char,Char,FOOTNOTES,Geneva,ADB,f,Tegn1"/>
    <w:basedOn w:val="Normal"/>
    <w:link w:val="FootnoteTextChar"/>
    <w:uiPriority w:val="99"/>
    <w:unhideWhenUsed/>
    <w:qFormat/>
    <w:rsid w:val="003F055C"/>
    <w:pPr>
      <w:spacing w:after="0" w:line="240" w:lineRule="auto"/>
    </w:pPr>
    <w:rPr>
      <w:rFonts w:eastAsiaTheme="minorHAnsi"/>
      <w:sz w:val="20"/>
      <w:szCs w:val="20"/>
      <w:lang w:eastAsia="en-GB"/>
    </w:rPr>
  </w:style>
  <w:style w:type="character" w:customStyle="1" w:styleId="FootnoteTextChar">
    <w:name w:val="Footnote Text Char"/>
    <w:aliases w:val="single space Char,fn Char,ft Char,Footnote Text Char Char Char Char Char,Footnote Text Char Char Char1,footnote text Char,Footnote Text Char2 Char,Footnote Text Char1 Char1 Char,Footnote Text Char Char Char Char1,Char Char,Geneva Char"/>
    <w:basedOn w:val="DefaultParagraphFont"/>
    <w:link w:val="FootnoteText"/>
    <w:uiPriority w:val="99"/>
    <w:rsid w:val="003F055C"/>
    <w:rPr>
      <w:rFonts w:ascii="Calibri" w:hAnsi="Calibri" w:cs="Times New Roman"/>
      <w:sz w:val="20"/>
      <w:szCs w:val="20"/>
      <w:lang w:eastAsia="en-GB"/>
    </w:rPr>
  </w:style>
  <w:style w:type="character" w:styleId="FootnoteReference">
    <w:name w:val="footnote reference"/>
    <w:aliases w:val="16 Point,Superscript 6 Point,ftref,Fußnotenzeichen_Raxen,note bp,Footnotes refss, BVI fnr Char,BVI fnr Char, BVI fnr Car Car Char,BVI fnr Car Char, BVI fnr Car Car Car Car Char1, BVI fnr Car Car Car Car Char Car Char Char,BVI fnr,FO,o"/>
    <w:basedOn w:val="DefaultParagraphFont"/>
    <w:link w:val="BVIfnrCarCar"/>
    <w:uiPriority w:val="99"/>
    <w:unhideWhenUsed/>
    <w:qFormat/>
    <w:rsid w:val="003F055C"/>
    <w:rPr>
      <w:vertAlign w:val="superscript"/>
    </w:rPr>
  </w:style>
  <w:style w:type="paragraph" w:customStyle="1" w:styleId="BVIfnrCarCar">
    <w:name w:val="BVI fnr Car Car"/>
    <w:aliases w:val="BVI fnr Car,BVI fnr Car Car Car Car"/>
    <w:basedOn w:val="Normal"/>
    <w:link w:val="FootnoteReference"/>
    <w:uiPriority w:val="99"/>
    <w:rsid w:val="003F055C"/>
    <w:pPr>
      <w:spacing w:after="160" w:line="240" w:lineRule="exact"/>
    </w:pPr>
    <w:rPr>
      <w:rFonts w:asciiTheme="minorHAnsi" w:eastAsiaTheme="minorHAnsi" w:hAnsiTheme="minorHAnsi" w:cstheme="minorBidi"/>
      <w:vertAlign w:val="superscript"/>
    </w:rPr>
  </w:style>
  <w:style w:type="character" w:styleId="Strong">
    <w:name w:val="Strong"/>
    <w:basedOn w:val="DefaultParagraphFont"/>
    <w:uiPriority w:val="22"/>
    <w:qFormat/>
    <w:rsid w:val="003F055C"/>
    <w:rPr>
      <w:b/>
      <w:bCs/>
    </w:rPr>
  </w:style>
  <w:style w:type="character" w:styleId="CommentReference">
    <w:name w:val="annotation reference"/>
    <w:uiPriority w:val="99"/>
    <w:semiHidden/>
    <w:unhideWhenUsed/>
    <w:rsid w:val="003F055C"/>
    <w:rPr>
      <w:sz w:val="16"/>
      <w:szCs w:val="16"/>
    </w:rPr>
  </w:style>
  <w:style w:type="paragraph" w:styleId="CommentText">
    <w:name w:val="annotation text"/>
    <w:basedOn w:val="Normal"/>
    <w:link w:val="CommentTextChar"/>
    <w:uiPriority w:val="99"/>
    <w:unhideWhenUsed/>
    <w:rsid w:val="003F055C"/>
    <w:pPr>
      <w:spacing w:line="240" w:lineRule="auto"/>
    </w:pPr>
    <w:rPr>
      <w:sz w:val="20"/>
      <w:szCs w:val="20"/>
    </w:rPr>
  </w:style>
  <w:style w:type="character" w:customStyle="1" w:styleId="CommentTextChar">
    <w:name w:val="Comment Text Char"/>
    <w:basedOn w:val="DefaultParagraphFont"/>
    <w:link w:val="CommentText"/>
    <w:uiPriority w:val="99"/>
    <w:rsid w:val="003F055C"/>
    <w:rPr>
      <w:rFonts w:ascii="Calibri" w:eastAsia="Calibri" w:hAnsi="Calibri" w:cs="Times New Roman"/>
      <w:sz w:val="20"/>
      <w:szCs w:val="20"/>
    </w:rPr>
  </w:style>
  <w:style w:type="paragraph" w:styleId="NormalWeb">
    <w:name w:val="Normal (Web)"/>
    <w:basedOn w:val="Normal"/>
    <w:uiPriority w:val="99"/>
    <w:unhideWhenUsed/>
    <w:rsid w:val="003F055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F055C"/>
    <w:rPr>
      <w:i/>
      <w:iCs/>
    </w:rPr>
  </w:style>
  <w:style w:type="paragraph" w:styleId="Caption">
    <w:name w:val="caption"/>
    <w:basedOn w:val="Normal"/>
    <w:next w:val="Normal"/>
    <w:uiPriority w:val="35"/>
    <w:unhideWhenUsed/>
    <w:qFormat/>
    <w:rsid w:val="00016DE3"/>
    <w:pPr>
      <w:spacing w:line="240" w:lineRule="auto"/>
    </w:pPr>
    <w:rPr>
      <w:i/>
      <w:iCs/>
      <w:color w:val="44546A" w:themeColor="text2"/>
      <w:sz w:val="18"/>
      <w:szCs w:val="18"/>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016DE3"/>
    <w:pPr>
      <w:ind w:left="720"/>
      <w:contextualSpacing/>
    </w:p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016DE3"/>
    <w:rPr>
      <w:rFonts w:ascii="Calibri" w:eastAsia="Calibri" w:hAnsi="Calibri" w:cs="Times New Roman"/>
    </w:rPr>
  </w:style>
  <w:style w:type="paragraph" w:styleId="NoSpacing">
    <w:name w:val="No Spacing"/>
    <w:link w:val="NoSpacingChar"/>
    <w:uiPriority w:val="1"/>
    <w:qFormat/>
    <w:rsid w:val="00016DE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16DE3"/>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7B22E0"/>
    <w:rPr>
      <w:b/>
      <w:bCs/>
    </w:rPr>
  </w:style>
  <w:style w:type="character" w:customStyle="1" w:styleId="CommentSubjectChar">
    <w:name w:val="Comment Subject Char"/>
    <w:basedOn w:val="CommentTextChar"/>
    <w:link w:val="CommentSubject"/>
    <w:uiPriority w:val="99"/>
    <w:semiHidden/>
    <w:rsid w:val="007B22E0"/>
    <w:rPr>
      <w:rFonts w:ascii="Calibri" w:eastAsia="Calibri" w:hAnsi="Calibri" w:cs="Times New Roman"/>
      <w:b/>
      <w:bCs/>
      <w:sz w:val="20"/>
      <w:szCs w:val="20"/>
    </w:rPr>
  </w:style>
  <w:style w:type="paragraph" w:customStyle="1" w:styleId="ColorfulShading-Accent31">
    <w:name w:val="Colorful Shading - Accent 31"/>
    <w:basedOn w:val="Normal"/>
    <w:uiPriority w:val="34"/>
    <w:qFormat/>
    <w:rsid w:val="004657C1"/>
    <w:pPr>
      <w:ind w:left="720"/>
      <w:contextualSpacing/>
    </w:pPr>
  </w:style>
  <w:style w:type="paragraph" w:styleId="Header">
    <w:name w:val="header"/>
    <w:basedOn w:val="Normal"/>
    <w:link w:val="HeaderChar"/>
    <w:uiPriority w:val="99"/>
    <w:unhideWhenUsed/>
    <w:rsid w:val="00AD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F18"/>
    <w:rPr>
      <w:rFonts w:ascii="Calibri" w:eastAsia="Calibri" w:hAnsi="Calibri" w:cs="Times New Roman"/>
    </w:rPr>
  </w:style>
  <w:style w:type="paragraph" w:styleId="Footer">
    <w:name w:val="footer"/>
    <w:basedOn w:val="Normal"/>
    <w:link w:val="FooterChar"/>
    <w:uiPriority w:val="99"/>
    <w:unhideWhenUsed/>
    <w:rsid w:val="00AD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F18"/>
    <w:rPr>
      <w:rFonts w:ascii="Calibri" w:eastAsia="Calibri" w:hAnsi="Calibri" w:cs="Times New Roman"/>
    </w:rPr>
  </w:style>
  <w:style w:type="character" w:customStyle="1" w:styleId="normaltextrun">
    <w:name w:val="normaltextrun"/>
    <w:basedOn w:val="DefaultParagraphFont"/>
    <w:rsid w:val="00233046"/>
  </w:style>
  <w:style w:type="paragraph" w:customStyle="1" w:styleId="Char2">
    <w:name w:val="Char2"/>
    <w:basedOn w:val="Normal"/>
    <w:uiPriority w:val="99"/>
    <w:rsid w:val="006B7567"/>
    <w:pPr>
      <w:spacing w:after="160" w:line="240" w:lineRule="exact"/>
    </w:pPr>
    <w:rPr>
      <w:rFonts w:ascii="Times New Roman" w:eastAsia="Times New Roman" w:hAnsi="Times New Roman"/>
      <w:sz w:val="20"/>
      <w:szCs w:val="20"/>
      <w:vertAlign w:val="superscript"/>
      <w:lang w:eastAsia="en-GB"/>
    </w:rPr>
  </w:style>
  <w:style w:type="paragraph" w:customStyle="1" w:styleId="Default">
    <w:name w:val="Default"/>
    <w:rsid w:val="007D46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c-toc-title">
    <w:name w:val="mc-toc-title"/>
    <w:basedOn w:val="DefaultParagraphFont"/>
    <w:rsid w:val="00952E67"/>
  </w:style>
  <w:style w:type="character" w:styleId="FollowedHyperlink">
    <w:name w:val="FollowedHyperlink"/>
    <w:basedOn w:val="DefaultParagraphFont"/>
    <w:uiPriority w:val="99"/>
    <w:semiHidden/>
    <w:unhideWhenUsed/>
    <w:rsid w:val="009B473C"/>
    <w:rPr>
      <w:color w:val="954F72" w:themeColor="followedHyperlink"/>
      <w:u w:val="single"/>
    </w:rPr>
  </w:style>
  <w:style w:type="paragraph" w:customStyle="1" w:styleId="ftrefChar">
    <w:name w:val="ftref Char"/>
    <w:aliases w:val="16 Point Char,Superscript 6 Point Char,Footnotes refss Char,Footnote Reference Number Char,nota pié di pagina Char,Times 10 Point Char, Exposant 3 Point Char,Footnote symbol Char,Footnote reference number Char"/>
    <w:basedOn w:val="Normal"/>
    <w:uiPriority w:val="99"/>
    <w:rsid w:val="00775C5F"/>
    <w:pPr>
      <w:spacing w:after="0" w:line="240" w:lineRule="exact"/>
    </w:pPr>
    <w:rPr>
      <w:rFonts w:asciiTheme="minorHAnsi" w:eastAsiaTheme="minorHAnsi" w:hAnsiTheme="minorHAnsi" w:cstheme="minorBidi"/>
      <w:vertAlign w:val="superscript"/>
    </w:rPr>
  </w:style>
  <w:style w:type="character" w:styleId="UnresolvedMention">
    <w:name w:val="Unresolved Mention"/>
    <w:basedOn w:val="DefaultParagraphFont"/>
    <w:uiPriority w:val="99"/>
    <w:semiHidden/>
    <w:unhideWhenUsed/>
    <w:rsid w:val="00F1390F"/>
    <w:rPr>
      <w:color w:val="605E5C"/>
      <w:shd w:val="clear" w:color="auto" w:fill="E1DFDD"/>
    </w:rPr>
  </w:style>
  <w:style w:type="paragraph" w:styleId="Revision">
    <w:name w:val="Revision"/>
    <w:hidden/>
    <w:uiPriority w:val="99"/>
    <w:semiHidden/>
    <w:rsid w:val="00394F72"/>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7335">
      <w:bodyDiv w:val="1"/>
      <w:marLeft w:val="0"/>
      <w:marRight w:val="0"/>
      <w:marTop w:val="0"/>
      <w:marBottom w:val="0"/>
      <w:divBdr>
        <w:top w:val="none" w:sz="0" w:space="0" w:color="auto"/>
        <w:left w:val="none" w:sz="0" w:space="0" w:color="auto"/>
        <w:bottom w:val="none" w:sz="0" w:space="0" w:color="auto"/>
        <w:right w:val="none" w:sz="0" w:space="0" w:color="auto"/>
      </w:divBdr>
    </w:div>
    <w:div w:id="582953831">
      <w:bodyDiv w:val="1"/>
      <w:marLeft w:val="0"/>
      <w:marRight w:val="0"/>
      <w:marTop w:val="0"/>
      <w:marBottom w:val="0"/>
      <w:divBdr>
        <w:top w:val="none" w:sz="0" w:space="0" w:color="auto"/>
        <w:left w:val="none" w:sz="0" w:space="0" w:color="auto"/>
        <w:bottom w:val="none" w:sz="0" w:space="0" w:color="auto"/>
        <w:right w:val="none" w:sz="0" w:space="0" w:color="auto"/>
      </w:divBdr>
      <w:divsChild>
        <w:div w:id="795685809">
          <w:marLeft w:val="0"/>
          <w:marRight w:val="0"/>
          <w:marTop w:val="0"/>
          <w:marBottom w:val="0"/>
          <w:divBdr>
            <w:top w:val="none" w:sz="0" w:space="0" w:color="auto"/>
            <w:left w:val="none" w:sz="0" w:space="0" w:color="auto"/>
            <w:bottom w:val="none" w:sz="0" w:space="0" w:color="auto"/>
            <w:right w:val="none" w:sz="0" w:space="0" w:color="auto"/>
          </w:divBdr>
        </w:div>
      </w:divsChild>
    </w:div>
    <w:div w:id="1041632154">
      <w:bodyDiv w:val="1"/>
      <w:marLeft w:val="0"/>
      <w:marRight w:val="0"/>
      <w:marTop w:val="0"/>
      <w:marBottom w:val="0"/>
      <w:divBdr>
        <w:top w:val="none" w:sz="0" w:space="0" w:color="auto"/>
        <w:left w:val="none" w:sz="0" w:space="0" w:color="auto"/>
        <w:bottom w:val="none" w:sz="0" w:space="0" w:color="auto"/>
        <w:right w:val="none" w:sz="0" w:space="0" w:color="auto"/>
      </w:divBdr>
    </w:div>
    <w:div w:id="1174608215">
      <w:bodyDiv w:val="1"/>
      <w:marLeft w:val="0"/>
      <w:marRight w:val="0"/>
      <w:marTop w:val="0"/>
      <w:marBottom w:val="0"/>
      <w:divBdr>
        <w:top w:val="none" w:sz="0" w:space="0" w:color="auto"/>
        <w:left w:val="none" w:sz="0" w:space="0" w:color="auto"/>
        <w:bottom w:val="none" w:sz="0" w:space="0" w:color="auto"/>
        <w:right w:val="none" w:sz="0" w:space="0" w:color="auto"/>
      </w:divBdr>
    </w:div>
    <w:div w:id="1270770855">
      <w:bodyDiv w:val="1"/>
      <w:marLeft w:val="0"/>
      <w:marRight w:val="0"/>
      <w:marTop w:val="0"/>
      <w:marBottom w:val="0"/>
      <w:divBdr>
        <w:top w:val="none" w:sz="0" w:space="0" w:color="auto"/>
        <w:left w:val="none" w:sz="0" w:space="0" w:color="auto"/>
        <w:bottom w:val="none" w:sz="0" w:space="0" w:color="auto"/>
        <w:right w:val="none" w:sz="0" w:space="0" w:color="auto"/>
      </w:divBdr>
    </w:div>
    <w:div w:id="1319067514">
      <w:bodyDiv w:val="1"/>
      <w:marLeft w:val="0"/>
      <w:marRight w:val="0"/>
      <w:marTop w:val="0"/>
      <w:marBottom w:val="0"/>
      <w:divBdr>
        <w:top w:val="none" w:sz="0" w:space="0" w:color="auto"/>
        <w:left w:val="none" w:sz="0" w:space="0" w:color="auto"/>
        <w:bottom w:val="none" w:sz="0" w:space="0" w:color="auto"/>
        <w:right w:val="none" w:sz="0" w:space="0" w:color="auto"/>
      </w:divBdr>
    </w:div>
    <w:div w:id="1919753030">
      <w:bodyDiv w:val="1"/>
      <w:marLeft w:val="0"/>
      <w:marRight w:val="0"/>
      <w:marTop w:val="0"/>
      <w:marBottom w:val="0"/>
      <w:divBdr>
        <w:top w:val="none" w:sz="0" w:space="0" w:color="auto"/>
        <w:left w:val="none" w:sz="0" w:space="0" w:color="auto"/>
        <w:bottom w:val="none" w:sz="0" w:space="0" w:color="auto"/>
        <w:right w:val="none" w:sz="0" w:space="0" w:color="auto"/>
      </w:divBdr>
      <w:divsChild>
        <w:div w:id="1462922290">
          <w:marLeft w:val="0"/>
          <w:marRight w:val="0"/>
          <w:marTop w:val="0"/>
          <w:marBottom w:val="0"/>
          <w:divBdr>
            <w:top w:val="none" w:sz="0" w:space="0" w:color="auto"/>
            <w:left w:val="none" w:sz="0" w:space="0" w:color="auto"/>
            <w:bottom w:val="none" w:sz="0" w:space="0" w:color="auto"/>
            <w:right w:val="none" w:sz="0" w:space="0" w:color="auto"/>
          </w:divBdr>
        </w:div>
      </w:divsChild>
    </w:div>
    <w:div w:id="19807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erc.undp.org/index.html;jsessionid=2825BA456DA1408C7BC53F6267CDC59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ndp.org/content/undp/en/home/librarypage/poverty-reduction/how-to-build-a-national-multidimensional-poverty-index.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s://www.unssc.org/courses/anti-corruption-context-2030-agenda-march-april-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bit.ly/PovertyIndexMOOC" TargetMode="External"/><Relationship Id="rId10" Type="http://schemas.openxmlformats.org/officeDocument/2006/relationships/endnotes" Target="endnotes.xml"/><Relationship Id="rId19" Type="http://schemas.openxmlformats.org/officeDocument/2006/relationships/hyperlink" Target="http://www.anti-corruption.org/2018/10/26/manual-on-corruption-survey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www.youtube.com/watch?v=gWQbaBkxSfQ&amp;feature=youtu.b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c.undp.org/qa/reports/viewassessmentdetails/438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ndp.sharepoint.com/sites/EG-ResultsTeam/Shared%20Documents/General/Evaluation%20Management%20Commentary/Copy%20of%202019%20Planned%20and%20completed%20evaluations%205th%20February%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dp-my.sharepoint.com/personal/mexhide_spahija_undp_org/Documents/Evaluation/2019%20AR%20QA%20rating%20data%200903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ndp-my.sharepoint.com/personal/mexhide_spahija_undp_org/Documents/Evaluation/MTR/QA%20stats_%20Commentary%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pivotSource>
    <c:name>[Copy of 2019 Planned and completed evaluations 5th February 2020.xlsx]Regions!PivotTable1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b="0" i="0" baseline="0">
                <a:effectLst/>
                <a:latin typeface="Times New Roman" panose="02020603050405020304" pitchFamily="18" charset="0"/>
                <a:cs typeface="Times New Roman" panose="02020603050405020304" pitchFamily="18" charset="0"/>
              </a:rPr>
              <a:t>Distribution of 2019 decentralised evaluations</a:t>
            </a:r>
            <a:endParaRPr lang="en-US" sz="1400">
              <a:effectLst/>
              <a:latin typeface="Times New Roman" panose="02020603050405020304" pitchFamily="18" charset="0"/>
              <a:cs typeface="Times New Roman" panose="02020603050405020304" pitchFamily="18" charset="0"/>
            </a:endParaRPr>
          </a:p>
        </c:rich>
      </c:tx>
      <c:layout>
        <c:manualLayout>
          <c:xMode val="edge"/>
          <c:yMode val="edge"/>
          <c:x val="0.21774328689683017"/>
          <c:y val="3.781302774708782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ivotFmts>
      <c:pivotFmt>
        <c:idx val="0"/>
        <c:spPr>
          <a:solidFill>
            <a:schemeClr val="accent4"/>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4"/>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4"/>
          </a:solidFill>
          <a:ln w="19050">
            <a:solidFill>
              <a:schemeClr val="lt1"/>
            </a:solidFill>
          </a:ln>
          <a:effectLst/>
        </c:spPr>
      </c:pivotFmt>
      <c:pivotFmt>
        <c:idx val="3"/>
        <c:spPr>
          <a:solidFill>
            <a:schemeClr val="accent4"/>
          </a:solidFill>
          <a:ln w="19050">
            <a:solidFill>
              <a:schemeClr val="lt1"/>
            </a:solidFill>
          </a:ln>
          <a:effectLst/>
        </c:spPr>
      </c:pivotFmt>
      <c:pivotFmt>
        <c:idx val="4"/>
        <c:spPr>
          <a:solidFill>
            <a:schemeClr val="accent4"/>
          </a:solidFill>
          <a:ln w="19050">
            <a:solidFill>
              <a:schemeClr val="lt1"/>
            </a:solidFill>
          </a:ln>
          <a:effectLst/>
        </c:spPr>
      </c:pivotFmt>
      <c:pivotFmt>
        <c:idx val="5"/>
        <c:spPr>
          <a:solidFill>
            <a:schemeClr val="accent4"/>
          </a:solidFill>
          <a:ln w="19050">
            <a:solidFill>
              <a:schemeClr val="lt1"/>
            </a:solidFill>
          </a:ln>
          <a:effectLst/>
        </c:spPr>
      </c:pivotFmt>
      <c:pivotFmt>
        <c:idx val="6"/>
        <c:spPr>
          <a:solidFill>
            <a:schemeClr val="accent4"/>
          </a:solidFill>
          <a:ln w="19050">
            <a:solidFill>
              <a:schemeClr val="lt1"/>
            </a:solidFill>
          </a:ln>
          <a:effectLst/>
        </c:spPr>
      </c:pivotFmt>
      <c:pivotFmt>
        <c:idx val="7"/>
        <c:spPr>
          <a:solidFill>
            <a:schemeClr val="accent4"/>
          </a:solidFill>
          <a:ln w="19050">
            <a:solidFill>
              <a:schemeClr val="lt1"/>
            </a:solidFill>
          </a:ln>
          <a:effectLst/>
        </c:spPr>
      </c:pivotFmt>
      <c:pivotFmt>
        <c:idx val="8"/>
        <c:spPr>
          <a:solidFill>
            <a:schemeClr val="accent4"/>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4"/>
          </a:solidFill>
          <a:ln w="19050">
            <a:solidFill>
              <a:schemeClr val="lt1"/>
            </a:solidFill>
          </a:ln>
          <a:effectLst/>
        </c:spPr>
      </c:pivotFmt>
      <c:pivotFmt>
        <c:idx val="10"/>
        <c:spPr>
          <a:solidFill>
            <a:schemeClr val="accent4"/>
          </a:solidFill>
          <a:ln w="19050">
            <a:solidFill>
              <a:schemeClr val="lt1"/>
            </a:solidFill>
          </a:ln>
          <a:effectLst/>
        </c:spPr>
      </c:pivotFmt>
      <c:pivotFmt>
        <c:idx val="11"/>
        <c:spPr>
          <a:solidFill>
            <a:schemeClr val="accent4"/>
          </a:solidFill>
          <a:ln w="19050">
            <a:solidFill>
              <a:schemeClr val="lt1"/>
            </a:solidFill>
          </a:ln>
          <a:effectLst/>
        </c:spPr>
      </c:pivotFmt>
      <c:pivotFmt>
        <c:idx val="12"/>
        <c:spPr>
          <a:solidFill>
            <a:schemeClr val="accent4"/>
          </a:solidFill>
          <a:ln w="19050">
            <a:solidFill>
              <a:schemeClr val="lt1"/>
            </a:solidFill>
          </a:ln>
          <a:effectLst/>
        </c:spPr>
      </c:pivotFmt>
      <c:pivotFmt>
        <c:idx val="13"/>
        <c:spPr>
          <a:solidFill>
            <a:schemeClr val="accent4"/>
          </a:solidFill>
          <a:ln w="19050">
            <a:solidFill>
              <a:schemeClr val="lt1"/>
            </a:solidFill>
          </a:ln>
          <a:effectLst/>
        </c:spPr>
      </c:pivotFmt>
      <c:pivotFmt>
        <c:idx val="14"/>
        <c:spPr>
          <a:solidFill>
            <a:schemeClr val="accent4"/>
          </a:solidFill>
          <a:ln w="19050">
            <a:solidFill>
              <a:schemeClr val="lt1"/>
            </a:solidFill>
          </a:ln>
          <a:effectLst/>
        </c:spPr>
      </c:pivotFmt>
      <c:pivotFmt>
        <c:idx val="15"/>
        <c:spPr>
          <a:solidFill>
            <a:schemeClr val="accent4"/>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w="19050">
            <a:solidFill>
              <a:schemeClr val="lt1"/>
            </a:solidFill>
          </a:ln>
          <a:effectLst/>
        </c:spPr>
      </c:pivotFmt>
      <c:pivotFmt>
        <c:idx val="17"/>
        <c:spPr>
          <a:solidFill>
            <a:schemeClr val="accent4"/>
          </a:solidFill>
          <a:ln w="19050">
            <a:solidFill>
              <a:schemeClr val="lt1"/>
            </a:solidFill>
          </a:ln>
          <a:effectLst/>
        </c:spPr>
      </c:pivotFmt>
      <c:pivotFmt>
        <c:idx val="18"/>
        <c:spPr>
          <a:solidFill>
            <a:schemeClr val="accent4"/>
          </a:solidFill>
          <a:ln w="19050">
            <a:solidFill>
              <a:schemeClr val="lt1"/>
            </a:solidFill>
          </a:ln>
          <a:effectLst/>
        </c:spPr>
      </c:pivotFmt>
      <c:pivotFmt>
        <c:idx val="19"/>
        <c:spPr>
          <a:solidFill>
            <a:schemeClr val="accent4"/>
          </a:solidFill>
          <a:ln w="19050">
            <a:solidFill>
              <a:schemeClr val="lt1"/>
            </a:solidFill>
          </a:ln>
          <a:effectLst/>
        </c:spPr>
      </c:pivotFmt>
      <c:pivotFmt>
        <c:idx val="20"/>
        <c:spPr>
          <a:solidFill>
            <a:schemeClr val="accent4"/>
          </a:solidFill>
          <a:ln w="19050">
            <a:solidFill>
              <a:schemeClr val="lt1"/>
            </a:solidFill>
          </a:ln>
          <a:effectLst/>
        </c:spPr>
      </c:pivotFmt>
      <c:pivotFmt>
        <c:idx val="21"/>
        <c:spPr>
          <a:solidFill>
            <a:schemeClr val="accent4"/>
          </a:solidFill>
          <a:ln w="19050">
            <a:solidFill>
              <a:schemeClr val="lt1"/>
            </a:solidFill>
          </a:ln>
          <a:effectLst/>
        </c:spPr>
      </c:pivotFmt>
    </c:pivotFmts>
    <c:plotArea>
      <c:layout/>
      <c:barChart>
        <c:barDir val="bar"/>
        <c:grouping val="stacked"/>
        <c:varyColors val="0"/>
        <c:ser>
          <c:idx val="0"/>
          <c:order val="0"/>
          <c:tx>
            <c:strRef>
              <c:f>Regions!$B$3:$B$4</c:f>
              <c:strCache>
                <c:ptCount val="1"/>
                <c:pt idx="0">
                  <c:v>Completed</c:v>
                </c:pt>
              </c:strCache>
            </c:strRef>
          </c:tx>
          <c:spPr>
            <a:solidFill>
              <a:schemeClr val="accent4"/>
            </a:solidFill>
            <a:ln w="19050">
              <a:solidFill>
                <a:schemeClr val="lt1"/>
              </a:solidFill>
            </a:ln>
            <a:effectLst/>
          </c:spPr>
          <c:invertIfNegative val="0"/>
          <c:dPt>
            <c:idx val="0"/>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1-E9CF-41EF-A782-AB373C2FA5B8}"/>
              </c:ext>
            </c:extLst>
          </c:dPt>
          <c:dPt>
            <c:idx val="1"/>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3-E9CF-41EF-A782-AB373C2FA5B8}"/>
              </c:ext>
            </c:extLst>
          </c:dPt>
          <c:dPt>
            <c:idx val="2"/>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5-E9CF-41EF-A782-AB373C2FA5B8}"/>
              </c:ext>
            </c:extLst>
          </c:dPt>
          <c:dPt>
            <c:idx val="3"/>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7-E9CF-41EF-A782-AB373C2FA5B8}"/>
              </c:ext>
            </c:extLst>
          </c:dPt>
          <c:dPt>
            <c:idx val="4"/>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9-E9CF-41EF-A782-AB373C2FA5B8}"/>
              </c:ext>
            </c:extLst>
          </c:dPt>
          <c:dPt>
            <c:idx val="5"/>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B-E9CF-41EF-A782-AB373C2FA5B8}"/>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Regions!$A$5:$A$11</c:f>
              <c:strCache>
                <c:ptCount val="6"/>
                <c:pt idx="0">
                  <c:v>Africa </c:v>
                </c:pt>
                <c:pt idx="1">
                  <c:v>Arab States</c:v>
                </c:pt>
                <c:pt idx="2">
                  <c:v>Asia and the Pacific</c:v>
                </c:pt>
                <c:pt idx="3">
                  <c:v>Europe and the CIS</c:v>
                </c:pt>
                <c:pt idx="4">
                  <c:v>Global</c:v>
                </c:pt>
                <c:pt idx="5">
                  <c:v>Latin America and the Caribbean</c:v>
                </c:pt>
              </c:strCache>
            </c:strRef>
          </c:cat>
          <c:val>
            <c:numRef>
              <c:f>Regions!$B$5:$B$11</c:f>
              <c:numCache>
                <c:formatCode>General</c:formatCode>
                <c:ptCount val="6"/>
                <c:pt idx="0">
                  <c:v>59</c:v>
                </c:pt>
                <c:pt idx="1">
                  <c:v>41</c:v>
                </c:pt>
                <c:pt idx="2">
                  <c:v>89</c:v>
                </c:pt>
                <c:pt idx="3">
                  <c:v>49</c:v>
                </c:pt>
                <c:pt idx="4">
                  <c:v>7</c:v>
                </c:pt>
                <c:pt idx="5">
                  <c:v>45</c:v>
                </c:pt>
              </c:numCache>
            </c:numRef>
          </c:val>
          <c:extLst>
            <c:ext xmlns:c16="http://schemas.microsoft.com/office/drawing/2014/chart" uri="{C3380CC4-5D6E-409C-BE32-E72D297353CC}">
              <c16:uniqueId val="{0000000C-E9CF-41EF-A782-AB373C2FA5B8}"/>
            </c:ext>
          </c:extLst>
        </c:ser>
        <c:dLbls>
          <c:showLegendKey val="0"/>
          <c:showVal val="0"/>
          <c:showCatName val="0"/>
          <c:showSerName val="0"/>
          <c:showPercent val="0"/>
          <c:showBubbleSize val="0"/>
        </c:dLbls>
        <c:gapWidth val="100"/>
        <c:overlap val="100"/>
        <c:axId val="1295700624"/>
        <c:axId val="2074131872"/>
      </c:barChart>
      <c:valAx>
        <c:axId val="2074131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95700624"/>
        <c:crosses val="autoZero"/>
        <c:crossBetween val="between"/>
      </c:valAx>
      <c:catAx>
        <c:axId val="129570062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74131872"/>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Quality assessment ratings, 2017-2019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5"/>
          <c:order val="0"/>
          <c:tx>
            <c:strRef>
              <c:f>'Charts and table for ARE 2019'!$G$2</c:f>
              <c:strCache>
                <c:ptCount val="1"/>
                <c:pt idx="0">
                  <c:v>Highly unsatisfactory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 and table for ARE 2019'!$A$3:$A$5</c:f>
              <c:numCache>
                <c:formatCode>General</c:formatCode>
                <c:ptCount val="3"/>
                <c:pt idx="0">
                  <c:v>2017</c:v>
                </c:pt>
                <c:pt idx="1">
                  <c:v>2018</c:v>
                </c:pt>
                <c:pt idx="2">
                  <c:v>2019</c:v>
                </c:pt>
              </c:numCache>
            </c:numRef>
          </c:cat>
          <c:val>
            <c:numRef>
              <c:f>'Charts and table for ARE 2019'!$G$3:$G$5</c:f>
              <c:numCache>
                <c:formatCode>0%</c:formatCode>
                <c:ptCount val="3"/>
                <c:pt idx="0">
                  <c:v>0</c:v>
                </c:pt>
                <c:pt idx="1">
                  <c:v>0</c:v>
                </c:pt>
                <c:pt idx="2">
                  <c:v>4.7619047619047623E-3</c:v>
                </c:pt>
              </c:numCache>
            </c:numRef>
          </c:val>
          <c:extLst>
            <c:ext xmlns:c16="http://schemas.microsoft.com/office/drawing/2014/chart" uri="{C3380CC4-5D6E-409C-BE32-E72D297353CC}">
              <c16:uniqueId val="{00000000-C5E1-47E5-BC11-B179FB98EC75}"/>
            </c:ext>
          </c:extLst>
        </c:ser>
        <c:ser>
          <c:idx val="4"/>
          <c:order val="1"/>
          <c:tx>
            <c:strRef>
              <c:f>'Charts and table for ARE 2019'!$F$2</c:f>
              <c:strCache>
                <c:ptCount val="1"/>
                <c:pt idx="0">
                  <c:v>Unsatisfactory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 and table for ARE 2019'!$A$3:$A$5</c:f>
              <c:numCache>
                <c:formatCode>General</c:formatCode>
                <c:ptCount val="3"/>
                <c:pt idx="0">
                  <c:v>2017</c:v>
                </c:pt>
                <c:pt idx="1">
                  <c:v>2018</c:v>
                </c:pt>
                <c:pt idx="2">
                  <c:v>2019</c:v>
                </c:pt>
              </c:numCache>
            </c:numRef>
          </c:cat>
          <c:val>
            <c:numRef>
              <c:f>'Charts and table for ARE 2019'!$F$3:$F$5</c:f>
              <c:numCache>
                <c:formatCode>0%</c:formatCode>
                <c:ptCount val="3"/>
                <c:pt idx="0">
                  <c:v>6.5972222222222224E-2</c:v>
                </c:pt>
                <c:pt idx="1">
                  <c:v>5.1181102362204724E-2</c:v>
                </c:pt>
                <c:pt idx="2">
                  <c:v>7.6190476190476197E-2</c:v>
                </c:pt>
              </c:numCache>
            </c:numRef>
          </c:val>
          <c:extLst>
            <c:ext xmlns:c16="http://schemas.microsoft.com/office/drawing/2014/chart" uri="{C3380CC4-5D6E-409C-BE32-E72D297353CC}">
              <c16:uniqueId val="{00000001-C5E1-47E5-BC11-B179FB98EC75}"/>
            </c:ext>
          </c:extLst>
        </c:ser>
        <c:ser>
          <c:idx val="3"/>
          <c:order val="2"/>
          <c:tx>
            <c:strRef>
              <c:f>'Charts and table for ARE 2019'!$E$2</c:f>
              <c:strCache>
                <c:ptCount val="1"/>
                <c:pt idx="0">
                  <c:v>Moderately unsatisfactory (%)</c:v>
                </c:pt>
              </c:strCache>
            </c:strRef>
          </c:tx>
          <c:spPr>
            <a:solidFill>
              <a:schemeClr val="accent4"/>
            </a:solidFill>
            <a:ln>
              <a:noFill/>
            </a:ln>
            <a:effectLst/>
          </c:spPr>
          <c:invertIfNegative val="0"/>
          <c:dLbls>
            <c:dLbl>
              <c:idx val="0"/>
              <c:layout>
                <c:manualLayout>
                  <c:x val="4.2826552462526769E-3"/>
                  <c:y val="0.13658911146264738"/>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5.5674518201284794E-2"/>
                      <c:h val="6.5462753950338598E-2"/>
                    </c:manualLayout>
                  </c15:layout>
                </c:ext>
                <c:ext xmlns:c16="http://schemas.microsoft.com/office/drawing/2014/chart" uri="{C3380CC4-5D6E-409C-BE32-E72D297353CC}">
                  <c16:uniqueId val="{00000001-6B10-4A3D-9DB2-339B34BA805E}"/>
                </c:ext>
              </c:extLst>
            </c:dLbl>
            <c:dLbl>
              <c:idx val="1"/>
              <c:layout>
                <c:manualLayout>
                  <c:x val="2.1413276231263384E-3"/>
                  <c:y val="0.135878139386075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10-4A3D-9DB2-339B34BA805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 and table for ARE 2019'!$A$3:$A$5</c:f>
              <c:numCache>
                <c:formatCode>General</c:formatCode>
                <c:ptCount val="3"/>
                <c:pt idx="0">
                  <c:v>2017</c:v>
                </c:pt>
                <c:pt idx="1">
                  <c:v>2018</c:v>
                </c:pt>
                <c:pt idx="2">
                  <c:v>2019</c:v>
                </c:pt>
              </c:numCache>
            </c:numRef>
          </c:cat>
          <c:val>
            <c:numRef>
              <c:f>'Charts and table for ARE 2019'!$E$3:$E$5</c:f>
              <c:numCache>
                <c:formatCode>0%</c:formatCode>
                <c:ptCount val="3"/>
                <c:pt idx="0">
                  <c:v>0.19444444444444445</c:v>
                </c:pt>
                <c:pt idx="1">
                  <c:v>0.19291338582677164</c:v>
                </c:pt>
                <c:pt idx="2">
                  <c:v>0.18095238095238095</c:v>
                </c:pt>
              </c:numCache>
            </c:numRef>
          </c:val>
          <c:extLst>
            <c:ext xmlns:c16="http://schemas.microsoft.com/office/drawing/2014/chart" uri="{C3380CC4-5D6E-409C-BE32-E72D297353CC}">
              <c16:uniqueId val="{00000002-C5E1-47E5-BC11-B179FB98EC75}"/>
            </c:ext>
          </c:extLst>
        </c:ser>
        <c:ser>
          <c:idx val="2"/>
          <c:order val="3"/>
          <c:tx>
            <c:strRef>
              <c:f>'Charts and table for ARE 2019'!$D$2</c:f>
              <c:strCache>
                <c:ptCount val="1"/>
                <c:pt idx="0">
                  <c:v>Moderately satisfactory (%)</c:v>
                </c:pt>
              </c:strCache>
            </c:strRef>
          </c:tx>
          <c:spPr>
            <a:solidFill>
              <a:schemeClr val="accent3"/>
            </a:solidFill>
            <a:ln>
              <a:noFill/>
            </a:ln>
            <a:effectLst/>
          </c:spPr>
          <c:invertIfNegative val="0"/>
          <c:dLbls>
            <c:dLbl>
              <c:idx val="1"/>
              <c:layout>
                <c:manualLayout>
                  <c:x val="4.282655246252598E-3"/>
                  <c:y val="0.2839970850144860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10-4A3D-9DB2-339B34BA805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 and table for ARE 2019'!$A$3:$A$5</c:f>
              <c:numCache>
                <c:formatCode>General</c:formatCode>
                <c:ptCount val="3"/>
                <c:pt idx="0">
                  <c:v>2017</c:v>
                </c:pt>
                <c:pt idx="1">
                  <c:v>2018</c:v>
                </c:pt>
                <c:pt idx="2">
                  <c:v>2019</c:v>
                </c:pt>
              </c:numCache>
            </c:numRef>
          </c:cat>
          <c:val>
            <c:numRef>
              <c:f>'Charts and table for ARE 2019'!$D$3:$D$5</c:f>
              <c:numCache>
                <c:formatCode>0%</c:formatCode>
                <c:ptCount val="3"/>
                <c:pt idx="0">
                  <c:v>0.53819444444444442</c:v>
                </c:pt>
                <c:pt idx="1">
                  <c:v>0.51181102362204722</c:v>
                </c:pt>
                <c:pt idx="2">
                  <c:v>0.53333333333333333</c:v>
                </c:pt>
              </c:numCache>
            </c:numRef>
          </c:val>
          <c:extLst>
            <c:ext xmlns:c16="http://schemas.microsoft.com/office/drawing/2014/chart" uri="{C3380CC4-5D6E-409C-BE32-E72D297353CC}">
              <c16:uniqueId val="{00000003-C5E1-47E5-BC11-B179FB98EC75}"/>
            </c:ext>
          </c:extLst>
        </c:ser>
        <c:ser>
          <c:idx val="1"/>
          <c:order val="4"/>
          <c:tx>
            <c:strRef>
              <c:f>'Charts and table for ARE 2019'!$C$2</c:f>
              <c:strCache>
                <c:ptCount val="1"/>
                <c:pt idx="0">
                  <c:v>Satisfactory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 and table for ARE 2019'!$A$3:$A$5</c:f>
              <c:numCache>
                <c:formatCode>General</c:formatCode>
                <c:ptCount val="3"/>
                <c:pt idx="0">
                  <c:v>2017</c:v>
                </c:pt>
                <c:pt idx="1">
                  <c:v>2018</c:v>
                </c:pt>
                <c:pt idx="2">
                  <c:v>2019</c:v>
                </c:pt>
              </c:numCache>
            </c:numRef>
          </c:cat>
          <c:val>
            <c:numRef>
              <c:f>'Charts and table for ARE 2019'!$C$3:$C$5</c:f>
              <c:numCache>
                <c:formatCode>0%</c:formatCode>
                <c:ptCount val="3"/>
                <c:pt idx="0">
                  <c:v>0.19097222222222221</c:v>
                </c:pt>
                <c:pt idx="1">
                  <c:v>0.24015748031496062</c:v>
                </c:pt>
                <c:pt idx="2">
                  <c:v>0.20476190476190476</c:v>
                </c:pt>
              </c:numCache>
            </c:numRef>
          </c:val>
          <c:extLst>
            <c:ext xmlns:c16="http://schemas.microsoft.com/office/drawing/2014/chart" uri="{C3380CC4-5D6E-409C-BE32-E72D297353CC}">
              <c16:uniqueId val="{00000004-C5E1-47E5-BC11-B179FB98EC75}"/>
            </c:ext>
          </c:extLst>
        </c:ser>
        <c:ser>
          <c:idx val="0"/>
          <c:order val="5"/>
          <c:tx>
            <c:strRef>
              <c:f>'Charts and table for ARE 2019'!$B$2</c:f>
              <c:strCache>
                <c:ptCount val="1"/>
                <c:pt idx="0">
                  <c:v>Highly satisfactory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 and table for ARE 2019'!$A$3:$A$5</c:f>
              <c:numCache>
                <c:formatCode>General</c:formatCode>
                <c:ptCount val="3"/>
                <c:pt idx="0">
                  <c:v>2017</c:v>
                </c:pt>
                <c:pt idx="1">
                  <c:v>2018</c:v>
                </c:pt>
                <c:pt idx="2">
                  <c:v>2019</c:v>
                </c:pt>
              </c:numCache>
            </c:numRef>
          </c:cat>
          <c:val>
            <c:numRef>
              <c:f>'Charts and table for ARE 2019'!$B$3:$B$5</c:f>
              <c:numCache>
                <c:formatCode>0%</c:formatCode>
                <c:ptCount val="3"/>
                <c:pt idx="0">
                  <c:v>1.0416666666666666E-2</c:v>
                </c:pt>
                <c:pt idx="1">
                  <c:v>3.937007874015748E-3</c:v>
                </c:pt>
                <c:pt idx="2">
                  <c:v>0</c:v>
                </c:pt>
              </c:numCache>
            </c:numRef>
          </c:val>
          <c:extLst>
            <c:ext xmlns:c16="http://schemas.microsoft.com/office/drawing/2014/chart" uri="{C3380CC4-5D6E-409C-BE32-E72D297353CC}">
              <c16:uniqueId val="{00000005-C5E1-47E5-BC11-B179FB98EC75}"/>
            </c:ext>
          </c:extLst>
        </c:ser>
        <c:dLbls>
          <c:dLblPos val="ctr"/>
          <c:showLegendKey val="0"/>
          <c:showVal val="1"/>
          <c:showCatName val="0"/>
          <c:showSerName val="0"/>
          <c:showPercent val="0"/>
          <c:showBubbleSize val="0"/>
        </c:dLbls>
        <c:gapWidth val="150"/>
        <c:axId val="676321951"/>
        <c:axId val="1132295583"/>
      </c:barChart>
      <c:catAx>
        <c:axId val="676321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32295583"/>
        <c:crosses val="autoZero"/>
        <c:auto val="1"/>
        <c:lblAlgn val="ctr"/>
        <c:lblOffset val="100"/>
        <c:noMultiLvlLbl val="0"/>
      </c:catAx>
      <c:valAx>
        <c:axId val="11322955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76321951"/>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UNDP quality</a:t>
            </a:r>
            <a:r>
              <a:rPr lang="en-US" baseline="0">
                <a:latin typeface="Times New Roman" panose="02020603050405020304" pitchFamily="18" charset="0"/>
                <a:cs typeface="Times New Roman" panose="02020603050405020304" pitchFamily="18" charset="0"/>
              </a:rPr>
              <a:t> assessment r</a:t>
            </a:r>
            <a:r>
              <a:rPr lang="en-US">
                <a:latin typeface="Times New Roman" panose="02020603050405020304" pitchFamily="18" charset="0"/>
                <a:cs typeface="Times New Roman" panose="02020603050405020304" pitchFamily="18" charset="0"/>
              </a:rPr>
              <a:t>ating per section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4">
                <a:shade val="76000"/>
              </a:schemeClr>
            </a:solidFill>
            <a:ln>
              <a:noFill/>
            </a:ln>
            <a:effectLst/>
          </c:spPr>
          <c:invertIfNegative val="0"/>
          <c:cat>
            <c:strRef>
              <c:f>'Detail Report UNDP'!$D$149:$J$149</c:f>
              <c:strCache>
                <c:ptCount val="4"/>
                <c:pt idx="0">
                  <c:v>TOR and Design</c:v>
                </c:pt>
                <c:pt idx="1">
                  <c:v>Report and Methodology</c:v>
                </c:pt>
                <c:pt idx="2">
                  <c:v>Cross-cutting</c:v>
                </c:pt>
                <c:pt idx="3">
                  <c:v>Evaluation Findings, Conclusions and Recommendations</c:v>
                </c:pt>
              </c:strCache>
              <c:extLst/>
            </c:strRef>
          </c:cat>
          <c:val>
            <c:numRef>
              <c:f>'Detail Report UNDP'!$D$150:$J$150</c:f>
              <c:numCache>
                <c:formatCode>General</c:formatCode>
                <c:ptCount val="4"/>
                <c:pt idx="0">
                  <c:v>164</c:v>
                </c:pt>
                <c:pt idx="1">
                  <c:v>149</c:v>
                </c:pt>
                <c:pt idx="2">
                  <c:v>132</c:v>
                </c:pt>
                <c:pt idx="3">
                  <c:v>143</c:v>
                </c:pt>
              </c:numCache>
              <c:extLst/>
            </c:numRef>
          </c:val>
          <c:extLst>
            <c:ext xmlns:c16="http://schemas.microsoft.com/office/drawing/2014/chart" uri="{C3380CC4-5D6E-409C-BE32-E72D297353CC}">
              <c16:uniqueId val="{00000000-0C0F-4EF0-BD37-F298DCDDD52E}"/>
            </c:ext>
          </c:extLst>
        </c:ser>
        <c:dLbls>
          <c:showLegendKey val="0"/>
          <c:showVal val="0"/>
          <c:showCatName val="0"/>
          <c:showSerName val="0"/>
          <c:showPercent val="0"/>
          <c:showBubbleSize val="0"/>
        </c:dLbls>
        <c:gapWidth val="219"/>
        <c:overlap val="-27"/>
        <c:axId val="2055140863"/>
        <c:axId val="1734381439"/>
      </c:barChart>
      <c:lineChart>
        <c:grouping val="standard"/>
        <c:varyColors val="0"/>
        <c:ser>
          <c:idx val="1"/>
          <c:order val="1"/>
          <c:spPr>
            <a:ln w="25400" cap="rnd">
              <a:noFill/>
              <a:round/>
            </a:ln>
            <a:effectLst/>
          </c:spPr>
          <c:marker>
            <c:symbol val="none"/>
          </c:marker>
          <c:cat>
            <c:strRef>
              <c:f>'Detail Report UNDP'!$D$149:$J$149</c:f>
              <c:strCache>
                <c:ptCount val="4"/>
                <c:pt idx="0">
                  <c:v>TOR and Design</c:v>
                </c:pt>
                <c:pt idx="1">
                  <c:v>Report and Methodology</c:v>
                </c:pt>
                <c:pt idx="2">
                  <c:v>Cross-cutting</c:v>
                </c:pt>
                <c:pt idx="3">
                  <c:v>Evaluation Findings, Conclusions and Recommendations</c:v>
                </c:pt>
              </c:strCache>
              <c:extLst/>
            </c:strRef>
          </c:cat>
          <c:val>
            <c:numRef>
              <c:f>'Detail Report UNDP'!$D$151:$J$151</c:f>
              <c:numCache>
                <c:formatCode>0%</c:formatCode>
                <c:ptCount val="4"/>
                <c:pt idx="0">
                  <c:v>0.8159203980099502</c:v>
                </c:pt>
                <c:pt idx="1">
                  <c:v>0.74129353233830841</c:v>
                </c:pt>
                <c:pt idx="2">
                  <c:v>0.65671641791044777</c:v>
                </c:pt>
                <c:pt idx="3">
                  <c:v>0.71144278606965172</c:v>
                </c:pt>
              </c:numCache>
              <c:extLst/>
            </c:numRef>
          </c:val>
          <c:smooth val="0"/>
          <c:extLst>
            <c:ext xmlns:c16="http://schemas.microsoft.com/office/drawing/2014/chart" uri="{C3380CC4-5D6E-409C-BE32-E72D297353CC}">
              <c16:uniqueId val="{00000001-0C0F-4EF0-BD37-F298DCDDD52E}"/>
            </c:ext>
          </c:extLst>
        </c:ser>
        <c:dLbls>
          <c:showLegendKey val="0"/>
          <c:showVal val="0"/>
          <c:showCatName val="0"/>
          <c:showSerName val="0"/>
          <c:showPercent val="0"/>
          <c:showBubbleSize val="0"/>
        </c:dLbls>
        <c:marker val="1"/>
        <c:smooth val="0"/>
        <c:axId val="2055138463"/>
        <c:axId val="1734396831"/>
      </c:lineChart>
      <c:catAx>
        <c:axId val="20551408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34381439"/>
        <c:crosses val="autoZero"/>
        <c:auto val="1"/>
        <c:lblAlgn val="ctr"/>
        <c:lblOffset val="100"/>
        <c:noMultiLvlLbl val="0"/>
      </c:catAx>
      <c:valAx>
        <c:axId val="17343814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55140863"/>
        <c:crosses val="autoZero"/>
        <c:crossBetween val="between"/>
      </c:valAx>
      <c:valAx>
        <c:axId val="1734396831"/>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55138463"/>
        <c:crosses val="max"/>
        <c:crossBetween val="between"/>
      </c:valAx>
      <c:catAx>
        <c:axId val="2055138463"/>
        <c:scaling>
          <c:orientation val="minMax"/>
        </c:scaling>
        <c:delete val="1"/>
        <c:axPos val="b"/>
        <c:numFmt formatCode="General" sourceLinked="1"/>
        <c:majorTickMark val="none"/>
        <c:minorTickMark val="none"/>
        <c:tickLblPos val="nextTo"/>
        <c:crossAx val="1734396831"/>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0FC3E-122F-488E-AAC3-40D5AB504257}">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a8946dc4-2e98-472c-b2e6-ca9019b8dfda"/>
    <ds:schemaRef ds:uri="33856b32-dbbd-4996-9e5d-776de7c2e4f8"/>
    <ds:schemaRef ds:uri="http://www.w3.org/XML/1998/namespace"/>
    <ds:schemaRef ds:uri="http://purl.org/dc/dcmitype/"/>
  </ds:schemaRefs>
</ds:datastoreItem>
</file>

<file path=customXml/itemProps2.xml><?xml version="1.0" encoding="utf-8"?>
<ds:datastoreItem xmlns:ds="http://schemas.openxmlformats.org/officeDocument/2006/customXml" ds:itemID="{8512810F-D38A-4F7C-8C76-1E6567F46F39}">
  <ds:schemaRefs>
    <ds:schemaRef ds:uri="http://schemas.microsoft.com/sharepoint/v3/contenttype/forms"/>
  </ds:schemaRefs>
</ds:datastoreItem>
</file>

<file path=customXml/itemProps3.xml><?xml version="1.0" encoding="utf-8"?>
<ds:datastoreItem xmlns:ds="http://schemas.openxmlformats.org/officeDocument/2006/customXml" ds:itemID="{C21D2702-2156-4051-B0D8-1BE55A59A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CFAE3-C03F-4D67-8F88-AC64F20B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4947</Words>
  <Characters>28199</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Mexhide Spahija</dc:creator>
  <cp:keywords/>
  <dc:description/>
  <cp:lastModifiedBy>Svetlana Iazykova</cp:lastModifiedBy>
  <cp:revision>2</cp:revision>
  <dcterms:created xsi:type="dcterms:W3CDTF">2020-04-17T21:27:00Z</dcterms:created>
  <dcterms:modified xsi:type="dcterms:W3CDTF">2020-04-17T21:27:00Z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NewReviewCycle">
    <vt:lpwstr/>
  </property>
</Properties>
</file>