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237" w:rsidRDefault="00401237">
      <w:pPr>
        <w:rPr>
          <w:spacing w:val="4"/>
          <w:w w:val="103"/>
          <w:kern w:val="14"/>
          <w:lang w:val="en-GB"/>
        </w:rPr>
      </w:pPr>
    </w:p>
    <w:p w:rsidR="00401237" w:rsidRPr="005C04AC" w:rsidRDefault="00401237" w:rsidP="00401237">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0" w:right="1080"/>
        <w:jc w:val="left"/>
        <w:rPr>
          <w:b/>
        </w:rPr>
      </w:pPr>
      <w:r w:rsidRPr="00932DEF">
        <w:rPr>
          <w:b/>
          <w:sz w:val="24"/>
          <w:szCs w:val="24"/>
        </w:rPr>
        <w:t>A</w:t>
      </w:r>
      <w:r w:rsidR="00AD3EB9" w:rsidRPr="00932DEF">
        <w:rPr>
          <w:b/>
          <w:sz w:val="24"/>
          <w:szCs w:val="24"/>
        </w:rPr>
        <w:t>nnex</w:t>
      </w:r>
      <w:r w:rsidR="000878CB">
        <w:rPr>
          <w:b/>
          <w:sz w:val="24"/>
          <w:szCs w:val="24"/>
        </w:rPr>
        <w:t xml:space="preserve"> 2</w:t>
      </w:r>
      <w:r w:rsidR="00932DEF">
        <w:rPr>
          <w:b/>
          <w:sz w:val="24"/>
          <w:szCs w:val="24"/>
        </w:rPr>
        <w:t>.</w:t>
      </w:r>
    </w:p>
    <w:p w:rsidR="00401237" w:rsidRPr="005C04AC" w:rsidRDefault="00907380" w:rsidP="00401237">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080"/>
        <w:jc w:val="center"/>
        <w:rPr>
          <w:b/>
          <w:u w:val="single"/>
        </w:rPr>
      </w:pPr>
      <w:r w:rsidRPr="005C04AC">
        <w:rPr>
          <w:b/>
          <w:u w:val="single"/>
        </w:rPr>
        <w:t xml:space="preserve">2017 </w:t>
      </w:r>
      <w:r w:rsidR="00401237" w:rsidRPr="005C04AC">
        <w:rPr>
          <w:b/>
          <w:u w:val="single"/>
        </w:rPr>
        <w:t>UNDP BOARD RECOMMENDATIONS AND PRIOR YEAR RECOMMENDATIONS THAT ARE UNDER IMPLEMENATION</w:t>
      </w:r>
    </w:p>
    <w:p w:rsidR="00401237" w:rsidRPr="005C04AC" w:rsidRDefault="00401237" w:rsidP="00EB26A7">
      <w:pPr>
        <w:pStyle w:val="HCh"/>
        <w:keepNext w:val="0"/>
        <w:keepLines w:val="0"/>
        <w:widowControl w:val="0"/>
        <w:numPr>
          <w:ilvl w:val="1"/>
          <w:numId w:val="8"/>
        </w:numPr>
        <w:tabs>
          <w:tab w:val="clear" w:pos="1440"/>
          <w:tab w:val="left" w:pos="450"/>
          <w:tab w:val="left" w:pos="540"/>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216" w:right="29" w:firstLine="0"/>
        <w:rPr>
          <w:sz w:val="20"/>
        </w:rPr>
      </w:pPr>
      <w:r w:rsidRPr="005C04AC">
        <w:rPr>
          <w:sz w:val="20"/>
        </w:rPr>
        <w:t>UNDP Recommendations contained in the report o</w:t>
      </w:r>
      <w:r w:rsidR="00907380" w:rsidRPr="005C04AC">
        <w:rPr>
          <w:sz w:val="20"/>
        </w:rPr>
        <w:t>f the Board of Auditors for 2017</w:t>
      </w:r>
      <w:r w:rsidRPr="005C04AC">
        <w:rPr>
          <w:sz w:val="20"/>
        </w:rPr>
        <w:t>.</w:t>
      </w:r>
    </w:p>
    <w:p w:rsidR="00F55518" w:rsidRPr="005C04AC" w:rsidRDefault="00F55518" w:rsidP="00EB26A7">
      <w:pPr>
        <w:tabs>
          <w:tab w:val="left" w:pos="450"/>
        </w:tabs>
        <w:rPr>
          <w:sz w:val="20"/>
          <w:szCs w:val="20"/>
          <w:lang w:val="en-GB"/>
        </w:rPr>
      </w:pPr>
    </w:p>
    <w:p w:rsidR="00907380" w:rsidRPr="005C04AC" w:rsidRDefault="00907380" w:rsidP="00EB26A7">
      <w:pPr>
        <w:pStyle w:val="ListParagraph"/>
        <w:numPr>
          <w:ilvl w:val="0"/>
          <w:numId w:val="34"/>
        </w:num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70" w:right="27" w:hanging="270"/>
        <w:rPr>
          <w:b/>
          <w:bCs/>
          <w:spacing w:val="4"/>
          <w:w w:val="103"/>
          <w:kern w:val="14"/>
          <w:sz w:val="20"/>
          <w:szCs w:val="20"/>
        </w:rPr>
      </w:pPr>
      <w:r w:rsidRPr="005C04AC">
        <w:rPr>
          <w:b/>
          <w:bCs/>
          <w:spacing w:val="4"/>
          <w:w w:val="103"/>
          <w:kern w:val="14"/>
          <w:sz w:val="20"/>
          <w:szCs w:val="20"/>
        </w:rPr>
        <w:t xml:space="preserve">In paragraph 23, UNDP agreed with the Board’s recommendations that the Resident Coordinator’s Office in UNDP Paraguay liaise with the UNCT and the implementing partners to (a) develop the monitoring and evaluation plan of UNDAF which will cover the remaining period of </w:t>
      </w:r>
      <w:proofErr w:type="spellStart"/>
      <w:r w:rsidRPr="005C04AC">
        <w:rPr>
          <w:b/>
          <w:bCs/>
          <w:spacing w:val="4"/>
          <w:w w:val="103"/>
          <w:kern w:val="14"/>
          <w:sz w:val="20"/>
          <w:szCs w:val="20"/>
        </w:rPr>
        <w:t>programme</w:t>
      </w:r>
      <w:proofErr w:type="spellEnd"/>
      <w:r w:rsidRPr="005C04AC">
        <w:rPr>
          <w:b/>
          <w:bCs/>
          <w:spacing w:val="4"/>
          <w:w w:val="103"/>
          <w:kern w:val="14"/>
          <w:sz w:val="20"/>
          <w:szCs w:val="20"/>
        </w:rPr>
        <w:t xml:space="preserve"> cycle of 2015 to 2019, (b) ensure UNDAF monitoring and evaluation activities are done on time for the remaining period of UNDAF, and (c) ensure the completeness and updating of all the information in UNDAF and CPD i.e. matrix of results and resources framework (2015 – 2019).  </w:t>
      </w:r>
    </w:p>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70" w:right="27" w:hanging="270"/>
        <w:rPr>
          <w:spacing w:val="4"/>
          <w:w w:val="103"/>
          <w:kern w:val="14"/>
          <w:sz w:val="20"/>
          <w:szCs w:val="20"/>
        </w:rPr>
      </w:pPr>
    </w:p>
    <w:p w:rsidR="00907380" w:rsidRPr="005C04AC" w:rsidRDefault="00B75D6E"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70" w:right="27" w:hanging="270"/>
        <w:rPr>
          <w:spacing w:val="4"/>
          <w:w w:val="103"/>
          <w:kern w:val="14"/>
          <w:sz w:val="20"/>
          <w:szCs w:val="20"/>
        </w:rPr>
      </w:pPr>
      <w:r w:rsidRPr="005C04AC">
        <w:rPr>
          <w:spacing w:val="4"/>
          <w:w w:val="103"/>
          <w:kern w:val="14"/>
          <w:sz w:val="20"/>
          <w:szCs w:val="20"/>
        </w:rPr>
        <w:tab/>
      </w:r>
      <w:r w:rsidR="00907380" w:rsidRPr="005C04AC">
        <w:rPr>
          <w:spacing w:val="4"/>
          <w:w w:val="103"/>
          <w:kern w:val="14"/>
          <w:sz w:val="20"/>
          <w:szCs w:val="20"/>
        </w:rPr>
        <w:t>The United Nations Country Team, with the support from the Resident Coordinator’s Office, will work with the Technical Planning Secretariat (Ministry of Planning) in order to (a) develop a joint M&amp;E Plan for the 2018/2019 period and carry out the M&amp;E activities included in it, and (b) updating and keeping up-to-date the UNDAF’s Results Matrix.</w:t>
      </w:r>
    </w:p>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70" w:right="27" w:hanging="270"/>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 xml:space="preserve">Regional Bureau for Latin America and the Caribbean </w:t>
            </w:r>
          </w:p>
        </w:tc>
      </w:tr>
      <w:tr w:rsidR="005C04AC" w:rsidRPr="005C04AC" w:rsidTr="00907380">
        <w:tc>
          <w:tcPr>
            <w:tcW w:w="2970"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First quarter of 2019</w:t>
            </w:r>
          </w:p>
        </w:tc>
      </w:tr>
    </w:tbl>
    <w:p w:rsidR="00907380" w:rsidRPr="005C04AC" w:rsidRDefault="00907380" w:rsidP="00EB26A7">
      <w:pPr>
        <w:tabs>
          <w:tab w:val="left" w:pos="360"/>
          <w:tab w:val="left" w:pos="450"/>
          <w:tab w:val="left" w:pos="540"/>
          <w:tab w:val="left" w:pos="1742"/>
          <w:tab w:val="left" w:pos="2218"/>
          <w:tab w:val="left" w:pos="2693"/>
          <w:tab w:val="left" w:pos="3182"/>
          <w:tab w:val="left" w:pos="3658"/>
          <w:tab w:val="left" w:pos="4133"/>
          <w:tab w:val="left" w:pos="4622"/>
          <w:tab w:val="left" w:pos="5098"/>
          <w:tab w:val="left" w:pos="5573"/>
          <w:tab w:val="left" w:pos="6048"/>
        </w:tabs>
        <w:suppressAutoHyphens/>
        <w:ind w:left="270" w:right="27" w:hanging="270"/>
        <w:rPr>
          <w:spacing w:val="4"/>
          <w:w w:val="103"/>
          <w:kern w:val="14"/>
          <w:sz w:val="20"/>
          <w:szCs w:val="20"/>
          <w:lang w:val="en-GB"/>
        </w:rPr>
      </w:pPr>
    </w:p>
    <w:p w:rsidR="00907380" w:rsidRPr="005C04AC" w:rsidRDefault="00907380" w:rsidP="00EB26A7">
      <w:pPr>
        <w:numPr>
          <w:ilvl w:val="0"/>
          <w:numId w:val="34"/>
        </w:numPr>
        <w:tabs>
          <w:tab w:val="left" w:pos="360"/>
          <w:tab w:val="left" w:pos="450"/>
          <w:tab w:val="left" w:pos="540"/>
          <w:tab w:val="left" w:pos="1742"/>
          <w:tab w:val="left" w:pos="2218"/>
          <w:tab w:val="left" w:pos="2693"/>
          <w:tab w:val="left" w:pos="3182"/>
          <w:tab w:val="left" w:pos="3658"/>
          <w:tab w:val="left" w:pos="4133"/>
          <w:tab w:val="left" w:pos="4622"/>
          <w:tab w:val="left" w:pos="5098"/>
          <w:tab w:val="left" w:pos="5573"/>
          <w:tab w:val="left" w:pos="6048"/>
        </w:tabs>
        <w:suppressAutoHyphens/>
        <w:ind w:left="270" w:right="27" w:hanging="270"/>
        <w:rPr>
          <w:b/>
          <w:bCs/>
          <w:spacing w:val="4"/>
          <w:w w:val="103"/>
          <w:kern w:val="14"/>
          <w:sz w:val="20"/>
          <w:szCs w:val="20"/>
        </w:rPr>
      </w:pPr>
      <w:r w:rsidRPr="005C04AC">
        <w:rPr>
          <w:b/>
          <w:bCs/>
          <w:spacing w:val="4"/>
          <w:w w:val="103"/>
          <w:kern w:val="14"/>
          <w:sz w:val="20"/>
          <w:szCs w:val="20"/>
        </w:rPr>
        <w:t xml:space="preserve">In paragraph 24, UNDP agreed with the Board’s recommendation that UNDP South Africa and Egypt Country Offices  (a) continue to liaise with the key counterparts consisting of implementing partners and UNCT so that the counterparts are fully engaged in UNDAF process to smoothen the UNDAF implementation by conducting  annual reviews and responding on time to recommendations of evaluations, (b) formulate strategies to ensure that results of the current UNDAF evaluations and reviews are used to design the next UNDAF, and (c) ensure the conclusions and recommendations from annual and midterm reviews of country </w:t>
      </w:r>
      <w:proofErr w:type="spellStart"/>
      <w:r w:rsidRPr="005C04AC">
        <w:rPr>
          <w:b/>
          <w:bCs/>
          <w:spacing w:val="4"/>
          <w:w w:val="103"/>
          <w:kern w:val="14"/>
          <w:sz w:val="20"/>
          <w:szCs w:val="20"/>
        </w:rPr>
        <w:t>programme</w:t>
      </w:r>
      <w:proofErr w:type="spellEnd"/>
      <w:r w:rsidRPr="005C04AC">
        <w:rPr>
          <w:b/>
          <w:bCs/>
          <w:spacing w:val="4"/>
          <w:w w:val="103"/>
          <w:kern w:val="14"/>
          <w:sz w:val="20"/>
          <w:szCs w:val="20"/>
        </w:rPr>
        <w:t xml:space="preserve"> enable timely update, and revision of the country </w:t>
      </w:r>
      <w:proofErr w:type="spellStart"/>
      <w:r w:rsidRPr="005C04AC">
        <w:rPr>
          <w:b/>
          <w:bCs/>
          <w:spacing w:val="4"/>
          <w:w w:val="103"/>
          <w:kern w:val="14"/>
          <w:sz w:val="20"/>
          <w:szCs w:val="20"/>
        </w:rPr>
        <w:t>programme</w:t>
      </w:r>
      <w:proofErr w:type="spellEnd"/>
      <w:r w:rsidRPr="005C04AC">
        <w:rPr>
          <w:b/>
          <w:bCs/>
          <w:spacing w:val="4"/>
          <w:w w:val="103"/>
          <w:kern w:val="14"/>
          <w:sz w:val="20"/>
          <w:szCs w:val="20"/>
        </w:rPr>
        <w:t xml:space="preserve"> documents.</w:t>
      </w:r>
    </w:p>
    <w:p w:rsidR="00907380" w:rsidRPr="005C04AC" w:rsidRDefault="00B75D6E"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70" w:right="27" w:hanging="270"/>
        <w:rPr>
          <w:spacing w:val="4"/>
          <w:w w:val="103"/>
          <w:kern w:val="14"/>
          <w:sz w:val="20"/>
          <w:szCs w:val="20"/>
        </w:rPr>
      </w:pPr>
      <w:r w:rsidRPr="005C04AC">
        <w:rPr>
          <w:spacing w:val="4"/>
          <w:w w:val="103"/>
          <w:kern w:val="14"/>
          <w:sz w:val="20"/>
          <w:szCs w:val="20"/>
        </w:rPr>
        <w:tab/>
      </w:r>
    </w:p>
    <w:p w:rsidR="00907380" w:rsidRPr="005C04AC" w:rsidRDefault="00B75D6E" w:rsidP="00EB26A7">
      <w:pPr>
        <w:tabs>
          <w:tab w:val="left" w:pos="360"/>
          <w:tab w:val="left" w:pos="450"/>
          <w:tab w:val="left" w:pos="540"/>
          <w:tab w:val="left" w:pos="630"/>
          <w:tab w:val="left" w:pos="720"/>
          <w:tab w:val="left" w:pos="900"/>
          <w:tab w:val="left" w:pos="2693"/>
          <w:tab w:val="left" w:pos="3182"/>
          <w:tab w:val="left" w:pos="3658"/>
          <w:tab w:val="left" w:pos="4133"/>
          <w:tab w:val="left" w:pos="4622"/>
          <w:tab w:val="left" w:pos="5098"/>
          <w:tab w:val="left" w:pos="5573"/>
          <w:tab w:val="left" w:pos="6048"/>
        </w:tabs>
        <w:suppressAutoHyphens/>
        <w:ind w:left="270" w:right="27" w:hanging="270"/>
        <w:rPr>
          <w:spacing w:val="4"/>
          <w:w w:val="103"/>
          <w:kern w:val="14"/>
          <w:sz w:val="20"/>
          <w:szCs w:val="20"/>
        </w:rPr>
      </w:pPr>
      <w:r w:rsidRPr="005C04AC">
        <w:rPr>
          <w:spacing w:val="4"/>
          <w:w w:val="103"/>
          <w:kern w:val="14"/>
          <w:sz w:val="20"/>
          <w:szCs w:val="20"/>
        </w:rPr>
        <w:tab/>
      </w:r>
      <w:r w:rsidR="00907380" w:rsidRPr="005C04AC">
        <w:rPr>
          <w:spacing w:val="4"/>
          <w:w w:val="103"/>
          <w:kern w:val="14"/>
          <w:sz w:val="20"/>
          <w:szCs w:val="20"/>
        </w:rPr>
        <w:t>Regarding part a) the Country Offices Egypt and South Africa will continue to liaise with counterparts for UNDAF/ SCF Roadmap participation.</w:t>
      </w:r>
    </w:p>
    <w:p w:rsidR="00907380" w:rsidRPr="005C04AC" w:rsidRDefault="00B75D6E" w:rsidP="00EB26A7">
      <w:pPr>
        <w:tabs>
          <w:tab w:val="left" w:pos="360"/>
          <w:tab w:val="left" w:pos="450"/>
          <w:tab w:val="left" w:pos="540"/>
          <w:tab w:val="left" w:pos="630"/>
          <w:tab w:val="left" w:pos="720"/>
          <w:tab w:val="left" w:pos="900"/>
          <w:tab w:val="left" w:pos="2693"/>
          <w:tab w:val="left" w:pos="3182"/>
          <w:tab w:val="left" w:pos="3658"/>
          <w:tab w:val="left" w:pos="4133"/>
          <w:tab w:val="left" w:pos="4622"/>
          <w:tab w:val="left" w:pos="5098"/>
          <w:tab w:val="left" w:pos="5573"/>
          <w:tab w:val="left" w:pos="6048"/>
        </w:tabs>
        <w:suppressAutoHyphens/>
        <w:ind w:left="270" w:right="27" w:hanging="270"/>
        <w:rPr>
          <w:spacing w:val="4"/>
          <w:w w:val="103"/>
          <w:kern w:val="14"/>
          <w:sz w:val="20"/>
          <w:szCs w:val="20"/>
        </w:rPr>
      </w:pPr>
      <w:r w:rsidRPr="005C04AC">
        <w:rPr>
          <w:spacing w:val="4"/>
          <w:w w:val="103"/>
          <w:kern w:val="14"/>
          <w:sz w:val="20"/>
          <w:szCs w:val="20"/>
        </w:rPr>
        <w:tab/>
      </w:r>
      <w:r w:rsidR="00907380" w:rsidRPr="005C04AC">
        <w:rPr>
          <w:spacing w:val="4"/>
          <w:w w:val="103"/>
          <w:kern w:val="14"/>
          <w:sz w:val="20"/>
          <w:szCs w:val="20"/>
        </w:rPr>
        <w:t>Regarding part b) the Country Offices Egypt and South Africa will ensure that results of the current UNDAF/SCF Roadmap evaluations and reviews are used to design the next UNDAF/SCF Roadmap.</w:t>
      </w:r>
    </w:p>
    <w:p w:rsidR="00907380" w:rsidRPr="005C04AC" w:rsidRDefault="00B75D6E" w:rsidP="00EB26A7">
      <w:pPr>
        <w:tabs>
          <w:tab w:val="left" w:pos="360"/>
          <w:tab w:val="left" w:pos="450"/>
          <w:tab w:val="left" w:pos="540"/>
          <w:tab w:val="left" w:pos="630"/>
          <w:tab w:val="left" w:pos="720"/>
          <w:tab w:val="left" w:pos="900"/>
          <w:tab w:val="left" w:pos="2693"/>
          <w:tab w:val="left" w:pos="3182"/>
          <w:tab w:val="left" w:pos="3658"/>
          <w:tab w:val="left" w:pos="4133"/>
          <w:tab w:val="left" w:pos="4622"/>
          <w:tab w:val="left" w:pos="5098"/>
          <w:tab w:val="left" w:pos="5573"/>
          <w:tab w:val="left" w:pos="6048"/>
        </w:tabs>
        <w:suppressAutoHyphens/>
        <w:ind w:left="270" w:right="27" w:hanging="270"/>
        <w:rPr>
          <w:spacing w:val="4"/>
          <w:w w:val="103"/>
          <w:kern w:val="14"/>
          <w:sz w:val="20"/>
          <w:szCs w:val="20"/>
        </w:rPr>
      </w:pPr>
      <w:r w:rsidRPr="005C04AC">
        <w:rPr>
          <w:spacing w:val="4"/>
          <w:w w:val="103"/>
          <w:kern w:val="14"/>
          <w:sz w:val="20"/>
          <w:szCs w:val="20"/>
        </w:rPr>
        <w:tab/>
      </w:r>
      <w:r w:rsidR="00907380" w:rsidRPr="005C04AC">
        <w:rPr>
          <w:spacing w:val="4"/>
          <w:w w:val="103"/>
          <w:kern w:val="14"/>
          <w:sz w:val="20"/>
          <w:szCs w:val="20"/>
        </w:rPr>
        <w:t xml:space="preserve">Regarding part c) the Country Offices Egypt and South Africa will ensure that the conclusions and recommendations from annual and midterm reviews of country </w:t>
      </w:r>
      <w:proofErr w:type="spellStart"/>
      <w:r w:rsidR="00907380" w:rsidRPr="005C04AC">
        <w:rPr>
          <w:spacing w:val="4"/>
          <w:w w:val="103"/>
          <w:kern w:val="14"/>
          <w:sz w:val="20"/>
          <w:szCs w:val="20"/>
        </w:rPr>
        <w:t>programmes</w:t>
      </w:r>
      <w:proofErr w:type="spellEnd"/>
      <w:r w:rsidR="00907380" w:rsidRPr="005C04AC">
        <w:rPr>
          <w:spacing w:val="4"/>
          <w:w w:val="103"/>
          <w:kern w:val="14"/>
          <w:sz w:val="20"/>
          <w:szCs w:val="20"/>
        </w:rPr>
        <w:t xml:space="preserve"> are used in revision of the country </w:t>
      </w:r>
      <w:proofErr w:type="spellStart"/>
      <w:r w:rsidR="00907380" w:rsidRPr="005C04AC">
        <w:rPr>
          <w:spacing w:val="4"/>
          <w:w w:val="103"/>
          <w:kern w:val="14"/>
          <w:sz w:val="20"/>
          <w:szCs w:val="20"/>
        </w:rPr>
        <w:t>programme</w:t>
      </w:r>
      <w:proofErr w:type="spellEnd"/>
      <w:r w:rsidR="00907380" w:rsidRPr="005C04AC">
        <w:rPr>
          <w:spacing w:val="4"/>
          <w:w w:val="103"/>
          <w:kern w:val="14"/>
          <w:sz w:val="20"/>
          <w:szCs w:val="20"/>
        </w:rPr>
        <w:t xml:space="preserve"> documents.</w:t>
      </w:r>
    </w:p>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70" w:right="27" w:hanging="270"/>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Department responsible:</w:t>
            </w:r>
          </w:p>
        </w:tc>
        <w:tc>
          <w:tcPr>
            <w:tcW w:w="5033" w:type="dxa"/>
            <w:hideMark/>
          </w:tcPr>
          <w:p w:rsidR="0047733A"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 xml:space="preserve">Regional Bureau for Africa and Regional </w:t>
            </w:r>
            <w:r w:rsidR="0047733A">
              <w:rPr>
                <w:spacing w:val="4"/>
                <w:sz w:val="20"/>
                <w:szCs w:val="20"/>
              </w:rPr>
              <w:t>Bureau for</w:t>
            </w:r>
          </w:p>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Arab States</w:t>
            </w:r>
          </w:p>
        </w:tc>
      </w:tr>
      <w:tr w:rsidR="005C04AC" w:rsidRPr="005C04AC" w:rsidTr="00907380">
        <w:tc>
          <w:tcPr>
            <w:tcW w:w="2970"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360"/>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270" w:right="27" w:hanging="270"/>
              <w:rPr>
                <w:spacing w:val="4"/>
                <w:sz w:val="20"/>
                <w:szCs w:val="20"/>
              </w:rPr>
            </w:pPr>
            <w:r w:rsidRPr="005C04AC">
              <w:rPr>
                <w:spacing w:val="4"/>
                <w:sz w:val="20"/>
                <w:szCs w:val="20"/>
              </w:rPr>
              <w:t>First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30, </w:t>
      </w:r>
      <w:r w:rsidRPr="005C04AC">
        <w:rPr>
          <w:b/>
          <w:spacing w:val="4"/>
          <w:w w:val="103"/>
          <w:kern w:val="14"/>
          <w:sz w:val="20"/>
          <w:szCs w:val="20"/>
        </w:rPr>
        <w:t>UNDP agreed with the Board’s recommendation that in future (a) UNDP Turkey, Egypt and Turkmenistan update information in the Evaluation Resources Centre (ERC) in a timely manner; and (b) UNDP Headquarters establish controls to ensure all Country Offices update information in the ERC including setting timeframes for completion of updates after evaluation has been completed</w:t>
      </w:r>
      <w:r w:rsidRPr="005C04AC">
        <w:rPr>
          <w:b/>
          <w:bCs/>
          <w:spacing w:val="4"/>
          <w:w w:val="103"/>
          <w:kern w:val="14"/>
          <w:sz w:val="20"/>
          <w:szCs w:val="20"/>
        </w:rPr>
        <w:t>.</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Regarding part a) the Country Offices Turkey and Turkmenistan will update the ERC in a timely matter. Management of the Country Office Egypt has already implemented the recommendation.</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lastRenderedPageBreak/>
        <w:t>Regarding part b) UNDP will liaise with the Independent Evaluation Office at Headquarter level to establish a follow-up process.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7733A" w:rsidRPr="005C04AC" w:rsidTr="0047733A">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 for Europe and the Commonwealth of Independent States and Bureau for Policy and </w:t>
            </w:r>
            <w:proofErr w:type="spellStart"/>
            <w:r w:rsidRPr="005C04AC">
              <w:rPr>
                <w:spacing w:val="4"/>
                <w:sz w:val="20"/>
                <w:szCs w:val="20"/>
              </w:rPr>
              <w:t>Programme</w:t>
            </w:r>
            <w:proofErr w:type="spellEnd"/>
            <w:r w:rsidRPr="005C04AC">
              <w:rPr>
                <w:spacing w:val="4"/>
                <w:sz w:val="20"/>
                <w:szCs w:val="20"/>
              </w:rPr>
              <w:t xml:space="preserve"> Support</w:t>
            </w:r>
          </w:p>
        </w:tc>
      </w:tr>
      <w:tr w:rsidR="005C04AC" w:rsidRPr="005C04AC" w:rsidTr="0047733A">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47733A">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47733A">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35, UNDP agreed with the Board recommendations that Country Offices (a) continue consultation with implementing partners such that Combined Delivery Reports (CDRs) are signed on time by UNDP and implementing partners in compliance with the </w:t>
      </w:r>
      <w:proofErr w:type="spellStart"/>
      <w:r w:rsidRPr="005C04AC">
        <w:rPr>
          <w:b/>
          <w:bCs/>
          <w:spacing w:val="4"/>
          <w:w w:val="103"/>
          <w:kern w:val="14"/>
          <w:sz w:val="20"/>
          <w:szCs w:val="20"/>
        </w:rPr>
        <w:t>Programme</w:t>
      </w:r>
      <w:proofErr w:type="spellEnd"/>
      <w:r w:rsidRPr="005C04AC">
        <w:rPr>
          <w:b/>
          <w:bCs/>
          <w:spacing w:val="4"/>
          <w:w w:val="103"/>
          <w:kern w:val="14"/>
          <w:sz w:val="20"/>
          <w:szCs w:val="20"/>
        </w:rPr>
        <w:t xml:space="preserve"> and Operations Policies and Procedures; (b) ensure the follow-up requests to the implementing partners are conducted on time and evidence of the follow up are uploaded to the CDR library in the Corporate Planning System; and (c) certify the CDR on time when implementing partners are not responding after a reasonably extended period.</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Regarding part a) UNDP will continue consultation with implementing partners to improve CDR timeliness.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Regarding part b) UNDP will enhance efforts that follow-ups are sent on time and evidence is uploaded to the CDR library on time.</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Regarding part c) UNDP has issued a policy for CDR closure in case of non-responding implementing partners in 2017 and will monitor compliance.</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w:t>
            </w:r>
            <w:proofErr w:type="spellStart"/>
            <w:r w:rsidRPr="005C04AC">
              <w:rPr>
                <w:spacing w:val="4"/>
                <w:sz w:val="20"/>
                <w:szCs w:val="20"/>
              </w:rPr>
              <w:t>Bureaux</w:t>
            </w:r>
            <w:proofErr w:type="spellEnd"/>
            <w:r w:rsidRPr="005C04AC">
              <w:rPr>
                <w:spacing w:val="4"/>
                <w:sz w:val="20"/>
                <w:szCs w:val="20"/>
              </w:rPr>
              <w:t xml:space="preserve">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41, UNDP agreed with the Board recommendation to ensure that Country Offices review and update projects’ risks, issues and monitoring logs and document information in Atlas on time as the primary source of project information.</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UNDP will continue to monitor compliance with these requirements through its annual project quality analysis process.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w:t>
            </w:r>
            <w:proofErr w:type="spellStart"/>
            <w:r w:rsidRPr="005C04AC">
              <w:rPr>
                <w:spacing w:val="4"/>
                <w:sz w:val="20"/>
                <w:szCs w:val="20"/>
              </w:rPr>
              <w:t>Bureaux</w:t>
            </w:r>
            <w:proofErr w:type="spellEnd"/>
            <w:r w:rsidRPr="005C04AC">
              <w:rPr>
                <w:spacing w:val="4"/>
                <w:sz w:val="20"/>
                <w:szCs w:val="20"/>
              </w:rPr>
              <w:t xml:space="preserve">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47, </w:t>
      </w:r>
      <w:r w:rsidRPr="005C04AC">
        <w:rPr>
          <w:b/>
          <w:spacing w:val="4"/>
          <w:w w:val="103"/>
          <w:kern w:val="14"/>
          <w:sz w:val="20"/>
          <w:szCs w:val="20"/>
        </w:rPr>
        <w:t>the Board recommended that the UNDP country offices in consultation with the implementing partner (a) analyze the projects documents on their relevance and timing, and consider for revision due to lapse of time, and (b) consider setting the timeframe for implementing partners to approve the projects’ documents.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Regarding part a) UNDP agrees on the need to closely manage pipeline and to develop project documents within a stipulated timeframe agreeable to donors and implementing partners. UNDP will consider additional efforts to improve pipeline management, including review of specification of pipeline mat</w:t>
      </w:r>
      <w:r w:rsidR="00DC0E62">
        <w:rPr>
          <w:spacing w:val="4"/>
          <w:w w:val="103"/>
          <w:kern w:val="14"/>
          <w:sz w:val="20"/>
          <w:szCs w:val="20"/>
        </w:rPr>
        <w:t xml:space="preserve">urity periods and recording of </w:t>
      </w:r>
      <w:r w:rsidR="00DC0E62">
        <w:rPr>
          <w:spacing w:val="4"/>
          <w:w w:val="103"/>
          <w:kern w:val="14"/>
          <w:sz w:val="20"/>
          <w:szCs w:val="20"/>
        </w:rPr>
        <w:tab/>
      </w:r>
      <w:r w:rsidRPr="005C04AC">
        <w:rPr>
          <w:spacing w:val="4"/>
          <w:w w:val="103"/>
          <w:kern w:val="14"/>
          <w:sz w:val="20"/>
          <w:szCs w:val="20"/>
        </w:rPr>
        <w:t>agreeable timeframes for the signature of project documents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Regarding part b) UNDP will analyze the potential effects of setting a timeframe for implementing partners.</w:t>
      </w:r>
      <w:r w:rsidRPr="005C04AC">
        <w:rPr>
          <w:spacing w:val="4"/>
          <w:w w:val="103"/>
          <w:kern w:val="14"/>
          <w:sz w:val="20"/>
          <w:szCs w:val="20"/>
        </w:rPr>
        <w:br/>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w:t>
            </w:r>
            <w:proofErr w:type="spellStart"/>
            <w:r w:rsidRPr="005C04AC">
              <w:rPr>
                <w:spacing w:val="4"/>
                <w:sz w:val="20"/>
                <w:szCs w:val="20"/>
              </w:rPr>
              <w:t>Bureaux</w:t>
            </w:r>
            <w:proofErr w:type="spellEnd"/>
            <w:r w:rsidRPr="005C04AC">
              <w:rPr>
                <w:spacing w:val="4"/>
                <w:sz w:val="20"/>
                <w:szCs w:val="20"/>
              </w:rPr>
              <w:t xml:space="preserve">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lastRenderedPageBreak/>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52, UNDP agreed with the Board’s recommendation (a) to provide further guidance to the Country Office concerning implementation of the Harmonized Approach to Cash </w:t>
      </w:r>
      <w:proofErr w:type="spellStart"/>
      <w:r w:rsidRPr="005C04AC">
        <w:rPr>
          <w:b/>
          <w:bCs/>
          <w:spacing w:val="4"/>
          <w:w w:val="103"/>
          <w:kern w:val="14"/>
          <w:sz w:val="20"/>
          <w:szCs w:val="20"/>
        </w:rPr>
        <w:t>Tansfer</w:t>
      </w:r>
      <w:proofErr w:type="spellEnd"/>
      <w:r w:rsidRPr="005C04AC">
        <w:rPr>
          <w:b/>
          <w:bCs/>
          <w:spacing w:val="4"/>
          <w:w w:val="103"/>
          <w:kern w:val="14"/>
          <w:sz w:val="20"/>
          <w:szCs w:val="20"/>
        </w:rPr>
        <w:t xml:space="preserve"> (HACT) framework; and (b) continue to advocate to the Government and development partners on the importance of implementing HACT framework in the Country Office.</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UNDP will provide further guidance on HACT to the Country Office Turkmenistan and continue to advocate with the Government and development partners as suggested.</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 for Europe and the Commonwealth of Independent States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spacing w:val="4"/>
          <w:w w:val="103"/>
          <w:kern w:val="14"/>
          <w:sz w:val="20"/>
          <w:szCs w:val="20"/>
        </w:rPr>
      </w:pPr>
      <w:r w:rsidRPr="005C04AC">
        <w:rPr>
          <w:b/>
          <w:bCs/>
          <w:spacing w:val="4"/>
          <w:w w:val="103"/>
          <w:kern w:val="14"/>
          <w:sz w:val="20"/>
          <w:szCs w:val="20"/>
        </w:rPr>
        <w:t xml:space="preserve">In paragraph 57, </w:t>
      </w:r>
      <w:r w:rsidRPr="005C04AC">
        <w:rPr>
          <w:b/>
          <w:spacing w:val="4"/>
          <w:w w:val="103"/>
          <w:kern w:val="14"/>
          <w:sz w:val="20"/>
          <w:szCs w:val="20"/>
        </w:rPr>
        <w:t xml:space="preserve">UNDP agreed with the Board's recommendation that, Turkmenistan, South Africa, Turkey and Paraguay Country Offices encourage that HACT Working Groups are active and perform their duties to facilitate planning and implementation of HACT framework in the respective countries through regular meetings and activities which should be documented. </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The Country Offices have already reactivated their HACT Working Groups.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 for Africa, Regional Bureau for Europe and the Commonwealth of Independent States and Regional Bureau for Latin America and the Caribbean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spacing w:val="4"/>
          <w:w w:val="103"/>
          <w:kern w:val="14"/>
          <w:sz w:val="20"/>
          <w:szCs w:val="20"/>
        </w:rPr>
      </w:pPr>
      <w:r w:rsidRPr="005C04AC">
        <w:rPr>
          <w:b/>
          <w:bCs/>
          <w:spacing w:val="4"/>
          <w:w w:val="103"/>
          <w:kern w:val="14"/>
          <w:sz w:val="20"/>
          <w:szCs w:val="20"/>
        </w:rPr>
        <w:t xml:space="preserve">In paragraph 61, UNDP agreed with the Board recommendation that South Africa Country Office use </w:t>
      </w:r>
      <w:r w:rsidRPr="005C04AC">
        <w:rPr>
          <w:b/>
          <w:spacing w:val="4"/>
          <w:w w:val="103"/>
          <w:kern w:val="14"/>
          <w:sz w:val="20"/>
          <w:szCs w:val="20"/>
        </w:rPr>
        <w:t>Public Expenditure and Financial Accountability</w:t>
      </w:r>
      <w:r w:rsidRPr="005C04AC">
        <w:rPr>
          <w:b/>
          <w:bCs/>
          <w:spacing w:val="4"/>
          <w:w w:val="103"/>
          <w:kern w:val="14"/>
          <w:sz w:val="20"/>
          <w:szCs w:val="20"/>
        </w:rPr>
        <w:t xml:space="preserve"> reports as a source of information and liaise with other United Nation Agencies to conduct HACT macro assessments to align with their Country Office </w:t>
      </w:r>
      <w:proofErr w:type="spellStart"/>
      <w:r w:rsidRPr="005C04AC">
        <w:rPr>
          <w:b/>
          <w:bCs/>
          <w:spacing w:val="4"/>
          <w:w w:val="103"/>
          <w:kern w:val="14"/>
          <w:sz w:val="20"/>
          <w:szCs w:val="20"/>
        </w:rPr>
        <w:t>programme</w:t>
      </w:r>
      <w:proofErr w:type="spellEnd"/>
      <w:r w:rsidRPr="005C04AC">
        <w:rPr>
          <w:b/>
          <w:bCs/>
          <w:spacing w:val="4"/>
          <w:w w:val="103"/>
          <w:kern w:val="14"/>
          <w:sz w:val="20"/>
          <w:szCs w:val="20"/>
        </w:rPr>
        <w:t xml:space="preserve"> cycles as required by </w:t>
      </w:r>
      <w:proofErr w:type="spellStart"/>
      <w:r w:rsidRPr="005C04AC">
        <w:rPr>
          <w:b/>
          <w:bCs/>
          <w:spacing w:val="4"/>
          <w:w w:val="103"/>
          <w:kern w:val="14"/>
          <w:sz w:val="20"/>
          <w:szCs w:val="20"/>
        </w:rPr>
        <w:t>Programme</w:t>
      </w:r>
      <w:proofErr w:type="spellEnd"/>
      <w:r w:rsidRPr="005C04AC">
        <w:rPr>
          <w:b/>
          <w:bCs/>
          <w:spacing w:val="4"/>
          <w:w w:val="103"/>
          <w:kern w:val="14"/>
          <w:sz w:val="20"/>
          <w:szCs w:val="20"/>
        </w:rPr>
        <w:t xml:space="preserve"> and Operations Policies and Procedures on HACT and United Nations Development Group HACT framework.</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 xml:space="preserve">Implementation of the HACT framework in the Country Office is being revived. It is encouraging that the UN system in South Africa is geared towards implementing the Delivering as One approach and that HACT will be strengthened by UN reform, which requires the UN agencies to increase cooperation. </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 for Africa</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66, the Board recommended that, in future, UNDP Paraguay and Egypt Country Offices conduct micro-assessments of implementing partners and determine the appropriate cash transfer modality before engaging them to perform </w:t>
      </w:r>
      <w:proofErr w:type="spellStart"/>
      <w:r w:rsidRPr="005C04AC">
        <w:rPr>
          <w:b/>
          <w:bCs/>
          <w:spacing w:val="4"/>
          <w:w w:val="103"/>
          <w:kern w:val="14"/>
          <w:sz w:val="20"/>
          <w:szCs w:val="20"/>
        </w:rPr>
        <w:t>programme</w:t>
      </w:r>
      <w:proofErr w:type="spellEnd"/>
      <w:r w:rsidRPr="005C04AC">
        <w:rPr>
          <w:b/>
          <w:bCs/>
          <w:spacing w:val="4"/>
          <w:w w:val="103"/>
          <w:kern w:val="14"/>
          <w:sz w:val="20"/>
          <w:szCs w:val="20"/>
        </w:rPr>
        <w:t xml:space="preserve"> activities in line with HACT POPP</w:t>
      </w:r>
      <w:r w:rsidRPr="005C04AC">
        <w:rPr>
          <w:b/>
          <w:spacing w:val="4"/>
          <w:w w:val="103"/>
          <w:kern w:val="14"/>
          <w:sz w:val="20"/>
          <w:szCs w:val="20"/>
        </w:rPr>
        <w:t>.</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The Country Offices will conduct micro-assessments or establish compensating controls.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 for Arab States and Regional Bureau for Latin America and the Caribbean</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lastRenderedPageBreak/>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73, the Board recommended that in future UNDP update in a timely manner, the contents of the HACT POPP, related guidance notes and methodology (checklist) to accommodate and harmonize changes pursuant to UNDP requirements before Country Offices start implementation of those changes. </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Going forward, UNDP will update HACT POPP content on time.</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BMS/ Office of Financial Resources Management</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B75D6E"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Implemented</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79, the Board recommended that UNDP document their process of annual review performed to evidence the review of useful lives of assets; and specify in the policy guidelines the manner in which the review of useful life of assets will be performed and documented</w:t>
      </w:r>
      <w:r w:rsidRPr="005C04AC">
        <w:rPr>
          <w:b/>
          <w:spacing w:val="4"/>
          <w:w w:val="103"/>
          <w:kern w:val="14"/>
          <w:sz w:val="20"/>
          <w:szCs w:val="20"/>
        </w:rPr>
        <w:t>.</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UNDP will document the process of annual useful life review and address policy guidelines, as specified.</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BMS/ Office of Sourcing and Operations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83, the Board recommended UNDP establish a mechanism such as timesheets to capture time spent by UNDP staff in in order</w:t>
      </w:r>
      <w:r w:rsidRPr="005C04AC">
        <w:rPr>
          <w:b/>
          <w:spacing w:val="4"/>
          <w:w w:val="103"/>
          <w:kern w:val="14"/>
          <w:sz w:val="20"/>
          <w:szCs w:val="20"/>
        </w:rPr>
        <w:t xml:space="preserve"> to</w:t>
      </w:r>
      <w:r w:rsidRPr="005C04AC">
        <w:rPr>
          <w:b/>
          <w:bCs/>
          <w:spacing w:val="4"/>
          <w:w w:val="103"/>
          <w:kern w:val="14"/>
          <w:sz w:val="20"/>
          <w:szCs w:val="20"/>
        </w:rPr>
        <w:t xml:space="preserve"> improve determination of staff costs for internally developed software</w:t>
      </w:r>
      <w:r w:rsidRPr="005C04AC">
        <w:rPr>
          <w:b/>
          <w:spacing w:val="4"/>
          <w:w w:val="103"/>
          <w:kern w:val="14"/>
          <w:sz w:val="20"/>
          <w:szCs w:val="20"/>
        </w:rPr>
        <w:t>.</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UNDP will develop timesheets for internally developed software.</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BMS/ Office of Information Management and Technology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B75D6E"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Implemented</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88, UNDP agree</w:t>
      </w:r>
      <w:r w:rsidRPr="005C04AC">
        <w:rPr>
          <w:b/>
          <w:spacing w:val="4"/>
          <w:w w:val="103"/>
          <w:kern w:val="14"/>
          <w:sz w:val="20"/>
          <w:szCs w:val="20"/>
        </w:rPr>
        <w:t>d</w:t>
      </w:r>
      <w:r w:rsidRPr="005C04AC">
        <w:rPr>
          <w:b/>
          <w:bCs/>
          <w:spacing w:val="4"/>
          <w:w w:val="103"/>
          <w:kern w:val="14"/>
          <w:sz w:val="20"/>
          <w:szCs w:val="20"/>
        </w:rPr>
        <w:t xml:space="preserve"> with the Board’s recommendation that Malawi, Paraguay and South Africa Country Offices ensure that in future, evaluations of service contracts are completed on time, ideally </w:t>
      </w:r>
      <w:r w:rsidRPr="005C04AC">
        <w:rPr>
          <w:b/>
          <w:spacing w:val="4"/>
          <w:w w:val="103"/>
          <w:kern w:val="14"/>
          <w:sz w:val="20"/>
          <w:szCs w:val="20"/>
        </w:rPr>
        <w:t>one month prior to expiration of contracts as per policy, to give reasonable time for the office to make relevant and timely decisions regarding service contracts.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 xml:space="preserve">The Country Offices have stepped up their efforts to ensure that service contract evaluations are done on time. This includes reminders sent to project and </w:t>
      </w:r>
      <w:proofErr w:type="spellStart"/>
      <w:r w:rsidRPr="005C04AC">
        <w:rPr>
          <w:spacing w:val="4"/>
          <w:w w:val="103"/>
          <w:kern w:val="14"/>
          <w:sz w:val="20"/>
          <w:szCs w:val="20"/>
        </w:rPr>
        <w:t>programme</w:t>
      </w:r>
      <w:proofErr w:type="spellEnd"/>
      <w:r w:rsidRPr="005C04AC">
        <w:rPr>
          <w:spacing w:val="4"/>
          <w:w w:val="103"/>
          <w:kern w:val="14"/>
          <w:sz w:val="20"/>
          <w:szCs w:val="20"/>
        </w:rPr>
        <w:t xml:space="preserve"> managers.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 for Africa and Regional Bureau for Latin America and the Caribbean</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92, UNDP agreed with the Board’s recommendation that Turkmenistan Country Office (a) align the job descriptions for the hired service contract individuals with the Service Contract User Guide, and (b) ensure the service contract holders do not perform internal control functions to compensate for absence of staff</w:t>
      </w:r>
      <w:r w:rsidRPr="005C04AC">
        <w:rPr>
          <w:b/>
          <w:spacing w:val="4"/>
          <w:w w:val="103"/>
          <w:kern w:val="14"/>
          <w:sz w:val="20"/>
          <w:szCs w:val="20"/>
        </w:rPr>
        <w:t>.</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The Country Office Turkmenistan will review its usage of service contract with due consideration to the alignment of job descriptions.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 for Europe and the Commonwealth of Independent States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5C04AC">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spacing w:val="4"/>
          <w:w w:val="103"/>
          <w:kern w:val="14"/>
          <w:sz w:val="20"/>
          <w:szCs w:val="20"/>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97, The Board re-iterated its previous recommendations that UNDP ensure all staff members complete mandatory training courses on time.</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UNDP management will review compliance with the completion of mandatory trainings on an annual basis and will send reminders to offices with low completion rates.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UNDP All; tracked by BMS/ Office of Human Resources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102, </w:t>
      </w:r>
      <w:r w:rsidRPr="005C04AC">
        <w:rPr>
          <w:b/>
          <w:spacing w:val="4"/>
          <w:w w:val="103"/>
          <w:kern w:val="14"/>
          <w:sz w:val="20"/>
          <w:szCs w:val="20"/>
        </w:rPr>
        <w:t>UNDP agreed with the Board’s recommendations that Country Offices (a) encourage staff to exercise their leave within the period in which leave is earned, and (b) ensure the implementation of leave plan so that the office operates efficiently at all times and ultimately reduce cases of forfeited untaken leave days.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UNDP will continue to remind staff to take leave.</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w:t>
            </w:r>
            <w:proofErr w:type="spellStart"/>
            <w:r w:rsidRPr="005C04AC">
              <w:rPr>
                <w:spacing w:val="4"/>
                <w:sz w:val="20"/>
                <w:szCs w:val="20"/>
              </w:rPr>
              <w:t>Bureaux</w:t>
            </w:r>
            <w:proofErr w:type="spellEnd"/>
            <w:r w:rsidRPr="005C04AC">
              <w:rPr>
                <w:spacing w:val="4"/>
                <w:sz w:val="20"/>
                <w:szCs w:val="20"/>
              </w:rPr>
              <w:t xml:space="preserve">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108, the Board recommended UNDP (a) conduct the Asset and Liability Management (ALM) study to review the appropriateness of the funding plan and other valuation assumptions, (b) update its policy (for funding of end of services liabilities) to specify the frequency of ALM studies as the current policy is silent in this area</w:t>
      </w:r>
      <w:r w:rsidRPr="005C04AC">
        <w:rPr>
          <w:b/>
          <w:spacing w:val="4"/>
          <w:w w:val="103"/>
          <w:kern w:val="14"/>
          <w:sz w:val="20"/>
          <w:szCs w:val="20"/>
        </w:rPr>
        <w:t>.</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UNDP will conduct the ALM study in 2018 and update its policy accordingly.</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BMS/ Office of Financial Resources Management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113, the Board recommended that UNDP (a) specify in the investment guideline the manner in which its review will be performed and documented, (b) in future, to perform annual reviews of the investment guideline and keep documentations of the reviews conducted</w:t>
      </w:r>
      <w:r w:rsidRPr="005C04AC">
        <w:rPr>
          <w:b/>
          <w:spacing w:val="4"/>
          <w:w w:val="103"/>
          <w:kern w:val="14"/>
          <w:sz w:val="20"/>
          <w:szCs w:val="20"/>
        </w:rPr>
        <w:t>.</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UNDP will update the investment guideline accordingly and conduct annual reviews going forward.</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BMS/ Office of Financial Resources Management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617E6"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Implemented</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117, </w:t>
      </w:r>
      <w:r w:rsidRPr="005C04AC">
        <w:rPr>
          <w:b/>
          <w:spacing w:val="4"/>
          <w:w w:val="103"/>
          <w:kern w:val="14"/>
          <w:sz w:val="20"/>
          <w:szCs w:val="20"/>
        </w:rPr>
        <w:t>UNDP agreed with the Board’s recommendation that the Country Office liaise with the Government, Regional Bureau and UNDP Headquarters regarding the fate of aged outstanding GLOC in order to report GLOC balances which are current and collectible.</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The Country Office Paraguay will continue to follow up with the Minister of Foreign Affairs until GLOC has been paid.</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 for Latin America and the Caribbean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123, UNDP agreed with the Board’s recommendation that Country Offices ensure (a) UN Agencies sign the Memorandum of Understanding (MoU) for the occupancy and use of UN common premises, and (b) all amount due for payments or refunds between Agencies are settled on time in accordance with the Memorandum of Understanding</w:t>
      </w:r>
      <w:r w:rsidRPr="005C04AC">
        <w:rPr>
          <w:b/>
          <w:spacing w:val="4"/>
          <w:w w:val="103"/>
          <w:kern w:val="14"/>
          <w:sz w:val="20"/>
          <w:szCs w:val="20"/>
        </w:rPr>
        <w:t>.</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UNDP will negotiate with the agencies to sign MoUs on time. UNDP will also follow-up on payments and refunds.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w:t>
            </w:r>
            <w:proofErr w:type="spellStart"/>
            <w:r w:rsidRPr="005C04AC">
              <w:rPr>
                <w:spacing w:val="4"/>
                <w:sz w:val="20"/>
                <w:szCs w:val="20"/>
              </w:rPr>
              <w:t>Bureaux</w:t>
            </w:r>
            <w:proofErr w:type="spellEnd"/>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spacing w:val="4"/>
          <w:w w:val="103"/>
          <w:kern w:val="14"/>
          <w:sz w:val="20"/>
          <w:szCs w:val="20"/>
        </w:rPr>
      </w:pPr>
      <w:r w:rsidRPr="005C04AC">
        <w:rPr>
          <w:b/>
          <w:bCs/>
          <w:spacing w:val="4"/>
          <w:w w:val="103"/>
          <w:kern w:val="14"/>
          <w:sz w:val="20"/>
          <w:szCs w:val="20"/>
        </w:rPr>
        <w:t xml:space="preserve">In paragraph 128, </w:t>
      </w:r>
      <w:r w:rsidRPr="005C04AC">
        <w:rPr>
          <w:b/>
          <w:spacing w:val="4"/>
          <w:w w:val="103"/>
          <w:kern w:val="14"/>
          <w:sz w:val="20"/>
          <w:szCs w:val="20"/>
        </w:rPr>
        <w:t>the Board recommended UNDP (a) use the industry best practices (Prince2, Agile, ROI) in preparing annual evaluation of ICT roadmaps to ensure that projects’ deliverables are measurable and linked to organization’s strategic outputs/priorities, and (b) update the ICT project management guideline such that it stipulate the need for assessing projects to ensure projects achieve strategic outputs based on defined metrics as per PRINCE2 benefit review plan and quality criteria.</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In the future, UNDP will use industry best practices in its annual evaluation of ICT roadmaps and will update the ICT project management guideline, as advised.</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BMS/ Office of Information Management and Technology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617E6"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Implemented</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132, the Board recommended UNDP (a) specify materiality criteria and threshold for developed applications which require formal source code review, and (b) conduct applicable source code reviews and establish a mechanism to track comments from the review to ensure developers correct all noted issues</w:t>
      </w:r>
      <w:r w:rsidRPr="005C04AC">
        <w:rPr>
          <w:b/>
          <w:spacing w:val="4"/>
          <w:w w:val="103"/>
          <w:kern w:val="14"/>
          <w:sz w:val="20"/>
          <w:szCs w:val="20"/>
        </w:rPr>
        <w:t>.</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UNDP will specify materiality criteria and conduct source code reviews as necessary.</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BMS/ Office of Information Management and Technology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617E6"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Implemented</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lastRenderedPageBreak/>
        <w:t>In paragraph 136, UNDP agreed with the Board's recommendation that (a) Country Offices implement design of EFT interface as per Atlas banking system guidelines to eliminate manual intervention and prevent unauthorized access to EFT files residing in the network by encryption, and (b) establish a mechanism of keeping backup of EFT files for reconciliation of records.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UNDP Headquarters is developing a project for corporate solution to address the data security issues.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 for Africa and BMS/ Office of Financial Resources Management</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142, </w:t>
      </w:r>
      <w:r w:rsidRPr="005C04AC">
        <w:rPr>
          <w:b/>
          <w:spacing w:val="4"/>
          <w:w w:val="103"/>
          <w:kern w:val="14"/>
          <w:sz w:val="20"/>
          <w:szCs w:val="20"/>
        </w:rPr>
        <w:t>UNDP agreed with the Board’s recommendation that South Africa and Egypt Country Offices</w:t>
      </w:r>
      <w:r w:rsidRPr="005C04AC">
        <w:rPr>
          <w:b/>
          <w:bCs/>
          <w:spacing w:val="4"/>
          <w:w w:val="103"/>
          <w:kern w:val="14"/>
          <w:sz w:val="20"/>
          <w:szCs w:val="20"/>
        </w:rPr>
        <w:t xml:space="preserve"> (a) strengthen controls over information security </w:t>
      </w:r>
      <w:bookmarkStart w:id="0" w:name="_Hlk506226664"/>
      <w:r w:rsidRPr="005C04AC">
        <w:rPr>
          <w:b/>
          <w:bCs/>
          <w:spacing w:val="4"/>
          <w:w w:val="103"/>
          <w:kern w:val="14"/>
          <w:sz w:val="20"/>
          <w:szCs w:val="20"/>
        </w:rPr>
        <w:t xml:space="preserve">to ensure that </w:t>
      </w:r>
      <w:bookmarkEnd w:id="0"/>
      <w:r w:rsidRPr="005C04AC">
        <w:rPr>
          <w:b/>
          <w:bCs/>
          <w:spacing w:val="4"/>
          <w:w w:val="103"/>
          <w:kern w:val="14"/>
          <w:sz w:val="20"/>
          <w:szCs w:val="20"/>
        </w:rPr>
        <w:t>the Disaster Recovery Plans (DRPs) and Business Continuity Plans (BCPs) are tested on time and test results are documented, and (b) review and update the BCP on time</w:t>
      </w:r>
      <w:r w:rsidRPr="005C04AC">
        <w:rPr>
          <w:b/>
          <w:spacing w:val="4"/>
          <w:w w:val="103"/>
          <w:kern w:val="14"/>
          <w:sz w:val="20"/>
          <w:szCs w:val="20"/>
        </w:rPr>
        <w:t>.</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The Country Offices will update and test their DRPs and BCPs.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 for Africa and Regional Bureau for Arab States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143, </w:t>
      </w:r>
      <w:r w:rsidRPr="005C04AC">
        <w:rPr>
          <w:b/>
          <w:spacing w:val="4"/>
          <w:w w:val="103"/>
          <w:kern w:val="14"/>
          <w:sz w:val="20"/>
          <w:szCs w:val="20"/>
        </w:rPr>
        <w:t>the Board recommended that Malawi Country Office prepare and use the approved version of Business Continuity Plan and Disaster Recovery Plan.</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The Country Office has already implemented this recommendation.</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 for Africa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147, UNDP agreed with the Board’s recommendation to ensure that South Africa Country Office (a) speed up the process of establishing a recovery site, and (b) renew MoU with company which is providing off-site storage facility</w:t>
      </w:r>
      <w:r w:rsidRPr="005C04AC">
        <w:rPr>
          <w:b/>
          <w:spacing w:val="4"/>
          <w:w w:val="103"/>
          <w:kern w:val="14"/>
          <w:sz w:val="20"/>
          <w:szCs w:val="20"/>
        </w:rPr>
        <w:t>.</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The Country Office has already established a recovery site and developed an MoU, which will be signed in 2018.</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 for Africa</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In paragraph 148, UNDP also agreed with the Board’s recommendation to ensure that Malawi Country Office (a) establish a documented agreement with the other UN Agency for the</w:t>
      </w:r>
      <w:r w:rsidRPr="005C04AC">
        <w:rPr>
          <w:b/>
          <w:spacing w:val="4"/>
          <w:w w:val="103"/>
          <w:kern w:val="14"/>
          <w:sz w:val="20"/>
          <w:szCs w:val="20"/>
        </w:rPr>
        <w:t xml:space="preserve"> provision of the off-site facility,</w:t>
      </w:r>
      <w:r w:rsidRPr="005C04AC">
        <w:rPr>
          <w:b/>
          <w:bCs/>
          <w:spacing w:val="4"/>
          <w:w w:val="103"/>
          <w:kern w:val="14"/>
          <w:sz w:val="20"/>
          <w:szCs w:val="20"/>
        </w:rPr>
        <w:t xml:space="preserve"> and (b) store off-site the infrastructural documentation, administrative credentials for all critical ICT systems and</w:t>
      </w:r>
      <w:r w:rsidRPr="005C04AC">
        <w:rPr>
          <w:b/>
          <w:spacing w:val="4"/>
          <w:w w:val="103"/>
          <w:kern w:val="14"/>
          <w:sz w:val="20"/>
          <w:szCs w:val="20"/>
        </w:rPr>
        <w:t xml:space="preserve"> software required for recovery procedures with its license keys.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 xml:space="preserve">The Country Office has already </w:t>
      </w:r>
      <w:r w:rsidR="00DC0E62">
        <w:rPr>
          <w:spacing w:val="4"/>
          <w:w w:val="103"/>
          <w:kern w:val="14"/>
          <w:sz w:val="20"/>
          <w:szCs w:val="20"/>
        </w:rPr>
        <w:t>implemented this recommendation and will update the recommendations database accordingly.</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 for Africa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High</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First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151, </w:t>
      </w:r>
      <w:r w:rsidRPr="005C04AC">
        <w:rPr>
          <w:b/>
          <w:spacing w:val="4"/>
          <w:w w:val="103"/>
          <w:kern w:val="14"/>
          <w:sz w:val="20"/>
          <w:szCs w:val="20"/>
        </w:rPr>
        <w:t>UNDP agreed with the Board’s recommendation that South Africa Country Office (a) update the ICT work plan to include important key items like timelines and assigned activities to staff; and (b) perform periodical reviews and monitoring on the implementation of the ICT work plans.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The Country Office has already updated the ICT work plan and will conduct periodic reviews.</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Regional Bureau for Africa</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156, </w:t>
      </w:r>
      <w:r w:rsidRPr="005C04AC">
        <w:rPr>
          <w:b/>
          <w:spacing w:val="4"/>
          <w:w w:val="103"/>
          <w:kern w:val="14"/>
          <w:sz w:val="20"/>
          <w:szCs w:val="20"/>
        </w:rPr>
        <w:t>the Board recommended UNDP Country Offices in Turkey, Turkmenistan and South Africa consider introducing a mechanism to receive and record ICT support request as per requirements of ITIL.</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While UNDP often follows industry standards, such as ITIL, it is not bound to them. Nevertheless, UNDP will consider this recommendation.</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 for Africa and Regional Bureau for Europe and the Commonwealth of Independent States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numPr>
          <w:ilvl w:val="0"/>
          <w:numId w:val="34"/>
        </w:num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bCs/>
          <w:spacing w:val="4"/>
          <w:w w:val="103"/>
          <w:kern w:val="14"/>
          <w:sz w:val="20"/>
          <w:szCs w:val="20"/>
        </w:rPr>
      </w:pPr>
      <w:r w:rsidRPr="005C04AC">
        <w:rPr>
          <w:b/>
          <w:bCs/>
          <w:spacing w:val="4"/>
          <w:w w:val="103"/>
          <w:kern w:val="14"/>
          <w:sz w:val="20"/>
          <w:szCs w:val="20"/>
        </w:rPr>
        <w:t xml:space="preserve">In paragraph 160, </w:t>
      </w:r>
      <w:r w:rsidRPr="005C04AC">
        <w:rPr>
          <w:b/>
          <w:spacing w:val="4"/>
          <w:w w:val="103"/>
          <w:kern w:val="14"/>
          <w:sz w:val="20"/>
          <w:szCs w:val="20"/>
        </w:rPr>
        <w:t>UNDP agreed with the Board’s recommendation to ensure that</w:t>
      </w:r>
      <w:r w:rsidRPr="005C04AC">
        <w:rPr>
          <w:spacing w:val="4"/>
          <w:w w:val="103"/>
          <w:kern w:val="14"/>
          <w:sz w:val="20"/>
          <w:szCs w:val="20"/>
        </w:rPr>
        <w:t xml:space="preserve"> </w:t>
      </w:r>
      <w:r w:rsidRPr="005C04AC">
        <w:rPr>
          <w:b/>
          <w:bCs/>
          <w:spacing w:val="4"/>
          <w:w w:val="103"/>
          <w:kern w:val="14"/>
          <w:sz w:val="20"/>
          <w:szCs w:val="20"/>
        </w:rPr>
        <w:t>South Africa Country Office establish a backup internet link and increase internet bandwidth</w:t>
      </w:r>
      <w:r w:rsidRPr="005C04AC">
        <w:rPr>
          <w:b/>
          <w:spacing w:val="4"/>
          <w:w w:val="103"/>
          <w:kern w:val="14"/>
          <w:sz w:val="20"/>
          <w:szCs w:val="20"/>
        </w:rPr>
        <w:t>.</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r w:rsidRPr="005C04AC">
        <w:rPr>
          <w:spacing w:val="4"/>
          <w:w w:val="103"/>
          <w:kern w:val="14"/>
          <w:sz w:val="20"/>
          <w:szCs w:val="20"/>
        </w:rPr>
        <w:t>The Country Office is in the process of establishing a backup link and increase bandwidth.</w:t>
      </w:r>
    </w:p>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907380"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Department responsible: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 xml:space="preserve">Regional Bureau for Africa </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Status:</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In progress</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Priority:</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Medium</w:t>
            </w:r>
          </w:p>
        </w:tc>
      </w:tr>
      <w:tr w:rsidR="005C04AC" w:rsidRPr="005C04AC" w:rsidTr="00907380">
        <w:tc>
          <w:tcPr>
            <w:tcW w:w="2970"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5C04AC">
              <w:rPr>
                <w:i/>
                <w:spacing w:val="4"/>
                <w:sz w:val="20"/>
                <w:szCs w:val="20"/>
              </w:rPr>
              <w:t>Target date:</w:t>
            </w:r>
          </w:p>
        </w:tc>
        <w:tc>
          <w:tcPr>
            <w:tcW w:w="5033" w:type="dxa"/>
            <w:hideMark/>
          </w:tcPr>
          <w:p w:rsidR="00907380" w:rsidRPr="005C04AC" w:rsidRDefault="00907380"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5C04AC">
              <w:rPr>
                <w:spacing w:val="4"/>
                <w:sz w:val="20"/>
                <w:szCs w:val="20"/>
              </w:rPr>
              <w:t>Second quarter of 2019</w:t>
            </w:r>
          </w:p>
        </w:tc>
      </w:tr>
    </w:tbl>
    <w:p w:rsidR="00F55518" w:rsidRPr="005C04AC" w:rsidRDefault="00F55518"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394328" w:rsidRPr="005C04AC" w:rsidRDefault="00394328"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394328" w:rsidRPr="005C04AC" w:rsidRDefault="00394328"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394328" w:rsidRPr="005C04AC" w:rsidRDefault="00394328"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394328" w:rsidRPr="005C04AC" w:rsidRDefault="00394328"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394328" w:rsidRPr="005C04AC" w:rsidRDefault="00394328"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394328" w:rsidRPr="005C04AC" w:rsidRDefault="00394328"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394328" w:rsidRPr="005C04AC" w:rsidRDefault="00394328"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394328" w:rsidRDefault="00394328"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5C04AC" w:rsidRDefault="005C04AC"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5C04AC" w:rsidRDefault="005C04AC"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5C04AC" w:rsidRPr="005C04AC" w:rsidRDefault="005C04AC"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394328" w:rsidRPr="005C04AC" w:rsidRDefault="00394328"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394328" w:rsidRPr="005C04AC" w:rsidRDefault="00394328"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394328" w:rsidRPr="005C04AC" w:rsidRDefault="00394328"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7D6A91" w:rsidRPr="005C04AC" w:rsidRDefault="007D6A91" w:rsidP="00EB26A7">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spacing w:val="4"/>
          <w:w w:val="103"/>
          <w:kern w:val="14"/>
          <w:sz w:val="20"/>
          <w:szCs w:val="20"/>
          <w:lang w:val="en-GB"/>
        </w:rPr>
      </w:pPr>
    </w:p>
    <w:p w:rsidR="007D6A91" w:rsidRPr="005C04AC" w:rsidRDefault="007D6A91" w:rsidP="00EB26A7">
      <w:pPr>
        <w:pStyle w:val="HCh"/>
        <w:keepNext w:val="0"/>
        <w:keepLines w:val="0"/>
        <w:widowControl w:val="0"/>
        <w:numPr>
          <w:ilvl w:val="2"/>
          <w:numId w:val="8"/>
        </w:numPr>
        <w:tabs>
          <w:tab w:val="left" w:pos="360"/>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360" w:right="29"/>
        <w:rPr>
          <w:sz w:val="20"/>
        </w:rPr>
      </w:pPr>
      <w:r w:rsidRPr="005C04AC">
        <w:rPr>
          <w:sz w:val="20"/>
        </w:rPr>
        <w:t>UNDP Recommendations contained in the report of the Board of Auditors for prior financial periods that are under implementation</w:t>
      </w:r>
    </w:p>
    <w:p w:rsidR="007D6A91" w:rsidRPr="005C04AC" w:rsidRDefault="007D6A91" w:rsidP="00EB26A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spacing w:val="-2"/>
          <w:w w:val="103"/>
          <w:kern w:val="14"/>
          <w:sz w:val="20"/>
          <w:szCs w:val="20"/>
          <w:lang w:val="en-GB"/>
        </w:rPr>
      </w:pPr>
    </w:p>
    <w:p w:rsidR="00F55518" w:rsidRPr="005C04AC" w:rsidRDefault="00F55518" w:rsidP="00EB26A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bCs/>
          <w:spacing w:val="4"/>
          <w:w w:val="103"/>
          <w:kern w:val="14"/>
          <w:sz w:val="20"/>
          <w:szCs w:val="20"/>
          <w:u w:val="single"/>
          <w:lang w:val="en-GB"/>
        </w:rPr>
      </w:pPr>
      <w:r w:rsidRPr="005C04AC">
        <w:rPr>
          <w:b/>
          <w:bCs/>
          <w:spacing w:val="4"/>
          <w:w w:val="103"/>
          <w:kern w:val="14"/>
          <w:sz w:val="20"/>
          <w:szCs w:val="20"/>
          <w:u w:val="single"/>
          <w:lang w:val="en-GB"/>
        </w:rPr>
        <w:t>Report of the Board for the financi</w:t>
      </w:r>
      <w:r w:rsidR="007D6A91" w:rsidRPr="005C04AC">
        <w:rPr>
          <w:b/>
          <w:bCs/>
          <w:spacing w:val="4"/>
          <w:w w:val="103"/>
          <w:kern w:val="14"/>
          <w:sz w:val="20"/>
          <w:szCs w:val="20"/>
          <w:u w:val="single"/>
          <w:lang w:val="en-GB"/>
        </w:rPr>
        <w:t>al period ended 31 December 2016</w:t>
      </w:r>
    </w:p>
    <w:p w:rsidR="00F55518" w:rsidRPr="005C04AC" w:rsidRDefault="00F55518" w:rsidP="00EB26A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jc w:val="both"/>
        <w:rPr>
          <w:b/>
          <w:bCs/>
          <w:spacing w:val="4"/>
          <w:w w:val="103"/>
          <w:kern w:val="14"/>
          <w:sz w:val="20"/>
          <w:szCs w:val="20"/>
          <w:u w:val="single"/>
          <w:lang w:val="en-GB"/>
        </w:rPr>
      </w:pPr>
    </w:p>
    <w:p w:rsidR="00EB26A7" w:rsidRPr="005C04AC" w:rsidRDefault="00EB26A7" w:rsidP="00A71E85">
      <w:pPr>
        <w:pStyle w:val="ListParagraph"/>
        <w:numPr>
          <w:ilvl w:val="3"/>
          <w:numId w:val="8"/>
        </w:numPr>
        <w:tabs>
          <w:tab w:val="clear" w:pos="2880"/>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bookmarkStart w:id="1" w:name="_Hlk520392016"/>
      <w:r w:rsidRPr="005C04AC">
        <w:rPr>
          <w:b/>
          <w:bCs/>
          <w:spacing w:val="4"/>
          <w:w w:val="103"/>
          <w:kern w:val="14"/>
          <w:sz w:val="20"/>
          <w:szCs w:val="20"/>
        </w:rPr>
        <w:t>In paragraph 29, the Board recommended that at UNDP, in consultation with the actuary, (a) determine the threshold for significant change in population of ASHI enrolment records which would require performance of full census of staff for valuation of ASHI liability at the year-end; and (b) include in the actuarial report the estimated change in population as part of key information.</w:t>
      </w:r>
    </w:p>
    <w:p w:rsidR="00EB26A7" w:rsidRPr="00EB26A7" w:rsidRDefault="00EB26A7" w:rsidP="00A71E85">
      <w:pPr>
        <w:tabs>
          <w:tab w:val="left" w:pos="270"/>
          <w:tab w:val="center" w:pos="36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p>
    <w:p w:rsidR="00EB26A7" w:rsidRPr="00EB26A7" w:rsidRDefault="00A71E85" w:rsidP="00A71E85">
      <w:pPr>
        <w:tabs>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r w:rsidRPr="005C04AC">
        <w:rPr>
          <w:spacing w:val="4"/>
          <w:w w:val="103"/>
          <w:kern w:val="14"/>
          <w:sz w:val="20"/>
          <w:szCs w:val="20"/>
        </w:rPr>
        <w:tab/>
      </w:r>
      <w:r w:rsidR="00EB26A7" w:rsidRPr="00EB26A7">
        <w:rPr>
          <w:spacing w:val="4"/>
          <w:w w:val="103"/>
          <w:kern w:val="14"/>
          <w:sz w:val="20"/>
          <w:szCs w:val="20"/>
        </w:rPr>
        <w:t xml:space="preserve">Part a) has been assessed as implemented by the Board. With regards to part b), a full estimation of the change in population is a non-standard requirement, which can only be applied in roll-forward years. 2018 is such a year, which is why the information will be available in the next actuarial report to be issued in February 2019. </w:t>
      </w:r>
    </w:p>
    <w:bookmarkEnd w:id="1"/>
    <w:p w:rsidR="00EB26A7" w:rsidRPr="00EB26A7" w:rsidRDefault="00EB26A7" w:rsidP="00EB26A7">
      <w:pPr>
        <w:tabs>
          <w:tab w:val="left" w:pos="450"/>
        </w:tabs>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E23886"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BMS/ Office of Financial Resources Management</w:t>
            </w:r>
          </w:p>
        </w:tc>
      </w:tr>
      <w:tr w:rsidR="00EB26A7" w:rsidRPr="00E23886"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w:t>
            </w:r>
          </w:p>
        </w:tc>
      </w:tr>
      <w:tr w:rsidR="00EB26A7" w:rsidRPr="00E23886"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E23886"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First quarter of 2019</w:t>
            </w:r>
          </w:p>
        </w:tc>
      </w:tr>
    </w:tbl>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p>
    <w:p w:rsidR="00EB26A7" w:rsidRPr="00EB26A7" w:rsidRDefault="00EB26A7" w:rsidP="009C75E2">
      <w:pPr>
        <w:pStyle w:val="ListParagraph"/>
        <w:numPr>
          <w:ilvl w:val="3"/>
          <w:numId w:val="8"/>
        </w:numPr>
        <w:tabs>
          <w:tab w:val="clear" w:pos="2880"/>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 xml:space="preserve">In paragraph 39, the Board recommended  that UNDP ensure Honduras and Bangladesh Country Offices (a) continue to liaise with the implementing partners counterparts so that they fully own the UNDAF process in order to facilitate timely UNDAF implementation, annual reviews and progress reviews, and (b) consider having strategies such that the annual reviews and progress reports of UNDAF in the next </w:t>
      </w:r>
      <w:proofErr w:type="spellStart"/>
      <w:r w:rsidRPr="00EB26A7">
        <w:rPr>
          <w:b/>
          <w:bCs/>
          <w:spacing w:val="4"/>
          <w:w w:val="103"/>
          <w:kern w:val="14"/>
          <w:sz w:val="20"/>
          <w:szCs w:val="20"/>
        </w:rPr>
        <w:t>programme</w:t>
      </w:r>
      <w:proofErr w:type="spellEnd"/>
      <w:r w:rsidRPr="00EB26A7">
        <w:rPr>
          <w:b/>
          <w:bCs/>
          <w:spacing w:val="4"/>
          <w:w w:val="103"/>
          <w:kern w:val="14"/>
          <w:sz w:val="20"/>
          <w:szCs w:val="20"/>
        </w:rPr>
        <w:t xml:space="preserve"> cycle are done on time.</w:t>
      </w:r>
    </w:p>
    <w:p w:rsidR="00EB26A7" w:rsidRPr="00EB26A7" w:rsidRDefault="00EB26A7" w:rsidP="009C75E2">
      <w:pPr>
        <w:pStyle w:val="ListParagraph"/>
        <w:tabs>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jc w:val="both"/>
        <w:rPr>
          <w:b/>
          <w:bCs/>
          <w:spacing w:val="4"/>
          <w:w w:val="103"/>
          <w:kern w:val="14"/>
          <w:sz w:val="20"/>
          <w:szCs w:val="20"/>
        </w:rPr>
      </w:pPr>
    </w:p>
    <w:p w:rsidR="00EB26A7" w:rsidRPr="00EB26A7" w:rsidRDefault="00EB26A7" w:rsidP="009C75E2">
      <w:pPr>
        <w:pStyle w:val="ListParagraph"/>
        <w:tabs>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jc w:val="both"/>
        <w:rPr>
          <w:bCs/>
          <w:spacing w:val="4"/>
          <w:w w:val="103"/>
          <w:kern w:val="14"/>
          <w:sz w:val="20"/>
          <w:szCs w:val="20"/>
        </w:rPr>
      </w:pPr>
      <w:r w:rsidRPr="00EB26A7">
        <w:rPr>
          <w:bCs/>
          <w:spacing w:val="4"/>
          <w:w w:val="103"/>
          <w:kern w:val="14"/>
          <w:sz w:val="20"/>
          <w:szCs w:val="20"/>
        </w:rPr>
        <w:t>While the Board noted the progress made in the Country Offices Honduras and Bangladesh, it identified similar issues in different Country Offices (Egypt, Paraguay and South Africa) in its Report for the year ended 31 December 2017 (as above). As such, the Board kept this recommendation as in progress. Considering the 2017 recommendation (refer to paragraph 24 of the 2017 Report), UNDP is requesting the recommendation from 2016 for Honduras and Bangladesh to be set as reiterated.</w:t>
      </w:r>
    </w:p>
    <w:p w:rsidR="00EB26A7" w:rsidRPr="00EB26A7" w:rsidRDefault="00EB26A7" w:rsidP="00EB26A7">
      <w:pPr>
        <w:tabs>
          <w:tab w:val="left" w:pos="450"/>
        </w:tabs>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E23886"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Regional Bureau for Asia and the Pacific and Regional Bureau for Latin America and the Caribbean</w:t>
            </w:r>
          </w:p>
        </w:tc>
      </w:tr>
      <w:tr w:rsidR="00EB26A7" w:rsidRPr="00E23886"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 reiterated</w:t>
            </w:r>
          </w:p>
        </w:tc>
      </w:tr>
      <w:tr w:rsidR="00EB26A7" w:rsidRPr="00E23886"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E23886"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w:t>
            </w:r>
          </w:p>
        </w:tc>
      </w:tr>
    </w:tbl>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p>
    <w:p w:rsidR="00EB26A7" w:rsidRPr="00EB26A7" w:rsidRDefault="00EB26A7" w:rsidP="009C75E2">
      <w:pPr>
        <w:pStyle w:val="ListParagraph"/>
        <w:numPr>
          <w:ilvl w:val="3"/>
          <w:numId w:val="8"/>
        </w:numPr>
        <w:tabs>
          <w:tab w:val="clear" w:pos="2880"/>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In paragraph 44, the Board recommended that UNDP (a) introduce a clause in the co-operation agreements for communication obligations of all parties involved in program implementation including measures to motivate implementation of those obligations, and (b) increase follow-ups with counterparts to ensure appropriate measures are taken to address the recurring deficiency of delayed certification of Combined Delivery Reports (CDRs) by both UNDP and implementing partners.</w:t>
      </w:r>
    </w:p>
    <w:p w:rsidR="00EB26A7" w:rsidRPr="00EB26A7" w:rsidRDefault="00EB26A7" w:rsidP="009C75E2">
      <w:pPr>
        <w:tabs>
          <w:tab w:val="left" w:pos="450"/>
          <w:tab w:val="left" w:pos="54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p>
    <w:p w:rsidR="00EB26A7" w:rsidRPr="00EB26A7" w:rsidRDefault="009C75E2" w:rsidP="009C75E2">
      <w:pPr>
        <w:tabs>
          <w:tab w:val="left" w:pos="450"/>
          <w:tab w:val="left" w:pos="54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r w:rsidRPr="005C04AC">
        <w:rPr>
          <w:spacing w:val="4"/>
          <w:w w:val="103"/>
          <w:kern w:val="14"/>
          <w:sz w:val="20"/>
          <w:szCs w:val="20"/>
        </w:rPr>
        <w:tab/>
      </w:r>
      <w:r w:rsidR="00EB26A7" w:rsidRPr="00EB26A7">
        <w:rPr>
          <w:spacing w:val="4"/>
          <w:w w:val="103"/>
          <w:kern w:val="14"/>
          <w:sz w:val="20"/>
          <w:szCs w:val="20"/>
        </w:rPr>
        <w:t>While the Board counted part a) as implemented and noted the progress on part b), it identified similar issues in different Country Offices (e.g. Paraguay and Turkmenistan) in its Report for the year ended 31 December 2017 (as above). As such, the Board kept this recommendation as in progress. Considering the 2017 recommendation (refer to paragraph 35 of the 2017 Report), UNDP is requesting the recommendation from 2016 to be set as reiterated.</w:t>
      </w:r>
    </w:p>
    <w:p w:rsidR="00EB26A7" w:rsidRPr="00EB26A7" w:rsidRDefault="00EB26A7" w:rsidP="009C75E2">
      <w:pPr>
        <w:tabs>
          <w:tab w:val="left" w:pos="450"/>
        </w:tabs>
        <w:ind w:left="270" w:hanging="270"/>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 xml:space="preserve">BMS/ Office of Financial Resources Management and Regional </w:t>
            </w:r>
            <w:proofErr w:type="spellStart"/>
            <w:r w:rsidRPr="00EB26A7">
              <w:rPr>
                <w:spacing w:val="4"/>
                <w:sz w:val="20"/>
                <w:szCs w:val="20"/>
              </w:rPr>
              <w:t>Bureaux</w:t>
            </w:r>
            <w:proofErr w:type="spellEnd"/>
          </w:p>
        </w:tc>
      </w:tr>
      <w:tr w:rsidR="00EB26A7" w:rsidRPr="005C04AC"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 reiterated</w:t>
            </w:r>
          </w:p>
        </w:tc>
      </w:tr>
      <w:tr w:rsidR="00EB26A7" w:rsidRPr="005C04AC"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5C04AC"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lastRenderedPageBreak/>
              <w:t>Target date: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w:t>
            </w:r>
          </w:p>
        </w:tc>
      </w:tr>
    </w:tbl>
    <w:p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rsidR="00EB26A7" w:rsidRPr="00EB26A7" w:rsidRDefault="00EB26A7" w:rsidP="009C75E2">
      <w:pPr>
        <w:pStyle w:val="ListParagraph"/>
        <w:numPr>
          <w:ilvl w:val="3"/>
          <w:numId w:val="8"/>
        </w:numPr>
        <w:tabs>
          <w:tab w:val="clear" w:pos="2880"/>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 xml:space="preserve">In paragraph 51, the Board recommended that UNDP ensure (a) timely review and </w:t>
      </w:r>
      <w:r w:rsidR="0086214F" w:rsidRPr="005C04AC">
        <w:rPr>
          <w:b/>
          <w:bCs/>
          <w:spacing w:val="4"/>
          <w:w w:val="103"/>
          <w:kern w:val="14"/>
          <w:sz w:val="20"/>
          <w:szCs w:val="20"/>
        </w:rPr>
        <w:t xml:space="preserve">updating of the </w:t>
      </w:r>
      <w:r w:rsidRPr="00EB26A7">
        <w:rPr>
          <w:b/>
          <w:bCs/>
          <w:spacing w:val="4"/>
          <w:w w:val="103"/>
          <w:kern w:val="14"/>
          <w:sz w:val="20"/>
          <w:szCs w:val="20"/>
        </w:rPr>
        <w:t>projects risks, issues and monitoring logs and document the same in Atlas as the primary source of projects information, and (b) project boards conduct regular meetings to continuously monitor projects implementation.</w:t>
      </w:r>
    </w:p>
    <w:p w:rsidR="00EB26A7" w:rsidRPr="005C04AC" w:rsidRDefault="009C75E2" w:rsidP="009C75E2">
      <w:pPr>
        <w:pStyle w:val="ListParagraph"/>
        <w:tabs>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jc w:val="both"/>
        <w:rPr>
          <w:b/>
          <w:bCs/>
          <w:spacing w:val="4"/>
          <w:w w:val="103"/>
          <w:kern w:val="14"/>
          <w:sz w:val="20"/>
          <w:szCs w:val="20"/>
        </w:rPr>
      </w:pPr>
      <w:r w:rsidRPr="005C04AC">
        <w:rPr>
          <w:spacing w:val="4"/>
          <w:w w:val="103"/>
          <w:kern w:val="14"/>
          <w:sz w:val="20"/>
          <w:szCs w:val="20"/>
        </w:rPr>
        <w:br/>
      </w:r>
      <w:r w:rsidR="00EB26A7" w:rsidRPr="005C04AC">
        <w:rPr>
          <w:spacing w:val="4"/>
          <w:w w:val="103"/>
          <w:kern w:val="14"/>
          <w:sz w:val="20"/>
          <w:szCs w:val="20"/>
        </w:rPr>
        <w:t>The Board recognized the efforts made by UNDP, particularly the corporate quality standards for programming and the corporate quality assurance tools. Though as the Board noticed similar issues in its Report for the year ended 31 December 2017 (see above), it kept this recommendation as in progress. Considering the 2017 recommendation (refer to paragraph 41 of the 2017 Report), UNDP is requesting the recommendation from 2016 to be set as reiterated.</w:t>
      </w:r>
    </w:p>
    <w:p w:rsidR="00EB26A7" w:rsidRPr="00EB26A7" w:rsidRDefault="00EB26A7" w:rsidP="00EB26A7">
      <w:pPr>
        <w:tabs>
          <w:tab w:val="left" w:pos="450"/>
        </w:tabs>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E23886"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 xml:space="preserve">Bureau for Policy and </w:t>
            </w:r>
            <w:proofErr w:type="spellStart"/>
            <w:r w:rsidRPr="00EB26A7">
              <w:rPr>
                <w:spacing w:val="4"/>
                <w:sz w:val="20"/>
                <w:szCs w:val="20"/>
              </w:rPr>
              <w:t>Programme</w:t>
            </w:r>
            <w:proofErr w:type="spellEnd"/>
            <w:r w:rsidRPr="00EB26A7">
              <w:rPr>
                <w:spacing w:val="4"/>
                <w:sz w:val="20"/>
                <w:szCs w:val="20"/>
              </w:rPr>
              <w:t xml:space="preserve"> Support and Regional </w:t>
            </w:r>
            <w:proofErr w:type="spellStart"/>
            <w:r w:rsidRPr="00EB26A7">
              <w:rPr>
                <w:spacing w:val="4"/>
                <w:sz w:val="20"/>
                <w:szCs w:val="20"/>
              </w:rPr>
              <w:t>Bureaux</w:t>
            </w:r>
            <w:proofErr w:type="spellEnd"/>
          </w:p>
        </w:tc>
      </w:tr>
      <w:tr w:rsidR="00EB26A7" w:rsidRPr="00E23886"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 reiterated</w:t>
            </w:r>
          </w:p>
        </w:tc>
      </w:tr>
      <w:tr w:rsidR="00EB26A7" w:rsidRPr="00E23886"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E23886"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w:t>
            </w:r>
          </w:p>
        </w:tc>
      </w:tr>
    </w:tbl>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p>
    <w:p w:rsidR="00EB26A7" w:rsidRPr="00EB26A7" w:rsidRDefault="00EB26A7" w:rsidP="009C75E2">
      <w:pPr>
        <w:pStyle w:val="ListParagraph"/>
        <w:numPr>
          <w:ilvl w:val="3"/>
          <w:numId w:val="8"/>
        </w:numPr>
        <w:tabs>
          <w:tab w:val="clear" w:pos="2880"/>
          <w:tab w:val="left" w:pos="270"/>
          <w:tab w:val="center"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In paragraph 69, UNDP agreed with the Board’s recommendation to (a) take proactive measures to ensure that all operationally closed projects are financially closed within 12 months in accordance with POPP by obtaining in a timely manner the donors’ approvals on refunds or reprogramming of unspent amounts; thoroughly review and effect all transactions related to projects before they are financially closed; and (b) ensure that all asset balances are cleared before projects are financially closed.</w:t>
      </w:r>
    </w:p>
    <w:p w:rsidR="009C75E2" w:rsidRPr="005C04AC" w:rsidRDefault="009C75E2" w:rsidP="009C75E2">
      <w:pPr>
        <w:tabs>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b/>
          <w:bCs/>
          <w:spacing w:val="4"/>
          <w:w w:val="103"/>
          <w:kern w:val="14"/>
          <w:sz w:val="20"/>
          <w:szCs w:val="20"/>
        </w:rPr>
      </w:pPr>
    </w:p>
    <w:p w:rsidR="00EB26A7" w:rsidRPr="00EB26A7" w:rsidRDefault="00EB26A7" w:rsidP="009C75E2">
      <w:pPr>
        <w:tabs>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jc w:val="both"/>
        <w:rPr>
          <w:spacing w:val="4"/>
          <w:w w:val="103"/>
          <w:kern w:val="14"/>
          <w:sz w:val="20"/>
          <w:szCs w:val="20"/>
        </w:rPr>
      </w:pPr>
      <w:r w:rsidRPr="00EB26A7">
        <w:rPr>
          <w:spacing w:val="4"/>
          <w:w w:val="103"/>
          <w:kern w:val="14"/>
          <w:sz w:val="20"/>
          <w:szCs w:val="20"/>
        </w:rPr>
        <w:t xml:space="preserve">While UNDP has invested significant resources and has made progress in e.g. reducing the number of expired projects in 2017, timely project closure is not always in UNDP’s control. Nevertheless, the organization hopes that continued efforts and further investments into systems and tools will have continued, positive impact in the future. </w:t>
      </w:r>
    </w:p>
    <w:p w:rsidR="00EB26A7" w:rsidRPr="00EB26A7" w:rsidRDefault="00EB26A7" w:rsidP="0086214F">
      <w:pPr>
        <w:tabs>
          <w:tab w:val="left" w:pos="450"/>
        </w:tabs>
        <w:ind w:left="450" w:hanging="450"/>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 xml:space="preserve">Regional </w:t>
            </w:r>
            <w:proofErr w:type="spellStart"/>
            <w:r w:rsidRPr="00EB26A7">
              <w:rPr>
                <w:spacing w:val="4"/>
                <w:sz w:val="20"/>
                <w:szCs w:val="20"/>
              </w:rPr>
              <w:t>Bureaux</w:t>
            </w:r>
            <w:proofErr w:type="spellEnd"/>
          </w:p>
        </w:tc>
      </w:tr>
      <w:tr w:rsidR="00EB26A7" w:rsidRPr="005C04AC"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w:t>
            </w:r>
          </w:p>
        </w:tc>
      </w:tr>
      <w:tr w:rsidR="00EB26A7" w:rsidRPr="005C04AC"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5C04AC"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Second quarter of 2019</w:t>
            </w:r>
          </w:p>
        </w:tc>
      </w:tr>
    </w:tbl>
    <w:p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rsidR="00EB26A7" w:rsidRPr="00EB26A7" w:rsidRDefault="00EB26A7" w:rsidP="009C75E2">
      <w:pPr>
        <w:numPr>
          <w:ilvl w:val="0"/>
          <w:numId w:val="40"/>
        </w:numPr>
        <w:tabs>
          <w:tab w:val="clear" w:pos="1080"/>
          <w:tab w:val="left" w:pos="63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In paragraph 77, UNDP agreed with the Board’s recommendation to, (a) review the basis/criteria and guidelines used for determining the percent of administrative agent fees apportioned to central services; and (b) review the MPTFO policy (on administrative agent fee income) and justification and basis/criteria for apportioning the administrative agent fees between MPTFO and UNDP Country Offices that have received delegation of authority from t</w:t>
      </w:r>
      <w:r w:rsidR="0054403D">
        <w:rPr>
          <w:b/>
          <w:bCs/>
          <w:spacing w:val="4"/>
          <w:w w:val="103"/>
          <w:kern w:val="14"/>
          <w:sz w:val="20"/>
          <w:szCs w:val="20"/>
        </w:rPr>
        <w:t>he MPTFO Executive Coordinator.</w:t>
      </w:r>
    </w:p>
    <w:p w:rsidR="00EB26A7" w:rsidRPr="00EB26A7" w:rsidRDefault="00EB26A7" w:rsidP="009C75E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p>
    <w:p w:rsidR="00EB26A7" w:rsidRPr="00EB26A7" w:rsidRDefault="00DD50D8" w:rsidP="009C75E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r w:rsidRPr="005C04AC">
        <w:rPr>
          <w:spacing w:val="4"/>
          <w:w w:val="103"/>
          <w:kern w:val="14"/>
          <w:sz w:val="20"/>
          <w:szCs w:val="20"/>
        </w:rPr>
        <w:tab/>
      </w:r>
      <w:r w:rsidR="00EB26A7" w:rsidRPr="00EB26A7">
        <w:rPr>
          <w:spacing w:val="4"/>
          <w:w w:val="103"/>
          <w:kern w:val="14"/>
          <w:sz w:val="20"/>
          <w:szCs w:val="20"/>
        </w:rPr>
        <w:t>With regards to a), UNDP has developed a Full Cost Methodology applicable for services provided to the MPTFO, which will be implemented in December 2018. With regards to b), in November 2017 the MPTF Office communicated its decision to recentralize all administrative agent functions and informed all concerned UNDP Country Offices that, as of 31 December 2017, the existing delegation of authority would be revoked. Because of this policy decision, as of 1 January 2018, there is no justification for any further apportionment of administrative agent fees to UNDP Country Offices; and the earlier practice has ceased to exist. As such, part b) is considered as overtaken by events.</w:t>
      </w:r>
    </w:p>
    <w:p w:rsidR="00EB26A7" w:rsidRPr="00EB26A7" w:rsidRDefault="00EB26A7" w:rsidP="009C75E2">
      <w:pPr>
        <w:ind w:left="270" w:hanging="180"/>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 xml:space="preserve">Executive Office </w:t>
            </w:r>
          </w:p>
        </w:tc>
      </w:tr>
      <w:tr w:rsidR="00EB26A7" w:rsidRPr="005C04AC"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w:t>
            </w:r>
          </w:p>
        </w:tc>
      </w:tr>
      <w:tr w:rsidR="00EB26A7" w:rsidRPr="005C04AC"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Medium</w:t>
            </w:r>
          </w:p>
        </w:tc>
      </w:tr>
      <w:tr w:rsidR="00EB26A7" w:rsidRPr="005C04AC" w:rsidTr="00EB26A7">
        <w:tc>
          <w:tcPr>
            <w:tcW w:w="2970"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Fourth quarter of 2018</w:t>
            </w:r>
          </w:p>
        </w:tc>
      </w:tr>
    </w:tbl>
    <w:p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rsidR="00EB26A7" w:rsidRPr="00EB26A7" w:rsidRDefault="00EB26A7" w:rsidP="009C75E2">
      <w:pPr>
        <w:numPr>
          <w:ilvl w:val="0"/>
          <w:numId w:val="40"/>
        </w:numPr>
        <w:tabs>
          <w:tab w:val="clear" w:pos="1080"/>
          <w:tab w:val="center" w:pos="36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lastRenderedPageBreak/>
        <w:t>In paragraph 101, the Board recommended UNDP to strengthen reviews and monitoring of the POs and APs to ensure that, (a) expenses recorded in the general ledger, commitment control and projects are accurate, complete and recorded in the correct accounting period; and (b) pending transactions (i.e. POs, Vouchers and GLJEs with an accounting date on or before the last day of the month being closed) are cleared in accordance with year-end closure instructions.</w:t>
      </w:r>
    </w:p>
    <w:p w:rsidR="00EB26A7" w:rsidRPr="00EB26A7" w:rsidRDefault="00EB26A7" w:rsidP="009C75E2">
      <w:pPr>
        <w:tabs>
          <w:tab w:val="center" w:pos="360"/>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p>
    <w:p w:rsidR="00EB26A7" w:rsidRPr="00EB26A7" w:rsidRDefault="00C97698" w:rsidP="009C75E2">
      <w:pPr>
        <w:tabs>
          <w:tab w:val="center" w:pos="360"/>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r w:rsidRPr="005C04AC">
        <w:rPr>
          <w:spacing w:val="4"/>
          <w:w w:val="103"/>
          <w:kern w:val="14"/>
          <w:sz w:val="20"/>
          <w:szCs w:val="20"/>
        </w:rPr>
        <w:tab/>
      </w:r>
      <w:r w:rsidR="00EB26A7" w:rsidRPr="00EB26A7">
        <w:rPr>
          <w:spacing w:val="4"/>
          <w:w w:val="103"/>
          <w:kern w:val="14"/>
          <w:sz w:val="20"/>
          <w:szCs w:val="20"/>
        </w:rPr>
        <w:t>While substantial progress on this recommendation has been achieved and acknowledged by the Board, sustained efforts and more time are needed to fully implement this recommendation. UNDP hopes that the efforts undertaken will lead to further improvements.</w:t>
      </w:r>
    </w:p>
    <w:p w:rsidR="00EB26A7" w:rsidRPr="00EB26A7" w:rsidRDefault="00EB26A7" w:rsidP="00EB26A7">
      <w:pPr>
        <w:tabs>
          <w:tab w:val="left" w:pos="450"/>
        </w:tabs>
        <w:rPr>
          <w:spacing w:val="4"/>
          <w:w w:val="103"/>
          <w:kern w:val="14"/>
          <w:sz w:val="20"/>
          <w:szCs w:val="20"/>
          <w:lang w:val="en-GB"/>
        </w:rPr>
      </w:pPr>
    </w:p>
    <w:tbl>
      <w:tblPr>
        <w:tblStyle w:val="TableGrid"/>
        <w:tblW w:w="8651"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033"/>
      </w:tblGrid>
      <w:tr w:rsidR="00EB26A7" w:rsidRPr="005C04AC" w:rsidTr="00E23886">
        <w:tc>
          <w:tcPr>
            <w:tcW w:w="3618"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 xml:space="preserve">BMS/ Procurement Services Unit and Regional </w:t>
            </w:r>
            <w:proofErr w:type="spellStart"/>
            <w:r w:rsidRPr="00EB26A7">
              <w:rPr>
                <w:spacing w:val="4"/>
                <w:sz w:val="20"/>
                <w:szCs w:val="20"/>
              </w:rPr>
              <w:t>Bureaux</w:t>
            </w:r>
            <w:proofErr w:type="spellEnd"/>
          </w:p>
        </w:tc>
      </w:tr>
      <w:tr w:rsidR="00EB26A7" w:rsidRPr="005C04AC" w:rsidTr="00E23886">
        <w:tc>
          <w:tcPr>
            <w:tcW w:w="3618"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w:t>
            </w:r>
          </w:p>
        </w:tc>
      </w:tr>
      <w:tr w:rsidR="00EB26A7" w:rsidRPr="005C04AC" w:rsidTr="00E23886">
        <w:tc>
          <w:tcPr>
            <w:tcW w:w="3618"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Medium</w:t>
            </w:r>
          </w:p>
        </w:tc>
      </w:tr>
      <w:tr w:rsidR="00EB26A7" w:rsidRPr="005C04AC" w:rsidTr="00E23886">
        <w:tc>
          <w:tcPr>
            <w:tcW w:w="3618"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EB26A7" w:rsidRPr="00EB26A7" w:rsidRDefault="00EB26A7" w:rsidP="00E23886">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First quarter of 2019</w:t>
            </w:r>
          </w:p>
        </w:tc>
      </w:tr>
    </w:tbl>
    <w:p w:rsidR="00EB26A7" w:rsidRPr="00EB26A7" w:rsidRDefault="00EB26A7" w:rsidP="009C75E2">
      <w:pPr>
        <w:tabs>
          <w:tab w:val="left" w:pos="27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jc w:val="both"/>
        <w:rPr>
          <w:spacing w:val="4"/>
          <w:w w:val="103"/>
          <w:kern w:val="14"/>
          <w:sz w:val="20"/>
          <w:szCs w:val="20"/>
          <w:lang w:val="en-GB"/>
        </w:rPr>
      </w:pPr>
    </w:p>
    <w:p w:rsidR="00EB26A7" w:rsidRPr="00EB26A7" w:rsidRDefault="00EB26A7" w:rsidP="009C75E2">
      <w:pPr>
        <w:numPr>
          <w:ilvl w:val="0"/>
          <w:numId w:val="40"/>
        </w:numPr>
        <w:tabs>
          <w:tab w:val="clear" w:pos="1080"/>
          <w:tab w:val="left" w:pos="27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In paragraph 107, the Board recommended that UNDP ensure that future service contract evaluations are completed on time, ideally one month prior to contracts’ expiration as per policy, so as to give reasonable time for the office to make timely decisions.</w:t>
      </w:r>
    </w:p>
    <w:p w:rsidR="00EB26A7" w:rsidRPr="00EB26A7" w:rsidRDefault="00EB26A7" w:rsidP="009C75E2">
      <w:pPr>
        <w:tabs>
          <w:tab w:val="left" w:pos="27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450"/>
        <w:jc w:val="both"/>
        <w:rPr>
          <w:spacing w:val="4"/>
          <w:w w:val="103"/>
          <w:kern w:val="14"/>
          <w:sz w:val="20"/>
          <w:szCs w:val="20"/>
        </w:rPr>
      </w:pPr>
    </w:p>
    <w:p w:rsidR="00EB26A7" w:rsidRPr="00EB26A7" w:rsidRDefault="00C97698" w:rsidP="009C75E2">
      <w:pPr>
        <w:tabs>
          <w:tab w:val="left" w:pos="27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450"/>
        <w:jc w:val="both"/>
        <w:rPr>
          <w:spacing w:val="4"/>
          <w:w w:val="103"/>
          <w:kern w:val="14"/>
          <w:sz w:val="20"/>
          <w:szCs w:val="20"/>
        </w:rPr>
      </w:pPr>
      <w:r w:rsidRPr="005C04AC">
        <w:rPr>
          <w:spacing w:val="4"/>
          <w:w w:val="103"/>
          <w:kern w:val="14"/>
          <w:sz w:val="20"/>
          <w:szCs w:val="20"/>
        </w:rPr>
        <w:tab/>
      </w:r>
      <w:r w:rsidR="00EB26A7" w:rsidRPr="00EB26A7">
        <w:rPr>
          <w:spacing w:val="4"/>
          <w:w w:val="103"/>
          <w:kern w:val="14"/>
          <w:sz w:val="20"/>
          <w:szCs w:val="20"/>
        </w:rPr>
        <w:t>UNDP has made progress in implementing this recommendation. The BMS/ Office of Human Resources has sent a reminder to HR practitioners regarding the requirement to complete service contract evaluations on time with a "Frequently Asked Questions" note attached. In its Report for the year ended 31 December 2017 (as above), the Board noticed similar issues in other Country Offices (Malawi, Paraguay and South Africa). As such, the Board kept this recommendation as in progress. Considering the 2017 recommendation (refer to paragraph 88 of the 2017 Report), UNDP is requesting the recommendation from 2016 to be set as reiterated.</w:t>
      </w:r>
    </w:p>
    <w:p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720" w:right="29"/>
        <w:jc w:val="both"/>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 xml:space="preserve">BMS/ Office of Human Resources, Central </w:t>
            </w:r>
            <w:proofErr w:type="spellStart"/>
            <w:r w:rsidRPr="00EB26A7">
              <w:rPr>
                <w:spacing w:val="4"/>
                <w:sz w:val="20"/>
                <w:szCs w:val="20"/>
              </w:rPr>
              <w:t>Bureaux</w:t>
            </w:r>
            <w:proofErr w:type="spellEnd"/>
            <w:r w:rsidRPr="00EB26A7">
              <w:rPr>
                <w:spacing w:val="4"/>
                <w:sz w:val="20"/>
                <w:szCs w:val="20"/>
              </w:rPr>
              <w:t xml:space="preserve"> and Regional </w:t>
            </w:r>
            <w:proofErr w:type="spellStart"/>
            <w:r w:rsidRPr="00EB26A7">
              <w:rPr>
                <w:spacing w:val="4"/>
                <w:sz w:val="20"/>
                <w:szCs w:val="20"/>
              </w:rPr>
              <w:t>Bureaux</w:t>
            </w:r>
            <w:proofErr w:type="spellEnd"/>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 reiterated</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Medium</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w:t>
            </w:r>
          </w:p>
        </w:tc>
      </w:tr>
    </w:tbl>
    <w:p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rsidR="00EB26A7" w:rsidRPr="00EB26A7" w:rsidRDefault="00EB26A7" w:rsidP="009C75E2">
      <w:pPr>
        <w:numPr>
          <w:ilvl w:val="0"/>
          <w:numId w:val="40"/>
        </w:numPr>
        <w:tabs>
          <w:tab w:val="clear" w:pos="1080"/>
          <w:tab w:val="left" w:pos="54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In paragraph 111, the Board recommended that UNDP consider updating and enforcing the Human Resource policy to restrict the number of years which a person can serve under service contracts, after which a function should be established and filled by a person on fixed term appointment.</w:t>
      </w:r>
    </w:p>
    <w:p w:rsidR="00EB26A7" w:rsidRPr="00EB26A7" w:rsidRDefault="00EB26A7" w:rsidP="009C75E2">
      <w:pPr>
        <w:tabs>
          <w:tab w:val="left" w:pos="270"/>
          <w:tab w:val="left" w:pos="36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p>
    <w:p w:rsidR="00EB26A7" w:rsidRPr="00EB26A7" w:rsidRDefault="00C97698" w:rsidP="009C75E2">
      <w:pPr>
        <w:tabs>
          <w:tab w:val="center" w:pos="540"/>
        </w:tabs>
        <w:ind w:left="270" w:hanging="270"/>
        <w:rPr>
          <w:spacing w:val="4"/>
          <w:w w:val="103"/>
          <w:kern w:val="14"/>
          <w:sz w:val="20"/>
          <w:szCs w:val="20"/>
          <w:lang w:val="en-GB"/>
        </w:rPr>
      </w:pPr>
      <w:r w:rsidRPr="005C04AC">
        <w:rPr>
          <w:spacing w:val="4"/>
          <w:w w:val="103"/>
          <w:kern w:val="14"/>
          <w:sz w:val="20"/>
          <w:szCs w:val="20"/>
          <w:lang w:val="en-GB"/>
        </w:rPr>
        <w:tab/>
      </w:r>
      <w:r w:rsidR="00F40148" w:rsidRPr="005C04AC">
        <w:rPr>
          <w:spacing w:val="4"/>
          <w:w w:val="103"/>
          <w:kern w:val="14"/>
          <w:sz w:val="20"/>
          <w:szCs w:val="20"/>
          <w:lang w:val="en-GB"/>
        </w:rPr>
        <w:tab/>
      </w:r>
      <w:r w:rsidR="00EB26A7" w:rsidRPr="00EB26A7">
        <w:rPr>
          <w:spacing w:val="4"/>
          <w:w w:val="103"/>
          <w:kern w:val="14"/>
          <w:sz w:val="20"/>
          <w:szCs w:val="20"/>
          <w:lang w:val="en-GB"/>
        </w:rPr>
        <w:t>The BMS/ Office of Human Resources is conducting a review of the contractual framework and modalities for local service contracts. A draft report is currently under review.</w:t>
      </w:r>
    </w:p>
    <w:p w:rsidR="00EB26A7" w:rsidRPr="00EB26A7" w:rsidRDefault="00EB26A7" w:rsidP="00F40148">
      <w:pPr>
        <w:tabs>
          <w:tab w:val="left" w:pos="360"/>
          <w:tab w:val="left" w:pos="450"/>
          <w:tab w:val="center" w:pos="540"/>
        </w:tabs>
        <w:ind w:left="540" w:hanging="540"/>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 xml:space="preserve">BMS/ Office of Human Resources </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Fourth quarter of 2018</w:t>
            </w:r>
          </w:p>
        </w:tc>
      </w:tr>
    </w:tbl>
    <w:p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rsidR="00EB26A7" w:rsidRPr="00EB26A7" w:rsidRDefault="00EB26A7" w:rsidP="009C75E2">
      <w:pPr>
        <w:numPr>
          <w:ilvl w:val="0"/>
          <w:numId w:val="40"/>
        </w:numPr>
        <w:tabs>
          <w:tab w:val="clear" w:pos="1080"/>
          <w:tab w:val="center" w:pos="18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hanging="270"/>
        <w:jc w:val="both"/>
        <w:rPr>
          <w:b/>
          <w:bCs/>
          <w:spacing w:val="4"/>
          <w:w w:val="103"/>
          <w:kern w:val="14"/>
          <w:sz w:val="20"/>
          <w:szCs w:val="20"/>
        </w:rPr>
      </w:pPr>
      <w:r w:rsidRPr="00EB26A7">
        <w:rPr>
          <w:b/>
          <w:bCs/>
          <w:spacing w:val="4"/>
          <w:w w:val="103"/>
          <w:kern w:val="14"/>
          <w:sz w:val="20"/>
          <w:szCs w:val="20"/>
        </w:rPr>
        <w:t>In paragraph 116, the Board recommended that UNDP ensure that all staff members complete mandatory training courses on time.</w:t>
      </w:r>
    </w:p>
    <w:p w:rsidR="00EB26A7" w:rsidRPr="00EB26A7" w:rsidRDefault="00EB26A7" w:rsidP="009C75E2">
      <w:pPr>
        <w:tabs>
          <w:tab w:val="center" w:pos="18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270" w:right="29" w:hanging="270"/>
        <w:jc w:val="both"/>
        <w:rPr>
          <w:spacing w:val="4"/>
          <w:w w:val="103"/>
          <w:kern w:val="14"/>
          <w:sz w:val="20"/>
          <w:szCs w:val="20"/>
        </w:rPr>
      </w:pPr>
    </w:p>
    <w:p w:rsidR="00EB26A7" w:rsidRPr="00EB26A7" w:rsidRDefault="00C97698" w:rsidP="009C75E2">
      <w:pPr>
        <w:tabs>
          <w:tab w:val="center" w:pos="18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270" w:right="29" w:hanging="270"/>
        <w:jc w:val="both"/>
        <w:rPr>
          <w:spacing w:val="4"/>
          <w:w w:val="103"/>
          <w:kern w:val="14"/>
          <w:sz w:val="20"/>
          <w:szCs w:val="20"/>
        </w:rPr>
      </w:pPr>
      <w:r w:rsidRPr="005C04AC">
        <w:rPr>
          <w:spacing w:val="4"/>
          <w:w w:val="103"/>
          <w:kern w:val="14"/>
          <w:sz w:val="20"/>
          <w:szCs w:val="20"/>
        </w:rPr>
        <w:tab/>
      </w:r>
      <w:r w:rsidR="009C75E2" w:rsidRPr="005C04AC">
        <w:rPr>
          <w:spacing w:val="4"/>
          <w:w w:val="103"/>
          <w:kern w:val="14"/>
          <w:sz w:val="20"/>
          <w:szCs w:val="20"/>
        </w:rPr>
        <w:tab/>
      </w:r>
      <w:r w:rsidR="00EB26A7" w:rsidRPr="00EB26A7">
        <w:rPr>
          <w:spacing w:val="4"/>
          <w:w w:val="103"/>
          <w:kern w:val="14"/>
          <w:sz w:val="20"/>
          <w:szCs w:val="20"/>
        </w:rPr>
        <w:t>While the Board acknowledged efforts made by the BMS/ Office of Human Resources in ensuring that the courses are available to staff on demand, in tracking completion rates and trouble-shooting problems staff may have in completing the course, the Board found similar issues in other Country Offices in its Report for the year ended 31 December 2017 (as above). As such, the Board kept this recommendation as in progress. Considering the 2017 recommendation (refer to paragraph 97 of the 2017 Report), UNDP is requesting the recommendation from 2016 to be set as reiterated.</w:t>
      </w:r>
    </w:p>
    <w:p w:rsidR="00EB26A7" w:rsidRPr="00EB26A7" w:rsidRDefault="00EB26A7" w:rsidP="00EB26A7">
      <w:pPr>
        <w:tabs>
          <w:tab w:val="left" w:pos="450"/>
        </w:tabs>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UNDP All; tracked by BMS/ Office of Human Resources</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 reiterated</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Medium</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w:t>
            </w:r>
          </w:p>
        </w:tc>
      </w:tr>
    </w:tbl>
    <w:p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rsidR="00EB26A7" w:rsidRPr="00EB26A7" w:rsidRDefault="00EB26A7" w:rsidP="009C75E2">
      <w:pPr>
        <w:numPr>
          <w:ilvl w:val="0"/>
          <w:numId w:val="40"/>
        </w:numPr>
        <w:tabs>
          <w:tab w:val="clear" w:pos="1080"/>
          <w:tab w:val="left" w:pos="0"/>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9" w:hanging="360"/>
        <w:jc w:val="both"/>
        <w:rPr>
          <w:spacing w:val="4"/>
          <w:w w:val="103"/>
          <w:kern w:val="14"/>
          <w:sz w:val="20"/>
          <w:szCs w:val="20"/>
        </w:rPr>
      </w:pPr>
      <w:bookmarkStart w:id="2" w:name="_Hlk520905373"/>
      <w:r w:rsidRPr="00EB26A7">
        <w:rPr>
          <w:b/>
          <w:bCs/>
          <w:spacing w:val="4"/>
          <w:w w:val="103"/>
          <w:kern w:val="14"/>
          <w:sz w:val="20"/>
          <w:szCs w:val="20"/>
        </w:rPr>
        <w:t>In paragraph 120, UNDP agreed with the Board’s recommendation to introduce a schedule that will ensure easy reconciliation of individual asset additions between the financial statements note for property plant and equipment and the In-Service Report (ISR).</w:t>
      </w:r>
    </w:p>
    <w:p w:rsidR="00EB26A7" w:rsidRPr="00EB26A7" w:rsidRDefault="00EB26A7" w:rsidP="00C97698">
      <w:pPr>
        <w:tabs>
          <w:tab w:val="left" w:pos="0"/>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b/>
          <w:bCs/>
          <w:spacing w:val="4"/>
          <w:w w:val="103"/>
          <w:kern w:val="14"/>
          <w:sz w:val="20"/>
          <w:szCs w:val="20"/>
        </w:rPr>
      </w:pPr>
    </w:p>
    <w:p w:rsidR="00EB26A7" w:rsidRPr="00EB26A7" w:rsidRDefault="00EB26A7" w:rsidP="00C97698">
      <w:pPr>
        <w:tabs>
          <w:tab w:val="left" w:pos="360"/>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jc w:val="both"/>
        <w:rPr>
          <w:spacing w:val="4"/>
          <w:w w:val="103"/>
          <w:kern w:val="14"/>
          <w:sz w:val="20"/>
          <w:szCs w:val="20"/>
        </w:rPr>
      </w:pPr>
      <w:r w:rsidRPr="00EB26A7">
        <w:rPr>
          <w:spacing w:val="4"/>
          <w:w w:val="103"/>
          <w:kern w:val="14"/>
          <w:sz w:val="20"/>
          <w:szCs w:val="20"/>
        </w:rPr>
        <w:t>Following the Board’s recommendation to introduce a schedule to reconcile the ISR to the Property, Plant &amp; Equipment (PP&amp;E) Note, General Operations prepared a Business Requirement Document and initiated the project with OIMT colleagues. However, as the extremely large volume of PP&amp;E General Ledger data that is generated in a fiscal year cannot be processed by Atlas, UNDP continues to explore an appropriate digital solution.</w:t>
      </w:r>
    </w:p>
    <w:bookmarkEnd w:id="2"/>
    <w:p w:rsidR="00EB26A7" w:rsidRPr="00EB26A7" w:rsidRDefault="00EB26A7" w:rsidP="00C97698">
      <w:pPr>
        <w:tabs>
          <w:tab w:val="left" w:pos="0"/>
          <w:tab w:val="left"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BMS/ Office of Sourcing and Operations</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Second quarter of 2019</w:t>
            </w:r>
          </w:p>
        </w:tc>
      </w:tr>
    </w:tbl>
    <w:p w:rsidR="00EB26A7" w:rsidRPr="00EB26A7" w:rsidRDefault="00EB26A7" w:rsidP="00E9645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bCs/>
          <w:spacing w:val="4"/>
          <w:w w:val="103"/>
          <w:kern w:val="14"/>
          <w:sz w:val="20"/>
          <w:szCs w:val="20"/>
          <w:u w:val="single"/>
          <w:lang w:val="en-GB"/>
        </w:rPr>
      </w:pPr>
    </w:p>
    <w:p w:rsidR="00503BE0" w:rsidRDefault="00503BE0" w:rsidP="003B5FE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center"/>
        <w:rPr>
          <w:b/>
          <w:bCs/>
          <w:spacing w:val="4"/>
          <w:w w:val="103"/>
          <w:kern w:val="14"/>
          <w:sz w:val="20"/>
          <w:szCs w:val="20"/>
          <w:u w:val="single"/>
          <w:lang w:val="en-GB"/>
        </w:rPr>
      </w:pPr>
    </w:p>
    <w:p w:rsidR="00EB26A7" w:rsidRPr="00EB26A7" w:rsidRDefault="00EB26A7" w:rsidP="00503BE0">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rPr>
          <w:b/>
          <w:bCs/>
          <w:spacing w:val="4"/>
          <w:w w:val="103"/>
          <w:kern w:val="14"/>
          <w:sz w:val="20"/>
          <w:szCs w:val="20"/>
          <w:u w:val="single"/>
          <w:lang w:val="en-GB"/>
        </w:rPr>
      </w:pPr>
      <w:r w:rsidRPr="00EB26A7">
        <w:rPr>
          <w:b/>
          <w:bCs/>
          <w:spacing w:val="4"/>
          <w:w w:val="103"/>
          <w:kern w:val="14"/>
          <w:sz w:val="20"/>
          <w:szCs w:val="20"/>
          <w:u w:val="single"/>
          <w:lang w:val="en-GB"/>
        </w:rPr>
        <w:t xml:space="preserve">Report of the Board for </w:t>
      </w:r>
      <w:r w:rsidR="00E96457" w:rsidRPr="005C04AC">
        <w:rPr>
          <w:b/>
          <w:bCs/>
          <w:spacing w:val="4"/>
          <w:w w:val="103"/>
          <w:kern w:val="14"/>
          <w:sz w:val="20"/>
          <w:szCs w:val="20"/>
          <w:u w:val="single"/>
          <w:lang w:val="en-GB"/>
        </w:rPr>
        <w:t>the year ended 31 December 2015</w:t>
      </w:r>
    </w:p>
    <w:p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rsidR="00EB26A7" w:rsidRPr="005C04AC" w:rsidRDefault="00EB26A7" w:rsidP="009C75E2">
      <w:pPr>
        <w:pStyle w:val="ListParagraph"/>
        <w:numPr>
          <w:ilvl w:val="0"/>
          <w:numId w:val="37"/>
        </w:numPr>
        <w:tabs>
          <w:tab w:val="left" w:pos="81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360" w:right="29"/>
        <w:jc w:val="both"/>
        <w:rPr>
          <w:b/>
          <w:bCs/>
          <w:spacing w:val="4"/>
          <w:w w:val="103"/>
          <w:kern w:val="14"/>
          <w:sz w:val="20"/>
          <w:szCs w:val="20"/>
        </w:rPr>
      </w:pPr>
      <w:r w:rsidRPr="005C04AC">
        <w:rPr>
          <w:b/>
          <w:bCs/>
          <w:spacing w:val="4"/>
          <w:w w:val="103"/>
          <w:kern w:val="14"/>
          <w:sz w:val="20"/>
          <w:szCs w:val="20"/>
        </w:rPr>
        <w:t xml:space="preserve">In paragraph 41, UNDP agreed with the Board’s recommendation that: (a) in future, UNDP plan ahead on the changes needed in project settings such as the rates of General Management Support fee to minimize delays in signing quarterly CDRs; (b) it submit the combined delivery reports in a timely manner, duly signed by UNDP and implementing partners in compliance with the </w:t>
      </w:r>
      <w:proofErr w:type="spellStart"/>
      <w:r w:rsidRPr="005C04AC">
        <w:rPr>
          <w:b/>
          <w:bCs/>
          <w:spacing w:val="4"/>
          <w:w w:val="103"/>
          <w:kern w:val="14"/>
          <w:sz w:val="20"/>
          <w:szCs w:val="20"/>
        </w:rPr>
        <w:t>Programme</w:t>
      </w:r>
      <w:proofErr w:type="spellEnd"/>
      <w:r w:rsidRPr="005C04AC">
        <w:rPr>
          <w:b/>
          <w:bCs/>
          <w:spacing w:val="4"/>
          <w:w w:val="103"/>
          <w:kern w:val="14"/>
          <w:sz w:val="20"/>
          <w:szCs w:val="20"/>
        </w:rPr>
        <w:t xml:space="preserve"> and Operations Policies and Procedures, and (c) it liaise with implementing partners on their accountability regarding timely signing of CDRs when delays are encountered.</w:t>
      </w:r>
    </w:p>
    <w:p w:rsidR="00EB26A7" w:rsidRPr="00EB26A7" w:rsidRDefault="00EB26A7" w:rsidP="009C75E2">
      <w:pPr>
        <w:tabs>
          <w:tab w:val="left" w:pos="81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rPr>
      </w:pPr>
    </w:p>
    <w:p w:rsidR="00EB26A7" w:rsidRPr="00EB26A7" w:rsidRDefault="006B23A7" w:rsidP="009C75E2">
      <w:pPr>
        <w:tabs>
          <w:tab w:val="left" w:pos="81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rPr>
      </w:pPr>
      <w:r w:rsidRPr="005C04AC">
        <w:rPr>
          <w:spacing w:val="4"/>
          <w:w w:val="103"/>
          <w:kern w:val="14"/>
          <w:sz w:val="20"/>
          <w:szCs w:val="20"/>
        </w:rPr>
        <w:tab/>
      </w:r>
      <w:r w:rsidR="00EB26A7" w:rsidRPr="00EB26A7">
        <w:rPr>
          <w:spacing w:val="4"/>
          <w:w w:val="103"/>
          <w:kern w:val="14"/>
          <w:sz w:val="20"/>
          <w:szCs w:val="20"/>
        </w:rPr>
        <w:t>This recommendation has been reiterated in the Report for the year ended 31 December 2016 and the Report for the year ended 31 December 2017 (refer to paragraphs 44 of the 2016 Report and 35 of the 2017 Report, respectively).</w:t>
      </w:r>
    </w:p>
    <w:p w:rsidR="00EB26A7" w:rsidRPr="00EB26A7" w:rsidRDefault="00EB26A7" w:rsidP="009C75E2">
      <w:pPr>
        <w:tabs>
          <w:tab w:val="left" w:pos="450"/>
          <w:tab w:val="center" w:pos="720"/>
        </w:tabs>
        <w:ind w:hanging="360"/>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 xml:space="preserve">BMS/ Office of Financial Resources Management and Regional </w:t>
            </w:r>
            <w:proofErr w:type="spellStart"/>
            <w:r w:rsidRPr="00EB26A7">
              <w:rPr>
                <w:spacing w:val="4"/>
                <w:sz w:val="20"/>
                <w:szCs w:val="20"/>
              </w:rPr>
              <w:t>Bureaux</w:t>
            </w:r>
            <w:proofErr w:type="spellEnd"/>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 reiterated</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w:t>
            </w:r>
          </w:p>
        </w:tc>
      </w:tr>
    </w:tbl>
    <w:p w:rsidR="00F56305" w:rsidRPr="005C04AC" w:rsidRDefault="00F56305" w:rsidP="009C75E2">
      <w:pPr>
        <w:tabs>
          <w:tab w:val="left" w:pos="450"/>
          <w:tab w:val="center" w:pos="54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9" w:hanging="360"/>
        <w:jc w:val="both"/>
        <w:rPr>
          <w:spacing w:val="4"/>
          <w:w w:val="103"/>
          <w:kern w:val="14"/>
          <w:sz w:val="20"/>
          <w:szCs w:val="20"/>
        </w:rPr>
      </w:pPr>
    </w:p>
    <w:p w:rsidR="00EB26A7" w:rsidRPr="005C04AC" w:rsidRDefault="00EB26A7" w:rsidP="009C75E2">
      <w:pPr>
        <w:pStyle w:val="ListParagraph"/>
        <w:numPr>
          <w:ilvl w:val="0"/>
          <w:numId w:val="37"/>
        </w:numPr>
        <w:tabs>
          <w:tab w:val="center" w:pos="540"/>
          <w:tab w:val="center" w:pos="63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360" w:right="29"/>
        <w:jc w:val="both"/>
        <w:rPr>
          <w:b/>
          <w:bCs/>
          <w:spacing w:val="4"/>
          <w:w w:val="103"/>
          <w:kern w:val="14"/>
          <w:sz w:val="20"/>
          <w:szCs w:val="20"/>
        </w:rPr>
      </w:pPr>
      <w:r w:rsidRPr="005C04AC">
        <w:rPr>
          <w:b/>
          <w:bCs/>
          <w:spacing w:val="4"/>
          <w:w w:val="103"/>
          <w:kern w:val="14"/>
          <w:sz w:val="20"/>
          <w:szCs w:val="20"/>
        </w:rPr>
        <w:t>In paragraph 72, UNDP agreed with the Board’s recommendations (a) to enhance and document the follow-up mechanisms including feedback from all delayed participating organizations for future improvements, (b) to introduce measures to accelerate operational and financial closure of all overdue projects, and (c) as the largest UN fund administration service provider, to propose the idea of common policies and procedures around inter-agency pooled funding mechanisms to harmonize practices so as to enhance accuracy in reporting and timing of issuing reports.</w:t>
      </w:r>
    </w:p>
    <w:p w:rsidR="00EB26A7" w:rsidRPr="00EB26A7" w:rsidRDefault="00EB26A7" w:rsidP="009C75E2">
      <w:pPr>
        <w:tabs>
          <w:tab w:val="center" w:pos="540"/>
          <w:tab w:val="center" w:pos="63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rPr>
      </w:pPr>
    </w:p>
    <w:p w:rsidR="00EB26A7" w:rsidRPr="00EB26A7" w:rsidRDefault="006B23A7" w:rsidP="009C75E2">
      <w:pPr>
        <w:tabs>
          <w:tab w:val="center" w:pos="540"/>
          <w:tab w:val="center" w:pos="63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rPr>
      </w:pPr>
      <w:r w:rsidRPr="005C04AC">
        <w:rPr>
          <w:spacing w:val="4"/>
          <w:w w:val="103"/>
          <w:kern w:val="14"/>
          <w:sz w:val="20"/>
          <w:szCs w:val="20"/>
        </w:rPr>
        <w:tab/>
      </w:r>
      <w:r w:rsidR="00EB26A7" w:rsidRPr="00EB26A7">
        <w:rPr>
          <w:spacing w:val="4"/>
          <w:w w:val="103"/>
          <w:kern w:val="14"/>
          <w:sz w:val="20"/>
          <w:szCs w:val="20"/>
        </w:rPr>
        <w:t xml:space="preserve">Parts a) and b) have been assessed as in progress by the Board, which acknowledged the follow-up efforts made by UNDP to accelerate project closure. Out of $32.752 million pending final refunds and /or final expenses reports from Participating United Nations Organizations (PUNOs), a total of $19.693 million (60%) had been resolved as of 7 May 2018, leaving an unresolved balance of $13.058 million (40%). The Board suggested to consider this recommendation as implemented when the outstanding balance of </w:t>
      </w:r>
      <w:r w:rsidR="00EB26A7" w:rsidRPr="00EB26A7">
        <w:rPr>
          <w:spacing w:val="4"/>
          <w:w w:val="103"/>
          <w:kern w:val="14"/>
          <w:sz w:val="20"/>
          <w:szCs w:val="20"/>
        </w:rPr>
        <w:lastRenderedPageBreak/>
        <w:t xml:space="preserve">pending refunds will be reduced up to 10% or less than 10% of $32.752 million. Part c) has been assessed as overtaken by events by the Board. </w:t>
      </w:r>
    </w:p>
    <w:p w:rsidR="00EB26A7" w:rsidRPr="00EB26A7" w:rsidRDefault="00EB26A7" w:rsidP="009C75E2">
      <w:pPr>
        <w:tabs>
          <w:tab w:val="left" w:pos="450"/>
          <w:tab w:val="center" w:pos="540"/>
        </w:tabs>
        <w:ind w:left="450" w:hanging="360"/>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BMS/ Multi-Partner Trust Fund Office</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5D59B3" w:rsidRPr="00EB26A7" w:rsidRDefault="005D59B3"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603AE1">
              <w:rPr>
                <w:spacing w:val="4"/>
                <w:sz w:val="20"/>
                <w:szCs w:val="20"/>
              </w:rPr>
              <w:t>Fourth</w:t>
            </w:r>
            <w:r w:rsidR="00EB26A7" w:rsidRPr="00EB26A7">
              <w:rPr>
                <w:spacing w:val="4"/>
                <w:sz w:val="20"/>
                <w:szCs w:val="20"/>
              </w:rPr>
              <w:t xml:space="preserve"> quarter of 2018</w:t>
            </w:r>
          </w:p>
        </w:tc>
      </w:tr>
    </w:tbl>
    <w:p w:rsidR="00EB26A7" w:rsidRPr="00EB26A7" w:rsidRDefault="00EB26A7" w:rsidP="009C75E2">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hanging="360"/>
        <w:jc w:val="both"/>
        <w:rPr>
          <w:spacing w:val="4"/>
          <w:w w:val="103"/>
          <w:kern w:val="14"/>
          <w:sz w:val="20"/>
          <w:szCs w:val="20"/>
          <w:lang w:val="en-GB"/>
        </w:rPr>
      </w:pPr>
    </w:p>
    <w:p w:rsidR="00EB26A7" w:rsidRPr="005C04AC" w:rsidRDefault="00EB26A7" w:rsidP="009C75E2">
      <w:pPr>
        <w:pStyle w:val="ListParagraph"/>
        <w:numPr>
          <w:ilvl w:val="0"/>
          <w:numId w:val="37"/>
        </w:numPr>
        <w:tabs>
          <w:tab w:val="left" w:pos="54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360" w:right="29"/>
        <w:jc w:val="both"/>
        <w:rPr>
          <w:b/>
          <w:bCs/>
          <w:spacing w:val="4"/>
          <w:w w:val="103"/>
          <w:kern w:val="14"/>
          <w:sz w:val="20"/>
          <w:szCs w:val="20"/>
        </w:rPr>
      </w:pPr>
      <w:r w:rsidRPr="005C04AC">
        <w:rPr>
          <w:b/>
          <w:bCs/>
          <w:spacing w:val="4"/>
          <w:w w:val="103"/>
          <w:kern w:val="14"/>
          <w:sz w:val="20"/>
          <w:szCs w:val="20"/>
        </w:rPr>
        <w:t>In paragraph 91, UNDP agreed with the Board recommendation to (a) strengthen controls in reviewing the HACT micro assessment plan for completeness and accuracy; (b) prioritize the micro assessment activities to Implementing Partners based on assessment plan; and (c) monitor implementation and conduct annual update of the assessment plan.</w:t>
      </w:r>
    </w:p>
    <w:p w:rsidR="00EB26A7" w:rsidRPr="00EB26A7" w:rsidRDefault="00EB26A7" w:rsidP="009C75E2">
      <w:pPr>
        <w:tabs>
          <w:tab w:val="left" w:pos="54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rPr>
      </w:pPr>
    </w:p>
    <w:p w:rsidR="00EB26A7" w:rsidRPr="00EB26A7" w:rsidRDefault="006B23A7" w:rsidP="009C75E2">
      <w:pPr>
        <w:tabs>
          <w:tab w:val="left" w:pos="540"/>
          <w:tab w:val="left" w:pos="720"/>
        </w:tabs>
        <w:ind w:left="360" w:hanging="360"/>
        <w:rPr>
          <w:spacing w:val="4"/>
          <w:w w:val="103"/>
          <w:kern w:val="14"/>
          <w:sz w:val="20"/>
          <w:szCs w:val="20"/>
          <w:lang w:val="en-GB"/>
        </w:rPr>
      </w:pPr>
      <w:r w:rsidRPr="005C04AC">
        <w:rPr>
          <w:spacing w:val="4"/>
          <w:w w:val="103"/>
          <w:kern w:val="14"/>
          <w:sz w:val="20"/>
          <w:szCs w:val="20"/>
          <w:lang w:val="en-GB"/>
        </w:rPr>
        <w:tab/>
      </w:r>
      <w:r w:rsidR="00EB26A7" w:rsidRPr="00EB26A7">
        <w:rPr>
          <w:spacing w:val="4"/>
          <w:w w:val="103"/>
          <w:kern w:val="14"/>
          <w:sz w:val="20"/>
          <w:szCs w:val="20"/>
          <w:lang w:val="en-GB"/>
        </w:rPr>
        <w:t>This recommendation has been reiterated in the Report for the year ended 31 December 2016 (refer to paragraph 82 of the 2016 Report).</w:t>
      </w:r>
    </w:p>
    <w:p w:rsidR="00EB26A7" w:rsidRPr="00EB26A7" w:rsidRDefault="00EB26A7" w:rsidP="009C75E2">
      <w:pPr>
        <w:tabs>
          <w:tab w:val="left" w:pos="450"/>
        </w:tabs>
        <w:ind w:left="720" w:hanging="360"/>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603AE1"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 xml:space="preserve">Regional </w:t>
            </w:r>
            <w:proofErr w:type="spellStart"/>
            <w:r w:rsidRPr="00EB26A7">
              <w:rPr>
                <w:spacing w:val="4"/>
                <w:sz w:val="20"/>
                <w:szCs w:val="20"/>
              </w:rPr>
              <w:t>Bureaux</w:t>
            </w:r>
            <w:proofErr w:type="spellEnd"/>
          </w:p>
        </w:tc>
      </w:tr>
      <w:tr w:rsidR="00EB26A7" w:rsidRPr="00603AE1"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 reiterated</w:t>
            </w:r>
          </w:p>
        </w:tc>
      </w:tr>
      <w:tr w:rsidR="00EB26A7" w:rsidRPr="00603AE1"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603AE1"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w:t>
            </w:r>
          </w:p>
        </w:tc>
      </w:tr>
    </w:tbl>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p>
    <w:p w:rsidR="00EB26A7" w:rsidRPr="00EB26A7" w:rsidRDefault="00EB26A7" w:rsidP="009C75E2">
      <w:pPr>
        <w:numPr>
          <w:ilvl w:val="0"/>
          <w:numId w:val="37"/>
        </w:numPr>
        <w:tabs>
          <w:tab w:val="center" w:pos="54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360" w:right="29"/>
        <w:jc w:val="both"/>
        <w:rPr>
          <w:b/>
          <w:bCs/>
          <w:spacing w:val="4"/>
          <w:w w:val="103"/>
          <w:kern w:val="14"/>
          <w:sz w:val="20"/>
          <w:szCs w:val="20"/>
        </w:rPr>
      </w:pPr>
      <w:r w:rsidRPr="00EB26A7">
        <w:rPr>
          <w:b/>
          <w:bCs/>
          <w:spacing w:val="4"/>
          <w:w w:val="103"/>
          <w:kern w:val="14"/>
          <w:sz w:val="20"/>
          <w:szCs w:val="20"/>
        </w:rPr>
        <w:t>In paragraph 98, UNDP agreed with the Board recommendation to ensure Country Offices (a) prepare the complete set of HACT assurance activities plan in line with the HACT template and include all the required information; (b) conduct all assurance activities as planned; and (c) monitor and improve annual assurance plans from the lessons learned from HACT transitional assurance activity plans of 30 April 2015.</w:t>
      </w:r>
    </w:p>
    <w:p w:rsidR="00EB26A7" w:rsidRPr="00EB26A7" w:rsidRDefault="00EB26A7" w:rsidP="009C75E2">
      <w:pPr>
        <w:tabs>
          <w:tab w:val="center" w:pos="54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360"/>
        <w:jc w:val="both"/>
        <w:rPr>
          <w:spacing w:val="4"/>
          <w:w w:val="103"/>
          <w:kern w:val="14"/>
          <w:sz w:val="20"/>
          <w:szCs w:val="20"/>
        </w:rPr>
      </w:pPr>
    </w:p>
    <w:p w:rsidR="00EB26A7" w:rsidRPr="00EB26A7" w:rsidRDefault="006B23A7" w:rsidP="009C75E2">
      <w:pPr>
        <w:tabs>
          <w:tab w:val="center" w:pos="540"/>
          <w:tab w:val="left" w:pos="720"/>
        </w:tabs>
        <w:ind w:left="360" w:hanging="360"/>
        <w:rPr>
          <w:spacing w:val="4"/>
          <w:w w:val="103"/>
          <w:kern w:val="14"/>
          <w:sz w:val="20"/>
          <w:szCs w:val="20"/>
          <w:lang w:val="en-GB"/>
        </w:rPr>
      </w:pPr>
      <w:r w:rsidRPr="005C04AC">
        <w:rPr>
          <w:spacing w:val="4"/>
          <w:w w:val="103"/>
          <w:kern w:val="14"/>
          <w:sz w:val="20"/>
          <w:szCs w:val="20"/>
          <w:lang w:val="en-GB"/>
        </w:rPr>
        <w:tab/>
      </w:r>
      <w:r w:rsidR="00EB26A7" w:rsidRPr="00EB26A7">
        <w:rPr>
          <w:spacing w:val="4"/>
          <w:w w:val="103"/>
          <w:kern w:val="14"/>
          <w:sz w:val="20"/>
          <w:szCs w:val="20"/>
          <w:lang w:val="en-GB"/>
        </w:rPr>
        <w:t>This recommendation has been reiterated in the Report for the year ended 31 December 2016 (refer to paragraph 82 of the 2016 Report).</w:t>
      </w:r>
    </w:p>
    <w:p w:rsidR="00EB26A7" w:rsidRPr="00EB26A7" w:rsidRDefault="00EB26A7" w:rsidP="009C75E2">
      <w:pPr>
        <w:tabs>
          <w:tab w:val="left" w:pos="450"/>
        </w:tabs>
        <w:ind w:hanging="360"/>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Departments responsible: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 xml:space="preserve">Regional </w:t>
            </w:r>
            <w:proofErr w:type="spellStart"/>
            <w:r w:rsidRPr="00EB26A7">
              <w:rPr>
                <w:spacing w:val="4"/>
                <w:sz w:val="20"/>
                <w:szCs w:val="20"/>
              </w:rPr>
              <w:t>Bureaux</w:t>
            </w:r>
            <w:proofErr w:type="spellEnd"/>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Status:</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In progress/ reiterated</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Priority:</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High</w:t>
            </w:r>
          </w:p>
        </w:tc>
      </w:tr>
      <w:tr w:rsidR="00EB26A7" w:rsidRPr="005C04AC" w:rsidTr="00EB26A7">
        <w:tc>
          <w:tcPr>
            <w:tcW w:w="2970"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EB26A7">
              <w:rPr>
                <w:i/>
                <w:spacing w:val="4"/>
                <w:sz w:val="20"/>
                <w:szCs w:val="20"/>
              </w:rPr>
              <w:t>Target date:</w:t>
            </w:r>
          </w:p>
        </w:tc>
        <w:tc>
          <w:tcPr>
            <w:tcW w:w="5033" w:type="dxa"/>
            <w:hideMark/>
          </w:tcPr>
          <w:p w:rsidR="00EB26A7" w:rsidRPr="00EB26A7" w:rsidRDefault="00EB26A7" w:rsidP="00603AE1">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EB26A7">
              <w:rPr>
                <w:spacing w:val="4"/>
                <w:sz w:val="20"/>
                <w:szCs w:val="20"/>
              </w:rPr>
              <w:t>-</w:t>
            </w:r>
          </w:p>
        </w:tc>
      </w:tr>
    </w:tbl>
    <w:p w:rsidR="00EB26A7" w:rsidRPr="00EB26A7" w:rsidRDefault="00EB26A7" w:rsidP="00EB26A7">
      <w:pPr>
        <w:tabs>
          <w:tab w:val="left" w:pos="45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rsidR="00FB34FD" w:rsidRPr="005C04AC" w:rsidRDefault="00FB34FD" w:rsidP="00EB26A7">
      <w:pPr>
        <w:tabs>
          <w:tab w:val="left" w:pos="450"/>
          <w:tab w:val="left" w:pos="5098"/>
        </w:tabs>
        <w:suppressAutoHyphens/>
        <w:spacing w:after="240"/>
        <w:ind w:left="576" w:right="1080"/>
        <w:rPr>
          <w:b/>
          <w:spacing w:val="4"/>
          <w:w w:val="103"/>
          <w:kern w:val="14"/>
          <w:sz w:val="20"/>
          <w:szCs w:val="20"/>
          <w:u w:val="single"/>
          <w:lang w:val="en-GB"/>
        </w:rPr>
      </w:pPr>
    </w:p>
    <w:p w:rsidR="00FB34FD" w:rsidRPr="005C04AC" w:rsidRDefault="00FB34FD" w:rsidP="00EB26A7">
      <w:pPr>
        <w:tabs>
          <w:tab w:val="left" w:pos="450"/>
          <w:tab w:val="left" w:pos="5098"/>
        </w:tabs>
        <w:suppressAutoHyphens/>
        <w:spacing w:after="240"/>
        <w:ind w:left="576" w:right="1080"/>
        <w:rPr>
          <w:b/>
          <w:spacing w:val="4"/>
          <w:w w:val="103"/>
          <w:kern w:val="14"/>
          <w:sz w:val="20"/>
          <w:szCs w:val="20"/>
          <w:u w:val="single"/>
          <w:lang w:val="en-GB"/>
        </w:rPr>
      </w:pPr>
    </w:p>
    <w:p w:rsidR="00FB34FD" w:rsidRPr="005C04AC" w:rsidRDefault="00FB34FD" w:rsidP="00EB26A7">
      <w:pPr>
        <w:tabs>
          <w:tab w:val="left" w:pos="450"/>
          <w:tab w:val="left" w:pos="5098"/>
        </w:tabs>
        <w:suppressAutoHyphens/>
        <w:spacing w:after="240"/>
        <w:ind w:left="576" w:right="1080"/>
        <w:rPr>
          <w:b/>
          <w:spacing w:val="4"/>
          <w:w w:val="103"/>
          <w:kern w:val="14"/>
          <w:sz w:val="20"/>
          <w:szCs w:val="20"/>
          <w:u w:val="single"/>
          <w:lang w:val="en-GB"/>
        </w:rPr>
      </w:pPr>
    </w:p>
    <w:p w:rsidR="00FB34FD" w:rsidRPr="005C04AC" w:rsidRDefault="00FB34FD" w:rsidP="00EB26A7">
      <w:pPr>
        <w:tabs>
          <w:tab w:val="left" w:pos="450"/>
          <w:tab w:val="left" w:pos="5098"/>
        </w:tabs>
        <w:suppressAutoHyphens/>
        <w:spacing w:after="240"/>
        <w:ind w:left="576" w:right="1080"/>
        <w:rPr>
          <w:b/>
          <w:spacing w:val="4"/>
          <w:w w:val="103"/>
          <w:kern w:val="14"/>
          <w:sz w:val="20"/>
          <w:szCs w:val="20"/>
          <w:u w:val="single"/>
          <w:lang w:val="en-GB"/>
        </w:rPr>
      </w:pPr>
    </w:p>
    <w:p w:rsidR="00FB34FD" w:rsidRPr="005C04AC" w:rsidRDefault="00FB34FD" w:rsidP="00EB26A7">
      <w:pPr>
        <w:tabs>
          <w:tab w:val="left" w:pos="450"/>
          <w:tab w:val="left" w:pos="5098"/>
        </w:tabs>
        <w:suppressAutoHyphens/>
        <w:spacing w:after="240"/>
        <w:ind w:left="576" w:right="1080"/>
        <w:rPr>
          <w:b/>
          <w:spacing w:val="4"/>
          <w:w w:val="103"/>
          <w:kern w:val="14"/>
          <w:sz w:val="20"/>
          <w:szCs w:val="20"/>
          <w:u w:val="single"/>
          <w:lang w:val="en-GB"/>
        </w:rPr>
      </w:pPr>
    </w:p>
    <w:p w:rsidR="00FB34FD" w:rsidRPr="005C04AC" w:rsidRDefault="00FB34FD" w:rsidP="00EB26A7">
      <w:pPr>
        <w:tabs>
          <w:tab w:val="left" w:pos="450"/>
          <w:tab w:val="left" w:pos="5098"/>
        </w:tabs>
        <w:suppressAutoHyphens/>
        <w:spacing w:after="240"/>
        <w:ind w:left="576" w:right="1080"/>
        <w:rPr>
          <w:b/>
          <w:spacing w:val="4"/>
          <w:w w:val="103"/>
          <w:kern w:val="14"/>
          <w:sz w:val="20"/>
          <w:szCs w:val="20"/>
          <w:u w:val="single"/>
          <w:lang w:val="en-GB"/>
        </w:rPr>
      </w:pPr>
    </w:p>
    <w:p w:rsidR="00FB34FD" w:rsidRPr="005C04AC" w:rsidRDefault="00FB34FD" w:rsidP="00EB26A7">
      <w:pPr>
        <w:tabs>
          <w:tab w:val="left" w:pos="450"/>
          <w:tab w:val="left" w:pos="5098"/>
        </w:tabs>
        <w:suppressAutoHyphens/>
        <w:spacing w:after="240"/>
        <w:ind w:left="576" w:right="1080"/>
        <w:rPr>
          <w:b/>
          <w:spacing w:val="4"/>
          <w:w w:val="103"/>
          <w:kern w:val="14"/>
          <w:sz w:val="20"/>
          <w:szCs w:val="20"/>
          <w:u w:val="single"/>
          <w:lang w:val="en-GB"/>
        </w:rPr>
      </w:pPr>
    </w:p>
    <w:p w:rsidR="00FB34FD" w:rsidRPr="005C04AC" w:rsidRDefault="00FB34FD" w:rsidP="00EB26A7">
      <w:pPr>
        <w:tabs>
          <w:tab w:val="left" w:pos="450"/>
          <w:tab w:val="left" w:pos="5098"/>
        </w:tabs>
        <w:suppressAutoHyphens/>
        <w:spacing w:after="240"/>
        <w:ind w:left="576" w:right="1080"/>
        <w:rPr>
          <w:b/>
          <w:spacing w:val="4"/>
          <w:w w:val="103"/>
          <w:kern w:val="14"/>
          <w:sz w:val="20"/>
          <w:szCs w:val="20"/>
          <w:u w:val="single"/>
          <w:lang w:val="en-GB"/>
        </w:rPr>
      </w:pPr>
    </w:p>
    <w:p w:rsidR="00FB34FD" w:rsidRPr="005C04AC" w:rsidRDefault="00FB34FD" w:rsidP="00EB26A7">
      <w:pPr>
        <w:tabs>
          <w:tab w:val="left" w:pos="450"/>
          <w:tab w:val="left" w:pos="5098"/>
        </w:tabs>
        <w:suppressAutoHyphens/>
        <w:spacing w:after="240"/>
        <w:ind w:left="576" w:right="1080"/>
        <w:rPr>
          <w:b/>
          <w:spacing w:val="4"/>
          <w:w w:val="103"/>
          <w:kern w:val="14"/>
          <w:sz w:val="20"/>
          <w:szCs w:val="20"/>
          <w:u w:val="single"/>
          <w:lang w:val="en-GB"/>
        </w:rPr>
      </w:pPr>
    </w:p>
    <w:p w:rsidR="00FB34FD" w:rsidRPr="005C04AC" w:rsidRDefault="00FB34FD" w:rsidP="00EB26A7">
      <w:pPr>
        <w:tabs>
          <w:tab w:val="left" w:pos="450"/>
          <w:tab w:val="left" w:pos="5098"/>
        </w:tabs>
        <w:suppressAutoHyphens/>
        <w:spacing w:after="240"/>
        <w:ind w:left="576" w:right="1080"/>
        <w:rPr>
          <w:b/>
          <w:spacing w:val="4"/>
          <w:w w:val="103"/>
          <w:kern w:val="14"/>
          <w:sz w:val="20"/>
          <w:szCs w:val="20"/>
          <w:u w:val="single"/>
          <w:lang w:val="en-GB"/>
        </w:rPr>
      </w:pPr>
    </w:p>
    <w:p w:rsidR="00FB34FD" w:rsidRPr="005C04AC" w:rsidRDefault="00FB34FD" w:rsidP="00F40148">
      <w:pPr>
        <w:tabs>
          <w:tab w:val="left" w:pos="5098"/>
        </w:tabs>
        <w:suppressAutoHyphens/>
        <w:spacing w:after="240"/>
        <w:ind w:right="1080"/>
        <w:rPr>
          <w:b/>
          <w:spacing w:val="4"/>
          <w:w w:val="103"/>
          <w:kern w:val="14"/>
          <w:sz w:val="20"/>
          <w:szCs w:val="20"/>
          <w:u w:val="single"/>
          <w:lang w:val="en-GB"/>
        </w:rPr>
      </w:pPr>
    </w:p>
    <w:p w:rsidR="00695E9D" w:rsidRPr="00D3505C" w:rsidRDefault="00FB34FD" w:rsidP="00E96457">
      <w:pPr>
        <w:tabs>
          <w:tab w:val="center" w:pos="4491"/>
        </w:tabs>
        <w:suppressAutoHyphens/>
        <w:spacing w:after="240"/>
        <w:ind w:left="576" w:right="1080"/>
        <w:rPr>
          <w:b/>
          <w:spacing w:val="4"/>
          <w:w w:val="103"/>
          <w:kern w:val="14"/>
          <w:lang w:val="en-GB"/>
        </w:rPr>
      </w:pPr>
      <w:r w:rsidRPr="00D3505C">
        <w:rPr>
          <w:b/>
          <w:spacing w:val="4"/>
          <w:w w:val="103"/>
          <w:kern w:val="14"/>
          <w:lang w:val="en-GB"/>
        </w:rPr>
        <w:lastRenderedPageBreak/>
        <w:t>A</w:t>
      </w:r>
      <w:r w:rsidR="00695E9D" w:rsidRPr="00D3505C">
        <w:rPr>
          <w:b/>
          <w:spacing w:val="4"/>
          <w:w w:val="103"/>
          <w:kern w:val="14"/>
          <w:lang w:val="en-GB"/>
        </w:rPr>
        <w:t>nnex 3.</w:t>
      </w:r>
    </w:p>
    <w:p w:rsidR="00695E9D" w:rsidRPr="005C04AC" w:rsidRDefault="00695E9D" w:rsidP="001C60D4">
      <w:pPr>
        <w:pStyle w:val="SingleTxt"/>
        <w:tabs>
          <w:tab w:val="clear" w:pos="1267"/>
          <w:tab w:val="clear" w:pos="1742"/>
          <w:tab w:val="clear" w:pos="2218"/>
          <w:tab w:val="clear" w:pos="2693"/>
          <w:tab w:val="clear" w:pos="3182"/>
          <w:tab w:val="clear" w:pos="3658"/>
          <w:tab w:val="clear" w:pos="4133"/>
          <w:tab w:val="clear" w:pos="4622"/>
          <w:tab w:val="clear" w:pos="5573"/>
          <w:tab w:val="clear" w:pos="6048"/>
          <w:tab w:val="center" w:pos="1440"/>
        </w:tabs>
        <w:spacing w:after="240" w:line="240" w:lineRule="auto"/>
        <w:ind w:left="907" w:right="1080"/>
        <w:jc w:val="center"/>
        <w:rPr>
          <w:b/>
          <w:u w:val="single"/>
        </w:rPr>
      </w:pPr>
      <w:r w:rsidRPr="005C04AC">
        <w:rPr>
          <w:b/>
          <w:u w:val="single"/>
        </w:rPr>
        <w:t xml:space="preserve">2017 </w:t>
      </w:r>
      <w:r w:rsidR="001C60D4" w:rsidRPr="005C04AC">
        <w:rPr>
          <w:b/>
          <w:u w:val="single"/>
        </w:rPr>
        <w:t>UNCDF</w:t>
      </w:r>
      <w:r w:rsidRPr="005C04AC">
        <w:rPr>
          <w:b/>
          <w:u w:val="single"/>
        </w:rPr>
        <w:t xml:space="preserve"> BOARD RECOMMENDATIONS AND PRIOR YEAR RECOMMENDATIONS THAT ARE UNDER IMPLEMENATION</w:t>
      </w:r>
    </w:p>
    <w:p w:rsidR="00F55518" w:rsidRPr="005C04AC" w:rsidRDefault="00F55518" w:rsidP="001C60D4">
      <w:pPr>
        <w:widowControl w:val="0"/>
        <w:numPr>
          <w:ilvl w:val="0"/>
          <w:numId w:val="31"/>
        </w:numPr>
        <w:tabs>
          <w:tab w:val="clear" w:pos="1440"/>
          <w:tab w:val="left" w:pos="540"/>
          <w:tab w:val="num" w:pos="810"/>
          <w:tab w:val="left" w:pos="1742"/>
          <w:tab w:val="left" w:pos="2218"/>
          <w:tab w:val="left" w:pos="2693"/>
          <w:tab w:val="left" w:pos="3182"/>
          <w:tab w:val="left" w:pos="3658"/>
          <w:tab w:val="left" w:pos="4133"/>
          <w:tab w:val="left" w:pos="4622"/>
          <w:tab w:val="left" w:pos="5098"/>
          <w:tab w:val="left" w:pos="5573"/>
          <w:tab w:val="left" w:pos="6048"/>
        </w:tabs>
        <w:ind w:left="1080" w:right="29" w:hanging="900"/>
        <w:outlineLvl w:val="0"/>
        <w:rPr>
          <w:b/>
          <w:spacing w:val="-2"/>
          <w:w w:val="103"/>
          <w:kern w:val="14"/>
          <w:sz w:val="20"/>
          <w:szCs w:val="20"/>
          <w:lang w:val="en-GB"/>
        </w:rPr>
      </w:pPr>
      <w:r w:rsidRPr="005C04AC">
        <w:rPr>
          <w:b/>
          <w:spacing w:val="-2"/>
          <w:w w:val="103"/>
          <w:kern w:val="14"/>
          <w:sz w:val="20"/>
          <w:szCs w:val="20"/>
          <w:lang w:val="en-GB"/>
        </w:rPr>
        <w:t>UNCDF Recommendations contained in the report of the Board of Auditors</w:t>
      </w:r>
      <w:r w:rsidR="001C60D4" w:rsidRPr="005C04AC">
        <w:rPr>
          <w:b/>
          <w:spacing w:val="-2"/>
          <w:w w:val="103"/>
          <w:kern w:val="14"/>
          <w:sz w:val="20"/>
          <w:szCs w:val="20"/>
          <w:lang w:val="en-GB"/>
        </w:rPr>
        <w:t xml:space="preserve"> for 2017</w:t>
      </w:r>
      <w:r w:rsidRPr="005C04AC">
        <w:rPr>
          <w:b/>
          <w:spacing w:val="-2"/>
          <w:w w:val="103"/>
          <w:kern w:val="14"/>
          <w:sz w:val="20"/>
          <w:szCs w:val="20"/>
          <w:lang w:val="en-GB"/>
        </w:rPr>
        <w:t>.</w:t>
      </w:r>
    </w:p>
    <w:p w:rsidR="00F55518" w:rsidRPr="005C04AC" w:rsidRDefault="00F55518" w:rsidP="00F55518">
      <w:pPr>
        <w:widowControl w:val="0"/>
        <w:tabs>
          <w:tab w:val="left" w:pos="836"/>
          <w:tab w:val="left" w:pos="1742"/>
          <w:tab w:val="left" w:pos="2218"/>
          <w:tab w:val="left" w:pos="2693"/>
          <w:tab w:val="left" w:pos="3182"/>
          <w:tab w:val="left" w:pos="3658"/>
          <w:tab w:val="left" w:pos="4133"/>
          <w:tab w:val="left" w:pos="4622"/>
          <w:tab w:val="left" w:pos="5098"/>
          <w:tab w:val="left" w:pos="5573"/>
          <w:tab w:val="left" w:pos="6048"/>
        </w:tabs>
        <w:ind w:left="1440" w:right="29"/>
        <w:outlineLvl w:val="0"/>
        <w:rPr>
          <w:b/>
          <w:spacing w:val="-2"/>
          <w:w w:val="103"/>
          <w:kern w:val="14"/>
          <w:sz w:val="20"/>
          <w:szCs w:val="20"/>
          <w:lang w:val="en-GB"/>
        </w:rPr>
      </w:pPr>
    </w:p>
    <w:p w:rsidR="001C60D4" w:rsidRPr="005C04AC" w:rsidRDefault="001C60D4" w:rsidP="00843A2D">
      <w:pPr>
        <w:pStyle w:val="ListParagraph"/>
        <w:numPr>
          <w:ilvl w:val="0"/>
          <w:numId w:val="39"/>
        </w:numPr>
        <w:tabs>
          <w:tab w:val="left" w:pos="630"/>
          <w:tab w:val="center" w:pos="81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360" w:right="29"/>
        <w:jc w:val="both"/>
        <w:rPr>
          <w:b/>
          <w:bCs/>
          <w:spacing w:val="4"/>
          <w:w w:val="103"/>
          <w:kern w:val="14"/>
          <w:sz w:val="20"/>
          <w:szCs w:val="20"/>
        </w:rPr>
      </w:pPr>
      <w:bookmarkStart w:id="3" w:name="_Hlk519172812"/>
      <w:r w:rsidRPr="005C04AC">
        <w:rPr>
          <w:b/>
          <w:bCs/>
          <w:spacing w:val="4"/>
          <w:w w:val="103"/>
          <w:kern w:val="14"/>
          <w:sz w:val="20"/>
          <w:szCs w:val="20"/>
        </w:rPr>
        <w:t>In paragraph 26</w:t>
      </w:r>
      <w:bookmarkEnd w:id="3"/>
      <w:r w:rsidRPr="005C04AC">
        <w:rPr>
          <w:b/>
          <w:bCs/>
          <w:spacing w:val="4"/>
          <w:w w:val="103"/>
          <w:kern w:val="14"/>
          <w:sz w:val="20"/>
          <w:szCs w:val="20"/>
        </w:rPr>
        <w:t xml:space="preserve">, the Board recommended that  UNCDF (a) perform mid-term and final evaluations of its </w:t>
      </w:r>
      <w:proofErr w:type="spellStart"/>
      <w:r w:rsidRPr="005C04AC">
        <w:rPr>
          <w:b/>
          <w:bCs/>
          <w:spacing w:val="4"/>
          <w:w w:val="103"/>
          <w:kern w:val="14"/>
          <w:sz w:val="20"/>
          <w:szCs w:val="20"/>
        </w:rPr>
        <w:t>programmes</w:t>
      </w:r>
      <w:proofErr w:type="spellEnd"/>
      <w:r w:rsidRPr="005C04AC">
        <w:rPr>
          <w:b/>
          <w:bCs/>
          <w:spacing w:val="4"/>
          <w:w w:val="103"/>
          <w:kern w:val="14"/>
          <w:sz w:val="20"/>
          <w:szCs w:val="20"/>
        </w:rPr>
        <w:t xml:space="preserve"> in a timely manner as required by the Evaluation Policy, (b) ensure the update and upload of management responses in the Evaluation Resource Centre (ERC) for the part of the evaluation related to UNCDF’s work on time in compliance with </w:t>
      </w:r>
      <w:proofErr w:type="spellStart"/>
      <w:r w:rsidRPr="005C04AC">
        <w:rPr>
          <w:b/>
          <w:bCs/>
          <w:spacing w:val="4"/>
          <w:w w:val="103"/>
          <w:kern w:val="14"/>
          <w:sz w:val="20"/>
          <w:szCs w:val="20"/>
        </w:rPr>
        <w:t>Programme</w:t>
      </w:r>
      <w:proofErr w:type="spellEnd"/>
      <w:r w:rsidRPr="005C04AC">
        <w:rPr>
          <w:b/>
          <w:bCs/>
          <w:spacing w:val="4"/>
          <w:w w:val="103"/>
          <w:kern w:val="14"/>
          <w:sz w:val="20"/>
          <w:szCs w:val="20"/>
        </w:rPr>
        <w:t xml:space="preserve"> and Operations Policies and Procedures (POPP), and (c) ensure changes in the evaluation plans are timely reflected in the Evaluation Resource Centre</w:t>
      </w:r>
    </w:p>
    <w:p w:rsidR="001C60D4" w:rsidRPr="001C60D4" w:rsidRDefault="001C60D4" w:rsidP="00843A2D">
      <w:pPr>
        <w:tabs>
          <w:tab w:val="left" w:pos="450"/>
          <w:tab w:val="center" w:pos="81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360" w:right="29" w:hanging="360"/>
        <w:jc w:val="both"/>
        <w:rPr>
          <w:b/>
          <w:bCs/>
          <w:spacing w:val="4"/>
          <w:w w:val="103"/>
          <w:kern w:val="14"/>
          <w:sz w:val="20"/>
          <w:szCs w:val="20"/>
        </w:rPr>
      </w:pPr>
    </w:p>
    <w:p w:rsidR="001C60D4" w:rsidRPr="001C60D4" w:rsidRDefault="001C60D4" w:rsidP="00843A2D">
      <w:pPr>
        <w:tabs>
          <w:tab w:val="left" w:pos="720"/>
          <w:tab w:val="center" w:pos="81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ind w:left="360" w:hanging="360"/>
        <w:jc w:val="both"/>
        <w:rPr>
          <w:sz w:val="20"/>
          <w:szCs w:val="20"/>
        </w:rPr>
      </w:pPr>
      <w:r w:rsidRPr="001C60D4">
        <w:rPr>
          <w:sz w:val="20"/>
          <w:szCs w:val="20"/>
        </w:rPr>
        <w:tab/>
        <w:t>UNCDF agrees with the recommendation.</w:t>
      </w:r>
    </w:p>
    <w:p w:rsidR="001C60D4" w:rsidRPr="001C60D4" w:rsidRDefault="001C60D4" w:rsidP="001C60D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1C60D4" w:rsidRPr="005C04AC" w:rsidTr="001C60D4">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Department responsible:</w:t>
            </w:r>
          </w:p>
        </w:tc>
        <w:tc>
          <w:tcPr>
            <w:tcW w:w="5033"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 xml:space="preserve">Evaluation Unit </w:t>
            </w:r>
          </w:p>
        </w:tc>
      </w:tr>
      <w:tr w:rsidR="001C60D4" w:rsidRPr="005C04AC" w:rsidTr="001C60D4">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Status:</w:t>
            </w:r>
          </w:p>
        </w:tc>
        <w:tc>
          <w:tcPr>
            <w:tcW w:w="5033"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In progress</w:t>
            </w:r>
          </w:p>
        </w:tc>
      </w:tr>
      <w:tr w:rsidR="001C60D4" w:rsidRPr="005C04AC" w:rsidTr="001C60D4">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Priority:</w:t>
            </w:r>
          </w:p>
        </w:tc>
        <w:tc>
          <w:tcPr>
            <w:tcW w:w="5033"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High</w:t>
            </w:r>
          </w:p>
        </w:tc>
      </w:tr>
      <w:tr w:rsidR="001C60D4" w:rsidRPr="005C04AC" w:rsidTr="001C60D4">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Target date:</w:t>
            </w:r>
          </w:p>
        </w:tc>
        <w:tc>
          <w:tcPr>
            <w:tcW w:w="5033"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First quarter of 2019</w:t>
            </w:r>
          </w:p>
        </w:tc>
      </w:tr>
    </w:tbl>
    <w:p w:rsidR="001C60D4" w:rsidRPr="001C60D4" w:rsidRDefault="001C60D4" w:rsidP="001C60D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rsidR="00843A2D" w:rsidRPr="005C04AC" w:rsidRDefault="001C60D4" w:rsidP="00843A2D">
      <w:pPr>
        <w:numPr>
          <w:ilvl w:val="0"/>
          <w:numId w:val="39"/>
        </w:numPr>
        <w:tabs>
          <w:tab w:val="left" w:pos="360"/>
          <w:tab w:val="center" w:pos="90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450" w:right="29" w:hanging="540"/>
        <w:jc w:val="both"/>
        <w:rPr>
          <w:b/>
          <w:spacing w:val="-2"/>
          <w:w w:val="103"/>
          <w:kern w:val="14"/>
          <w:sz w:val="20"/>
          <w:szCs w:val="20"/>
        </w:rPr>
      </w:pPr>
      <w:r w:rsidRPr="001C60D4">
        <w:rPr>
          <w:b/>
          <w:spacing w:val="-2"/>
          <w:w w:val="103"/>
          <w:kern w:val="14"/>
          <w:sz w:val="20"/>
          <w:szCs w:val="20"/>
        </w:rPr>
        <w:t xml:space="preserve">In paragraph 32, The Board recommends UNCDF liaise </w:t>
      </w:r>
      <w:r w:rsidR="00843A2D" w:rsidRPr="005C04AC">
        <w:rPr>
          <w:b/>
          <w:spacing w:val="-2"/>
          <w:w w:val="103"/>
          <w:kern w:val="14"/>
          <w:sz w:val="20"/>
          <w:szCs w:val="20"/>
        </w:rPr>
        <w:t>with UNDP to ensure that global</w:t>
      </w:r>
    </w:p>
    <w:p w:rsidR="00843A2D" w:rsidRPr="005C04AC" w:rsidRDefault="00843A2D" w:rsidP="00843A2D">
      <w:pPr>
        <w:tabs>
          <w:tab w:val="left" w:pos="360"/>
          <w:tab w:val="center" w:pos="90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360" w:right="29"/>
        <w:jc w:val="both"/>
        <w:rPr>
          <w:b/>
          <w:spacing w:val="-2"/>
          <w:w w:val="103"/>
          <w:kern w:val="14"/>
          <w:sz w:val="20"/>
          <w:szCs w:val="20"/>
        </w:rPr>
      </w:pPr>
      <w:r w:rsidRPr="005C04AC">
        <w:rPr>
          <w:b/>
          <w:spacing w:val="-2"/>
          <w:w w:val="103"/>
          <w:kern w:val="14"/>
          <w:sz w:val="20"/>
          <w:szCs w:val="20"/>
        </w:rPr>
        <w:tab/>
      </w:r>
      <w:r w:rsidR="001C60D4" w:rsidRPr="001C60D4">
        <w:rPr>
          <w:b/>
          <w:spacing w:val="-2"/>
          <w:w w:val="103"/>
          <w:kern w:val="14"/>
          <w:sz w:val="20"/>
          <w:szCs w:val="20"/>
        </w:rPr>
        <w:t>communication/instructions are sent to UNCDF in a timely manner when there are changes in policies.</w:t>
      </w:r>
    </w:p>
    <w:p w:rsidR="00843A2D" w:rsidRPr="005C04AC" w:rsidRDefault="00843A2D" w:rsidP="00843A2D">
      <w:pPr>
        <w:tabs>
          <w:tab w:val="left" w:pos="360"/>
          <w:tab w:val="center" w:pos="90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360" w:right="29"/>
        <w:jc w:val="both"/>
        <w:rPr>
          <w:b/>
          <w:spacing w:val="-2"/>
          <w:w w:val="103"/>
          <w:kern w:val="14"/>
          <w:sz w:val="20"/>
          <w:szCs w:val="20"/>
        </w:rPr>
      </w:pPr>
    </w:p>
    <w:p w:rsidR="001C60D4" w:rsidRPr="001C60D4" w:rsidRDefault="001C60D4" w:rsidP="00843A2D">
      <w:pPr>
        <w:tabs>
          <w:tab w:val="left" w:pos="360"/>
          <w:tab w:val="center" w:pos="90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360" w:right="29"/>
        <w:jc w:val="both"/>
        <w:rPr>
          <w:b/>
          <w:spacing w:val="-2"/>
          <w:w w:val="103"/>
          <w:kern w:val="14"/>
          <w:sz w:val="20"/>
          <w:szCs w:val="20"/>
        </w:rPr>
      </w:pPr>
      <w:r w:rsidRPr="001C60D4">
        <w:rPr>
          <w:sz w:val="20"/>
          <w:szCs w:val="20"/>
        </w:rPr>
        <w:t>UNCDF and UNDP will liaise and determine a communication protocol.</w:t>
      </w:r>
    </w:p>
    <w:p w:rsidR="001C60D4" w:rsidRPr="001C60D4" w:rsidRDefault="001C60D4" w:rsidP="00843A2D">
      <w:pPr>
        <w:tabs>
          <w:tab w:val="left" w:pos="90"/>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630" w:right="29"/>
        <w:jc w:val="both"/>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1C60D4" w:rsidRPr="005C04AC" w:rsidTr="001C60D4">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Department responsible:</w:t>
            </w:r>
          </w:p>
        </w:tc>
        <w:tc>
          <w:tcPr>
            <w:tcW w:w="5033"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 xml:space="preserve">Management Support Unit; in cooperation with UNDP’s Bureau for Management Services </w:t>
            </w:r>
          </w:p>
        </w:tc>
      </w:tr>
      <w:tr w:rsidR="001C60D4" w:rsidRPr="005C04AC" w:rsidTr="001C60D4">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Status:</w:t>
            </w:r>
          </w:p>
        </w:tc>
        <w:tc>
          <w:tcPr>
            <w:tcW w:w="5033" w:type="dxa"/>
            <w:hideMark/>
          </w:tcPr>
          <w:p w:rsidR="001C60D4" w:rsidRPr="001C60D4" w:rsidRDefault="00E96457"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0C712B">
              <w:rPr>
                <w:spacing w:val="4"/>
                <w:sz w:val="20"/>
                <w:szCs w:val="20"/>
              </w:rPr>
              <w:t>Implemented</w:t>
            </w:r>
          </w:p>
        </w:tc>
      </w:tr>
      <w:tr w:rsidR="001C60D4" w:rsidRPr="005C04AC" w:rsidTr="001C60D4">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Priority:</w:t>
            </w:r>
          </w:p>
        </w:tc>
        <w:tc>
          <w:tcPr>
            <w:tcW w:w="5033"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High</w:t>
            </w:r>
          </w:p>
        </w:tc>
      </w:tr>
      <w:tr w:rsidR="001C60D4" w:rsidRPr="005C04AC" w:rsidTr="001C60D4">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Target date:</w:t>
            </w:r>
          </w:p>
        </w:tc>
        <w:tc>
          <w:tcPr>
            <w:tcW w:w="5033"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First quarter of 2019</w:t>
            </w:r>
          </w:p>
        </w:tc>
      </w:tr>
    </w:tbl>
    <w:p w:rsidR="001C60D4" w:rsidRPr="001C60D4" w:rsidRDefault="001C60D4" w:rsidP="001C60D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540" w:right="29"/>
        <w:jc w:val="both"/>
        <w:rPr>
          <w:b/>
          <w:spacing w:val="-2"/>
          <w:w w:val="103"/>
          <w:kern w:val="14"/>
          <w:sz w:val="20"/>
          <w:szCs w:val="20"/>
          <w:lang w:val="en-GB"/>
        </w:rPr>
      </w:pPr>
    </w:p>
    <w:p w:rsidR="001C60D4" w:rsidRPr="001C60D4" w:rsidRDefault="001C60D4" w:rsidP="00843A2D">
      <w:pPr>
        <w:numPr>
          <w:ilvl w:val="0"/>
          <w:numId w:val="39"/>
        </w:numPr>
        <w:tabs>
          <w:tab w:val="center" w:pos="360"/>
          <w:tab w:val="center" w:pos="45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270" w:right="29"/>
        <w:jc w:val="both"/>
        <w:rPr>
          <w:b/>
          <w:spacing w:val="-2"/>
          <w:w w:val="103"/>
          <w:kern w:val="14"/>
          <w:sz w:val="20"/>
          <w:szCs w:val="20"/>
        </w:rPr>
      </w:pPr>
      <w:r w:rsidRPr="001C60D4">
        <w:rPr>
          <w:b/>
          <w:spacing w:val="-2"/>
          <w:w w:val="103"/>
          <w:kern w:val="14"/>
          <w:sz w:val="20"/>
          <w:szCs w:val="20"/>
        </w:rPr>
        <w:t>In paragraph 33, the Board also recommend that UNCDF specify which POPPs are applicable to them and which ones are not applicable in order to avoid arbitrary decisions on the applicability of POPPs.</w:t>
      </w:r>
    </w:p>
    <w:p w:rsidR="001C60D4" w:rsidRPr="001C60D4" w:rsidRDefault="001C60D4" w:rsidP="00843A2D">
      <w:pPr>
        <w:tabs>
          <w:tab w:val="center" w:pos="360"/>
          <w:tab w:val="center" w:pos="450"/>
          <w:tab w:val="left" w:pos="72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ind w:left="270" w:hanging="360"/>
        <w:jc w:val="both"/>
        <w:rPr>
          <w:bCs/>
          <w:spacing w:val="4"/>
          <w:w w:val="103"/>
          <w:kern w:val="14"/>
          <w:sz w:val="20"/>
          <w:szCs w:val="20"/>
        </w:rPr>
      </w:pPr>
      <w:r w:rsidRPr="001C60D4">
        <w:rPr>
          <w:sz w:val="20"/>
          <w:szCs w:val="20"/>
        </w:rPr>
        <w:br/>
        <w:t>UNCDF agrees with the recommendation.</w:t>
      </w:r>
    </w:p>
    <w:p w:rsidR="001C60D4" w:rsidRPr="001C60D4" w:rsidRDefault="001C60D4" w:rsidP="00843A2D">
      <w:pPr>
        <w:tabs>
          <w:tab w:val="center" w:pos="360"/>
          <w:tab w:val="left" w:pos="72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jc w:val="both"/>
        <w:rPr>
          <w:bCs/>
          <w:spacing w:val="4"/>
          <w:w w:val="103"/>
          <w:kern w:val="14"/>
          <w:sz w:val="20"/>
          <w:szCs w:val="20"/>
        </w:rPr>
      </w:pPr>
    </w:p>
    <w:tbl>
      <w:tblPr>
        <w:tblStyle w:val="TableGrid"/>
        <w:tblW w:w="8022"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9"/>
        <w:gridCol w:w="5014"/>
        <w:gridCol w:w="19"/>
      </w:tblGrid>
      <w:tr w:rsidR="001C60D4" w:rsidRPr="005C04AC" w:rsidTr="007E24D9">
        <w:trPr>
          <w:gridAfter w:val="1"/>
          <w:wAfter w:w="19" w:type="dxa"/>
        </w:trPr>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Department responsible:</w:t>
            </w:r>
          </w:p>
        </w:tc>
        <w:tc>
          <w:tcPr>
            <w:tcW w:w="5033" w:type="dxa"/>
            <w:gridSpan w:val="2"/>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 xml:space="preserve">Management Support Unit </w:t>
            </w:r>
          </w:p>
        </w:tc>
      </w:tr>
      <w:tr w:rsidR="001C60D4" w:rsidRPr="005C04AC" w:rsidTr="007E24D9">
        <w:trPr>
          <w:gridAfter w:val="1"/>
          <w:wAfter w:w="19" w:type="dxa"/>
        </w:trPr>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Status:</w:t>
            </w:r>
          </w:p>
        </w:tc>
        <w:tc>
          <w:tcPr>
            <w:tcW w:w="5033" w:type="dxa"/>
            <w:gridSpan w:val="2"/>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In progress</w:t>
            </w:r>
          </w:p>
        </w:tc>
      </w:tr>
      <w:tr w:rsidR="001C60D4" w:rsidRPr="005C04AC" w:rsidTr="007E24D9">
        <w:trPr>
          <w:gridAfter w:val="1"/>
          <w:wAfter w:w="19" w:type="dxa"/>
        </w:trPr>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Priority:</w:t>
            </w:r>
          </w:p>
        </w:tc>
        <w:tc>
          <w:tcPr>
            <w:tcW w:w="5033" w:type="dxa"/>
            <w:gridSpan w:val="2"/>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High</w:t>
            </w:r>
          </w:p>
        </w:tc>
      </w:tr>
      <w:tr w:rsidR="001C60D4" w:rsidRPr="005C04AC" w:rsidTr="007E24D9">
        <w:tc>
          <w:tcPr>
            <w:tcW w:w="2989" w:type="dxa"/>
            <w:gridSpan w:val="2"/>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Target date:</w:t>
            </w:r>
          </w:p>
        </w:tc>
        <w:tc>
          <w:tcPr>
            <w:tcW w:w="5033" w:type="dxa"/>
            <w:gridSpan w:val="2"/>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First quarter of 2019</w:t>
            </w:r>
          </w:p>
        </w:tc>
      </w:tr>
    </w:tbl>
    <w:p w:rsidR="00E96457" w:rsidRPr="001C60D4" w:rsidRDefault="00E96457" w:rsidP="00843A2D">
      <w:pPr>
        <w:tabs>
          <w:tab w:val="left" w:pos="72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jc w:val="both"/>
        <w:rPr>
          <w:b/>
          <w:spacing w:val="4"/>
          <w:w w:val="103"/>
          <w:kern w:val="14"/>
          <w:sz w:val="20"/>
          <w:szCs w:val="20"/>
          <w:lang w:val="en-GB"/>
        </w:rPr>
      </w:pPr>
    </w:p>
    <w:p w:rsidR="001C60D4" w:rsidRPr="001C60D4" w:rsidRDefault="001C60D4" w:rsidP="00843A2D">
      <w:pPr>
        <w:numPr>
          <w:ilvl w:val="0"/>
          <w:numId w:val="39"/>
        </w:numPr>
        <w:tabs>
          <w:tab w:val="center" w:pos="81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ind w:left="270" w:hanging="270"/>
        <w:jc w:val="both"/>
        <w:rPr>
          <w:b/>
          <w:spacing w:val="-2"/>
          <w:w w:val="103"/>
          <w:kern w:val="14"/>
          <w:sz w:val="20"/>
          <w:szCs w:val="20"/>
        </w:rPr>
      </w:pPr>
      <w:r w:rsidRPr="001C60D4">
        <w:rPr>
          <w:b/>
          <w:spacing w:val="-2"/>
          <w:w w:val="103"/>
          <w:kern w:val="14"/>
          <w:sz w:val="20"/>
          <w:szCs w:val="20"/>
        </w:rPr>
        <w:t xml:space="preserve">In paragraph 40, the Board recommend UNCDF ensure that changes in budget and expenditure are done through annual work plans and approved by the project boards. </w:t>
      </w:r>
    </w:p>
    <w:p w:rsidR="001C60D4" w:rsidRPr="001C60D4" w:rsidRDefault="001C60D4" w:rsidP="00843A2D">
      <w:pPr>
        <w:tabs>
          <w:tab w:val="left" w:pos="72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ind w:left="270" w:hanging="270"/>
        <w:jc w:val="both"/>
        <w:rPr>
          <w:b/>
          <w:spacing w:val="4"/>
          <w:w w:val="103"/>
          <w:kern w:val="14"/>
          <w:sz w:val="20"/>
          <w:szCs w:val="20"/>
        </w:rPr>
      </w:pPr>
    </w:p>
    <w:p w:rsidR="001C60D4" w:rsidRPr="001C60D4" w:rsidRDefault="00843A2D" w:rsidP="00843A2D">
      <w:pPr>
        <w:tabs>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ind w:left="270" w:hanging="270"/>
        <w:jc w:val="both"/>
        <w:rPr>
          <w:sz w:val="20"/>
          <w:szCs w:val="20"/>
        </w:rPr>
      </w:pPr>
      <w:r w:rsidRPr="005C04AC">
        <w:rPr>
          <w:sz w:val="20"/>
          <w:szCs w:val="20"/>
        </w:rPr>
        <w:tab/>
      </w:r>
      <w:r w:rsidR="001C60D4" w:rsidRPr="001C60D4">
        <w:rPr>
          <w:sz w:val="20"/>
          <w:szCs w:val="20"/>
        </w:rPr>
        <w:t>UNCDF agrees with the recommendation. We would like to highlight that where necessary budgets were adjusted through approved annual work plans.</w:t>
      </w:r>
    </w:p>
    <w:p w:rsidR="001C60D4" w:rsidRPr="001C60D4" w:rsidRDefault="001C60D4" w:rsidP="001C60D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720" w:right="29"/>
        <w:jc w:val="both"/>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1C60D4" w:rsidRPr="005C04AC" w:rsidTr="001C60D4">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Department responsible:</w:t>
            </w:r>
          </w:p>
        </w:tc>
        <w:tc>
          <w:tcPr>
            <w:tcW w:w="5033"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 xml:space="preserve">Local Development Practice Area (LDPA) and Financial Inclusion Practice Area (FIPA) </w:t>
            </w:r>
          </w:p>
        </w:tc>
      </w:tr>
      <w:tr w:rsidR="001C60D4" w:rsidRPr="005C04AC" w:rsidTr="001C60D4">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Status:</w:t>
            </w:r>
          </w:p>
        </w:tc>
        <w:tc>
          <w:tcPr>
            <w:tcW w:w="5033"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In progress</w:t>
            </w:r>
          </w:p>
        </w:tc>
      </w:tr>
      <w:tr w:rsidR="001C60D4" w:rsidRPr="005C04AC" w:rsidTr="001C60D4">
        <w:tc>
          <w:tcPr>
            <w:tcW w:w="2970"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1C60D4">
              <w:rPr>
                <w:i/>
                <w:spacing w:val="4"/>
                <w:sz w:val="20"/>
                <w:szCs w:val="20"/>
              </w:rPr>
              <w:t>Priority:</w:t>
            </w:r>
          </w:p>
        </w:tc>
        <w:tc>
          <w:tcPr>
            <w:tcW w:w="5033" w:type="dxa"/>
            <w:hideMark/>
          </w:tcPr>
          <w:p w:rsidR="001C60D4" w:rsidRPr="001C60D4" w:rsidRDefault="001C60D4" w:rsidP="000C712B">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1C60D4">
              <w:rPr>
                <w:spacing w:val="4"/>
                <w:sz w:val="20"/>
                <w:szCs w:val="20"/>
              </w:rPr>
              <w:t>Medium</w:t>
            </w:r>
          </w:p>
        </w:tc>
      </w:tr>
      <w:tr w:rsidR="001C60D4" w:rsidRPr="007E24D9" w:rsidTr="001C60D4">
        <w:tc>
          <w:tcPr>
            <w:tcW w:w="2970" w:type="dxa"/>
            <w:hideMark/>
          </w:tcPr>
          <w:p w:rsidR="001C60D4" w:rsidRPr="007E24D9" w:rsidRDefault="001C60D4" w:rsidP="007E24D9">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r w:rsidRPr="007E24D9">
              <w:rPr>
                <w:i/>
                <w:spacing w:val="4"/>
                <w:sz w:val="20"/>
                <w:szCs w:val="20"/>
              </w:rPr>
              <w:t>Target date:</w:t>
            </w:r>
          </w:p>
        </w:tc>
        <w:tc>
          <w:tcPr>
            <w:tcW w:w="5033" w:type="dxa"/>
            <w:hideMark/>
          </w:tcPr>
          <w:p w:rsidR="001C60D4" w:rsidRPr="007E24D9" w:rsidRDefault="001C60D4" w:rsidP="007E24D9">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spacing w:val="4"/>
                <w:sz w:val="20"/>
                <w:szCs w:val="20"/>
              </w:rPr>
            </w:pPr>
            <w:r w:rsidRPr="007E24D9">
              <w:rPr>
                <w:spacing w:val="4"/>
                <w:sz w:val="20"/>
                <w:szCs w:val="20"/>
              </w:rPr>
              <w:t>Second quarter of 2019</w:t>
            </w:r>
          </w:p>
        </w:tc>
      </w:tr>
    </w:tbl>
    <w:p w:rsidR="001C60D4" w:rsidRPr="007E24D9" w:rsidRDefault="001C60D4" w:rsidP="007E24D9">
      <w:pPr>
        <w:tabs>
          <w:tab w:val="left" w:pos="450"/>
          <w:tab w:val="left" w:pos="540"/>
          <w:tab w:val="left" w:pos="836"/>
          <w:tab w:val="left" w:pos="1742"/>
          <w:tab w:val="left" w:pos="2218"/>
          <w:tab w:val="left" w:pos="2693"/>
          <w:tab w:val="left" w:pos="3182"/>
          <w:tab w:val="left" w:pos="3658"/>
          <w:tab w:val="left" w:pos="4133"/>
          <w:tab w:val="left" w:pos="4622"/>
          <w:tab w:val="left" w:pos="5098"/>
          <w:tab w:val="left" w:pos="5573"/>
          <w:tab w:val="left" w:pos="6048"/>
        </w:tabs>
        <w:ind w:left="360" w:right="27"/>
        <w:rPr>
          <w:i/>
          <w:spacing w:val="4"/>
          <w:sz w:val="20"/>
          <w:szCs w:val="20"/>
        </w:rPr>
      </w:pPr>
    </w:p>
    <w:p w:rsidR="001C60D4" w:rsidRPr="001C60D4" w:rsidRDefault="001C60D4" w:rsidP="00843A2D">
      <w:pPr>
        <w:numPr>
          <w:ilvl w:val="0"/>
          <w:numId w:val="39"/>
        </w:numPr>
        <w:tabs>
          <w:tab w:val="left" w:pos="36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ind w:left="360"/>
        <w:jc w:val="both"/>
        <w:rPr>
          <w:b/>
          <w:spacing w:val="-2"/>
          <w:w w:val="103"/>
          <w:kern w:val="14"/>
          <w:sz w:val="20"/>
          <w:szCs w:val="20"/>
        </w:rPr>
      </w:pPr>
      <w:r w:rsidRPr="001C60D4">
        <w:rPr>
          <w:b/>
          <w:spacing w:val="-2"/>
          <w:w w:val="103"/>
          <w:kern w:val="14"/>
          <w:sz w:val="20"/>
          <w:szCs w:val="20"/>
        </w:rPr>
        <w:lastRenderedPageBreak/>
        <w:t>In paragraph 43, the Board recommends that UNCDF establish an efficient mechanism to ensure that all operationally closed projects are financially closed within 12 months and no adjustment are allowed to a financially closed project unless the amount is significant as provided in the POPP</w:t>
      </w:r>
    </w:p>
    <w:p w:rsidR="001C60D4" w:rsidRPr="001C60D4" w:rsidRDefault="001C60D4" w:rsidP="00843A2D">
      <w:pPr>
        <w:tabs>
          <w:tab w:val="left" w:pos="360"/>
          <w:tab w:val="left" w:pos="72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ind w:left="360" w:hanging="360"/>
        <w:jc w:val="both"/>
        <w:rPr>
          <w:b/>
          <w:spacing w:val="4"/>
          <w:w w:val="103"/>
          <w:kern w:val="14"/>
          <w:sz w:val="20"/>
          <w:szCs w:val="20"/>
        </w:rPr>
      </w:pPr>
    </w:p>
    <w:p w:rsidR="001C60D4" w:rsidRPr="001C60D4" w:rsidRDefault="001C60D4" w:rsidP="00843A2D">
      <w:pPr>
        <w:tabs>
          <w:tab w:val="left" w:pos="360"/>
          <w:tab w:val="center" w:pos="63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ind w:left="360" w:hanging="360"/>
        <w:jc w:val="both"/>
        <w:rPr>
          <w:sz w:val="20"/>
          <w:szCs w:val="20"/>
        </w:rPr>
      </w:pPr>
      <w:r w:rsidRPr="001C60D4">
        <w:rPr>
          <w:sz w:val="20"/>
          <w:szCs w:val="20"/>
        </w:rPr>
        <w:tab/>
        <w:t>UNCDF agrees with the recommendation.</w:t>
      </w:r>
    </w:p>
    <w:p w:rsidR="001C60D4" w:rsidRPr="001C60D4" w:rsidRDefault="001C60D4" w:rsidP="001C60D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720" w:right="29" w:firstLine="720"/>
        <w:jc w:val="both"/>
        <w:rPr>
          <w:spacing w:val="4"/>
          <w:w w:val="103"/>
          <w:kern w:val="14"/>
          <w:sz w:val="20"/>
          <w:szCs w:val="20"/>
          <w:lang w:val="en-GB"/>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1C60D4" w:rsidRPr="005C04AC" w:rsidTr="001C60D4">
        <w:tc>
          <w:tcPr>
            <w:tcW w:w="2970"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9"/>
              <w:jc w:val="both"/>
              <w:rPr>
                <w:i/>
                <w:spacing w:val="4"/>
                <w:w w:val="103"/>
                <w:sz w:val="20"/>
                <w:szCs w:val="20"/>
                <w:lang w:eastAsia="en-GB"/>
              </w:rPr>
            </w:pPr>
            <w:r w:rsidRPr="001C60D4">
              <w:rPr>
                <w:i/>
                <w:spacing w:val="4"/>
                <w:w w:val="103"/>
                <w:sz w:val="20"/>
                <w:szCs w:val="20"/>
                <w:lang w:eastAsia="en-GB"/>
              </w:rPr>
              <w:t>Department responsible:</w:t>
            </w:r>
          </w:p>
        </w:tc>
        <w:tc>
          <w:tcPr>
            <w:tcW w:w="5033"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r w:rsidRPr="001C60D4">
              <w:rPr>
                <w:spacing w:val="4"/>
                <w:w w:val="103"/>
                <w:sz w:val="20"/>
                <w:szCs w:val="20"/>
                <w:lang w:eastAsia="en-GB"/>
              </w:rPr>
              <w:t>Local Development Practice Area (LDPA),  Financial Inclusion Practice Area (FIPA) and</w:t>
            </w:r>
          </w:p>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proofErr w:type="spellStart"/>
            <w:r w:rsidRPr="001C60D4">
              <w:rPr>
                <w:spacing w:val="4"/>
                <w:w w:val="103"/>
                <w:sz w:val="20"/>
                <w:szCs w:val="20"/>
                <w:lang w:eastAsia="en-GB"/>
              </w:rPr>
              <w:t>Programme</w:t>
            </w:r>
            <w:proofErr w:type="spellEnd"/>
            <w:r w:rsidRPr="001C60D4">
              <w:rPr>
                <w:spacing w:val="4"/>
                <w:w w:val="103"/>
                <w:sz w:val="20"/>
                <w:szCs w:val="20"/>
                <w:lang w:eastAsia="en-GB"/>
              </w:rPr>
              <w:t xml:space="preserve"> Management Support Unit (PMSU)</w:t>
            </w:r>
            <w:r w:rsidRPr="001C60D4">
              <w:rPr>
                <w:i/>
                <w:spacing w:val="4"/>
                <w:w w:val="103"/>
                <w:sz w:val="20"/>
                <w:szCs w:val="20"/>
                <w:lang w:eastAsia="en-GB"/>
              </w:rPr>
              <w:t xml:space="preserve"> </w:t>
            </w:r>
          </w:p>
        </w:tc>
      </w:tr>
      <w:tr w:rsidR="001C60D4" w:rsidRPr="005C04AC" w:rsidTr="001C60D4">
        <w:tc>
          <w:tcPr>
            <w:tcW w:w="2970"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i/>
                <w:spacing w:val="4"/>
                <w:w w:val="103"/>
                <w:sz w:val="20"/>
                <w:szCs w:val="20"/>
                <w:lang w:eastAsia="en-GB"/>
              </w:rPr>
            </w:pPr>
            <w:r w:rsidRPr="001C60D4">
              <w:rPr>
                <w:i/>
                <w:spacing w:val="4"/>
                <w:w w:val="103"/>
                <w:sz w:val="20"/>
                <w:szCs w:val="20"/>
                <w:lang w:eastAsia="en-GB"/>
              </w:rPr>
              <w:t>Status:</w:t>
            </w:r>
          </w:p>
        </w:tc>
        <w:tc>
          <w:tcPr>
            <w:tcW w:w="5033"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r w:rsidRPr="001C60D4">
              <w:rPr>
                <w:spacing w:val="4"/>
                <w:w w:val="103"/>
                <w:sz w:val="20"/>
                <w:szCs w:val="20"/>
                <w:lang w:eastAsia="en-GB"/>
              </w:rPr>
              <w:t>In progress</w:t>
            </w:r>
          </w:p>
        </w:tc>
      </w:tr>
      <w:tr w:rsidR="001C60D4" w:rsidRPr="005C04AC" w:rsidTr="001C60D4">
        <w:tc>
          <w:tcPr>
            <w:tcW w:w="2970"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i/>
                <w:spacing w:val="4"/>
                <w:w w:val="103"/>
                <w:sz w:val="20"/>
                <w:szCs w:val="20"/>
                <w:lang w:eastAsia="en-GB"/>
              </w:rPr>
            </w:pPr>
            <w:r w:rsidRPr="001C60D4">
              <w:rPr>
                <w:i/>
                <w:spacing w:val="4"/>
                <w:w w:val="103"/>
                <w:sz w:val="20"/>
                <w:szCs w:val="20"/>
                <w:lang w:eastAsia="en-GB"/>
              </w:rPr>
              <w:t>Priority:</w:t>
            </w:r>
          </w:p>
        </w:tc>
        <w:tc>
          <w:tcPr>
            <w:tcW w:w="5033"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r w:rsidRPr="001C60D4">
              <w:rPr>
                <w:spacing w:val="4"/>
                <w:w w:val="103"/>
                <w:sz w:val="20"/>
                <w:szCs w:val="20"/>
                <w:lang w:eastAsia="en-GB"/>
              </w:rPr>
              <w:t>Medium</w:t>
            </w:r>
          </w:p>
        </w:tc>
      </w:tr>
      <w:tr w:rsidR="001C60D4" w:rsidRPr="005C04AC" w:rsidTr="001C60D4">
        <w:tc>
          <w:tcPr>
            <w:tcW w:w="2970"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i/>
                <w:spacing w:val="4"/>
                <w:w w:val="103"/>
                <w:sz w:val="20"/>
                <w:szCs w:val="20"/>
                <w:lang w:eastAsia="en-GB"/>
              </w:rPr>
            </w:pPr>
            <w:r w:rsidRPr="001C60D4">
              <w:rPr>
                <w:i/>
                <w:spacing w:val="4"/>
                <w:w w:val="103"/>
                <w:sz w:val="20"/>
                <w:szCs w:val="20"/>
                <w:lang w:eastAsia="en-GB"/>
              </w:rPr>
              <w:t>Target date:</w:t>
            </w:r>
          </w:p>
        </w:tc>
        <w:tc>
          <w:tcPr>
            <w:tcW w:w="5033"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r w:rsidRPr="001C60D4">
              <w:rPr>
                <w:spacing w:val="4"/>
                <w:w w:val="103"/>
                <w:sz w:val="20"/>
                <w:szCs w:val="20"/>
                <w:lang w:eastAsia="en-GB"/>
              </w:rPr>
              <w:t>Second quarter of 2019</w:t>
            </w:r>
          </w:p>
        </w:tc>
      </w:tr>
    </w:tbl>
    <w:p w:rsidR="001C60D4" w:rsidRPr="001C60D4" w:rsidRDefault="001C60D4" w:rsidP="001C60D4">
      <w:pPr>
        <w:suppressAutoHyphens/>
        <w:spacing w:line="240" w:lineRule="exact"/>
        <w:rPr>
          <w:b/>
          <w:spacing w:val="4"/>
          <w:w w:val="103"/>
          <w:kern w:val="14"/>
          <w:sz w:val="20"/>
          <w:szCs w:val="20"/>
          <w:lang w:val="en-GB"/>
        </w:rPr>
      </w:pPr>
    </w:p>
    <w:p w:rsidR="001C60D4" w:rsidRPr="001C60D4" w:rsidRDefault="001C60D4" w:rsidP="00843A2D">
      <w:pPr>
        <w:numPr>
          <w:ilvl w:val="0"/>
          <w:numId w:val="39"/>
        </w:numPr>
        <w:tabs>
          <w:tab w:val="center" w:pos="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ind w:left="360"/>
        <w:jc w:val="both"/>
        <w:rPr>
          <w:b/>
          <w:spacing w:val="-2"/>
          <w:w w:val="103"/>
          <w:kern w:val="14"/>
          <w:sz w:val="20"/>
          <w:szCs w:val="20"/>
        </w:rPr>
      </w:pPr>
      <w:r w:rsidRPr="001C60D4">
        <w:rPr>
          <w:b/>
          <w:spacing w:val="-2"/>
          <w:w w:val="103"/>
          <w:kern w:val="14"/>
          <w:sz w:val="20"/>
          <w:szCs w:val="20"/>
        </w:rPr>
        <w:t>In paragraph 47, the Board recommends UNCDF ensure that the risk, issues and monitoring logs for all projects in Nepal and Myanmar are activated in Atlas in a timely manner as the primary source of project information.</w:t>
      </w:r>
    </w:p>
    <w:p w:rsidR="001C60D4" w:rsidRPr="001C60D4" w:rsidRDefault="001C60D4" w:rsidP="00843A2D">
      <w:pPr>
        <w:tabs>
          <w:tab w:val="center" w:pos="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ind w:left="360" w:hanging="540"/>
        <w:jc w:val="both"/>
        <w:rPr>
          <w:spacing w:val="4"/>
          <w:w w:val="103"/>
          <w:kern w:val="14"/>
          <w:sz w:val="20"/>
          <w:szCs w:val="20"/>
        </w:rPr>
      </w:pPr>
    </w:p>
    <w:p w:rsidR="001C60D4" w:rsidRPr="001C60D4" w:rsidRDefault="00C43D33" w:rsidP="00843A2D">
      <w:pPr>
        <w:tabs>
          <w:tab w:val="center" w:pos="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60" w:right="29" w:hanging="540"/>
        <w:jc w:val="both"/>
        <w:rPr>
          <w:sz w:val="20"/>
          <w:szCs w:val="20"/>
        </w:rPr>
      </w:pPr>
      <w:r w:rsidRPr="005C04AC">
        <w:rPr>
          <w:sz w:val="20"/>
          <w:szCs w:val="20"/>
        </w:rPr>
        <w:tab/>
      </w:r>
      <w:r w:rsidR="00843A2D" w:rsidRPr="005C04AC">
        <w:rPr>
          <w:sz w:val="20"/>
          <w:szCs w:val="20"/>
        </w:rPr>
        <w:tab/>
      </w:r>
      <w:r w:rsidR="001C60D4" w:rsidRPr="001C60D4">
        <w:rPr>
          <w:sz w:val="20"/>
          <w:szCs w:val="20"/>
        </w:rPr>
        <w:t>UNCDF agrees with the recommendation and will ensure that the risk, issues and monitoring logs for all projects in Nepal and Myanmar are activated in Atlas or a separate dedicated system.</w:t>
      </w:r>
    </w:p>
    <w:p w:rsidR="001C60D4" w:rsidRPr="001C60D4" w:rsidRDefault="001C60D4" w:rsidP="00013ABF">
      <w:pPr>
        <w:tabs>
          <w:tab w:val="left" w:pos="63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720" w:right="29" w:hanging="630"/>
        <w:jc w:val="both"/>
        <w:rPr>
          <w:spacing w:val="4"/>
          <w:w w:val="103"/>
          <w:kern w:val="14"/>
          <w:sz w:val="20"/>
          <w:szCs w:val="20"/>
          <w:lang w:val="en-GB"/>
        </w:rPr>
      </w:pPr>
    </w:p>
    <w:p w:rsidR="001C60D4" w:rsidRPr="001C60D4" w:rsidRDefault="001C60D4" w:rsidP="001C60D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720" w:right="29" w:firstLine="720"/>
        <w:jc w:val="both"/>
        <w:rPr>
          <w:spacing w:val="4"/>
          <w:w w:val="103"/>
          <w:kern w:val="14"/>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1C60D4" w:rsidRPr="005C04AC" w:rsidTr="001C60D4">
        <w:tc>
          <w:tcPr>
            <w:tcW w:w="2970"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9"/>
              <w:jc w:val="both"/>
              <w:rPr>
                <w:i/>
                <w:spacing w:val="4"/>
                <w:w w:val="103"/>
                <w:sz w:val="20"/>
                <w:szCs w:val="20"/>
                <w:lang w:eastAsia="en-GB"/>
              </w:rPr>
            </w:pPr>
            <w:r w:rsidRPr="001C60D4">
              <w:rPr>
                <w:i/>
                <w:spacing w:val="4"/>
                <w:w w:val="103"/>
                <w:sz w:val="20"/>
                <w:szCs w:val="20"/>
                <w:lang w:eastAsia="en-GB"/>
              </w:rPr>
              <w:t>Department responsible:</w:t>
            </w:r>
          </w:p>
        </w:tc>
        <w:tc>
          <w:tcPr>
            <w:tcW w:w="5033"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r w:rsidRPr="001C60D4">
              <w:rPr>
                <w:spacing w:val="4"/>
                <w:w w:val="103"/>
                <w:sz w:val="20"/>
                <w:szCs w:val="20"/>
                <w:lang w:eastAsia="en-GB"/>
              </w:rPr>
              <w:t>Local Development Practice Area (LDPA),  Financial Inclusion Practice Area (FIPA) and</w:t>
            </w:r>
          </w:p>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proofErr w:type="spellStart"/>
            <w:r w:rsidRPr="001C60D4">
              <w:rPr>
                <w:spacing w:val="4"/>
                <w:w w:val="103"/>
                <w:sz w:val="20"/>
                <w:szCs w:val="20"/>
                <w:lang w:eastAsia="en-GB"/>
              </w:rPr>
              <w:t>Programme</w:t>
            </w:r>
            <w:proofErr w:type="spellEnd"/>
            <w:r w:rsidRPr="001C60D4">
              <w:rPr>
                <w:spacing w:val="4"/>
                <w:w w:val="103"/>
                <w:sz w:val="20"/>
                <w:szCs w:val="20"/>
                <w:lang w:eastAsia="en-GB"/>
              </w:rPr>
              <w:t xml:space="preserve"> Management Support Unit (PMSU)</w:t>
            </w:r>
            <w:r w:rsidRPr="001C60D4">
              <w:rPr>
                <w:i/>
                <w:spacing w:val="4"/>
                <w:w w:val="103"/>
                <w:sz w:val="20"/>
                <w:szCs w:val="20"/>
                <w:lang w:eastAsia="en-GB"/>
              </w:rPr>
              <w:t xml:space="preserve"> </w:t>
            </w:r>
          </w:p>
        </w:tc>
      </w:tr>
      <w:tr w:rsidR="001C60D4" w:rsidRPr="005C04AC" w:rsidTr="001C60D4">
        <w:tc>
          <w:tcPr>
            <w:tcW w:w="2970"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i/>
                <w:spacing w:val="4"/>
                <w:w w:val="103"/>
                <w:sz w:val="20"/>
                <w:szCs w:val="20"/>
                <w:lang w:eastAsia="en-GB"/>
              </w:rPr>
            </w:pPr>
            <w:r w:rsidRPr="001C60D4">
              <w:rPr>
                <w:i/>
                <w:spacing w:val="4"/>
                <w:w w:val="103"/>
                <w:sz w:val="20"/>
                <w:szCs w:val="20"/>
                <w:lang w:eastAsia="en-GB"/>
              </w:rPr>
              <w:t>Status:</w:t>
            </w:r>
          </w:p>
        </w:tc>
        <w:tc>
          <w:tcPr>
            <w:tcW w:w="5033"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r w:rsidRPr="001C60D4">
              <w:rPr>
                <w:spacing w:val="4"/>
                <w:w w:val="103"/>
                <w:sz w:val="20"/>
                <w:szCs w:val="20"/>
                <w:lang w:eastAsia="en-GB"/>
              </w:rPr>
              <w:t>In progress</w:t>
            </w:r>
          </w:p>
        </w:tc>
      </w:tr>
      <w:tr w:rsidR="001C60D4" w:rsidRPr="005C04AC" w:rsidTr="001C60D4">
        <w:tc>
          <w:tcPr>
            <w:tcW w:w="2970"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i/>
                <w:spacing w:val="4"/>
                <w:w w:val="103"/>
                <w:sz w:val="20"/>
                <w:szCs w:val="20"/>
                <w:lang w:eastAsia="en-GB"/>
              </w:rPr>
            </w:pPr>
            <w:r w:rsidRPr="001C60D4">
              <w:rPr>
                <w:i/>
                <w:spacing w:val="4"/>
                <w:w w:val="103"/>
                <w:sz w:val="20"/>
                <w:szCs w:val="20"/>
                <w:lang w:eastAsia="en-GB"/>
              </w:rPr>
              <w:t>Priority:</w:t>
            </w:r>
          </w:p>
        </w:tc>
        <w:tc>
          <w:tcPr>
            <w:tcW w:w="5033"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r w:rsidRPr="001C60D4">
              <w:rPr>
                <w:spacing w:val="4"/>
                <w:w w:val="103"/>
                <w:sz w:val="20"/>
                <w:szCs w:val="20"/>
                <w:lang w:eastAsia="en-GB"/>
              </w:rPr>
              <w:t>Medium</w:t>
            </w:r>
          </w:p>
        </w:tc>
      </w:tr>
      <w:tr w:rsidR="001C60D4" w:rsidRPr="005C04AC" w:rsidTr="001C60D4">
        <w:tc>
          <w:tcPr>
            <w:tcW w:w="2970"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i/>
                <w:spacing w:val="4"/>
                <w:w w:val="103"/>
                <w:sz w:val="20"/>
                <w:szCs w:val="20"/>
                <w:lang w:eastAsia="en-GB"/>
              </w:rPr>
            </w:pPr>
            <w:r w:rsidRPr="001C60D4">
              <w:rPr>
                <w:i/>
                <w:spacing w:val="4"/>
                <w:w w:val="103"/>
                <w:sz w:val="20"/>
                <w:szCs w:val="20"/>
                <w:lang w:eastAsia="en-GB"/>
              </w:rPr>
              <w:t>Target date:</w:t>
            </w:r>
          </w:p>
        </w:tc>
        <w:tc>
          <w:tcPr>
            <w:tcW w:w="5033"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r w:rsidRPr="001C60D4">
              <w:rPr>
                <w:spacing w:val="4"/>
                <w:w w:val="103"/>
                <w:sz w:val="20"/>
                <w:szCs w:val="20"/>
                <w:lang w:eastAsia="en-GB"/>
              </w:rPr>
              <w:t>Second quarter of 2019</w:t>
            </w:r>
          </w:p>
        </w:tc>
      </w:tr>
    </w:tbl>
    <w:p w:rsidR="001C60D4" w:rsidRPr="001C60D4" w:rsidRDefault="001C60D4" w:rsidP="001C60D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pacing w:val="4"/>
          <w:w w:val="103"/>
          <w:kern w:val="14"/>
          <w:sz w:val="20"/>
          <w:szCs w:val="20"/>
          <w:lang w:val="en-GB"/>
        </w:rPr>
      </w:pPr>
    </w:p>
    <w:p w:rsidR="005C04AC" w:rsidRPr="005C04AC" w:rsidRDefault="001C60D4" w:rsidP="005C04AC">
      <w:pPr>
        <w:numPr>
          <w:ilvl w:val="0"/>
          <w:numId w:val="39"/>
        </w:numPr>
        <w:tabs>
          <w:tab w:val="left" w:pos="36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ind w:left="630" w:hanging="630"/>
        <w:jc w:val="both"/>
        <w:rPr>
          <w:b/>
          <w:spacing w:val="-2"/>
          <w:w w:val="103"/>
          <w:kern w:val="14"/>
          <w:sz w:val="20"/>
          <w:szCs w:val="20"/>
        </w:rPr>
      </w:pPr>
      <w:r w:rsidRPr="001C60D4">
        <w:rPr>
          <w:b/>
          <w:spacing w:val="-2"/>
          <w:w w:val="103"/>
          <w:kern w:val="14"/>
          <w:sz w:val="20"/>
          <w:szCs w:val="20"/>
        </w:rPr>
        <w:t xml:space="preserve">In paragraph 52, the Board recommends that UNCDF document its process and specify </w:t>
      </w:r>
      <w:r w:rsidR="005C04AC" w:rsidRPr="005C04AC">
        <w:rPr>
          <w:b/>
          <w:spacing w:val="-2"/>
          <w:w w:val="103"/>
          <w:kern w:val="14"/>
          <w:sz w:val="20"/>
          <w:szCs w:val="20"/>
        </w:rPr>
        <w:t>in its</w:t>
      </w:r>
    </w:p>
    <w:p w:rsidR="005C04AC" w:rsidRPr="005C04AC" w:rsidRDefault="005C04AC" w:rsidP="005C04AC">
      <w:pPr>
        <w:tabs>
          <w:tab w:val="left" w:pos="36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jc w:val="both"/>
        <w:rPr>
          <w:b/>
          <w:spacing w:val="-2"/>
          <w:w w:val="103"/>
          <w:kern w:val="14"/>
          <w:sz w:val="20"/>
          <w:szCs w:val="20"/>
        </w:rPr>
      </w:pPr>
      <w:r w:rsidRPr="005C04AC">
        <w:rPr>
          <w:b/>
          <w:spacing w:val="-2"/>
          <w:w w:val="103"/>
          <w:kern w:val="14"/>
          <w:sz w:val="20"/>
          <w:szCs w:val="20"/>
        </w:rPr>
        <w:tab/>
      </w:r>
      <w:r w:rsidR="001C60D4" w:rsidRPr="001C60D4">
        <w:rPr>
          <w:b/>
          <w:spacing w:val="-2"/>
          <w:w w:val="103"/>
          <w:kern w:val="14"/>
          <w:sz w:val="20"/>
          <w:szCs w:val="20"/>
        </w:rPr>
        <w:t xml:space="preserve">policy guidelines how the annual review of useful lives of assets should be performed. </w:t>
      </w:r>
    </w:p>
    <w:p w:rsidR="005C04AC" w:rsidRPr="005C04AC" w:rsidRDefault="005C04AC" w:rsidP="005C04AC">
      <w:pPr>
        <w:tabs>
          <w:tab w:val="left" w:pos="36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jc w:val="both"/>
        <w:rPr>
          <w:b/>
          <w:spacing w:val="-2"/>
          <w:w w:val="103"/>
          <w:kern w:val="14"/>
          <w:sz w:val="20"/>
          <w:szCs w:val="20"/>
        </w:rPr>
      </w:pPr>
    </w:p>
    <w:p w:rsidR="001C60D4" w:rsidRPr="001C60D4" w:rsidRDefault="005C04AC" w:rsidP="005C04AC">
      <w:pPr>
        <w:tabs>
          <w:tab w:val="left" w:pos="360"/>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276" w:lineRule="auto"/>
        <w:jc w:val="both"/>
        <w:rPr>
          <w:b/>
          <w:spacing w:val="-2"/>
          <w:w w:val="103"/>
          <w:kern w:val="14"/>
          <w:sz w:val="20"/>
          <w:szCs w:val="20"/>
        </w:rPr>
      </w:pPr>
      <w:r w:rsidRPr="005C04AC">
        <w:rPr>
          <w:b/>
          <w:spacing w:val="-2"/>
          <w:w w:val="103"/>
          <w:kern w:val="14"/>
          <w:sz w:val="20"/>
          <w:szCs w:val="20"/>
        </w:rPr>
        <w:tab/>
      </w:r>
      <w:r w:rsidR="001C60D4" w:rsidRPr="001C60D4">
        <w:rPr>
          <w:sz w:val="20"/>
          <w:szCs w:val="20"/>
        </w:rPr>
        <w:t>UNCDF agrees with the recommendation.</w:t>
      </w:r>
    </w:p>
    <w:p w:rsidR="001C60D4" w:rsidRPr="001C60D4" w:rsidRDefault="001C60D4" w:rsidP="001C60D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29"/>
        <w:jc w:val="both"/>
        <w:rPr>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1C60D4" w:rsidRPr="005C04AC" w:rsidTr="001C60D4">
        <w:tc>
          <w:tcPr>
            <w:tcW w:w="2970"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9"/>
              <w:jc w:val="both"/>
              <w:rPr>
                <w:i/>
                <w:spacing w:val="4"/>
                <w:w w:val="103"/>
                <w:sz w:val="20"/>
                <w:szCs w:val="20"/>
                <w:lang w:eastAsia="en-GB"/>
              </w:rPr>
            </w:pPr>
            <w:r w:rsidRPr="001C60D4">
              <w:rPr>
                <w:i/>
                <w:spacing w:val="4"/>
                <w:w w:val="103"/>
                <w:sz w:val="20"/>
                <w:szCs w:val="20"/>
                <w:lang w:eastAsia="en-GB"/>
              </w:rPr>
              <w:t>Department responsible:</w:t>
            </w:r>
          </w:p>
        </w:tc>
        <w:tc>
          <w:tcPr>
            <w:tcW w:w="5033"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r w:rsidRPr="001C60D4">
              <w:rPr>
                <w:spacing w:val="4"/>
                <w:w w:val="103"/>
                <w:sz w:val="20"/>
                <w:szCs w:val="20"/>
                <w:lang w:eastAsia="en-GB"/>
              </w:rPr>
              <w:t>Management Support Unit (MSU)</w:t>
            </w:r>
            <w:r w:rsidRPr="001C60D4">
              <w:rPr>
                <w:i/>
                <w:spacing w:val="4"/>
                <w:w w:val="103"/>
                <w:sz w:val="20"/>
                <w:szCs w:val="20"/>
                <w:lang w:eastAsia="en-GB"/>
              </w:rPr>
              <w:t xml:space="preserve"> </w:t>
            </w:r>
          </w:p>
        </w:tc>
      </w:tr>
      <w:tr w:rsidR="001C60D4" w:rsidRPr="005C04AC" w:rsidTr="001C60D4">
        <w:tc>
          <w:tcPr>
            <w:tcW w:w="2970"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i/>
                <w:spacing w:val="4"/>
                <w:w w:val="103"/>
                <w:sz w:val="20"/>
                <w:szCs w:val="20"/>
                <w:lang w:eastAsia="en-GB"/>
              </w:rPr>
            </w:pPr>
            <w:r w:rsidRPr="001C60D4">
              <w:rPr>
                <w:i/>
                <w:spacing w:val="4"/>
                <w:w w:val="103"/>
                <w:sz w:val="20"/>
                <w:szCs w:val="20"/>
                <w:lang w:eastAsia="en-GB"/>
              </w:rPr>
              <w:t>Status:</w:t>
            </w:r>
          </w:p>
        </w:tc>
        <w:tc>
          <w:tcPr>
            <w:tcW w:w="5033"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r w:rsidRPr="001C60D4">
              <w:rPr>
                <w:spacing w:val="4"/>
                <w:w w:val="103"/>
                <w:sz w:val="20"/>
                <w:szCs w:val="20"/>
                <w:lang w:eastAsia="en-GB"/>
              </w:rPr>
              <w:t>In progress</w:t>
            </w:r>
          </w:p>
        </w:tc>
      </w:tr>
      <w:tr w:rsidR="001C60D4" w:rsidRPr="005C04AC" w:rsidTr="001C60D4">
        <w:tc>
          <w:tcPr>
            <w:tcW w:w="2970"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i/>
                <w:spacing w:val="4"/>
                <w:w w:val="103"/>
                <w:sz w:val="20"/>
                <w:szCs w:val="20"/>
                <w:lang w:eastAsia="en-GB"/>
              </w:rPr>
            </w:pPr>
            <w:r w:rsidRPr="001C60D4">
              <w:rPr>
                <w:i/>
                <w:spacing w:val="4"/>
                <w:w w:val="103"/>
                <w:sz w:val="20"/>
                <w:szCs w:val="20"/>
                <w:lang w:eastAsia="en-GB"/>
              </w:rPr>
              <w:t>Priority:</w:t>
            </w:r>
          </w:p>
        </w:tc>
        <w:tc>
          <w:tcPr>
            <w:tcW w:w="5033"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r w:rsidRPr="001C60D4">
              <w:rPr>
                <w:spacing w:val="4"/>
                <w:w w:val="103"/>
                <w:sz w:val="20"/>
                <w:szCs w:val="20"/>
                <w:lang w:eastAsia="en-GB"/>
              </w:rPr>
              <w:t>Medium</w:t>
            </w:r>
          </w:p>
        </w:tc>
      </w:tr>
      <w:tr w:rsidR="001C60D4" w:rsidRPr="005C04AC" w:rsidTr="001C60D4">
        <w:tc>
          <w:tcPr>
            <w:tcW w:w="2970"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i/>
                <w:spacing w:val="4"/>
                <w:w w:val="103"/>
                <w:sz w:val="20"/>
                <w:szCs w:val="20"/>
                <w:lang w:eastAsia="en-GB"/>
              </w:rPr>
            </w:pPr>
            <w:r w:rsidRPr="001C60D4">
              <w:rPr>
                <w:i/>
                <w:spacing w:val="4"/>
                <w:w w:val="103"/>
                <w:sz w:val="20"/>
                <w:szCs w:val="20"/>
                <w:lang w:eastAsia="en-GB"/>
              </w:rPr>
              <w:t>Target date:</w:t>
            </w:r>
          </w:p>
        </w:tc>
        <w:tc>
          <w:tcPr>
            <w:tcW w:w="5033" w:type="dxa"/>
            <w:hideMark/>
          </w:tcPr>
          <w:p w:rsidR="001C60D4" w:rsidRPr="001C60D4" w:rsidRDefault="001C60D4" w:rsidP="001C60D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ind w:right="27"/>
              <w:jc w:val="both"/>
              <w:rPr>
                <w:spacing w:val="4"/>
                <w:w w:val="103"/>
                <w:sz w:val="20"/>
                <w:szCs w:val="20"/>
                <w:lang w:eastAsia="en-GB"/>
              </w:rPr>
            </w:pPr>
            <w:r w:rsidRPr="001C60D4">
              <w:rPr>
                <w:spacing w:val="4"/>
                <w:w w:val="103"/>
                <w:sz w:val="20"/>
                <w:szCs w:val="20"/>
                <w:lang w:eastAsia="en-GB"/>
              </w:rPr>
              <w:t>Second quarter of 2019</w:t>
            </w:r>
          </w:p>
        </w:tc>
      </w:tr>
    </w:tbl>
    <w:p w:rsidR="005C04AC" w:rsidRDefault="005C04AC" w:rsidP="00F55518">
      <w:pPr>
        <w:rPr>
          <w:sz w:val="20"/>
          <w:szCs w:val="20"/>
          <w:lang w:val="en-GB"/>
        </w:rPr>
      </w:pPr>
    </w:p>
    <w:p w:rsidR="00EB370D" w:rsidRDefault="00EB370D" w:rsidP="00F55518">
      <w:pPr>
        <w:rPr>
          <w:sz w:val="20"/>
          <w:szCs w:val="20"/>
          <w:lang w:val="en-GB"/>
        </w:rPr>
      </w:pPr>
    </w:p>
    <w:p w:rsidR="00EC7429" w:rsidRDefault="00EC7429">
      <w:pPr>
        <w:rPr>
          <w:sz w:val="20"/>
          <w:szCs w:val="20"/>
          <w:lang w:val="en-GB"/>
        </w:rPr>
      </w:pPr>
      <w:r>
        <w:rPr>
          <w:sz w:val="20"/>
          <w:szCs w:val="20"/>
          <w:lang w:val="en-GB"/>
        </w:rPr>
        <w:br w:type="page"/>
      </w:r>
    </w:p>
    <w:p w:rsidR="000A1407" w:rsidRDefault="00E96457" w:rsidP="00EB370D">
      <w:pPr>
        <w:pStyle w:val="HCh"/>
        <w:keepNext w:val="0"/>
        <w:keepLines w:val="0"/>
        <w:widowControl w:val="0"/>
        <w:numPr>
          <w:ilvl w:val="0"/>
          <w:numId w:val="41"/>
        </w:numPr>
        <w:tabs>
          <w:tab w:val="left" w:pos="360"/>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right="29"/>
        <w:rPr>
          <w:sz w:val="20"/>
        </w:rPr>
      </w:pPr>
      <w:r w:rsidRPr="005C04AC">
        <w:rPr>
          <w:sz w:val="20"/>
        </w:rPr>
        <w:lastRenderedPageBreak/>
        <w:t>UNCDF Recommendations contained in the report of the Board of Auditors for prior financial periods that are under implementation</w:t>
      </w:r>
    </w:p>
    <w:p w:rsidR="000A1407" w:rsidRPr="005C04AC" w:rsidRDefault="000A1407" w:rsidP="00EB370D">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2"/>
          <w:w w:val="103"/>
          <w:kern w:val="14"/>
          <w:sz w:val="20"/>
          <w:szCs w:val="20"/>
          <w:lang w:val="en-GB"/>
        </w:rPr>
      </w:pPr>
    </w:p>
    <w:p w:rsidR="00E96457" w:rsidRPr="005C04AC" w:rsidRDefault="00E96457" w:rsidP="00E96457">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bCs/>
          <w:spacing w:val="4"/>
          <w:w w:val="103"/>
          <w:kern w:val="14"/>
          <w:sz w:val="20"/>
          <w:szCs w:val="20"/>
          <w:u w:val="single"/>
          <w:lang w:val="en-GB"/>
        </w:rPr>
      </w:pPr>
      <w:r w:rsidRPr="005C04AC">
        <w:rPr>
          <w:b/>
          <w:bCs/>
          <w:spacing w:val="4"/>
          <w:w w:val="103"/>
          <w:kern w:val="14"/>
          <w:sz w:val="20"/>
          <w:szCs w:val="20"/>
          <w:u w:val="single"/>
          <w:lang w:val="en-GB"/>
        </w:rPr>
        <w:t>Report of the Board for the financial period ended 31 December 2016</w:t>
      </w:r>
    </w:p>
    <w:p w:rsidR="00F55518" w:rsidRPr="005C04AC" w:rsidRDefault="00F55518" w:rsidP="00F55518">
      <w:pPr>
        <w:rPr>
          <w:sz w:val="20"/>
          <w:szCs w:val="20"/>
          <w:lang w:val="en-GB"/>
        </w:rPr>
      </w:pPr>
      <w:bookmarkStart w:id="4" w:name="_GoBack"/>
      <w:bookmarkEnd w:id="4"/>
    </w:p>
    <w:p w:rsidR="005A7B20" w:rsidRPr="005C04AC" w:rsidRDefault="005A7B20" w:rsidP="009C75E2">
      <w:pPr>
        <w:pStyle w:val="SingleTxt"/>
        <w:numPr>
          <w:ilvl w:val="3"/>
          <w:numId w:val="40"/>
        </w:numPr>
        <w:tabs>
          <w:tab w:val="left" w:pos="720"/>
        </w:tabs>
        <w:spacing w:after="0" w:line="240" w:lineRule="auto"/>
        <w:ind w:left="360" w:right="29"/>
        <w:rPr>
          <w:bCs/>
        </w:rPr>
      </w:pPr>
      <w:r w:rsidRPr="005C04AC">
        <w:rPr>
          <w:b/>
          <w:bCs/>
        </w:rPr>
        <w:t>In paragraph 33, UNCDF agreed with the Board recommendation to ensure that the risk, issues and monitoring logs for all projects in the Rwanda and Bangladesh Country Offices are activated in Atlas in a timely manner as the primary source of project information.</w:t>
      </w:r>
    </w:p>
    <w:p w:rsidR="005A7B20" w:rsidRPr="005C04AC" w:rsidRDefault="005A7B20" w:rsidP="005A7B20">
      <w:pPr>
        <w:pStyle w:val="SingleTxt"/>
        <w:tabs>
          <w:tab w:val="left" w:pos="720"/>
        </w:tabs>
        <w:spacing w:after="0" w:line="240" w:lineRule="auto"/>
        <w:ind w:left="990" w:right="29"/>
        <w:rPr>
          <w:bCs/>
        </w:rPr>
      </w:pPr>
    </w:p>
    <w:p w:rsidR="005A7B20" w:rsidRPr="005C04AC" w:rsidRDefault="005A7B20" w:rsidP="005A7B20">
      <w:pPr>
        <w:pStyle w:val="SingleTxt"/>
        <w:tabs>
          <w:tab w:val="left" w:pos="720"/>
        </w:tabs>
        <w:spacing w:after="0" w:line="240" w:lineRule="auto"/>
        <w:ind w:left="720" w:right="29" w:hanging="360"/>
        <w:rPr>
          <w:spacing w:val="0"/>
          <w:w w:val="100"/>
          <w:kern w:val="0"/>
          <w:lang w:val="en-US"/>
        </w:rPr>
      </w:pPr>
      <w:r w:rsidRPr="005C04AC">
        <w:rPr>
          <w:spacing w:val="0"/>
          <w:w w:val="100"/>
          <w:kern w:val="0"/>
          <w:lang w:val="en-US"/>
        </w:rPr>
        <w:t>UNCDF will ensure compliance in updating the referenced information in Atlas.</w:t>
      </w:r>
    </w:p>
    <w:p w:rsidR="005A7B20" w:rsidRPr="005C04AC" w:rsidRDefault="005A7B20" w:rsidP="005A7B20">
      <w:pPr>
        <w:pStyle w:val="SingleTxt"/>
        <w:tabs>
          <w:tab w:val="left" w:pos="720"/>
        </w:tabs>
        <w:spacing w:after="0" w:line="240" w:lineRule="auto"/>
        <w:ind w:left="720" w:right="29"/>
        <w:rPr>
          <w:spacing w:val="0"/>
          <w:w w:val="100"/>
          <w:kern w:val="0"/>
          <w:lang w:val="en-US"/>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5A7B20" w:rsidRPr="005C04AC" w:rsidTr="005A7B20">
        <w:tc>
          <w:tcPr>
            <w:tcW w:w="2970" w:type="dxa"/>
            <w:hideMark/>
          </w:tcPr>
          <w:p w:rsidR="005A7B20" w:rsidRPr="005C04AC" w:rsidRDefault="005A7B20">
            <w:pPr>
              <w:pStyle w:val="SingleTxt"/>
              <w:tabs>
                <w:tab w:val="clear" w:pos="1267"/>
                <w:tab w:val="left" w:pos="209"/>
                <w:tab w:val="left" w:pos="836"/>
              </w:tabs>
              <w:spacing w:after="0" w:line="240" w:lineRule="auto"/>
              <w:ind w:left="0" w:right="29"/>
              <w:rPr>
                <w:i/>
                <w:lang w:eastAsia="en-GB"/>
              </w:rPr>
            </w:pPr>
            <w:r w:rsidRPr="005C04AC">
              <w:rPr>
                <w:i/>
                <w:lang w:eastAsia="en-GB"/>
              </w:rPr>
              <w:t>Department responsible:</w:t>
            </w:r>
          </w:p>
        </w:tc>
        <w:tc>
          <w:tcPr>
            <w:tcW w:w="5033" w:type="dxa"/>
            <w:hideMark/>
          </w:tcPr>
          <w:p w:rsidR="005A7B20" w:rsidRPr="005C04AC" w:rsidRDefault="005A7B20">
            <w:pPr>
              <w:pStyle w:val="SingleTxt"/>
              <w:tabs>
                <w:tab w:val="clear" w:pos="1267"/>
                <w:tab w:val="left" w:pos="209"/>
                <w:tab w:val="left" w:pos="836"/>
              </w:tabs>
              <w:spacing w:after="0" w:line="240" w:lineRule="auto"/>
              <w:ind w:left="0" w:right="27"/>
              <w:rPr>
                <w:lang w:eastAsia="en-GB"/>
              </w:rPr>
            </w:pPr>
            <w:r w:rsidRPr="005C04AC">
              <w:rPr>
                <w:lang w:eastAsia="en-GB"/>
              </w:rPr>
              <w:t>Local De</w:t>
            </w:r>
            <w:r w:rsidR="00EB370D">
              <w:rPr>
                <w:lang w:eastAsia="en-GB"/>
              </w:rPr>
              <w:t xml:space="preserve">velopment Practice Area (LDPA), </w:t>
            </w:r>
            <w:r w:rsidRPr="005C04AC">
              <w:rPr>
                <w:lang w:eastAsia="en-GB"/>
              </w:rPr>
              <w:t>Financial Inclusion Practice Area (FIPA) and</w:t>
            </w:r>
          </w:p>
          <w:p w:rsidR="005A7B20" w:rsidRPr="005C04AC" w:rsidRDefault="005A7B20">
            <w:pPr>
              <w:pStyle w:val="SingleTxt"/>
              <w:tabs>
                <w:tab w:val="clear" w:pos="1267"/>
                <w:tab w:val="left" w:pos="209"/>
                <w:tab w:val="left" w:pos="836"/>
              </w:tabs>
              <w:spacing w:after="0" w:line="240" w:lineRule="auto"/>
              <w:ind w:left="0" w:right="27"/>
              <w:rPr>
                <w:lang w:eastAsia="en-GB"/>
              </w:rPr>
            </w:pPr>
            <w:r w:rsidRPr="005C04AC">
              <w:rPr>
                <w:lang w:eastAsia="en-GB"/>
              </w:rPr>
              <w:t>Programme Management Support Unit (PMSU)</w:t>
            </w:r>
            <w:r w:rsidRPr="005C04AC">
              <w:rPr>
                <w:i/>
                <w:lang w:eastAsia="en-GB"/>
              </w:rPr>
              <w:t xml:space="preserve"> </w:t>
            </w:r>
          </w:p>
        </w:tc>
      </w:tr>
      <w:tr w:rsidR="005A7B20" w:rsidRPr="005C04AC" w:rsidTr="005A7B20">
        <w:tc>
          <w:tcPr>
            <w:tcW w:w="2970" w:type="dxa"/>
            <w:hideMark/>
          </w:tcPr>
          <w:p w:rsidR="005A7B20" w:rsidRPr="005C04AC" w:rsidRDefault="005A7B20">
            <w:pPr>
              <w:pStyle w:val="SingleTxt"/>
              <w:tabs>
                <w:tab w:val="clear" w:pos="1267"/>
                <w:tab w:val="left" w:pos="209"/>
                <w:tab w:val="left" w:pos="836"/>
              </w:tabs>
              <w:spacing w:after="0" w:line="240" w:lineRule="auto"/>
              <w:ind w:left="0" w:right="27"/>
              <w:rPr>
                <w:i/>
                <w:lang w:eastAsia="en-GB"/>
              </w:rPr>
            </w:pPr>
            <w:r w:rsidRPr="005C04AC">
              <w:rPr>
                <w:i/>
                <w:lang w:eastAsia="en-GB"/>
              </w:rPr>
              <w:t>Status:</w:t>
            </w:r>
          </w:p>
        </w:tc>
        <w:tc>
          <w:tcPr>
            <w:tcW w:w="5033" w:type="dxa"/>
            <w:hideMark/>
          </w:tcPr>
          <w:p w:rsidR="005A7B20" w:rsidRPr="005C04AC" w:rsidRDefault="005A7B20">
            <w:pPr>
              <w:pStyle w:val="SingleTxt"/>
              <w:tabs>
                <w:tab w:val="clear" w:pos="1267"/>
                <w:tab w:val="left" w:pos="209"/>
                <w:tab w:val="left" w:pos="836"/>
              </w:tabs>
              <w:spacing w:after="0" w:line="240" w:lineRule="auto"/>
              <w:ind w:left="0" w:right="27"/>
              <w:rPr>
                <w:lang w:eastAsia="en-GB"/>
              </w:rPr>
            </w:pPr>
            <w:r w:rsidRPr="005C04AC">
              <w:rPr>
                <w:lang w:eastAsia="en-GB"/>
              </w:rPr>
              <w:t>In progress</w:t>
            </w:r>
          </w:p>
        </w:tc>
      </w:tr>
      <w:tr w:rsidR="005A7B20" w:rsidRPr="005C04AC" w:rsidTr="005A7B20">
        <w:tc>
          <w:tcPr>
            <w:tcW w:w="2970" w:type="dxa"/>
            <w:hideMark/>
          </w:tcPr>
          <w:p w:rsidR="005A7B20" w:rsidRPr="005C04AC" w:rsidRDefault="005A7B20">
            <w:pPr>
              <w:pStyle w:val="SingleTxt"/>
              <w:tabs>
                <w:tab w:val="clear" w:pos="1267"/>
                <w:tab w:val="left" w:pos="209"/>
                <w:tab w:val="left" w:pos="836"/>
              </w:tabs>
              <w:spacing w:after="0" w:line="240" w:lineRule="auto"/>
              <w:ind w:left="0" w:right="27"/>
              <w:rPr>
                <w:i/>
                <w:lang w:eastAsia="en-GB"/>
              </w:rPr>
            </w:pPr>
            <w:r w:rsidRPr="005C04AC">
              <w:rPr>
                <w:i/>
                <w:lang w:eastAsia="en-GB"/>
              </w:rPr>
              <w:t>Priority:</w:t>
            </w:r>
          </w:p>
        </w:tc>
        <w:tc>
          <w:tcPr>
            <w:tcW w:w="5033" w:type="dxa"/>
            <w:hideMark/>
          </w:tcPr>
          <w:p w:rsidR="005A7B20" w:rsidRPr="005C04AC" w:rsidRDefault="005A7B20">
            <w:pPr>
              <w:pStyle w:val="SingleTxt"/>
              <w:tabs>
                <w:tab w:val="clear" w:pos="1267"/>
                <w:tab w:val="left" w:pos="209"/>
                <w:tab w:val="left" w:pos="836"/>
              </w:tabs>
              <w:spacing w:after="0" w:line="240" w:lineRule="auto"/>
              <w:ind w:left="0" w:right="27"/>
              <w:rPr>
                <w:lang w:eastAsia="en-GB"/>
              </w:rPr>
            </w:pPr>
            <w:r w:rsidRPr="005C04AC">
              <w:rPr>
                <w:lang w:eastAsia="en-GB"/>
              </w:rPr>
              <w:t>Medium</w:t>
            </w:r>
          </w:p>
        </w:tc>
      </w:tr>
      <w:tr w:rsidR="005A7B20" w:rsidRPr="005C04AC" w:rsidTr="005A7B20">
        <w:tc>
          <w:tcPr>
            <w:tcW w:w="2970" w:type="dxa"/>
            <w:hideMark/>
          </w:tcPr>
          <w:p w:rsidR="005A7B20" w:rsidRPr="005C04AC" w:rsidRDefault="005A7B20">
            <w:pPr>
              <w:pStyle w:val="SingleTxt"/>
              <w:tabs>
                <w:tab w:val="clear" w:pos="1267"/>
                <w:tab w:val="left" w:pos="209"/>
                <w:tab w:val="left" w:pos="836"/>
              </w:tabs>
              <w:spacing w:after="0" w:line="240" w:lineRule="auto"/>
              <w:ind w:left="0" w:right="27"/>
              <w:rPr>
                <w:i/>
                <w:lang w:eastAsia="en-GB"/>
              </w:rPr>
            </w:pPr>
            <w:r w:rsidRPr="005C04AC">
              <w:rPr>
                <w:i/>
                <w:lang w:eastAsia="en-GB"/>
              </w:rPr>
              <w:t>Target date:</w:t>
            </w:r>
          </w:p>
        </w:tc>
        <w:tc>
          <w:tcPr>
            <w:tcW w:w="5033" w:type="dxa"/>
          </w:tcPr>
          <w:p w:rsidR="005A7B20" w:rsidRPr="005C04AC" w:rsidRDefault="005A7B20">
            <w:pPr>
              <w:pStyle w:val="SingleTxt"/>
              <w:tabs>
                <w:tab w:val="clear" w:pos="1267"/>
                <w:tab w:val="left" w:pos="209"/>
                <w:tab w:val="left" w:pos="836"/>
              </w:tabs>
              <w:spacing w:after="0" w:line="240" w:lineRule="auto"/>
              <w:ind w:left="0" w:right="27"/>
              <w:rPr>
                <w:lang w:eastAsia="en-GB"/>
              </w:rPr>
            </w:pPr>
            <w:r w:rsidRPr="005C04AC">
              <w:rPr>
                <w:lang w:eastAsia="en-GB"/>
              </w:rPr>
              <w:t>Second quarter of 2019</w:t>
            </w:r>
          </w:p>
          <w:p w:rsidR="005A7B20" w:rsidRPr="005C04AC" w:rsidRDefault="005A7B20">
            <w:pPr>
              <w:pStyle w:val="SingleTxt"/>
              <w:tabs>
                <w:tab w:val="clear" w:pos="1267"/>
                <w:tab w:val="left" w:pos="209"/>
                <w:tab w:val="left" w:pos="836"/>
              </w:tabs>
              <w:spacing w:after="0" w:line="240" w:lineRule="auto"/>
              <w:ind w:left="0" w:right="27"/>
              <w:rPr>
                <w:lang w:eastAsia="en-GB"/>
              </w:rPr>
            </w:pPr>
          </w:p>
        </w:tc>
      </w:tr>
    </w:tbl>
    <w:p w:rsidR="00F55518" w:rsidRPr="005C04AC" w:rsidRDefault="00F55518" w:rsidP="005A7B20">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z w:val="20"/>
          <w:szCs w:val="20"/>
          <w:lang w:val="en-GB"/>
        </w:rPr>
      </w:pPr>
    </w:p>
    <w:sectPr w:rsidR="00F55518" w:rsidRPr="005C04AC" w:rsidSect="00F10A6D">
      <w:headerReference w:type="even" r:id="rId11"/>
      <w:headerReference w:type="default" r:id="rId12"/>
      <w:footerReference w:type="even" r:id="rId13"/>
      <w:footerReference w:type="default" r:id="rId14"/>
      <w:headerReference w:type="first" r:id="rId15"/>
      <w:type w:val="continuous"/>
      <w:pgSz w:w="12240" w:h="15840" w:code="1"/>
      <w:pgMar w:top="1526" w:right="864" w:bottom="1166" w:left="1890" w:header="576" w:footer="10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AFB" w:rsidRDefault="00262AFB">
      <w:r>
        <w:separator/>
      </w:r>
    </w:p>
  </w:endnote>
  <w:endnote w:type="continuationSeparator" w:id="0">
    <w:p w:rsidR="00262AFB" w:rsidRDefault="0026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20" w:rsidRDefault="00DD4520" w:rsidP="00F10A6D">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20" w:rsidRPr="00AB0D7D" w:rsidRDefault="00DD4520" w:rsidP="00AB0D7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AFB" w:rsidRDefault="00262AFB">
      <w:r>
        <w:separator/>
      </w:r>
    </w:p>
  </w:footnote>
  <w:footnote w:type="continuationSeparator" w:id="0">
    <w:p w:rsidR="00262AFB" w:rsidRDefault="0026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70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D4520" w:rsidRPr="00F10A6D" w:rsidTr="00F10A6D">
      <w:trPr>
        <w:trHeight w:hRule="exact" w:val="864"/>
      </w:trPr>
      <w:tc>
        <w:tcPr>
          <w:tcW w:w="4838" w:type="dxa"/>
          <w:vAlign w:val="bottom"/>
        </w:tcPr>
        <w:p w:rsidR="00DD4520" w:rsidRPr="00F10A6D" w:rsidRDefault="00DD4520" w:rsidP="00F10A6D">
          <w:pPr>
            <w:tabs>
              <w:tab w:val="center" w:pos="4320"/>
              <w:tab w:val="right" w:pos="8640"/>
            </w:tabs>
            <w:spacing w:after="80"/>
            <w:rPr>
              <w:b/>
              <w:noProof/>
              <w:sz w:val="17"/>
              <w:szCs w:val="20"/>
            </w:rPr>
          </w:pPr>
          <w:r w:rsidRPr="00F10A6D">
            <w:rPr>
              <w:b/>
              <w:noProof/>
              <w:sz w:val="17"/>
              <w:szCs w:val="20"/>
            </w:rPr>
            <w:fldChar w:fldCharType="begin"/>
          </w:r>
          <w:r w:rsidRPr="00F10A6D">
            <w:rPr>
              <w:b/>
              <w:noProof/>
              <w:sz w:val="17"/>
              <w:szCs w:val="20"/>
            </w:rPr>
            <w:instrText xml:space="preserve"> DOCVARIABLE "Symbol1" \* MERGEFORMAT </w:instrText>
          </w:r>
          <w:r w:rsidRPr="00F10A6D">
            <w:rPr>
              <w:b/>
              <w:noProof/>
              <w:sz w:val="17"/>
              <w:szCs w:val="20"/>
            </w:rPr>
            <w:fldChar w:fldCharType="separate"/>
          </w:r>
          <w:r>
            <w:rPr>
              <w:b/>
              <w:noProof/>
              <w:sz w:val="17"/>
              <w:szCs w:val="20"/>
            </w:rPr>
            <w:t>Annexes to D</w:t>
          </w:r>
          <w:r w:rsidRPr="00F10A6D">
            <w:rPr>
              <w:b/>
              <w:noProof/>
              <w:sz w:val="17"/>
              <w:szCs w:val="20"/>
            </w:rPr>
            <w:t>P/201</w:t>
          </w:r>
          <w:r>
            <w:rPr>
              <w:b/>
              <w:noProof/>
              <w:sz w:val="17"/>
              <w:szCs w:val="20"/>
            </w:rPr>
            <w:t>9</w:t>
          </w:r>
          <w:r w:rsidRPr="00F10A6D">
            <w:rPr>
              <w:b/>
              <w:noProof/>
              <w:sz w:val="17"/>
              <w:szCs w:val="20"/>
            </w:rPr>
            <w:t>/</w:t>
          </w:r>
          <w:r w:rsidRPr="00F10A6D">
            <w:rPr>
              <w:b/>
              <w:noProof/>
              <w:sz w:val="17"/>
              <w:szCs w:val="20"/>
            </w:rPr>
            <w:fldChar w:fldCharType="end"/>
          </w:r>
          <w:r>
            <w:rPr>
              <w:b/>
              <w:noProof/>
              <w:sz w:val="17"/>
              <w:szCs w:val="20"/>
            </w:rPr>
            <w:t>7</w:t>
          </w:r>
        </w:p>
      </w:tc>
      <w:tc>
        <w:tcPr>
          <w:tcW w:w="5047" w:type="dxa"/>
          <w:vAlign w:val="bottom"/>
        </w:tcPr>
        <w:p w:rsidR="00DD4520" w:rsidRPr="00F10A6D" w:rsidRDefault="00DD4520" w:rsidP="00F10A6D">
          <w:pPr>
            <w:tabs>
              <w:tab w:val="center" w:pos="4972"/>
              <w:tab w:val="right" w:pos="8640"/>
            </w:tabs>
            <w:spacing w:after="80"/>
            <w:jc w:val="right"/>
            <w:rPr>
              <w:b/>
              <w:noProof/>
              <w:sz w:val="17"/>
              <w:szCs w:val="20"/>
            </w:rPr>
          </w:pPr>
        </w:p>
      </w:tc>
    </w:tr>
  </w:tbl>
  <w:p w:rsidR="00DD4520" w:rsidRDefault="00DD4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20" w:rsidRDefault="00DD4520">
    <w:pPr>
      <w:pStyle w:val="Header"/>
    </w:pPr>
    <w: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-173355</wp:posOffset>
              </wp:positionV>
              <wp:extent cx="6400800" cy="640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D4520">
                            <w:trPr>
                              <w:trHeight w:hRule="exact" w:val="864"/>
                            </w:trPr>
                            <w:tc>
                              <w:tcPr>
                                <w:tcW w:w="4838" w:type="dxa"/>
                                <w:vAlign w:val="bottom"/>
                              </w:tcPr>
                              <w:p w:rsidR="00DD4520" w:rsidRDefault="00DD4520">
                                <w:pPr>
                                  <w:pStyle w:val="Header"/>
                                  <w:spacing w:after="80"/>
                                  <w:rPr>
                                    <w:b/>
                                  </w:rPr>
                                </w:pPr>
                              </w:p>
                            </w:tc>
                            <w:tc>
                              <w:tcPr>
                                <w:tcW w:w="5047" w:type="dxa"/>
                                <w:vAlign w:val="bottom"/>
                              </w:tcPr>
                              <w:p w:rsidR="00DD4520" w:rsidRDefault="00DD4520" w:rsidP="00FA50CC">
                                <w:pPr>
                                  <w:pStyle w:val="Header"/>
                                  <w:spacing w:after="60"/>
                                  <w:jc w:val="right"/>
                                </w:pPr>
                                <w:r>
                                  <w:rPr>
                                    <w:b/>
                                  </w:rPr>
                                  <w:t>Annexes to DP/2018/7</w:t>
                                </w:r>
                              </w:p>
                            </w:tc>
                          </w:tr>
                        </w:tbl>
                        <w:p w:rsidR="00DD4520" w:rsidRPr="00F10A6D" w:rsidRDefault="00DD4520" w:rsidP="000C0910">
                          <w:pPr>
                            <w:rPr>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pt;margin-top:-13.65pt;width:7in;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"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D4520">
                      <w:trPr>
                        <w:trHeight w:hRule="exact" w:val="864"/>
                      </w:trPr>
                      <w:tc>
                        <w:tcPr>
                          <w:tcW w:w="4838" w:type="dxa"/>
                          <w:vAlign w:val="bottom"/>
                        </w:tcPr>
                        <w:p w:rsidR="00DD4520" w:rsidRDefault="00DD4520">
                          <w:pPr>
                            <w:pStyle w:val="Header"/>
                            <w:spacing w:after="80"/>
                            <w:rPr>
                              <w:b/>
                            </w:rPr>
                          </w:pPr>
                        </w:p>
                      </w:tc>
                      <w:tc>
                        <w:tcPr>
                          <w:tcW w:w="5047" w:type="dxa"/>
                          <w:vAlign w:val="bottom"/>
                        </w:tcPr>
                        <w:p w:rsidR="00DD4520" w:rsidRDefault="00DD4520" w:rsidP="00FA50CC">
                          <w:pPr>
                            <w:pStyle w:val="Header"/>
                            <w:spacing w:after="60"/>
                            <w:jc w:val="right"/>
                          </w:pPr>
                          <w:r>
                            <w:rPr>
                              <w:b/>
                            </w:rPr>
                            <w:t>Annexes to DP/2018/7</w:t>
                          </w:r>
                        </w:p>
                      </w:tc>
                    </w:tr>
                  </w:tbl>
                  <w:p w:rsidR="00DD4520" w:rsidRPr="00F10A6D" w:rsidRDefault="00DD4520" w:rsidP="000C0910">
                    <w:pPr>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20" w:rsidRPr="00CB25BD" w:rsidRDefault="00DD4520" w:rsidP="006806B7">
    <w:pPr>
      <w:pStyle w:val="Header"/>
      <w:rPr>
        <w:sz w:val="2"/>
        <w:szCs w:val="2"/>
      </w:rPr>
    </w:pPr>
    <w:r>
      <w:rPr>
        <w:sz w:val="2"/>
        <w:szCs w:val="2"/>
      </w:rPr>
      <w:t>AnneAnn</w:t>
    </w:r>
  </w:p>
  <w:tbl>
    <w:tblPr>
      <w:tblW w:w="0" w:type="auto"/>
      <w:tblInd w:w="-70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D4520" w:rsidTr="00FA50CC">
      <w:trPr>
        <w:trHeight w:hRule="exact" w:val="864"/>
      </w:trPr>
      <w:tc>
        <w:tcPr>
          <w:tcW w:w="4838" w:type="dxa"/>
          <w:vAlign w:val="bottom"/>
        </w:tcPr>
        <w:p w:rsidR="00DD4520" w:rsidRDefault="00DD4520" w:rsidP="00FA50CC">
          <w:pPr>
            <w:pStyle w:val="Header"/>
            <w:spacing w:after="80"/>
            <w:rPr>
              <w:b/>
            </w:rPr>
          </w:pPr>
        </w:p>
      </w:tc>
      <w:tc>
        <w:tcPr>
          <w:tcW w:w="5047" w:type="dxa"/>
          <w:vAlign w:val="bottom"/>
        </w:tcPr>
        <w:p w:rsidR="00DD4520" w:rsidRDefault="00DD4520" w:rsidP="00FA50CC">
          <w:pPr>
            <w:pStyle w:val="Header"/>
            <w:spacing w:after="60"/>
            <w:jc w:val="right"/>
          </w:pPr>
          <w:r>
            <w:rPr>
              <w:b/>
            </w:rPr>
            <w:t>Annexes to DP/2019/7</w:t>
          </w:r>
        </w:p>
      </w:tc>
    </w:tr>
  </w:tbl>
  <w:p w:rsidR="00DD4520" w:rsidRPr="00CB25BD" w:rsidRDefault="00DD4520" w:rsidP="006806B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E78"/>
    <w:multiLevelType w:val="hybridMultilevel"/>
    <w:tmpl w:val="70D87A2C"/>
    <w:lvl w:ilvl="0" w:tplc="8C3416AA">
      <w:start w:val="1"/>
      <w:numFmt w:val="lowerLetter"/>
      <w:lvlText w:val="(%1)"/>
      <w:lvlJc w:val="left"/>
      <w:pPr>
        <w:ind w:left="1627" w:hanging="360"/>
      </w:pPr>
      <w:rPr>
        <w:rFonts w:hint="default"/>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68E2909"/>
    <w:multiLevelType w:val="hybridMultilevel"/>
    <w:tmpl w:val="D6A0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9724D"/>
    <w:multiLevelType w:val="hybridMultilevel"/>
    <w:tmpl w:val="9146C83C"/>
    <w:lvl w:ilvl="0" w:tplc="8B388768">
      <w:start w:val="48"/>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3035C"/>
    <w:multiLevelType w:val="hybridMultilevel"/>
    <w:tmpl w:val="002E214C"/>
    <w:lvl w:ilvl="0" w:tplc="C026280A">
      <w:start w:val="1"/>
      <w:numFmt w:val="lowerLetter"/>
      <w:lvlText w:val="%1."/>
      <w:lvlJc w:val="left"/>
      <w:pPr>
        <w:tabs>
          <w:tab w:val="num" w:pos="1440"/>
        </w:tabs>
        <w:ind w:left="1440" w:hanging="360"/>
      </w:pPr>
      <w:rPr>
        <w:cap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16693"/>
    <w:multiLevelType w:val="hybridMultilevel"/>
    <w:tmpl w:val="85EC2B7A"/>
    <w:lvl w:ilvl="0" w:tplc="73C24832">
      <w:start w:val="1"/>
      <w:numFmt w:val="decimal"/>
      <w:lvlText w:val="%1."/>
      <w:lvlJc w:val="left"/>
      <w:pPr>
        <w:ind w:left="360" w:hanging="360"/>
      </w:pPr>
      <w:rPr>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5267542"/>
    <w:multiLevelType w:val="hybridMultilevel"/>
    <w:tmpl w:val="DB26F9C0"/>
    <w:lvl w:ilvl="0" w:tplc="2B7A33C2">
      <w:start w:val="48"/>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6D925F3"/>
    <w:multiLevelType w:val="hybridMultilevel"/>
    <w:tmpl w:val="85EC2B7A"/>
    <w:lvl w:ilvl="0" w:tplc="73C24832">
      <w:start w:val="1"/>
      <w:numFmt w:val="decimal"/>
      <w:lvlText w:val="%1."/>
      <w:lvlJc w:val="left"/>
      <w:pPr>
        <w:ind w:left="360" w:hanging="360"/>
      </w:pPr>
      <w:rPr>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B14FBA"/>
    <w:multiLevelType w:val="hybridMultilevel"/>
    <w:tmpl w:val="7C48387A"/>
    <w:lvl w:ilvl="0" w:tplc="02D63A52">
      <w:start w:val="1"/>
      <w:numFmt w:val="upperLetter"/>
      <w:lvlText w:val="%1."/>
      <w:lvlJc w:val="left"/>
      <w:pPr>
        <w:ind w:left="576" w:hanging="360"/>
      </w:pPr>
      <w:rPr>
        <w:rFonts w:eastAsia="Calibri" w:hint="default"/>
        <w:b/>
        <w:i w:val="0"/>
        <w:w w:val="103"/>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2126726D"/>
    <w:multiLevelType w:val="hybridMultilevel"/>
    <w:tmpl w:val="CC568720"/>
    <w:lvl w:ilvl="0" w:tplc="663CABC8">
      <w:start w:val="1"/>
      <w:numFmt w:val="decimal"/>
      <w:lvlText w:val="%1."/>
      <w:lvlJc w:val="left"/>
      <w:pPr>
        <w:tabs>
          <w:tab w:val="num" w:pos="1170"/>
        </w:tabs>
        <w:ind w:left="450" w:firstLine="0"/>
      </w:pPr>
      <w:rPr>
        <w:rFonts w:hint="default"/>
        <w:b/>
      </w:rPr>
    </w:lvl>
    <w:lvl w:ilvl="1" w:tplc="C026280A">
      <w:start w:val="1"/>
      <w:numFmt w:val="lowerLetter"/>
      <w:lvlText w:val="%2."/>
      <w:lvlJc w:val="left"/>
      <w:pPr>
        <w:tabs>
          <w:tab w:val="num" w:pos="1890"/>
        </w:tabs>
        <w:ind w:left="1890" w:hanging="360"/>
      </w:pPr>
      <w:rPr>
        <w:caps/>
      </w:rPr>
    </w:lvl>
    <w:lvl w:ilvl="2" w:tplc="B3F2BEA8">
      <w:start w:val="2"/>
      <w:numFmt w:val="upperLetter"/>
      <w:lvlText w:val="%3."/>
      <w:lvlJc w:val="left"/>
      <w:pPr>
        <w:ind w:left="900" w:hanging="360"/>
      </w:pPr>
      <w:rPr>
        <w:rFonts w:hint="default"/>
      </w:rPr>
    </w:lvl>
    <w:lvl w:ilvl="3" w:tplc="0809000F">
      <w:start w:val="1"/>
      <w:numFmt w:val="decimal"/>
      <w:lvlText w:val="%4."/>
      <w:lvlJc w:val="left"/>
      <w:pPr>
        <w:tabs>
          <w:tab w:val="num" w:pos="3330"/>
        </w:tabs>
        <w:ind w:left="3330" w:hanging="360"/>
      </w:pPr>
    </w:lvl>
    <w:lvl w:ilvl="4" w:tplc="08090019" w:tentative="1">
      <w:start w:val="1"/>
      <w:numFmt w:val="lowerLetter"/>
      <w:lvlText w:val="%5."/>
      <w:lvlJc w:val="left"/>
      <w:pPr>
        <w:tabs>
          <w:tab w:val="num" w:pos="4050"/>
        </w:tabs>
        <w:ind w:left="4050" w:hanging="360"/>
      </w:pPr>
    </w:lvl>
    <w:lvl w:ilvl="5" w:tplc="0809001B" w:tentative="1">
      <w:start w:val="1"/>
      <w:numFmt w:val="lowerRoman"/>
      <w:lvlText w:val="%6."/>
      <w:lvlJc w:val="right"/>
      <w:pPr>
        <w:tabs>
          <w:tab w:val="num" w:pos="4770"/>
        </w:tabs>
        <w:ind w:left="4770" w:hanging="180"/>
      </w:pPr>
    </w:lvl>
    <w:lvl w:ilvl="6" w:tplc="0809000F" w:tentative="1">
      <w:start w:val="1"/>
      <w:numFmt w:val="decimal"/>
      <w:lvlText w:val="%7."/>
      <w:lvlJc w:val="left"/>
      <w:pPr>
        <w:tabs>
          <w:tab w:val="num" w:pos="5490"/>
        </w:tabs>
        <w:ind w:left="5490" w:hanging="360"/>
      </w:pPr>
    </w:lvl>
    <w:lvl w:ilvl="7" w:tplc="08090019" w:tentative="1">
      <w:start w:val="1"/>
      <w:numFmt w:val="lowerLetter"/>
      <w:lvlText w:val="%8."/>
      <w:lvlJc w:val="left"/>
      <w:pPr>
        <w:tabs>
          <w:tab w:val="num" w:pos="6210"/>
        </w:tabs>
        <w:ind w:left="6210" w:hanging="360"/>
      </w:pPr>
    </w:lvl>
    <w:lvl w:ilvl="8" w:tplc="0809001B" w:tentative="1">
      <w:start w:val="1"/>
      <w:numFmt w:val="lowerRoman"/>
      <w:lvlText w:val="%9."/>
      <w:lvlJc w:val="right"/>
      <w:pPr>
        <w:tabs>
          <w:tab w:val="num" w:pos="6930"/>
        </w:tabs>
        <w:ind w:left="6930" w:hanging="180"/>
      </w:pPr>
    </w:lvl>
  </w:abstractNum>
  <w:abstractNum w:abstractNumId="9" w15:restartNumberingAfterBreak="0">
    <w:nsid w:val="22BA04E5"/>
    <w:multiLevelType w:val="hybridMultilevel"/>
    <w:tmpl w:val="67C69DDE"/>
    <w:lvl w:ilvl="0" w:tplc="29E8FB52">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4557A06"/>
    <w:multiLevelType w:val="hybridMultilevel"/>
    <w:tmpl w:val="3508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E3EF5"/>
    <w:multiLevelType w:val="hybridMultilevel"/>
    <w:tmpl w:val="EDF676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5BF593B"/>
    <w:multiLevelType w:val="hybridMultilevel"/>
    <w:tmpl w:val="E61E955A"/>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47B88"/>
    <w:multiLevelType w:val="hybridMultilevel"/>
    <w:tmpl w:val="FCC4AD68"/>
    <w:lvl w:ilvl="0" w:tplc="5B729740">
      <w:start w:val="1"/>
      <w:numFmt w:val="decimal"/>
      <w:suff w:val="space"/>
      <w:lvlText w:val="%1."/>
      <w:lvlJc w:val="left"/>
      <w:pPr>
        <w:ind w:left="504"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4F7897"/>
    <w:multiLevelType w:val="hybridMultilevel"/>
    <w:tmpl w:val="C1C2B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D4D58"/>
    <w:multiLevelType w:val="hybridMultilevel"/>
    <w:tmpl w:val="4B601782"/>
    <w:lvl w:ilvl="0" w:tplc="011CEC0C">
      <w:start w:val="1"/>
      <w:numFmt w:val="upperLetter"/>
      <w:lvlText w:val="%1."/>
      <w:lvlJc w:val="left"/>
      <w:pPr>
        <w:ind w:left="5107" w:hanging="420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35D86E7D"/>
    <w:multiLevelType w:val="hybridMultilevel"/>
    <w:tmpl w:val="C55022C8"/>
    <w:lvl w:ilvl="0" w:tplc="5DC851C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4169F"/>
    <w:multiLevelType w:val="multilevel"/>
    <w:tmpl w:val="906E4D8A"/>
    <w:styleLink w:val="Style1"/>
    <w:lvl w:ilvl="0">
      <w:start w:val="1"/>
      <w:numFmt w:val="upperRoman"/>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ABD2E27"/>
    <w:multiLevelType w:val="hybridMultilevel"/>
    <w:tmpl w:val="B91AA10C"/>
    <w:name w:val="TOC4"/>
    <w:lvl w:ilvl="0" w:tplc="D8D85A34">
      <w:start w:val="1"/>
      <w:numFmt w:val="upperRoman"/>
      <w:lvlText w:val="%1."/>
      <w:lvlJc w:val="right"/>
      <w:pPr>
        <w:tabs>
          <w:tab w:val="num" w:pos="1440"/>
        </w:tabs>
        <w:ind w:left="1440" w:hanging="360"/>
      </w:pPr>
      <w:rPr>
        <w:rFonts w:hint="default"/>
      </w:rPr>
    </w:lvl>
    <w:lvl w:ilvl="1" w:tplc="38101D84">
      <w:start w:val="1"/>
      <w:numFmt w:val="decimal"/>
      <w:lvlText w:val="%2."/>
      <w:lvlJc w:val="left"/>
      <w:pPr>
        <w:tabs>
          <w:tab w:val="num" w:pos="720"/>
        </w:tabs>
        <w:ind w:left="0" w:firstLine="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2242B0"/>
    <w:multiLevelType w:val="hybridMultilevel"/>
    <w:tmpl w:val="D9C84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90F82"/>
    <w:multiLevelType w:val="hybridMultilevel"/>
    <w:tmpl w:val="021C5AF6"/>
    <w:lvl w:ilvl="0" w:tplc="150A99EC">
      <w:start w:val="1"/>
      <w:numFmt w:val="lowerLetter"/>
      <w:lvlText w:val="(%1)"/>
      <w:lvlJc w:val="left"/>
      <w:pPr>
        <w:ind w:left="900" w:hanging="360"/>
      </w:pPr>
      <w:rPr>
        <w:rFonts w:ascii="Times New Roman" w:eastAsia="Times New Roman" w:hAnsi="Times New Roman" w:cs="Times New Roman"/>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EA91D19"/>
    <w:multiLevelType w:val="hybridMultilevel"/>
    <w:tmpl w:val="0A4E9D74"/>
    <w:lvl w:ilvl="0" w:tplc="4DC4CFC0">
      <w:start w:val="6"/>
      <w:numFmt w:val="decimal"/>
      <w:lvlText w:val="%1."/>
      <w:lvlJc w:val="left"/>
      <w:pPr>
        <w:tabs>
          <w:tab w:val="num" w:pos="1080"/>
        </w:tabs>
        <w:ind w:left="360" w:firstLine="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74FAF"/>
    <w:multiLevelType w:val="hybridMultilevel"/>
    <w:tmpl w:val="E61E955A"/>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60DF8"/>
    <w:multiLevelType w:val="hybridMultilevel"/>
    <w:tmpl w:val="D898F808"/>
    <w:lvl w:ilvl="0" w:tplc="0409000F">
      <w:start w:val="1"/>
      <w:numFmt w:val="decimal"/>
      <w:lvlText w:val="%1."/>
      <w:lvlJc w:val="left"/>
      <w:pPr>
        <w:ind w:left="1080" w:hanging="360"/>
      </w:pPr>
    </w:lvl>
    <w:lvl w:ilvl="1" w:tplc="04090017">
      <w:start w:val="1"/>
      <w:numFmt w:val="lowerLetter"/>
      <w:lvlText w:val="%2)"/>
      <w:lvlJc w:val="left"/>
      <w:pPr>
        <w:ind w:left="1890" w:hanging="360"/>
      </w:pPr>
    </w:lvl>
    <w:lvl w:ilvl="2" w:tplc="0409001B">
      <w:start w:val="1"/>
      <w:numFmt w:val="lowerRoman"/>
      <w:lvlText w:val="%3."/>
      <w:lvlJc w:val="right"/>
      <w:pPr>
        <w:ind w:left="2610" w:hanging="180"/>
      </w:pPr>
    </w:lvl>
    <w:lvl w:ilvl="3" w:tplc="04090001">
      <w:start w:val="1"/>
      <w:numFmt w:val="bullet"/>
      <w:lvlText w:val=""/>
      <w:lvlJc w:val="left"/>
      <w:pPr>
        <w:ind w:left="3330" w:hanging="360"/>
      </w:pPr>
      <w:rPr>
        <w:rFonts w:ascii="Symbol" w:hAnsi="Symbol"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1C85B44"/>
    <w:multiLevelType w:val="hybridMultilevel"/>
    <w:tmpl w:val="B61A9B2E"/>
    <w:lvl w:ilvl="0" w:tplc="BC06AB66">
      <w:start w:val="1"/>
      <w:numFmt w:val="upperLetter"/>
      <w:lvlText w:val="%1."/>
      <w:lvlJc w:val="left"/>
      <w:pPr>
        <w:ind w:left="1260" w:hanging="360"/>
      </w:pPr>
      <w:rPr>
        <w:rFonts w:hint="default"/>
        <w:b/>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4C02E98"/>
    <w:multiLevelType w:val="hybridMultilevel"/>
    <w:tmpl w:val="11625180"/>
    <w:lvl w:ilvl="0" w:tplc="663CABC8">
      <w:start w:val="1"/>
      <w:numFmt w:val="decimal"/>
      <w:lvlText w:val="%1."/>
      <w:lvlJc w:val="left"/>
      <w:pPr>
        <w:tabs>
          <w:tab w:val="num" w:pos="720"/>
        </w:tabs>
        <w:ind w:left="0" w:firstLine="0"/>
      </w:pPr>
      <w:rPr>
        <w:rFonts w:hint="default"/>
        <w:b/>
      </w:rPr>
    </w:lvl>
    <w:lvl w:ilvl="1" w:tplc="C026280A">
      <w:start w:val="1"/>
      <w:numFmt w:val="lowerLetter"/>
      <w:lvlText w:val="%2."/>
      <w:lvlJc w:val="left"/>
      <w:pPr>
        <w:tabs>
          <w:tab w:val="num" w:pos="1440"/>
        </w:tabs>
        <w:ind w:left="1440" w:hanging="360"/>
      </w:pPr>
      <w:rPr>
        <w:caps/>
      </w:rPr>
    </w:lvl>
    <w:lvl w:ilvl="2" w:tplc="B3F2BEA8">
      <w:start w:val="2"/>
      <w:numFmt w:val="upperLetter"/>
      <w:lvlText w:val="%3."/>
      <w:lvlJc w:val="left"/>
      <w:pPr>
        <w:ind w:left="45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A94292"/>
    <w:multiLevelType w:val="hybridMultilevel"/>
    <w:tmpl w:val="8252E7F8"/>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C3B47"/>
    <w:multiLevelType w:val="hybridMultilevel"/>
    <w:tmpl w:val="7B0029F2"/>
    <w:lvl w:ilvl="0" w:tplc="A3905BFE">
      <w:start w:val="5"/>
      <w:numFmt w:val="upperLetter"/>
      <w:lvlText w:val="%1."/>
      <w:lvlJc w:val="left"/>
      <w:pPr>
        <w:ind w:left="810" w:hanging="360"/>
      </w:pPr>
      <w:rPr>
        <w:rFonts w:ascii="Times New Roman" w:eastAsia="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B1891"/>
    <w:multiLevelType w:val="hybridMultilevel"/>
    <w:tmpl w:val="0074AB70"/>
    <w:lvl w:ilvl="0" w:tplc="8AE603A4">
      <w:start w:val="1"/>
      <w:numFmt w:val="upp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15:restartNumberingAfterBreak="0">
    <w:nsid w:val="62DC590A"/>
    <w:multiLevelType w:val="hybridMultilevel"/>
    <w:tmpl w:val="0D885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EE6F5B"/>
    <w:multiLevelType w:val="hybridMultilevel"/>
    <w:tmpl w:val="F5BCE6AA"/>
    <w:lvl w:ilvl="0" w:tplc="833C2186">
      <w:start w:val="5"/>
      <w:numFmt w:val="decimal"/>
      <w:lvlText w:val="%1."/>
      <w:lvlJc w:val="left"/>
      <w:pPr>
        <w:ind w:left="990" w:hanging="360"/>
      </w:pPr>
      <w:rPr>
        <w:b w:val="0"/>
        <w:bCs w:val="0"/>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851401B"/>
    <w:multiLevelType w:val="hybridMultilevel"/>
    <w:tmpl w:val="002E214C"/>
    <w:lvl w:ilvl="0" w:tplc="C026280A">
      <w:start w:val="1"/>
      <w:numFmt w:val="lowerLetter"/>
      <w:lvlText w:val="%1."/>
      <w:lvlJc w:val="left"/>
      <w:pPr>
        <w:tabs>
          <w:tab w:val="num" w:pos="1440"/>
        </w:tabs>
        <w:ind w:left="1440" w:hanging="360"/>
      </w:pPr>
      <w:rPr>
        <w:cap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B38FC"/>
    <w:multiLevelType w:val="hybridMultilevel"/>
    <w:tmpl w:val="E24E7C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D5484"/>
    <w:multiLevelType w:val="hybridMultilevel"/>
    <w:tmpl w:val="419A0B3E"/>
    <w:lvl w:ilvl="0" w:tplc="AC4A1B34">
      <w:start w:val="1"/>
      <w:numFmt w:val="decimal"/>
      <w:suff w:val="space"/>
      <w:lvlText w:val="%1."/>
      <w:lvlJc w:val="left"/>
      <w:pPr>
        <w:ind w:left="306" w:hanging="216"/>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D8A1BD4"/>
    <w:multiLevelType w:val="hybridMultilevel"/>
    <w:tmpl w:val="83A85A7E"/>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63737"/>
    <w:multiLevelType w:val="hybridMultilevel"/>
    <w:tmpl w:val="E61E955A"/>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F4C76"/>
    <w:multiLevelType w:val="hybridMultilevel"/>
    <w:tmpl w:val="75C4517A"/>
    <w:lvl w:ilvl="0" w:tplc="AC2EF48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7" w15:restartNumberingAfterBreak="0">
    <w:nsid w:val="7D54666A"/>
    <w:multiLevelType w:val="hybridMultilevel"/>
    <w:tmpl w:val="D5A0D35A"/>
    <w:lvl w:ilvl="0" w:tplc="CA5A5876">
      <w:start w:val="1"/>
      <w:numFmt w:val="upperLetter"/>
      <w:lvlText w:val="%1."/>
      <w:lvlJc w:val="left"/>
      <w:pPr>
        <w:ind w:left="360" w:hanging="360"/>
      </w:pPr>
      <w:rPr>
        <w:rFonts w:ascii="Times New Roman" w:eastAsia="Times New Roman" w:hAnsi="Times New Roman" w:cs="Times New Roman"/>
        <w:b/>
        <w:i w:val="0"/>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B3676F"/>
    <w:multiLevelType w:val="hybridMultilevel"/>
    <w:tmpl w:val="32903E7E"/>
    <w:lvl w:ilvl="0" w:tplc="29E8FB52">
      <w:start w:val="1"/>
      <w:numFmt w:val="lowerLetter"/>
      <w:lvlText w:val="(%1)"/>
      <w:lvlJc w:val="left"/>
      <w:pPr>
        <w:ind w:left="1440" w:hanging="360"/>
      </w:pPr>
      <w:rPr>
        <w:rFonts w:hint="default"/>
      </w:rPr>
    </w:lvl>
    <w:lvl w:ilvl="1" w:tplc="0409001B">
      <w:start w:val="1"/>
      <w:numFmt w:val="lowerRoman"/>
      <w:lvlText w:val="%2."/>
      <w:lvlJc w:val="righ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33"/>
  </w:num>
  <w:num w:numId="3">
    <w:abstractNumId w:val="20"/>
  </w:num>
  <w:num w:numId="4">
    <w:abstractNumId w:val="37"/>
  </w:num>
  <w:num w:numId="5">
    <w:abstractNumId w:val="7"/>
  </w:num>
  <w:num w:numId="6">
    <w:abstractNumId w:val="27"/>
  </w:num>
  <w:num w:numId="7">
    <w:abstractNumId w:val="18"/>
  </w:num>
  <w:num w:numId="8">
    <w:abstractNumId w:val="25"/>
  </w:num>
  <w:num w:numId="9">
    <w:abstractNumId w:val="6"/>
  </w:num>
  <w:num w:numId="10">
    <w:abstractNumId w:val="4"/>
  </w:num>
  <w:num w:numId="11">
    <w:abstractNumId w:val="29"/>
  </w:num>
  <w:num w:numId="12">
    <w:abstractNumId w:val="3"/>
  </w:num>
  <w:num w:numId="13">
    <w:abstractNumId w:val="28"/>
  </w:num>
  <w:num w:numId="14">
    <w:abstractNumId w:val="28"/>
    <w:lvlOverride w:ilvl="0">
      <w:lvl w:ilvl="0" w:tplc="8AE603A4">
        <w:start w:val="1"/>
        <w:numFmt w:val="upperRoman"/>
        <w:suff w:val="space"/>
        <w:lvlText w:val="%1."/>
        <w:lvlJc w:val="left"/>
        <w:pPr>
          <w:ind w:left="504" w:firstLine="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3"/>
  </w:num>
  <w:num w:numId="16">
    <w:abstractNumId w:val="5"/>
  </w:num>
  <w:num w:numId="17">
    <w:abstractNumId w:val="2"/>
  </w:num>
  <w:num w:numId="18">
    <w:abstractNumId w:val="26"/>
  </w:num>
  <w:num w:numId="19">
    <w:abstractNumId w:val="0"/>
  </w:num>
  <w:num w:numId="20">
    <w:abstractNumId w:val="11"/>
  </w:num>
  <w:num w:numId="21">
    <w:abstractNumId w:val="24"/>
  </w:num>
  <w:num w:numId="22">
    <w:abstractNumId w:val="36"/>
  </w:num>
  <w:num w:numId="23">
    <w:abstractNumId w:val="9"/>
  </w:num>
  <w:num w:numId="24">
    <w:abstractNumId w:val="23"/>
  </w:num>
  <w:num w:numId="25">
    <w:abstractNumId w:val="38"/>
  </w:num>
  <w:num w:numId="26">
    <w:abstractNumId w:val="34"/>
  </w:num>
  <w:num w:numId="27">
    <w:abstractNumId w:val="35"/>
  </w:num>
  <w:num w:numId="28">
    <w:abstractNumId w:val="22"/>
  </w:num>
  <w:num w:numId="29">
    <w:abstractNumId w:val="15"/>
  </w:num>
  <w:num w:numId="30">
    <w:abstractNumId w:val="19"/>
  </w:num>
  <w:num w:numId="31">
    <w:abstractNumId w:val="31"/>
  </w:num>
  <w:num w:numId="32">
    <w:abstractNumId w:val="12"/>
  </w:num>
  <w:num w:numId="3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0"/>
  </w:num>
  <w:num w:numId="36">
    <w:abstractNumId w:val="8"/>
  </w:num>
  <w:num w:numId="37">
    <w:abstractNumId w:val="1"/>
  </w:num>
  <w:num w:numId="38">
    <w:abstractNumId w:val="10"/>
  </w:num>
  <w:num w:numId="39">
    <w:abstractNumId w:val="16"/>
  </w:num>
  <w:num w:numId="40">
    <w:abstractNumId w:val="21"/>
  </w:num>
  <w:num w:numId="41">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87"/>
    <w:rsid w:val="00000405"/>
    <w:rsid w:val="00000783"/>
    <w:rsid w:val="000007C0"/>
    <w:rsid w:val="00003A42"/>
    <w:rsid w:val="00003A8E"/>
    <w:rsid w:val="00004001"/>
    <w:rsid w:val="00004184"/>
    <w:rsid w:val="00005129"/>
    <w:rsid w:val="00005144"/>
    <w:rsid w:val="0000579D"/>
    <w:rsid w:val="000057FA"/>
    <w:rsid w:val="000074C1"/>
    <w:rsid w:val="00007F8E"/>
    <w:rsid w:val="000129CC"/>
    <w:rsid w:val="00013ABF"/>
    <w:rsid w:val="00013E80"/>
    <w:rsid w:val="00014A91"/>
    <w:rsid w:val="00014C1F"/>
    <w:rsid w:val="00015BC1"/>
    <w:rsid w:val="0001620B"/>
    <w:rsid w:val="000168DA"/>
    <w:rsid w:val="00016DC4"/>
    <w:rsid w:val="00020512"/>
    <w:rsid w:val="0002119B"/>
    <w:rsid w:val="000224B0"/>
    <w:rsid w:val="00022780"/>
    <w:rsid w:val="00022884"/>
    <w:rsid w:val="00024441"/>
    <w:rsid w:val="00025578"/>
    <w:rsid w:val="00025E3F"/>
    <w:rsid w:val="00027CC0"/>
    <w:rsid w:val="00030C9A"/>
    <w:rsid w:val="00031179"/>
    <w:rsid w:val="00031AB2"/>
    <w:rsid w:val="00032F4F"/>
    <w:rsid w:val="00033141"/>
    <w:rsid w:val="000350D8"/>
    <w:rsid w:val="00035D89"/>
    <w:rsid w:val="000368AC"/>
    <w:rsid w:val="00036959"/>
    <w:rsid w:val="00040C9F"/>
    <w:rsid w:val="0004128B"/>
    <w:rsid w:val="00041AF7"/>
    <w:rsid w:val="00042FE6"/>
    <w:rsid w:val="00043332"/>
    <w:rsid w:val="00044146"/>
    <w:rsid w:val="00044EC2"/>
    <w:rsid w:val="00045022"/>
    <w:rsid w:val="00047768"/>
    <w:rsid w:val="0005194F"/>
    <w:rsid w:val="00052024"/>
    <w:rsid w:val="00053C86"/>
    <w:rsid w:val="000544A5"/>
    <w:rsid w:val="00054A41"/>
    <w:rsid w:val="000553E1"/>
    <w:rsid w:val="00057521"/>
    <w:rsid w:val="00057A99"/>
    <w:rsid w:val="00057FBE"/>
    <w:rsid w:val="00061DCD"/>
    <w:rsid w:val="000638E4"/>
    <w:rsid w:val="00064674"/>
    <w:rsid w:val="000646F1"/>
    <w:rsid w:val="00064A40"/>
    <w:rsid w:val="000657E5"/>
    <w:rsid w:val="00065B64"/>
    <w:rsid w:val="00067738"/>
    <w:rsid w:val="00067FA3"/>
    <w:rsid w:val="00071252"/>
    <w:rsid w:val="000719BA"/>
    <w:rsid w:val="00072197"/>
    <w:rsid w:val="00072319"/>
    <w:rsid w:val="00072FF0"/>
    <w:rsid w:val="000734B1"/>
    <w:rsid w:val="00073D29"/>
    <w:rsid w:val="00073EB8"/>
    <w:rsid w:val="00074D70"/>
    <w:rsid w:val="000759F3"/>
    <w:rsid w:val="00075A97"/>
    <w:rsid w:val="00076D9E"/>
    <w:rsid w:val="00080465"/>
    <w:rsid w:val="000806A2"/>
    <w:rsid w:val="000807F8"/>
    <w:rsid w:val="00080DDE"/>
    <w:rsid w:val="00081119"/>
    <w:rsid w:val="000818B4"/>
    <w:rsid w:val="000822CB"/>
    <w:rsid w:val="0008250F"/>
    <w:rsid w:val="00082ECC"/>
    <w:rsid w:val="000835F3"/>
    <w:rsid w:val="00084803"/>
    <w:rsid w:val="00084A0B"/>
    <w:rsid w:val="0008569E"/>
    <w:rsid w:val="00085C63"/>
    <w:rsid w:val="00086740"/>
    <w:rsid w:val="00086996"/>
    <w:rsid w:val="000872F9"/>
    <w:rsid w:val="000875AD"/>
    <w:rsid w:val="000878CB"/>
    <w:rsid w:val="00087CFB"/>
    <w:rsid w:val="00087D4E"/>
    <w:rsid w:val="00090B34"/>
    <w:rsid w:val="0009159C"/>
    <w:rsid w:val="0009282D"/>
    <w:rsid w:val="000942FA"/>
    <w:rsid w:val="000945CE"/>
    <w:rsid w:val="00095629"/>
    <w:rsid w:val="00096285"/>
    <w:rsid w:val="00096759"/>
    <w:rsid w:val="00096DAD"/>
    <w:rsid w:val="000975CC"/>
    <w:rsid w:val="00097B35"/>
    <w:rsid w:val="000A0A0E"/>
    <w:rsid w:val="000A0A7C"/>
    <w:rsid w:val="000A1407"/>
    <w:rsid w:val="000A1CFB"/>
    <w:rsid w:val="000A1E74"/>
    <w:rsid w:val="000A207C"/>
    <w:rsid w:val="000A41DB"/>
    <w:rsid w:val="000A43E5"/>
    <w:rsid w:val="000A4CCA"/>
    <w:rsid w:val="000A5914"/>
    <w:rsid w:val="000A616C"/>
    <w:rsid w:val="000A61C9"/>
    <w:rsid w:val="000A73BA"/>
    <w:rsid w:val="000A74C5"/>
    <w:rsid w:val="000A7684"/>
    <w:rsid w:val="000B039D"/>
    <w:rsid w:val="000B0998"/>
    <w:rsid w:val="000B0EF4"/>
    <w:rsid w:val="000B11A7"/>
    <w:rsid w:val="000B1328"/>
    <w:rsid w:val="000B1773"/>
    <w:rsid w:val="000B20E7"/>
    <w:rsid w:val="000B30A7"/>
    <w:rsid w:val="000B466B"/>
    <w:rsid w:val="000B54AF"/>
    <w:rsid w:val="000B5A43"/>
    <w:rsid w:val="000B6214"/>
    <w:rsid w:val="000B74F9"/>
    <w:rsid w:val="000B7762"/>
    <w:rsid w:val="000B793B"/>
    <w:rsid w:val="000C080B"/>
    <w:rsid w:val="000C0910"/>
    <w:rsid w:val="000C0F66"/>
    <w:rsid w:val="000C1540"/>
    <w:rsid w:val="000C1D34"/>
    <w:rsid w:val="000C2143"/>
    <w:rsid w:val="000C3253"/>
    <w:rsid w:val="000C5BFB"/>
    <w:rsid w:val="000C655E"/>
    <w:rsid w:val="000C67D2"/>
    <w:rsid w:val="000C712B"/>
    <w:rsid w:val="000C7FA8"/>
    <w:rsid w:val="000D475E"/>
    <w:rsid w:val="000D4CB5"/>
    <w:rsid w:val="000D5579"/>
    <w:rsid w:val="000D6C6A"/>
    <w:rsid w:val="000D7692"/>
    <w:rsid w:val="000E12E4"/>
    <w:rsid w:val="000E183E"/>
    <w:rsid w:val="000E1962"/>
    <w:rsid w:val="000E1B5E"/>
    <w:rsid w:val="000E251A"/>
    <w:rsid w:val="000E2F7C"/>
    <w:rsid w:val="000E30CD"/>
    <w:rsid w:val="000E34BD"/>
    <w:rsid w:val="000E36F3"/>
    <w:rsid w:val="000E3B9A"/>
    <w:rsid w:val="000E491D"/>
    <w:rsid w:val="000E6043"/>
    <w:rsid w:val="000E6465"/>
    <w:rsid w:val="000E6BB5"/>
    <w:rsid w:val="000F03A2"/>
    <w:rsid w:val="000F2A00"/>
    <w:rsid w:val="000F4D90"/>
    <w:rsid w:val="000F5096"/>
    <w:rsid w:val="000F56ED"/>
    <w:rsid w:val="000F6599"/>
    <w:rsid w:val="000F76AD"/>
    <w:rsid w:val="000F7DD3"/>
    <w:rsid w:val="00100328"/>
    <w:rsid w:val="0010132D"/>
    <w:rsid w:val="00103291"/>
    <w:rsid w:val="001050AD"/>
    <w:rsid w:val="00105B02"/>
    <w:rsid w:val="00106A5C"/>
    <w:rsid w:val="00110A65"/>
    <w:rsid w:val="00110BF3"/>
    <w:rsid w:val="00110F33"/>
    <w:rsid w:val="00111936"/>
    <w:rsid w:val="00112026"/>
    <w:rsid w:val="00112EEA"/>
    <w:rsid w:val="0011367B"/>
    <w:rsid w:val="0011414E"/>
    <w:rsid w:val="0011452B"/>
    <w:rsid w:val="001145AA"/>
    <w:rsid w:val="0011679A"/>
    <w:rsid w:val="00116E07"/>
    <w:rsid w:val="001170B8"/>
    <w:rsid w:val="00117ADD"/>
    <w:rsid w:val="00117EC2"/>
    <w:rsid w:val="00117FE1"/>
    <w:rsid w:val="001219D0"/>
    <w:rsid w:val="00122A3C"/>
    <w:rsid w:val="00122B5D"/>
    <w:rsid w:val="001243F5"/>
    <w:rsid w:val="001245CA"/>
    <w:rsid w:val="001248DE"/>
    <w:rsid w:val="00124A54"/>
    <w:rsid w:val="00124F6A"/>
    <w:rsid w:val="00126630"/>
    <w:rsid w:val="00126D9A"/>
    <w:rsid w:val="001275BC"/>
    <w:rsid w:val="001301B5"/>
    <w:rsid w:val="001309AF"/>
    <w:rsid w:val="00131670"/>
    <w:rsid w:val="001319FC"/>
    <w:rsid w:val="00131F1D"/>
    <w:rsid w:val="00132029"/>
    <w:rsid w:val="001327B5"/>
    <w:rsid w:val="001329C1"/>
    <w:rsid w:val="00133C11"/>
    <w:rsid w:val="00134B14"/>
    <w:rsid w:val="001351EF"/>
    <w:rsid w:val="0013528B"/>
    <w:rsid w:val="0013535B"/>
    <w:rsid w:val="00135946"/>
    <w:rsid w:val="001365F8"/>
    <w:rsid w:val="00137863"/>
    <w:rsid w:val="001400AE"/>
    <w:rsid w:val="001402A1"/>
    <w:rsid w:val="00141107"/>
    <w:rsid w:val="00141A60"/>
    <w:rsid w:val="00142694"/>
    <w:rsid w:val="00142CC0"/>
    <w:rsid w:val="001438BA"/>
    <w:rsid w:val="00143C27"/>
    <w:rsid w:val="00143CC6"/>
    <w:rsid w:val="00144636"/>
    <w:rsid w:val="00144656"/>
    <w:rsid w:val="001448EA"/>
    <w:rsid w:val="00144982"/>
    <w:rsid w:val="0014521C"/>
    <w:rsid w:val="00145408"/>
    <w:rsid w:val="00146CAC"/>
    <w:rsid w:val="00147D9E"/>
    <w:rsid w:val="00147EC7"/>
    <w:rsid w:val="00150763"/>
    <w:rsid w:val="001517A4"/>
    <w:rsid w:val="0015225E"/>
    <w:rsid w:val="001522D3"/>
    <w:rsid w:val="00153419"/>
    <w:rsid w:val="001539D6"/>
    <w:rsid w:val="001541B9"/>
    <w:rsid w:val="001548BD"/>
    <w:rsid w:val="00154A81"/>
    <w:rsid w:val="00154F25"/>
    <w:rsid w:val="0015509A"/>
    <w:rsid w:val="0015555F"/>
    <w:rsid w:val="00155B51"/>
    <w:rsid w:val="00156CD7"/>
    <w:rsid w:val="00156E45"/>
    <w:rsid w:val="00156F68"/>
    <w:rsid w:val="00157EC9"/>
    <w:rsid w:val="00160F34"/>
    <w:rsid w:val="001623A7"/>
    <w:rsid w:val="001624D1"/>
    <w:rsid w:val="00162A2A"/>
    <w:rsid w:val="00162D83"/>
    <w:rsid w:val="00162FE0"/>
    <w:rsid w:val="00164B21"/>
    <w:rsid w:val="00164E52"/>
    <w:rsid w:val="0016554C"/>
    <w:rsid w:val="00165567"/>
    <w:rsid w:val="00166171"/>
    <w:rsid w:val="00166523"/>
    <w:rsid w:val="00166B6A"/>
    <w:rsid w:val="001670C2"/>
    <w:rsid w:val="001672C5"/>
    <w:rsid w:val="00167B02"/>
    <w:rsid w:val="0017027E"/>
    <w:rsid w:val="0017097A"/>
    <w:rsid w:val="00170BAA"/>
    <w:rsid w:val="00170CFA"/>
    <w:rsid w:val="0017147E"/>
    <w:rsid w:val="0017176B"/>
    <w:rsid w:val="00171A35"/>
    <w:rsid w:val="00172EE6"/>
    <w:rsid w:val="00175192"/>
    <w:rsid w:val="00176CBB"/>
    <w:rsid w:val="00177066"/>
    <w:rsid w:val="00177236"/>
    <w:rsid w:val="00177444"/>
    <w:rsid w:val="001804F7"/>
    <w:rsid w:val="0018116E"/>
    <w:rsid w:val="001813F4"/>
    <w:rsid w:val="00181DFF"/>
    <w:rsid w:val="00182FA2"/>
    <w:rsid w:val="001830E0"/>
    <w:rsid w:val="001836E0"/>
    <w:rsid w:val="0018371C"/>
    <w:rsid w:val="00184214"/>
    <w:rsid w:val="00184D65"/>
    <w:rsid w:val="001859BD"/>
    <w:rsid w:val="00186119"/>
    <w:rsid w:val="00187232"/>
    <w:rsid w:val="0019129E"/>
    <w:rsid w:val="00191783"/>
    <w:rsid w:val="00191A43"/>
    <w:rsid w:val="00191B9C"/>
    <w:rsid w:val="00191DB5"/>
    <w:rsid w:val="001921B6"/>
    <w:rsid w:val="001939A3"/>
    <w:rsid w:val="00193EC6"/>
    <w:rsid w:val="001949C8"/>
    <w:rsid w:val="00194DA1"/>
    <w:rsid w:val="00195103"/>
    <w:rsid w:val="001951D7"/>
    <w:rsid w:val="001952F6"/>
    <w:rsid w:val="00195654"/>
    <w:rsid w:val="001959EB"/>
    <w:rsid w:val="0019607B"/>
    <w:rsid w:val="0019693C"/>
    <w:rsid w:val="00196A4A"/>
    <w:rsid w:val="001A01A6"/>
    <w:rsid w:val="001A0C76"/>
    <w:rsid w:val="001A106A"/>
    <w:rsid w:val="001A1547"/>
    <w:rsid w:val="001A1B8E"/>
    <w:rsid w:val="001A23DD"/>
    <w:rsid w:val="001A268A"/>
    <w:rsid w:val="001A276A"/>
    <w:rsid w:val="001A2919"/>
    <w:rsid w:val="001A4795"/>
    <w:rsid w:val="001A5659"/>
    <w:rsid w:val="001A7EE4"/>
    <w:rsid w:val="001A7F61"/>
    <w:rsid w:val="001B0B1A"/>
    <w:rsid w:val="001B0EA5"/>
    <w:rsid w:val="001B2099"/>
    <w:rsid w:val="001B24D8"/>
    <w:rsid w:val="001B2844"/>
    <w:rsid w:val="001B2DAE"/>
    <w:rsid w:val="001B5DE7"/>
    <w:rsid w:val="001B6452"/>
    <w:rsid w:val="001B667B"/>
    <w:rsid w:val="001B6742"/>
    <w:rsid w:val="001B6B22"/>
    <w:rsid w:val="001B6E1D"/>
    <w:rsid w:val="001B6FB8"/>
    <w:rsid w:val="001B70E9"/>
    <w:rsid w:val="001B71E9"/>
    <w:rsid w:val="001C064D"/>
    <w:rsid w:val="001C0893"/>
    <w:rsid w:val="001C0F92"/>
    <w:rsid w:val="001C1A4F"/>
    <w:rsid w:val="001C2969"/>
    <w:rsid w:val="001C307F"/>
    <w:rsid w:val="001C46B0"/>
    <w:rsid w:val="001C4CAE"/>
    <w:rsid w:val="001C509F"/>
    <w:rsid w:val="001C5D7D"/>
    <w:rsid w:val="001C5E99"/>
    <w:rsid w:val="001C60D4"/>
    <w:rsid w:val="001C6315"/>
    <w:rsid w:val="001C6A26"/>
    <w:rsid w:val="001C7C7F"/>
    <w:rsid w:val="001C7F54"/>
    <w:rsid w:val="001C7F64"/>
    <w:rsid w:val="001D0717"/>
    <w:rsid w:val="001D1048"/>
    <w:rsid w:val="001D1A83"/>
    <w:rsid w:val="001D1BF8"/>
    <w:rsid w:val="001D2C1B"/>
    <w:rsid w:val="001D3C08"/>
    <w:rsid w:val="001D44B6"/>
    <w:rsid w:val="001D456E"/>
    <w:rsid w:val="001D470B"/>
    <w:rsid w:val="001D4F85"/>
    <w:rsid w:val="001D567A"/>
    <w:rsid w:val="001D6400"/>
    <w:rsid w:val="001D6951"/>
    <w:rsid w:val="001D6E3A"/>
    <w:rsid w:val="001D7778"/>
    <w:rsid w:val="001D7F86"/>
    <w:rsid w:val="001E14C2"/>
    <w:rsid w:val="001E1B8B"/>
    <w:rsid w:val="001E1FFE"/>
    <w:rsid w:val="001E2248"/>
    <w:rsid w:val="001E25F9"/>
    <w:rsid w:val="001E267E"/>
    <w:rsid w:val="001E3491"/>
    <w:rsid w:val="001E3905"/>
    <w:rsid w:val="001E39A2"/>
    <w:rsid w:val="001E450C"/>
    <w:rsid w:val="001E46EE"/>
    <w:rsid w:val="001E4EAE"/>
    <w:rsid w:val="001E51D1"/>
    <w:rsid w:val="001E5236"/>
    <w:rsid w:val="001E5F1B"/>
    <w:rsid w:val="001E5FEA"/>
    <w:rsid w:val="001E6479"/>
    <w:rsid w:val="001E6DA9"/>
    <w:rsid w:val="001E71ED"/>
    <w:rsid w:val="001E725C"/>
    <w:rsid w:val="001E73F6"/>
    <w:rsid w:val="001E78AF"/>
    <w:rsid w:val="001F0FF3"/>
    <w:rsid w:val="001F12A8"/>
    <w:rsid w:val="001F1792"/>
    <w:rsid w:val="001F17B3"/>
    <w:rsid w:val="001F1B26"/>
    <w:rsid w:val="001F1B60"/>
    <w:rsid w:val="001F2C89"/>
    <w:rsid w:val="001F36D6"/>
    <w:rsid w:val="001F3DB2"/>
    <w:rsid w:val="001F49FA"/>
    <w:rsid w:val="001F4FD4"/>
    <w:rsid w:val="001F508A"/>
    <w:rsid w:val="001F605C"/>
    <w:rsid w:val="001F6AC2"/>
    <w:rsid w:val="001F72B1"/>
    <w:rsid w:val="001F76A9"/>
    <w:rsid w:val="001F7BB1"/>
    <w:rsid w:val="002006E3"/>
    <w:rsid w:val="00200E24"/>
    <w:rsid w:val="00201517"/>
    <w:rsid w:val="00201C62"/>
    <w:rsid w:val="00201D6E"/>
    <w:rsid w:val="00201ED8"/>
    <w:rsid w:val="0020297D"/>
    <w:rsid w:val="00203983"/>
    <w:rsid w:val="00204DAB"/>
    <w:rsid w:val="002065B0"/>
    <w:rsid w:val="00206E31"/>
    <w:rsid w:val="00206FEC"/>
    <w:rsid w:val="00207722"/>
    <w:rsid w:val="0020795D"/>
    <w:rsid w:val="00210782"/>
    <w:rsid w:val="00210B37"/>
    <w:rsid w:val="00211095"/>
    <w:rsid w:val="00211911"/>
    <w:rsid w:val="00212BC7"/>
    <w:rsid w:val="0021332B"/>
    <w:rsid w:val="00213E6C"/>
    <w:rsid w:val="002144C8"/>
    <w:rsid w:val="002155AD"/>
    <w:rsid w:val="00216CB2"/>
    <w:rsid w:val="00217FD6"/>
    <w:rsid w:val="002207E6"/>
    <w:rsid w:val="0022181A"/>
    <w:rsid w:val="00221A78"/>
    <w:rsid w:val="00222204"/>
    <w:rsid w:val="00222529"/>
    <w:rsid w:val="00222F22"/>
    <w:rsid w:val="00222F5E"/>
    <w:rsid w:val="00223115"/>
    <w:rsid w:val="002250D6"/>
    <w:rsid w:val="00225D8A"/>
    <w:rsid w:val="002262D9"/>
    <w:rsid w:val="00231E45"/>
    <w:rsid w:val="00232237"/>
    <w:rsid w:val="00232DE4"/>
    <w:rsid w:val="00232DF9"/>
    <w:rsid w:val="00233010"/>
    <w:rsid w:val="00233917"/>
    <w:rsid w:val="00234A22"/>
    <w:rsid w:val="00235053"/>
    <w:rsid w:val="00236022"/>
    <w:rsid w:val="00240C56"/>
    <w:rsid w:val="00240E4A"/>
    <w:rsid w:val="0024106D"/>
    <w:rsid w:val="00241B7D"/>
    <w:rsid w:val="00241DA7"/>
    <w:rsid w:val="00242086"/>
    <w:rsid w:val="00242742"/>
    <w:rsid w:val="002440DB"/>
    <w:rsid w:val="00244D5E"/>
    <w:rsid w:val="00245374"/>
    <w:rsid w:val="0024539D"/>
    <w:rsid w:val="00245995"/>
    <w:rsid w:val="00245CAB"/>
    <w:rsid w:val="00245F5F"/>
    <w:rsid w:val="00246466"/>
    <w:rsid w:val="00246859"/>
    <w:rsid w:val="00247900"/>
    <w:rsid w:val="00247B95"/>
    <w:rsid w:val="002502BC"/>
    <w:rsid w:val="00250C3B"/>
    <w:rsid w:val="00250C5A"/>
    <w:rsid w:val="00251285"/>
    <w:rsid w:val="00251B10"/>
    <w:rsid w:val="00251EE3"/>
    <w:rsid w:val="00253C7C"/>
    <w:rsid w:val="002540A9"/>
    <w:rsid w:val="0025662C"/>
    <w:rsid w:val="00257ED3"/>
    <w:rsid w:val="002600F1"/>
    <w:rsid w:val="0026022C"/>
    <w:rsid w:val="002606A0"/>
    <w:rsid w:val="00260708"/>
    <w:rsid w:val="00260B5C"/>
    <w:rsid w:val="00260C73"/>
    <w:rsid w:val="00260CFD"/>
    <w:rsid w:val="00260DF1"/>
    <w:rsid w:val="00262188"/>
    <w:rsid w:val="00262548"/>
    <w:rsid w:val="00262AFB"/>
    <w:rsid w:val="00262E07"/>
    <w:rsid w:val="0026387C"/>
    <w:rsid w:val="00263E26"/>
    <w:rsid w:val="002647AF"/>
    <w:rsid w:val="00264D0C"/>
    <w:rsid w:val="00266253"/>
    <w:rsid w:val="00266942"/>
    <w:rsid w:val="00267548"/>
    <w:rsid w:val="00267A27"/>
    <w:rsid w:val="002706DA"/>
    <w:rsid w:val="00270BE5"/>
    <w:rsid w:val="00271CAC"/>
    <w:rsid w:val="00272190"/>
    <w:rsid w:val="0027261F"/>
    <w:rsid w:val="00272DFD"/>
    <w:rsid w:val="00273778"/>
    <w:rsid w:val="0027430C"/>
    <w:rsid w:val="00274629"/>
    <w:rsid w:val="00274B41"/>
    <w:rsid w:val="0027533A"/>
    <w:rsid w:val="00276947"/>
    <w:rsid w:val="0027740C"/>
    <w:rsid w:val="00280851"/>
    <w:rsid w:val="00280D90"/>
    <w:rsid w:val="0028392D"/>
    <w:rsid w:val="00283C71"/>
    <w:rsid w:val="00283F2D"/>
    <w:rsid w:val="0028405E"/>
    <w:rsid w:val="00284719"/>
    <w:rsid w:val="002852AB"/>
    <w:rsid w:val="00285AF1"/>
    <w:rsid w:val="002902F5"/>
    <w:rsid w:val="00290352"/>
    <w:rsid w:val="00290688"/>
    <w:rsid w:val="00292CB2"/>
    <w:rsid w:val="00293119"/>
    <w:rsid w:val="002931D8"/>
    <w:rsid w:val="002936A7"/>
    <w:rsid w:val="00293948"/>
    <w:rsid w:val="00294469"/>
    <w:rsid w:val="00297AFE"/>
    <w:rsid w:val="002A0943"/>
    <w:rsid w:val="002A0B65"/>
    <w:rsid w:val="002A0B6C"/>
    <w:rsid w:val="002A0D4B"/>
    <w:rsid w:val="002A17C2"/>
    <w:rsid w:val="002A2B0F"/>
    <w:rsid w:val="002A32EC"/>
    <w:rsid w:val="002A3DDB"/>
    <w:rsid w:val="002A3F73"/>
    <w:rsid w:val="002A5379"/>
    <w:rsid w:val="002A542A"/>
    <w:rsid w:val="002A63D0"/>
    <w:rsid w:val="002A6640"/>
    <w:rsid w:val="002A66D1"/>
    <w:rsid w:val="002B1695"/>
    <w:rsid w:val="002B277C"/>
    <w:rsid w:val="002B39CB"/>
    <w:rsid w:val="002B3AC1"/>
    <w:rsid w:val="002B4327"/>
    <w:rsid w:val="002B4C33"/>
    <w:rsid w:val="002B5706"/>
    <w:rsid w:val="002B64C5"/>
    <w:rsid w:val="002B6550"/>
    <w:rsid w:val="002B6601"/>
    <w:rsid w:val="002B6E52"/>
    <w:rsid w:val="002B78FA"/>
    <w:rsid w:val="002C056A"/>
    <w:rsid w:val="002C07FD"/>
    <w:rsid w:val="002C0819"/>
    <w:rsid w:val="002C0FBB"/>
    <w:rsid w:val="002C17B5"/>
    <w:rsid w:val="002C19E5"/>
    <w:rsid w:val="002C28AC"/>
    <w:rsid w:val="002C2A29"/>
    <w:rsid w:val="002C36C6"/>
    <w:rsid w:val="002C36CF"/>
    <w:rsid w:val="002C3A79"/>
    <w:rsid w:val="002C3FA4"/>
    <w:rsid w:val="002C42D2"/>
    <w:rsid w:val="002C4308"/>
    <w:rsid w:val="002C44D7"/>
    <w:rsid w:val="002C6E43"/>
    <w:rsid w:val="002D04E4"/>
    <w:rsid w:val="002D0DB3"/>
    <w:rsid w:val="002D1374"/>
    <w:rsid w:val="002D150A"/>
    <w:rsid w:val="002D2747"/>
    <w:rsid w:val="002D2BA3"/>
    <w:rsid w:val="002D2BA7"/>
    <w:rsid w:val="002D383B"/>
    <w:rsid w:val="002D5E1A"/>
    <w:rsid w:val="002D5FE2"/>
    <w:rsid w:val="002D618A"/>
    <w:rsid w:val="002D633F"/>
    <w:rsid w:val="002D6432"/>
    <w:rsid w:val="002D6E2A"/>
    <w:rsid w:val="002E038A"/>
    <w:rsid w:val="002E0426"/>
    <w:rsid w:val="002E08E9"/>
    <w:rsid w:val="002E1369"/>
    <w:rsid w:val="002E1D03"/>
    <w:rsid w:val="002E2BA1"/>
    <w:rsid w:val="002E42A4"/>
    <w:rsid w:val="002E4521"/>
    <w:rsid w:val="002E4548"/>
    <w:rsid w:val="002E47C9"/>
    <w:rsid w:val="002E5402"/>
    <w:rsid w:val="002E6087"/>
    <w:rsid w:val="002E6DC4"/>
    <w:rsid w:val="002E7F73"/>
    <w:rsid w:val="002F0653"/>
    <w:rsid w:val="002F06FE"/>
    <w:rsid w:val="002F1E4A"/>
    <w:rsid w:val="002F3042"/>
    <w:rsid w:val="002F35E8"/>
    <w:rsid w:val="002F3EC4"/>
    <w:rsid w:val="002F4B0A"/>
    <w:rsid w:val="002F5FAA"/>
    <w:rsid w:val="002F62B2"/>
    <w:rsid w:val="002F7278"/>
    <w:rsid w:val="002F7352"/>
    <w:rsid w:val="002F797D"/>
    <w:rsid w:val="0030012C"/>
    <w:rsid w:val="00301BEF"/>
    <w:rsid w:val="00301F7F"/>
    <w:rsid w:val="00302DD0"/>
    <w:rsid w:val="00302F33"/>
    <w:rsid w:val="00303BAB"/>
    <w:rsid w:val="00303D4A"/>
    <w:rsid w:val="00303E87"/>
    <w:rsid w:val="003045D8"/>
    <w:rsid w:val="0030465C"/>
    <w:rsid w:val="0030486A"/>
    <w:rsid w:val="00304C62"/>
    <w:rsid w:val="00305469"/>
    <w:rsid w:val="00305BD7"/>
    <w:rsid w:val="00305D39"/>
    <w:rsid w:val="00306DDB"/>
    <w:rsid w:val="003101EB"/>
    <w:rsid w:val="00310F61"/>
    <w:rsid w:val="003116D8"/>
    <w:rsid w:val="00311C59"/>
    <w:rsid w:val="00311E04"/>
    <w:rsid w:val="003125DD"/>
    <w:rsid w:val="003127B2"/>
    <w:rsid w:val="0031393E"/>
    <w:rsid w:val="00313F15"/>
    <w:rsid w:val="00314475"/>
    <w:rsid w:val="00314A7F"/>
    <w:rsid w:val="00315131"/>
    <w:rsid w:val="0031529F"/>
    <w:rsid w:val="003159C5"/>
    <w:rsid w:val="00315D40"/>
    <w:rsid w:val="003160CC"/>
    <w:rsid w:val="003168EA"/>
    <w:rsid w:val="003171CC"/>
    <w:rsid w:val="003177F8"/>
    <w:rsid w:val="00317BC8"/>
    <w:rsid w:val="0032069E"/>
    <w:rsid w:val="00321819"/>
    <w:rsid w:val="003219B2"/>
    <w:rsid w:val="00321AC3"/>
    <w:rsid w:val="00322B0B"/>
    <w:rsid w:val="00323809"/>
    <w:rsid w:val="00324D2A"/>
    <w:rsid w:val="00324E78"/>
    <w:rsid w:val="00325347"/>
    <w:rsid w:val="0032585B"/>
    <w:rsid w:val="003262D5"/>
    <w:rsid w:val="00326C1F"/>
    <w:rsid w:val="00326DEE"/>
    <w:rsid w:val="00331138"/>
    <w:rsid w:val="00331895"/>
    <w:rsid w:val="00331E56"/>
    <w:rsid w:val="00332387"/>
    <w:rsid w:val="00333562"/>
    <w:rsid w:val="00334415"/>
    <w:rsid w:val="00334987"/>
    <w:rsid w:val="00334B14"/>
    <w:rsid w:val="00334F23"/>
    <w:rsid w:val="00335658"/>
    <w:rsid w:val="00337779"/>
    <w:rsid w:val="00341098"/>
    <w:rsid w:val="003412B5"/>
    <w:rsid w:val="003414C1"/>
    <w:rsid w:val="00344E27"/>
    <w:rsid w:val="00345562"/>
    <w:rsid w:val="00345AF7"/>
    <w:rsid w:val="003463C1"/>
    <w:rsid w:val="0034740A"/>
    <w:rsid w:val="00347653"/>
    <w:rsid w:val="00347B35"/>
    <w:rsid w:val="00347BE0"/>
    <w:rsid w:val="003505C7"/>
    <w:rsid w:val="00350BA8"/>
    <w:rsid w:val="0035158F"/>
    <w:rsid w:val="00353B94"/>
    <w:rsid w:val="00353BEA"/>
    <w:rsid w:val="00353E24"/>
    <w:rsid w:val="0035412D"/>
    <w:rsid w:val="0035479A"/>
    <w:rsid w:val="00355693"/>
    <w:rsid w:val="003577D9"/>
    <w:rsid w:val="00357CFB"/>
    <w:rsid w:val="00360D2E"/>
    <w:rsid w:val="0036118F"/>
    <w:rsid w:val="00361A1C"/>
    <w:rsid w:val="00361C39"/>
    <w:rsid w:val="00362130"/>
    <w:rsid w:val="003623D4"/>
    <w:rsid w:val="00362653"/>
    <w:rsid w:val="003627D7"/>
    <w:rsid w:val="00363DCB"/>
    <w:rsid w:val="00365832"/>
    <w:rsid w:val="00365833"/>
    <w:rsid w:val="0036788D"/>
    <w:rsid w:val="00370D77"/>
    <w:rsid w:val="0037293E"/>
    <w:rsid w:val="00372CDF"/>
    <w:rsid w:val="003732FE"/>
    <w:rsid w:val="00373AE6"/>
    <w:rsid w:val="003742DF"/>
    <w:rsid w:val="003754AA"/>
    <w:rsid w:val="00376125"/>
    <w:rsid w:val="00377BD1"/>
    <w:rsid w:val="0038032F"/>
    <w:rsid w:val="0038058B"/>
    <w:rsid w:val="00381130"/>
    <w:rsid w:val="00381B5F"/>
    <w:rsid w:val="00382BD3"/>
    <w:rsid w:val="00383EFC"/>
    <w:rsid w:val="00383F9A"/>
    <w:rsid w:val="003841F4"/>
    <w:rsid w:val="0038457B"/>
    <w:rsid w:val="00385FFE"/>
    <w:rsid w:val="003862AB"/>
    <w:rsid w:val="00386309"/>
    <w:rsid w:val="003863CA"/>
    <w:rsid w:val="00391184"/>
    <w:rsid w:val="00391FA4"/>
    <w:rsid w:val="00391FDF"/>
    <w:rsid w:val="00393A8D"/>
    <w:rsid w:val="00393CAE"/>
    <w:rsid w:val="00394328"/>
    <w:rsid w:val="00394C61"/>
    <w:rsid w:val="00395FF1"/>
    <w:rsid w:val="003966E1"/>
    <w:rsid w:val="003A0744"/>
    <w:rsid w:val="003A1824"/>
    <w:rsid w:val="003A1FBC"/>
    <w:rsid w:val="003A3122"/>
    <w:rsid w:val="003A3C11"/>
    <w:rsid w:val="003A3FB2"/>
    <w:rsid w:val="003A6A0B"/>
    <w:rsid w:val="003A700D"/>
    <w:rsid w:val="003A766E"/>
    <w:rsid w:val="003B0201"/>
    <w:rsid w:val="003B0579"/>
    <w:rsid w:val="003B2722"/>
    <w:rsid w:val="003B275D"/>
    <w:rsid w:val="003B290C"/>
    <w:rsid w:val="003B2BDE"/>
    <w:rsid w:val="003B2E05"/>
    <w:rsid w:val="003B3B9B"/>
    <w:rsid w:val="003B4469"/>
    <w:rsid w:val="003B458F"/>
    <w:rsid w:val="003B47E4"/>
    <w:rsid w:val="003B50EC"/>
    <w:rsid w:val="003B519A"/>
    <w:rsid w:val="003B5987"/>
    <w:rsid w:val="003B5F2E"/>
    <w:rsid w:val="003B5FE7"/>
    <w:rsid w:val="003B681D"/>
    <w:rsid w:val="003B7A30"/>
    <w:rsid w:val="003C05D9"/>
    <w:rsid w:val="003C115B"/>
    <w:rsid w:val="003C1C7C"/>
    <w:rsid w:val="003C202B"/>
    <w:rsid w:val="003C2033"/>
    <w:rsid w:val="003C2591"/>
    <w:rsid w:val="003C29EA"/>
    <w:rsid w:val="003C3637"/>
    <w:rsid w:val="003C36EE"/>
    <w:rsid w:val="003C48A7"/>
    <w:rsid w:val="003C5387"/>
    <w:rsid w:val="003C5B1C"/>
    <w:rsid w:val="003C7362"/>
    <w:rsid w:val="003D0073"/>
    <w:rsid w:val="003D1F69"/>
    <w:rsid w:val="003D3A9E"/>
    <w:rsid w:val="003D5996"/>
    <w:rsid w:val="003D68FE"/>
    <w:rsid w:val="003D745E"/>
    <w:rsid w:val="003D78AD"/>
    <w:rsid w:val="003E06B9"/>
    <w:rsid w:val="003E0EF4"/>
    <w:rsid w:val="003E1184"/>
    <w:rsid w:val="003E1BFE"/>
    <w:rsid w:val="003E2094"/>
    <w:rsid w:val="003E39BE"/>
    <w:rsid w:val="003E3C74"/>
    <w:rsid w:val="003E3FD5"/>
    <w:rsid w:val="003E45E7"/>
    <w:rsid w:val="003E4BD7"/>
    <w:rsid w:val="003E607C"/>
    <w:rsid w:val="003E687C"/>
    <w:rsid w:val="003E6C7C"/>
    <w:rsid w:val="003E7D41"/>
    <w:rsid w:val="003F0C5C"/>
    <w:rsid w:val="003F0E8C"/>
    <w:rsid w:val="003F29C5"/>
    <w:rsid w:val="003F2A5E"/>
    <w:rsid w:val="003F3093"/>
    <w:rsid w:val="003F5E8D"/>
    <w:rsid w:val="003F5EFF"/>
    <w:rsid w:val="003F626A"/>
    <w:rsid w:val="003F7647"/>
    <w:rsid w:val="004011B5"/>
    <w:rsid w:val="00401237"/>
    <w:rsid w:val="00401BC2"/>
    <w:rsid w:val="004020AE"/>
    <w:rsid w:val="004029A7"/>
    <w:rsid w:val="004031BA"/>
    <w:rsid w:val="0040348F"/>
    <w:rsid w:val="004037A8"/>
    <w:rsid w:val="00403A02"/>
    <w:rsid w:val="0040525D"/>
    <w:rsid w:val="004052E5"/>
    <w:rsid w:val="00406990"/>
    <w:rsid w:val="00406FAF"/>
    <w:rsid w:val="0040725B"/>
    <w:rsid w:val="00407CCA"/>
    <w:rsid w:val="00407DF1"/>
    <w:rsid w:val="00411EA9"/>
    <w:rsid w:val="004133FC"/>
    <w:rsid w:val="0041397F"/>
    <w:rsid w:val="00413B70"/>
    <w:rsid w:val="00413CED"/>
    <w:rsid w:val="0041453E"/>
    <w:rsid w:val="00414E22"/>
    <w:rsid w:val="0041508B"/>
    <w:rsid w:val="004159D5"/>
    <w:rsid w:val="00415E66"/>
    <w:rsid w:val="00416716"/>
    <w:rsid w:val="00416B2C"/>
    <w:rsid w:val="004173D7"/>
    <w:rsid w:val="0041757B"/>
    <w:rsid w:val="004177C2"/>
    <w:rsid w:val="004177E7"/>
    <w:rsid w:val="004206A0"/>
    <w:rsid w:val="004208D4"/>
    <w:rsid w:val="004209B6"/>
    <w:rsid w:val="00420EE0"/>
    <w:rsid w:val="00422268"/>
    <w:rsid w:val="0042246A"/>
    <w:rsid w:val="00423420"/>
    <w:rsid w:val="004244F4"/>
    <w:rsid w:val="004251A0"/>
    <w:rsid w:val="00426E50"/>
    <w:rsid w:val="00426E5E"/>
    <w:rsid w:val="00430023"/>
    <w:rsid w:val="0043003B"/>
    <w:rsid w:val="00430261"/>
    <w:rsid w:val="00430387"/>
    <w:rsid w:val="004305CA"/>
    <w:rsid w:val="00430875"/>
    <w:rsid w:val="004309AF"/>
    <w:rsid w:val="00430A23"/>
    <w:rsid w:val="004320BA"/>
    <w:rsid w:val="00434C9A"/>
    <w:rsid w:val="004352A2"/>
    <w:rsid w:val="004353F2"/>
    <w:rsid w:val="004354FB"/>
    <w:rsid w:val="00435CE6"/>
    <w:rsid w:val="0043684F"/>
    <w:rsid w:val="00436EED"/>
    <w:rsid w:val="004374A7"/>
    <w:rsid w:val="004376D5"/>
    <w:rsid w:val="004404D5"/>
    <w:rsid w:val="004417A6"/>
    <w:rsid w:val="00442500"/>
    <w:rsid w:val="00443DF3"/>
    <w:rsid w:val="00444140"/>
    <w:rsid w:val="00444A96"/>
    <w:rsid w:val="00444DCC"/>
    <w:rsid w:val="0044523C"/>
    <w:rsid w:val="0044565C"/>
    <w:rsid w:val="00446678"/>
    <w:rsid w:val="00446BB3"/>
    <w:rsid w:val="00446F43"/>
    <w:rsid w:val="0044720B"/>
    <w:rsid w:val="00447A2C"/>
    <w:rsid w:val="0045043A"/>
    <w:rsid w:val="00450590"/>
    <w:rsid w:val="00451D1F"/>
    <w:rsid w:val="004522B0"/>
    <w:rsid w:val="00452C40"/>
    <w:rsid w:val="004536C9"/>
    <w:rsid w:val="004538CE"/>
    <w:rsid w:val="004538D8"/>
    <w:rsid w:val="00453E39"/>
    <w:rsid w:val="004547AA"/>
    <w:rsid w:val="004550F5"/>
    <w:rsid w:val="0045588B"/>
    <w:rsid w:val="00455B6C"/>
    <w:rsid w:val="0045628A"/>
    <w:rsid w:val="00456409"/>
    <w:rsid w:val="004564E3"/>
    <w:rsid w:val="004568ED"/>
    <w:rsid w:val="00456BBD"/>
    <w:rsid w:val="00457444"/>
    <w:rsid w:val="00457479"/>
    <w:rsid w:val="00457FE1"/>
    <w:rsid w:val="00460415"/>
    <w:rsid w:val="00461A0C"/>
    <w:rsid w:val="00462731"/>
    <w:rsid w:val="00462DC4"/>
    <w:rsid w:val="0046373D"/>
    <w:rsid w:val="004637B7"/>
    <w:rsid w:val="00463E40"/>
    <w:rsid w:val="00465230"/>
    <w:rsid w:val="004652D2"/>
    <w:rsid w:val="0046594F"/>
    <w:rsid w:val="004669D2"/>
    <w:rsid w:val="00466A94"/>
    <w:rsid w:val="00470D79"/>
    <w:rsid w:val="00471696"/>
    <w:rsid w:val="00472A52"/>
    <w:rsid w:val="00473741"/>
    <w:rsid w:val="00474E38"/>
    <w:rsid w:val="0047589E"/>
    <w:rsid w:val="0047637C"/>
    <w:rsid w:val="00476778"/>
    <w:rsid w:val="00476A19"/>
    <w:rsid w:val="0047733A"/>
    <w:rsid w:val="004809F4"/>
    <w:rsid w:val="004810B6"/>
    <w:rsid w:val="00481202"/>
    <w:rsid w:val="004821E7"/>
    <w:rsid w:val="004830EA"/>
    <w:rsid w:val="0048355E"/>
    <w:rsid w:val="00485B13"/>
    <w:rsid w:val="0048642A"/>
    <w:rsid w:val="00486F28"/>
    <w:rsid w:val="0048723F"/>
    <w:rsid w:val="00487EEC"/>
    <w:rsid w:val="00490183"/>
    <w:rsid w:val="004901E0"/>
    <w:rsid w:val="00490E5E"/>
    <w:rsid w:val="00492009"/>
    <w:rsid w:val="00492669"/>
    <w:rsid w:val="00494A3D"/>
    <w:rsid w:val="00494D6A"/>
    <w:rsid w:val="0049559B"/>
    <w:rsid w:val="004969CC"/>
    <w:rsid w:val="00497E23"/>
    <w:rsid w:val="004A2D2E"/>
    <w:rsid w:val="004A35AB"/>
    <w:rsid w:val="004A4016"/>
    <w:rsid w:val="004A4A41"/>
    <w:rsid w:val="004A51F0"/>
    <w:rsid w:val="004A5737"/>
    <w:rsid w:val="004A5817"/>
    <w:rsid w:val="004A64E8"/>
    <w:rsid w:val="004A65DA"/>
    <w:rsid w:val="004B021B"/>
    <w:rsid w:val="004B073A"/>
    <w:rsid w:val="004B108C"/>
    <w:rsid w:val="004B21F3"/>
    <w:rsid w:val="004B2D40"/>
    <w:rsid w:val="004B3896"/>
    <w:rsid w:val="004B39C7"/>
    <w:rsid w:val="004B4F8F"/>
    <w:rsid w:val="004B5890"/>
    <w:rsid w:val="004B5CA0"/>
    <w:rsid w:val="004C0201"/>
    <w:rsid w:val="004C039E"/>
    <w:rsid w:val="004C05CC"/>
    <w:rsid w:val="004C0892"/>
    <w:rsid w:val="004C198E"/>
    <w:rsid w:val="004C3311"/>
    <w:rsid w:val="004C3BF4"/>
    <w:rsid w:val="004C450B"/>
    <w:rsid w:val="004C4543"/>
    <w:rsid w:val="004C5423"/>
    <w:rsid w:val="004C5546"/>
    <w:rsid w:val="004D0CD7"/>
    <w:rsid w:val="004D1359"/>
    <w:rsid w:val="004D16B1"/>
    <w:rsid w:val="004D1934"/>
    <w:rsid w:val="004D1A8B"/>
    <w:rsid w:val="004D275A"/>
    <w:rsid w:val="004D3195"/>
    <w:rsid w:val="004D323C"/>
    <w:rsid w:val="004D4357"/>
    <w:rsid w:val="004D43EA"/>
    <w:rsid w:val="004D4524"/>
    <w:rsid w:val="004D45DA"/>
    <w:rsid w:val="004D4965"/>
    <w:rsid w:val="004D5669"/>
    <w:rsid w:val="004D69AF"/>
    <w:rsid w:val="004D7284"/>
    <w:rsid w:val="004D7320"/>
    <w:rsid w:val="004E0BAF"/>
    <w:rsid w:val="004E0FEC"/>
    <w:rsid w:val="004E1824"/>
    <w:rsid w:val="004E1C03"/>
    <w:rsid w:val="004E2DAC"/>
    <w:rsid w:val="004E468E"/>
    <w:rsid w:val="004E5FB9"/>
    <w:rsid w:val="004E7482"/>
    <w:rsid w:val="004F004E"/>
    <w:rsid w:val="004F02A2"/>
    <w:rsid w:val="004F0407"/>
    <w:rsid w:val="004F090D"/>
    <w:rsid w:val="004F0A83"/>
    <w:rsid w:val="004F0B0D"/>
    <w:rsid w:val="004F0FB6"/>
    <w:rsid w:val="004F2183"/>
    <w:rsid w:val="004F2589"/>
    <w:rsid w:val="004F2AC6"/>
    <w:rsid w:val="004F3660"/>
    <w:rsid w:val="004F405F"/>
    <w:rsid w:val="004F6CAF"/>
    <w:rsid w:val="004F7A67"/>
    <w:rsid w:val="004F7F2B"/>
    <w:rsid w:val="00500192"/>
    <w:rsid w:val="005004A5"/>
    <w:rsid w:val="00500B90"/>
    <w:rsid w:val="00500C97"/>
    <w:rsid w:val="00500FE5"/>
    <w:rsid w:val="00501C4A"/>
    <w:rsid w:val="005022AD"/>
    <w:rsid w:val="00502740"/>
    <w:rsid w:val="00503684"/>
    <w:rsid w:val="00503BE0"/>
    <w:rsid w:val="005044A6"/>
    <w:rsid w:val="00507151"/>
    <w:rsid w:val="0050717B"/>
    <w:rsid w:val="00507507"/>
    <w:rsid w:val="00507D8D"/>
    <w:rsid w:val="00510A91"/>
    <w:rsid w:val="00510C4C"/>
    <w:rsid w:val="00510D79"/>
    <w:rsid w:val="00510E1E"/>
    <w:rsid w:val="00511216"/>
    <w:rsid w:val="00512173"/>
    <w:rsid w:val="005121C4"/>
    <w:rsid w:val="005122D1"/>
    <w:rsid w:val="00512E3E"/>
    <w:rsid w:val="00514B66"/>
    <w:rsid w:val="00514C6E"/>
    <w:rsid w:val="00514FC2"/>
    <w:rsid w:val="0051542D"/>
    <w:rsid w:val="005156F3"/>
    <w:rsid w:val="00516C18"/>
    <w:rsid w:val="00517FCD"/>
    <w:rsid w:val="005207E0"/>
    <w:rsid w:val="00523B70"/>
    <w:rsid w:val="005258DB"/>
    <w:rsid w:val="00526CE2"/>
    <w:rsid w:val="00526E4C"/>
    <w:rsid w:val="00527FCA"/>
    <w:rsid w:val="005301B3"/>
    <w:rsid w:val="0053067C"/>
    <w:rsid w:val="0053085C"/>
    <w:rsid w:val="0053138D"/>
    <w:rsid w:val="0053235B"/>
    <w:rsid w:val="00532B4B"/>
    <w:rsid w:val="00533C87"/>
    <w:rsid w:val="00534F79"/>
    <w:rsid w:val="00535E6D"/>
    <w:rsid w:val="005369F0"/>
    <w:rsid w:val="00536C89"/>
    <w:rsid w:val="00536F4E"/>
    <w:rsid w:val="00537020"/>
    <w:rsid w:val="0053741E"/>
    <w:rsid w:val="00537A98"/>
    <w:rsid w:val="00540721"/>
    <w:rsid w:val="00540C22"/>
    <w:rsid w:val="00540CCC"/>
    <w:rsid w:val="00541698"/>
    <w:rsid w:val="00541799"/>
    <w:rsid w:val="00543B7F"/>
    <w:rsid w:val="00543DA0"/>
    <w:rsid w:val="0054403D"/>
    <w:rsid w:val="00544102"/>
    <w:rsid w:val="00544A23"/>
    <w:rsid w:val="00545919"/>
    <w:rsid w:val="00545F72"/>
    <w:rsid w:val="00547E8E"/>
    <w:rsid w:val="005504FC"/>
    <w:rsid w:val="005511DE"/>
    <w:rsid w:val="005517B0"/>
    <w:rsid w:val="005530ED"/>
    <w:rsid w:val="0055333D"/>
    <w:rsid w:val="005537C4"/>
    <w:rsid w:val="0055423E"/>
    <w:rsid w:val="0055479A"/>
    <w:rsid w:val="00557191"/>
    <w:rsid w:val="005606EA"/>
    <w:rsid w:val="00561AEA"/>
    <w:rsid w:val="00561C4A"/>
    <w:rsid w:val="00562346"/>
    <w:rsid w:val="00563599"/>
    <w:rsid w:val="005647D8"/>
    <w:rsid w:val="0056573D"/>
    <w:rsid w:val="00565878"/>
    <w:rsid w:val="00566098"/>
    <w:rsid w:val="005665DC"/>
    <w:rsid w:val="0056696D"/>
    <w:rsid w:val="005674CF"/>
    <w:rsid w:val="00567D4E"/>
    <w:rsid w:val="00570D66"/>
    <w:rsid w:val="00571604"/>
    <w:rsid w:val="00572607"/>
    <w:rsid w:val="005730D9"/>
    <w:rsid w:val="00573114"/>
    <w:rsid w:val="00573A67"/>
    <w:rsid w:val="00573ADB"/>
    <w:rsid w:val="00575553"/>
    <w:rsid w:val="005758EC"/>
    <w:rsid w:val="00576D0D"/>
    <w:rsid w:val="00576F2C"/>
    <w:rsid w:val="005778D6"/>
    <w:rsid w:val="0058088F"/>
    <w:rsid w:val="005815E7"/>
    <w:rsid w:val="00581EA3"/>
    <w:rsid w:val="00581FD3"/>
    <w:rsid w:val="00582259"/>
    <w:rsid w:val="00582749"/>
    <w:rsid w:val="005829DD"/>
    <w:rsid w:val="005835CD"/>
    <w:rsid w:val="00583716"/>
    <w:rsid w:val="00583EDE"/>
    <w:rsid w:val="00584548"/>
    <w:rsid w:val="005846E5"/>
    <w:rsid w:val="00584C6F"/>
    <w:rsid w:val="0058557B"/>
    <w:rsid w:val="00586536"/>
    <w:rsid w:val="005878CF"/>
    <w:rsid w:val="005901AB"/>
    <w:rsid w:val="00590F6C"/>
    <w:rsid w:val="005916BA"/>
    <w:rsid w:val="005920D8"/>
    <w:rsid w:val="00592211"/>
    <w:rsid w:val="00592504"/>
    <w:rsid w:val="00593085"/>
    <w:rsid w:val="00593DB8"/>
    <w:rsid w:val="00594C95"/>
    <w:rsid w:val="00595D16"/>
    <w:rsid w:val="005962CF"/>
    <w:rsid w:val="005970A4"/>
    <w:rsid w:val="00597CBF"/>
    <w:rsid w:val="005A0307"/>
    <w:rsid w:val="005A0AF7"/>
    <w:rsid w:val="005A0E7F"/>
    <w:rsid w:val="005A2736"/>
    <w:rsid w:val="005A4869"/>
    <w:rsid w:val="005A49BC"/>
    <w:rsid w:val="005A53BC"/>
    <w:rsid w:val="005A6B18"/>
    <w:rsid w:val="005A73FE"/>
    <w:rsid w:val="005A74AB"/>
    <w:rsid w:val="005A7B20"/>
    <w:rsid w:val="005A7FA0"/>
    <w:rsid w:val="005B0847"/>
    <w:rsid w:val="005B15B3"/>
    <w:rsid w:val="005B19E3"/>
    <w:rsid w:val="005B2635"/>
    <w:rsid w:val="005B265D"/>
    <w:rsid w:val="005B2EE8"/>
    <w:rsid w:val="005B353B"/>
    <w:rsid w:val="005B4E0A"/>
    <w:rsid w:val="005B5893"/>
    <w:rsid w:val="005B64EB"/>
    <w:rsid w:val="005B68C2"/>
    <w:rsid w:val="005B6CC5"/>
    <w:rsid w:val="005B7579"/>
    <w:rsid w:val="005C04AC"/>
    <w:rsid w:val="005C0784"/>
    <w:rsid w:val="005C0F27"/>
    <w:rsid w:val="005C27E7"/>
    <w:rsid w:val="005C2822"/>
    <w:rsid w:val="005C2AB8"/>
    <w:rsid w:val="005C2F8F"/>
    <w:rsid w:val="005C37A0"/>
    <w:rsid w:val="005C447B"/>
    <w:rsid w:val="005C473F"/>
    <w:rsid w:val="005C4855"/>
    <w:rsid w:val="005C4AAC"/>
    <w:rsid w:val="005C4BD0"/>
    <w:rsid w:val="005C5B42"/>
    <w:rsid w:val="005C5D37"/>
    <w:rsid w:val="005C74A1"/>
    <w:rsid w:val="005C77B6"/>
    <w:rsid w:val="005D0504"/>
    <w:rsid w:val="005D095D"/>
    <w:rsid w:val="005D0C80"/>
    <w:rsid w:val="005D0E36"/>
    <w:rsid w:val="005D2158"/>
    <w:rsid w:val="005D26CA"/>
    <w:rsid w:val="005D3223"/>
    <w:rsid w:val="005D4A79"/>
    <w:rsid w:val="005D59B3"/>
    <w:rsid w:val="005D74DB"/>
    <w:rsid w:val="005E13AA"/>
    <w:rsid w:val="005E191D"/>
    <w:rsid w:val="005E1EE4"/>
    <w:rsid w:val="005E26A2"/>
    <w:rsid w:val="005E361A"/>
    <w:rsid w:val="005E4EFA"/>
    <w:rsid w:val="005E51CE"/>
    <w:rsid w:val="005E53EC"/>
    <w:rsid w:val="005E598A"/>
    <w:rsid w:val="005E6B9B"/>
    <w:rsid w:val="005E6DBE"/>
    <w:rsid w:val="005E6EF1"/>
    <w:rsid w:val="005E7166"/>
    <w:rsid w:val="005E74FF"/>
    <w:rsid w:val="005E75C3"/>
    <w:rsid w:val="005F225E"/>
    <w:rsid w:val="005F2AED"/>
    <w:rsid w:val="005F2C63"/>
    <w:rsid w:val="005F376F"/>
    <w:rsid w:val="005F4814"/>
    <w:rsid w:val="005F65D4"/>
    <w:rsid w:val="005F79D5"/>
    <w:rsid w:val="006010DB"/>
    <w:rsid w:val="0060128B"/>
    <w:rsid w:val="006018FE"/>
    <w:rsid w:val="00601ECA"/>
    <w:rsid w:val="00602466"/>
    <w:rsid w:val="00603AE1"/>
    <w:rsid w:val="0060462C"/>
    <w:rsid w:val="00605B89"/>
    <w:rsid w:val="00611F23"/>
    <w:rsid w:val="00612B47"/>
    <w:rsid w:val="00612E74"/>
    <w:rsid w:val="00613472"/>
    <w:rsid w:val="00613BF0"/>
    <w:rsid w:val="006152A2"/>
    <w:rsid w:val="006153C0"/>
    <w:rsid w:val="006155D0"/>
    <w:rsid w:val="006169D2"/>
    <w:rsid w:val="006174E5"/>
    <w:rsid w:val="006174FA"/>
    <w:rsid w:val="006175CE"/>
    <w:rsid w:val="00617885"/>
    <w:rsid w:val="00617E3C"/>
    <w:rsid w:val="00617FF5"/>
    <w:rsid w:val="00621030"/>
    <w:rsid w:val="006217A6"/>
    <w:rsid w:val="00621C1C"/>
    <w:rsid w:val="00622CAB"/>
    <w:rsid w:val="00623544"/>
    <w:rsid w:val="00623825"/>
    <w:rsid w:val="00623966"/>
    <w:rsid w:val="00623F72"/>
    <w:rsid w:val="00623FB5"/>
    <w:rsid w:val="006240F6"/>
    <w:rsid w:val="0062429F"/>
    <w:rsid w:val="00626B16"/>
    <w:rsid w:val="00626DC6"/>
    <w:rsid w:val="00627012"/>
    <w:rsid w:val="00627149"/>
    <w:rsid w:val="00627873"/>
    <w:rsid w:val="00627EA8"/>
    <w:rsid w:val="006314BE"/>
    <w:rsid w:val="00632656"/>
    <w:rsid w:val="00632970"/>
    <w:rsid w:val="00634B60"/>
    <w:rsid w:val="00634DB4"/>
    <w:rsid w:val="006355ED"/>
    <w:rsid w:val="0063596F"/>
    <w:rsid w:val="00635EA7"/>
    <w:rsid w:val="00637749"/>
    <w:rsid w:val="006408CC"/>
    <w:rsid w:val="00640C63"/>
    <w:rsid w:val="006421A8"/>
    <w:rsid w:val="00642BF5"/>
    <w:rsid w:val="0064304E"/>
    <w:rsid w:val="006432D6"/>
    <w:rsid w:val="00643984"/>
    <w:rsid w:val="006449E3"/>
    <w:rsid w:val="00644D50"/>
    <w:rsid w:val="006469DE"/>
    <w:rsid w:val="00646A61"/>
    <w:rsid w:val="00647707"/>
    <w:rsid w:val="00647DFD"/>
    <w:rsid w:val="00647F31"/>
    <w:rsid w:val="00650189"/>
    <w:rsid w:val="006520E7"/>
    <w:rsid w:val="006525A3"/>
    <w:rsid w:val="00652F8D"/>
    <w:rsid w:val="00653FB4"/>
    <w:rsid w:val="00655AC3"/>
    <w:rsid w:val="006572DB"/>
    <w:rsid w:val="0065736A"/>
    <w:rsid w:val="0065779C"/>
    <w:rsid w:val="006577A1"/>
    <w:rsid w:val="00657CBC"/>
    <w:rsid w:val="0066055B"/>
    <w:rsid w:val="00660FC3"/>
    <w:rsid w:val="006611FC"/>
    <w:rsid w:val="0066127F"/>
    <w:rsid w:val="00661C26"/>
    <w:rsid w:val="00662764"/>
    <w:rsid w:val="0066354B"/>
    <w:rsid w:val="00664AE8"/>
    <w:rsid w:val="0066523B"/>
    <w:rsid w:val="0066567C"/>
    <w:rsid w:val="0066644A"/>
    <w:rsid w:val="006667F4"/>
    <w:rsid w:val="0066687A"/>
    <w:rsid w:val="00666C29"/>
    <w:rsid w:val="00667AE9"/>
    <w:rsid w:val="00670468"/>
    <w:rsid w:val="00670A7D"/>
    <w:rsid w:val="006718DC"/>
    <w:rsid w:val="006729E0"/>
    <w:rsid w:val="0067393E"/>
    <w:rsid w:val="0067440F"/>
    <w:rsid w:val="00674D36"/>
    <w:rsid w:val="00675272"/>
    <w:rsid w:val="00676536"/>
    <w:rsid w:val="006768EC"/>
    <w:rsid w:val="00676F0B"/>
    <w:rsid w:val="006778A5"/>
    <w:rsid w:val="00677F71"/>
    <w:rsid w:val="006806B7"/>
    <w:rsid w:val="00680B19"/>
    <w:rsid w:val="00681299"/>
    <w:rsid w:val="006813C4"/>
    <w:rsid w:val="00681C26"/>
    <w:rsid w:val="00682DC2"/>
    <w:rsid w:val="00683172"/>
    <w:rsid w:val="00683BE9"/>
    <w:rsid w:val="006855C8"/>
    <w:rsid w:val="00685626"/>
    <w:rsid w:val="00685894"/>
    <w:rsid w:val="00685A77"/>
    <w:rsid w:val="00685FA5"/>
    <w:rsid w:val="00690211"/>
    <w:rsid w:val="006915D4"/>
    <w:rsid w:val="006925C6"/>
    <w:rsid w:val="00692F20"/>
    <w:rsid w:val="00693559"/>
    <w:rsid w:val="00695125"/>
    <w:rsid w:val="0069518D"/>
    <w:rsid w:val="0069562C"/>
    <w:rsid w:val="0069594C"/>
    <w:rsid w:val="00695E9D"/>
    <w:rsid w:val="00697309"/>
    <w:rsid w:val="006A073E"/>
    <w:rsid w:val="006A07EF"/>
    <w:rsid w:val="006A0D32"/>
    <w:rsid w:val="006A1318"/>
    <w:rsid w:val="006A2DB5"/>
    <w:rsid w:val="006A47E7"/>
    <w:rsid w:val="006A50DE"/>
    <w:rsid w:val="006A62F5"/>
    <w:rsid w:val="006A6680"/>
    <w:rsid w:val="006A6BA5"/>
    <w:rsid w:val="006A6E29"/>
    <w:rsid w:val="006B0EFC"/>
    <w:rsid w:val="006B1836"/>
    <w:rsid w:val="006B23A7"/>
    <w:rsid w:val="006B264C"/>
    <w:rsid w:val="006B277F"/>
    <w:rsid w:val="006B2BC2"/>
    <w:rsid w:val="006B2C89"/>
    <w:rsid w:val="006B3860"/>
    <w:rsid w:val="006B3CFE"/>
    <w:rsid w:val="006B4407"/>
    <w:rsid w:val="006B53E6"/>
    <w:rsid w:val="006B58C4"/>
    <w:rsid w:val="006B5E3D"/>
    <w:rsid w:val="006C019B"/>
    <w:rsid w:val="006C129C"/>
    <w:rsid w:val="006C1521"/>
    <w:rsid w:val="006C18D4"/>
    <w:rsid w:val="006C2C28"/>
    <w:rsid w:val="006C2EB9"/>
    <w:rsid w:val="006C300A"/>
    <w:rsid w:val="006C3409"/>
    <w:rsid w:val="006C43EB"/>
    <w:rsid w:val="006C47C3"/>
    <w:rsid w:val="006C491A"/>
    <w:rsid w:val="006C49B4"/>
    <w:rsid w:val="006C4CA8"/>
    <w:rsid w:val="006C520A"/>
    <w:rsid w:val="006C71C1"/>
    <w:rsid w:val="006D0C2A"/>
    <w:rsid w:val="006D0CE1"/>
    <w:rsid w:val="006D0FED"/>
    <w:rsid w:val="006D16D1"/>
    <w:rsid w:val="006D1F5E"/>
    <w:rsid w:val="006D3269"/>
    <w:rsid w:val="006D372F"/>
    <w:rsid w:val="006D4025"/>
    <w:rsid w:val="006D4108"/>
    <w:rsid w:val="006D4652"/>
    <w:rsid w:val="006D4CC8"/>
    <w:rsid w:val="006E0BC1"/>
    <w:rsid w:val="006E1440"/>
    <w:rsid w:val="006E194F"/>
    <w:rsid w:val="006E1D51"/>
    <w:rsid w:val="006E2352"/>
    <w:rsid w:val="006E25B4"/>
    <w:rsid w:val="006E2ADC"/>
    <w:rsid w:val="006E37CA"/>
    <w:rsid w:val="006E38CF"/>
    <w:rsid w:val="006E3C79"/>
    <w:rsid w:val="006E3C7E"/>
    <w:rsid w:val="006E4A3E"/>
    <w:rsid w:val="006E4D42"/>
    <w:rsid w:val="006E5369"/>
    <w:rsid w:val="006E60AF"/>
    <w:rsid w:val="006E63DC"/>
    <w:rsid w:val="006E6767"/>
    <w:rsid w:val="006E7027"/>
    <w:rsid w:val="006E7824"/>
    <w:rsid w:val="006F03B3"/>
    <w:rsid w:val="006F0FB4"/>
    <w:rsid w:val="006F1A09"/>
    <w:rsid w:val="006F3537"/>
    <w:rsid w:val="006F51F5"/>
    <w:rsid w:val="006F5D07"/>
    <w:rsid w:val="006F62BB"/>
    <w:rsid w:val="006F64B7"/>
    <w:rsid w:val="006F6789"/>
    <w:rsid w:val="006F6CFC"/>
    <w:rsid w:val="006F6E18"/>
    <w:rsid w:val="00700DAD"/>
    <w:rsid w:val="00701491"/>
    <w:rsid w:val="007014AF"/>
    <w:rsid w:val="007014D5"/>
    <w:rsid w:val="007017F8"/>
    <w:rsid w:val="00702F0A"/>
    <w:rsid w:val="00703068"/>
    <w:rsid w:val="00703A66"/>
    <w:rsid w:val="00703C8F"/>
    <w:rsid w:val="00703F5B"/>
    <w:rsid w:val="00704939"/>
    <w:rsid w:val="00705CF1"/>
    <w:rsid w:val="00706AD4"/>
    <w:rsid w:val="00706BEA"/>
    <w:rsid w:val="007101CE"/>
    <w:rsid w:val="007102DA"/>
    <w:rsid w:val="00710804"/>
    <w:rsid w:val="00710B66"/>
    <w:rsid w:val="00711944"/>
    <w:rsid w:val="00713344"/>
    <w:rsid w:val="00714229"/>
    <w:rsid w:val="00715B72"/>
    <w:rsid w:val="00716D01"/>
    <w:rsid w:val="00716F93"/>
    <w:rsid w:val="00717200"/>
    <w:rsid w:val="00717C31"/>
    <w:rsid w:val="00717E6C"/>
    <w:rsid w:val="0072397C"/>
    <w:rsid w:val="00724777"/>
    <w:rsid w:val="00725BF2"/>
    <w:rsid w:val="0072795D"/>
    <w:rsid w:val="007307F0"/>
    <w:rsid w:val="00730A6A"/>
    <w:rsid w:val="00730E13"/>
    <w:rsid w:val="0073306B"/>
    <w:rsid w:val="00734537"/>
    <w:rsid w:val="00734618"/>
    <w:rsid w:val="00734C27"/>
    <w:rsid w:val="00734C7D"/>
    <w:rsid w:val="00734D4B"/>
    <w:rsid w:val="007352A3"/>
    <w:rsid w:val="00736605"/>
    <w:rsid w:val="00736756"/>
    <w:rsid w:val="00736AB8"/>
    <w:rsid w:val="00736DCA"/>
    <w:rsid w:val="007371EB"/>
    <w:rsid w:val="00737BCB"/>
    <w:rsid w:val="00741547"/>
    <w:rsid w:val="007415B1"/>
    <w:rsid w:val="0074175C"/>
    <w:rsid w:val="00743452"/>
    <w:rsid w:val="00744AA6"/>
    <w:rsid w:val="00745377"/>
    <w:rsid w:val="007453FC"/>
    <w:rsid w:val="00745481"/>
    <w:rsid w:val="00746020"/>
    <w:rsid w:val="007462BB"/>
    <w:rsid w:val="00750259"/>
    <w:rsid w:val="00751B7D"/>
    <w:rsid w:val="00754555"/>
    <w:rsid w:val="0075511B"/>
    <w:rsid w:val="00755A24"/>
    <w:rsid w:val="00755B98"/>
    <w:rsid w:val="00756DAE"/>
    <w:rsid w:val="00757411"/>
    <w:rsid w:val="007600DE"/>
    <w:rsid w:val="00761756"/>
    <w:rsid w:val="00761B4D"/>
    <w:rsid w:val="00762F33"/>
    <w:rsid w:val="007630E2"/>
    <w:rsid w:val="007638EA"/>
    <w:rsid w:val="00763BFC"/>
    <w:rsid w:val="00764C1A"/>
    <w:rsid w:val="00764F40"/>
    <w:rsid w:val="00767320"/>
    <w:rsid w:val="00767481"/>
    <w:rsid w:val="00767954"/>
    <w:rsid w:val="00770033"/>
    <w:rsid w:val="00770658"/>
    <w:rsid w:val="00772137"/>
    <w:rsid w:val="0077247B"/>
    <w:rsid w:val="007725B7"/>
    <w:rsid w:val="00773496"/>
    <w:rsid w:val="007739A8"/>
    <w:rsid w:val="0077525C"/>
    <w:rsid w:val="00775A81"/>
    <w:rsid w:val="007763E4"/>
    <w:rsid w:val="007763F3"/>
    <w:rsid w:val="00776BB2"/>
    <w:rsid w:val="00776C8E"/>
    <w:rsid w:val="00777B01"/>
    <w:rsid w:val="00777B3E"/>
    <w:rsid w:val="007805AE"/>
    <w:rsid w:val="007806C8"/>
    <w:rsid w:val="0078122E"/>
    <w:rsid w:val="00781ACE"/>
    <w:rsid w:val="00781B2F"/>
    <w:rsid w:val="00781D91"/>
    <w:rsid w:val="007822D3"/>
    <w:rsid w:val="007822FE"/>
    <w:rsid w:val="00782501"/>
    <w:rsid w:val="00783575"/>
    <w:rsid w:val="00784292"/>
    <w:rsid w:val="007851EE"/>
    <w:rsid w:val="0078651F"/>
    <w:rsid w:val="007866C1"/>
    <w:rsid w:val="00786887"/>
    <w:rsid w:val="00786938"/>
    <w:rsid w:val="007909A7"/>
    <w:rsid w:val="00791616"/>
    <w:rsid w:val="00791C15"/>
    <w:rsid w:val="00793664"/>
    <w:rsid w:val="00793B1A"/>
    <w:rsid w:val="007949DB"/>
    <w:rsid w:val="00795AA5"/>
    <w:rsid w:val="00795B56"/>
    <w:rsid w:val="0079667C"/>
    <w:rsid w:val="00796A37"/>
    <w:rsid w:val="00796B9A"/>
    <w:rsid w:val="00797199"/>
    <w:rsid w:val="007979E7"/>
    <w:rsid w:val="007A120D"/>
    <w:rsid w:val="007A1620"/>
    <w:rsid w:val="007A1830"/>
    <w:rsid w:val="007A2CC9"/>
    <w:rsid w:val="007A3009"/>
    <w:rsid w:val="007A3977"/>
    <w:rsid w:val="007A3F91"/>
    <w:rsid w:val="007A53D6"/>
    <w:rsid w:val="007A5C29"/>
    <w:rsid w:val="007A5EAE"/>
    <w:rsid w:val="007A61EB"/>
    <w:rsid w:val="007A7D25"/>
    <w:rsid w:val="007A7F94"/>
    <w:rsid w:val="007B1431"/>
    <w:rsid w:val="007B25C4"/>
    <w:rsid w:val="007B2C8D"/>
    <w:rsid w:val="007B58D8"/>
    <w:rsid w:val="007B5E5D"/>
    <w:rsid w:val="007B7C6C"/>
    <w:rsid w:val="007C024C"/>
    <w:rsid w:val="007C0722"/>
    <w:rsid w:val="007C0906"/>
    <w:rsid w:val="007C0C56"/>
    <w:rsid w:val="007C13AD"/>
    <w:rsid w:val="007C1476"/>
    <w:rsid w:val="007C1640"/>
    <w:rsid w:val="007C1EAB"/>
    <w:rsid w:val="007C1EE1"/>
    <w:rsid w:val="007C3C40"/>
    <w:rsid w:val="007C5018"/>
    <w:rsid w:val="007C66EB"/>
    <w:rsid w:val="007C6AD2"/>
    <w:rsid w:val="007C6FE3"/>
    <w:rsid w:val="007C7033"/>
    <w:rsid w:val="007C7335"/>
    <w:rsid w:val="007C7B20"/>
    <w:rsid w:val="007D1DCC"/>
    <w:rsid w:val="007D3AB5"/>
    <w:rsid w:val="007D3E80"/>
    <w:rsid w:val="007D43E2"/>
    <w:rsid w:val="007D54A1"/>
    <w:rsid w:val="007D5A90"/>
    <w:rsid w:val="007D619F"/>
    <w:rsid w:val="007D6A91"/>
    <w:rsid w:val="007D6DBA"/>
    <w:rsid w:val="007D7D2D"/>
    <w:rsid w:val="007E24D9"/>
    <w:rsid w:val="007E29FC"/>
    <w:rsid w:val="007E2A53"/>
    <w:rsid w:val="007E2FD1"/>
    <w:rsid w:val="007E3813"/>
    <w:rsid w:val="007E6017"/>
    <w:rsid w:val="007E6A65"/>
    <w:rsid w:val="007E7CA6"/>
    <w:rsid w:val="007E7E03"/>
    <w:rsid w:val="007F0E55"/>
    <w:rsid w:val="007F13A9"/>
    <w:rsid w:val="007F17A8"/>
    <w:rsid w:val="007F1999"/>
    <w:rsid w:val="007F23ED"/>
    <w:rsid w:val="007F5182"/>
    <w:rsid w:val="007F5ED8"/>
    <w:rsid w:val="007F7232"/>
    <w:rsid w:val="007F7C8C"/>
    <w:rsid w:val="008000C4"/>
    <w:rsid w:val="0080048C"/>
    <w:rsid w:val="0080093D"/>
    <w:rsid w:val="008009B3"/>
    <w:rsid w:val="00801CBC"/>
    <w:rsid w:val="00803C6F"/>
    <w:rsid w:val="0080552F"/>
    <w:rsid w:val="00805A89"/>
    <w:rsid w:val="00806EB6"/>
    <w:rsid w:val="00806FFC"/>
    <w:rsid w:val="00810B03"/>
    <w:rsid w:val="00812C51"/>
    <w:rsid w:val="00814022"/>
    <w:rsid w:val="00814D63"/>
    <w:rsid w:val="00815C03"/>
    <w:rsid w:val="00815EB0"/>
    <w:rsid w:val="00816936"/>
    <w:rsid w:val="00816C52"/>
    <w:rsid w:val="00817479"/>
    <w:rsid w:val="00817A84"/>
    <w:rsid w:val="00820F54"/>
    <w:rsid w:val="00821A8F"/>
    <w:rsid w:val="00822360"/>
    <w:rsid w:val="008227FA"/>
    <w:rsid w:val="00823773"/>
    <w:rsid w:val="00823974"/>
    <w:rsid w:val="008249AA"/>
    <w:rsid w:val="00824A4F"/>
    <w:rsid w:val="00824C13"/>
    <w:rsid w:val="00824C50"/>
    <w:rsid w:val="00825F88"/>
    <w:rsid w:val="008264EB"/>
    <w:rsid w:val="00826616"/>
    <w:rsid w:val="008269BD"/>
    <w:rsid w:val="00826D9B"/>
    <w:rsid w:val="00826F5D"/>
    <w:rsid w:val="00827545"/>
    <w:rsid w:val="00830650"/>
    <w:rsid w:val="00830B92"/>
    <w:rsid w:val="0083207B"/>
    <w:rsid w:val="0083278E"/>
    <w:rsid w:val="0083296C"/>
    <w:rsid w:val="008331E1"/>
    <w:rsid w:val="0083466D"/>
    <w:rsid w:val="00834AEE"/>
    <w:rsid w:val="00834BBB"/>
    <w:rsid w:val="00834F48"/>
    <w:rsid w:val="008357F9"/>
    <w:rsid w:val="008406DD"/>
    <w:rsid w:val="008408EE"/>
    <w:rsid w:val="00840AF8"/>
    <w:rsid w:val="00840B76"/>
    <w:rsid w:val="00840EB3"/>
    <w:rsid w:val="008412AB"/>
    <w:rsid w:val="00842253"/>
    <w:rsid w:val="00842E7D"/>
    <w:rsid w:val="008433A6"/>
    <w:rsid w:val="0084395D"/>
    <w:rsid w:val="00843A2D"/>
    <w:rsid w:val="00843DD4"/>
    <w:rsid w:val="0084432D"/>
    <w:rsid w:val="008445F2"/>
    <w:rsid w:val="00845759"/>
    <w:rsid w:val="008457E1"/>
    <w:rsid w:val="008458E7"/>
    <w:rsid w:val="00845E46"/>
    <w:rsid w:val="00846153"/>
    <w:rsid w:val="008466E8"/>
    <w:rsid w:val="0084680A"/>
    <w:rsid w:val="00847967"/>
    <w:rsid w:val="0085100B"/>
    <w:rsid w:val="00851AA4"/>
    <w:rsid w:val="008526FE"/>
    <w:rsid w:val="008527AA"/>
    <w:rsid w:val="00853A5A"/>
    <w:rsid w:val="00853CAF"/>
    <w:rsid w:val="00854688"/>
    <w:rsid w:val="00854FC3"/>
    <w:rsid w:val="008551EE"/>
    <w:rsid w:val="008558A7"/>
    <w:rsid w:val="008559AB"/>
    <w:rsid w:val="00855B91"/>
    <w:rsid w:val="00856281"/>
    <w:rsid w:val="00857331"/>
    <w:rsid w:val="00857BF4"/>
    <w:rsid w:val="00857E24"/>
    <w:rsid w:val="00861FC2"/>
    <w:rsid w:val="0086214F"/>
    <w:rsid w:val="00862880"/>
    <w:rsid w:val="00863429"/>
    <w:rsid w:val="00863FAF"/>
    <w:rsid w:val="00864867"/>
    <w:rsid w:val="00865485"/>
    <w:rsid w:val="00865867"/>
    <w:rsid w:val="00867709"/>
    <w:rsid w:val="00870592"/>
    <w:rsid w:val="00870A33"/>
    <w:rsid w:val="00870E0F"/>
    <w:rsid w:val="00871E37"/>
    <w:rsid w:val="00872999"/>
    <w:rsid w:val="0087354D"/>
    <w:rsid w:val="008735DB"/>
    <w:rsid w:val="008738BD"/>
    <w:rsid w:val="008739BC"/>
    <w:rsid w:val="00874B69"/>
    <w:rsid w:val="0087582C"/>
    <w:rsid w:val="00876C8A"/>
    <w:rsid w:val="008777C8"/>
    <w:rsid w:val="00877AFB"/>
    <w:rsid w:val="00880AD7"/>
    <w:rsid w:val="00880B3B"/>
    <w:rsid w:val="00880B67"/>
    <w:rsid w:val="00880BCD"/>
    <w:rsid w:val="00881CB4"/>
    <w:rsid w:val="008829FA"/>
    <w:rsid w:val="00883112"/>
    <w:rsid w:val="00884BE8"/>
    <w:rsid w:val="008854FA"/>
    <w:rsid w:val="00886841"/>
    <w:rsid w:val="00887268"/>
    <w:rsid w:val="00887406"/>
    <w:rsid w:val="00887647"/>
    <w:rsid w:val="00887F7F"/>
    <w:rsid w:val="008900A8"/>
    <w:rsid w:val="00890F42"/>
    <w:rsid w:val="008910DC"/>
    <w:rsid w:val="00893478"/>
    <w:rsid w:val="00895F1B"/>
    <w:rsid w:val="008977DE"/>
    <w:rsid w:val="00897AAD"/>
    <w:rsid w:val="00897F90"/>
    <w:rsid w:val="008A0861"/>
    <w:rsid w:val="008A28C6"/>
    <w:rsid w:val="008A2950"/>
    <w:rsid w:val="008A2EF4"/>
    <w:rsid w:val="008A430B"/>
    <w:rsid w:val="008A4537"/>
    <w:rsid w:val="008A49C0"/>
    <w:rsid w:val="008A4CA1"/>
    <w:rsid w:val="008A547E"/>
    <w:rsid w:val="008A562B"/>
    <w:rsid w:val="008A5BDF"/>
    <w:rsid w:val="008A662E"/>
    <w:rsid w:val="008A7175"/>
    <w:rsid w:val="008A7588"/>
    <w:rsid w:val="008A7655"/>
    <w:rsid w:val="008A7956"/>
    <w:rsid w:val="008A7AAB"/>
    <w:rsid w:val="008A7E24"/>
    <w:rsid w:val="008A7F24"/>
    <w:rsid w:val="008B0A0A"/>
    <w:rsid w:val="008B209E"/>
    <w:rsid w:val="008B33AE"/>
    <w:rsid w:val="008B4320"/>
    <w:rsid w:val="008B4980"/>
    <w:rsid w:val="008B4FB3"/>
    <w:rsid w:val="008B50B0"/>
    <w:rsid w:val="008B5739"/>
    <w:rsid w:val="008B5CE9"/>
    <w:rsid w:val="008B5FC1"/>
    <w:rsid w:val="008B6C7C"/>
    <w:rsid w:val="008B6DB6"/>
    <w:rsid w:val="008B7968"/>
    <w:rsid w:val="008C0306"/>
    <w:rsid w:val="008C1235"/>
    <w:rsid w:val="008C1479"/>
    <w:rsid w:val="008C1BB3"/>
    <w:rsid w:val="008C2AAA"/>
    <w:rsid w:val="008C2AEE"/>
    <w:rsid w:val="008C2D00"/>
    <w:rsid w:val="008C310B"/>
    <w:rsid w:val="008C36E4"/>
    <w:rsid w:val="008C39E7"/>
    <w:rsid w:val="008C4229"/>
    <w:rsid w:val="008C46BD"/>
    <w:rsid w:val="008C4DD5"/>
    <w:rsid w:val="008C529C"/>
    <w:rsid w:val="008C5BEE"/>
    <w:rsid w:val="008C63B8"/>
    <w:rsid w:val="008C77AE"/>
    <w:rsid w:val="008D005E"/>
    <w:rsid w:val="008D0066"/>
    <w:rsid w:val="008D138F"/>
    <w:rsid w:val="008D2C51"/>
    <w:rsid w:val="008D2DCA"/>
    <w:rsid w:val="008D39E0"/>
    <w:rsid w:val="008D402A"/>
    <w:rsid w:val="008D416E"/>
    <w:rsid w:val="008D4F99"/>
    <w:rsid w:val="008D571E"/>
    <w:rsid w:val="008D62C2"/>
    <w:rsid w:val="008D6D8F"/>
    <w:rsid w:val="008D6DBE"/>
    <w:rsid w:val="008D7415"/>
    <w:rsid w:val="008D7F9D"/>
    <w:rsid w:val="008E614A"/>
    <w:rsid w:val="008E6F64"/>
    <w:rsid w:val="008E7303"/>
    <w:rsid w:val="008E7952"/>
    <w:rsid w:val="008F0ADD"/>
    <w:rsid w:val="008F0DE9"/>
    <w:rsid w:val="008F56E9"/>
    <w:rsid w:val="008F6626"/>
    <w:rsid w:val="008F6888"/>
    <w:rsid w:val="008F7965"/>
    <w:rsid w:val="009009D9"/>
    <w:rsid w:val="00900A76"/>
    <w:rsid w:val="00900B2D"/>
    <w:rsid w:val="00900FE5"/>
    <w:rsid w:val="009015BE"/>
    <w:rsid w:val="00902458"/>
    <w:rsid w:val="00905FA5"/>
    <w:rsid w:val="00906420"/>
    <w:rsid w:val="00907380"/>
    <w:rsid w:val="0090791C"/>
    <w:rsid w:val="009105B8"/>
    <w:rsid w:val="0091091E"/>
    <w:rsid w:val="00910A1B"/>
    <w:rsid w:val="00911704"/>
    <w:rsid w:val="00912132"/>
    <w:rsid w:val="00912248"/>
    <w:rsid w:val="00912EB0"/>
    <w:rsid w:val="0091364F"/>
    <w:rsid w:val="0091713B"/>
    <w:rsid w:val="00917B53"/>
    <w:rsid w:val="009209C9"/>
    <w:rsid w:val="00921A46"/>
    <w:rsid w:val="00921C6E"/>
    <w:rsid w:val="00922BE2"/>
    <w:rsid w:val="00922D88"/>
    <w:rsid w:val="00923360"/>
    <w:rsid w:val="009243C3"/>
    <w:rsid w:val="009250C9"/>
    <w:rsid w:val="00926306"/>
    <w:rsid w:val="009269A5"/>
    <w:rsid w:val="00926DC2"/>
    <w:rsid w:val="00931162"/>
    <w:rsid w:val="00932BAE"/>
    <w:rsid w:val="00932DEF"/>
    <w:rsid w:val="00933742"/>
    <w:rsid w:val="00934614"/>
    <w:rsid w:val="0093499D"/>
    <w:rsid w:val="00934C38"/>
    <w:rsid w:val="009360E5"/>
    <w:rsid w:val="0093783F"/>
    <w:rsid w:val="00940CFF"/>
    <w:rsid w:val="00940F48"/>
    <w:rsid w:val="00941139"/>
    <w:rsid w:val="009414B1"/>
    <w:rsid w:val="0094327D"/>
    <w:rsid w:val="00943F84"/>
    <w:rsid w:val="009448BC"/>
    <w:rsid w:val="00944B02"/>
    <w:rsid w:val="00945140"/>
    <w:rsid w:val="00945A54"/>
    <w:rsid w:val="00945CD7"/>
    <w:rsid w:val="009474CA"/>
    <w:rsid w:val="00950084"/>
    <w:rsid w:val="009515C4"/>
    <w:rsid w:val="00951AD7"/>
    <w:rsid w:val="00952375"/>
    <w:rsid w:val="00952802"/>
    <w:rsid w:val="00952AA6"/>
    <w:rsid w:val="00953E1B"/>
    <w:rsid w:val="00953F80"/>
    <w:rsid w:val="009542CC"/>
    <w:rsid w:val="0095510B"/>
    <w:rsid w:val="009560E6"/>
    <w:rsid w:val="009563BE"/>
    <w:rsid w:val="009565F8"/>
    <w:rsid w:val="0095678E"/>
    <w:rsid w:val="00960058"/>
    <w:rsid w:val="0096025E"/>
    <w:rsid w:val="0096097A"/>
    <w:rsid w:val="00960F12"/>
    <w:rsid w:val="009613BF"/>
    <w:rsid w:val="009617E6"/>
    <w:rsid w:val="00962593"/>
    <w:rsid w:val="0096283C"/>
    <w:rsid w:val="00963388"/>
    <w:rsid w:val="0096350D"/>
    <w:rsid w:val="009642B2"/>
    <w:rsid w:val="0096445C"/>
    <w:rsid w:val="00965BD0"/>
    <w:rsid w:val="00966AA7"/>
    <w:rsid w:val="00966F60"/>
    <w:rsid w:val="0097005B"/>
    <w:rsid w:val="00971BE0"/>
    <w:rsid w:val="00971C92"/>
    <w:rsid w:val="009724A5"/>
    <w:rsid w:val="00972D94"/>
    <w:rsid w:val="00973EE2"/>
    <w:rsid w:val="00975054"/>
    <w:rsid w:val="00975139"/>
    <w:rsid w:val="00975651"/>
    <w:rsid w:val="00975657"/>
    <w:rsid w:val="0097629B"/>
    <w:rsid w:val="009764B7"/>
    <w:rsid w:val="0097758B"/>
    <w:rsid w:val="00977686"/>
    <w:rsid w:val="00977882"/>
    <w:rsid w:val="00977F08"/>
    <w:rsid w:val="00980A6F"/>
    <w:rsid w:val="00985BE4"/>
    <w:rsid w:val="0099068F"/>
    <w:rsid w:val="00991CC1"/>
    <w:rsid w:val="0099345F"/>
    <w:rsid w:val="00994607"/>
    <w:rsid w:val="009947DD"/>
    <w:rsid w:val="00994DE9"/>
    <w:rsid w:val="00995383"/>
    <w:rsid w:val="009959C8"/>
    <w:rsid w:val="00995DC4"/>
    <w:rsid w:val="009964C4"/>
    <w:rsid w:val="009973EE"/>
    <w:rsid w:val="00997AFD"/>
    <w:rsid w:val="009A0EBE"/>
    <w:rsid w:val="009A1B71"/>
    <w:rsid w:val="009A2539"/>
    <w:rsid w:val="009A27D4"/>
    <w:rsid w:val="009A28F1"/>
    <w:rsid w:val="009A2F78"/>
    <w:rsid w:val="009A4184"/>
    <w:rsid w:val="009A56AE"/>
    <w:rsid w:val="009A59A5"/>
    <w:rsid w:val="009A7040"/>
    <w:rsid w:val="009A72A0"/>
    <w:rsid w:val="009A7386"/>
    <w:rsid w:val="009A79B1"/>
    <w:rsid w:val="009B033D"/>
    <w:rsid w:val="009B08AC"/>
    <w:rsid w:val="009B0E18"/>
    <w:rsid w:val="009B1089"/>
    <w:rsid w:val="009B1355"/>
    <w:rsid w:val="009B1DC4"/>
    <w:rsid w:val="009B2086"/>
    <w:rsid w:val="009B270D"/>
    <w:rsid w:val="009B33ED"/>
    <w:rsid w:val="009B3676"/>
    <w:rsid w:val="009B4916"/>
    <w:rsid w:val="009B5646"/>
    <w:rsid w:val="009B567C"/>
    <w:rsid w:val="009B5AE1"/>
    <w:rsid w:val="009B5BFE"/>
    <w:rsid w:val="009B618C"/>
    <w:rsid w:val="009B669B"/>
    <w:rsid w:val="009B766A"/>
    <w:rsid w:val="009C09CB"/>
    <w:rsid w:val="009C3413"/>
    <w:rsid w:val="009C357B"/>
    <w:rsid w:val="009C36CD"/>
    <w:rsid w:val="009C5DA4"/>
    <w:rsid w:val="009C66FC"/>
    <w:rsid w:val="009C74F9"/>
    <w:rsid w:val="009C7599"/>
    <w:rsid w:val="009C75E2"/>
    <w:rsid w:val="009C7609"/>
    <w:rsid w:val="009C7778"/>
    <w:rsid w:val="009C7A69"/>
    <w:rsid w:val="009D02D9"/>
    <w:rsid w:val="009D0C3F"/>
    <w:rsid w:val="009D1F46"/>
    <w:rsid w:val="009D214A"/>
    <w:rsid w:val="009D3371"/>
    <w:rsid w:val="009D38E4"/>
    <w:rsid w:val="009D4CCE"/>
    <w:rsid w:val="009D4F19"/>
    <w:rsid w:val="009D53A8"/>
    <w:rsid w:val="009D6EFE"/>
    <w:rsid w:val="009D7429"/>
    <w:rsid w:val="009D7654"/>
    <w:rsid w:val="009D7ADC"/>
    <w:rsid w:val="009D7D02"/>
    <w:rsid w:val="009D7F90"/>
    <w:rsid w:val="009E0959"/>
    <w:rsid w:val="009E11FC"/>
    <w:rsid w:val="009E139C"/>
    <w:rsid w:val="009E1B58"/>
    <w:rsid w:val="009E210F"/>
    <w:rsid w:val="009E3BEC"/>
    <w:rsid w:val="009E3F4A"/>
    <w:rsid w:val="009E416A"/>
    <w:rsid w:val="009E4250"/>
    <w:rsid w:val="009E4BC7"/>
    <w:rsid w:val="009E4DD8"/>
    <w:rsid w:val="009E5514"/>
    <w:rsid w:val="009E6532"/>
    <w:rsid w:val="009F0E9E"/>
    <w:rsid w:val="009F126A"/>
    <w:rsid w:val="009F2AE4"/>
    <w:rsid w:val="009F38AE"/>
    <w:rsid w:val="009F53A4"/>
    <w:rsid w:val="009F6288"/>
    <w:rsid w:val="00A01226"/>
    <w:rsid w:val="00A01517"/>
    <w:rsid w:val="00A01B10"/>
    <w:rsid w:val="00A01C0B"/>
    <w:rsid w:val="00A024DE"/>
    <w:rsid w:val="00A026C5"/>
    <w:rsid w:val="00A02A3F"/>
    <w:rsid w:val="00A02F72"/>
    <w:rsid w:val="00A035D2"/>
    <w:rsid w:val="00A03F95"/>
    <w:rsid w:val="00A042C9"/>
    <w:rsid w:val="00A04D81"/>
    <w:rsid w:val="00A05346"/>
    <w:rsid w:val="00A053C8"/>
    <w:rsid w:val="00A0656C"/>
    <w:rsid w:val="00A06704"/>
    <w:rsid w:val="00A06720"/>
    <w:rsid w:val="00A07CE2"/>
    <w:rsid w:val="00A105A0"/>
    <w:rsid w:val="00A106A0"/>
    <w:rsid w:val="00A10CA6"/>
    <w:rsid w:val="00A10D68"/>
    <w:rsid w:val="00A1370F"/>
    <w:rsid w:val="00A13A84"/>
    <w:rsid w:val="00A13B24"/>
    <w:rsid w:val="00A13F86"/>
    <w:rsid w:val="00A14323"/>
    <w:rsid w:val="00A146CC"/>
    <w:rsid w:val="00A1491C"/>
    <w:rsid w:val="00A14A7F"/>
    <w:rsid w:val="00A158C5"/>
    <w:rsid w:val="00A15988"/>
    <w:rsid w:val="00A166E6"/>
    <w:rsid w:val="00A20AA0"/>
    <w:rsid w:val="00A22C4F"/>
    <w:rsid w:val="00A23B53"/>
    <w:rsid w:val="00A24514"/>
    <w:rsid w:val="00A2495D"/>
    <w:rsid w:val="00A24C25"/>
    <w:rsid w:val="00A278B9"/>
    <w:rsid w:val="00A27979"/>
    <w:rsid w:val="00A3140A"/>
    <w:rsid w:val="00A328FC"/>
    <w:rsid w:val="00A3339C"/>
    <w:rsid w:val="00A3463C"/>
    <w:rsid w:val="00A34B06"/>
    <w:rsid w:val="00A35015"/>
    <w:rsid w:val="00A354C5"/>
    <w:rsid w:val="00A355FD"/>
    <w:rsid w:val="00A36985"/>
    <w:rsid w:val="00A36CFA"/>
    <w:rsid w:val="00A36D49"/>
    <w:rsid w:val="00A371B0"/>
    <w:rsid w:val="00A37C40"/>
    <w:rsid w:val="00A423B4"/>
    <w:rsid w:val="00A42B3A"/>
    <w:rsid w:val="00A45AB8"/>
    <w:rsid w:val="00A45C51"/>
    <w:rsid w:val="00A460CD"/>
    <w:rsid w:val="00A4649C"/>
    <w:rsid w:val="00A464A9"/>
    <w:rsid w:val="00A4664C"/>
    <w:rsid w:val="00A4760F"/>
    <w:rsid w:val="00A50F2D"/>
    <w:rsid w:val="00A51722"/>
    <w:rsid w:val="00A53E53"/>
    <w:rsid w:val="00A5552E"/>
    <w:rsid w:val="00A564CC"/>
    <w:rsid w:val="00A564D9"/>
    <w:rsid w:val="00A56A7E"/>
    <w:rsid w:val="00A56C34"/>
    <w:rsid w:val="00A57165"/>
    <w:rsid w:val="00A57515"/>
    <w:rsid w:val="00A61849"/>
    <w:rsid w:val="00A61E71"/>
    <w:rsid w:val="00A626A7"/>
    <w:rsid w:val="00A62CAD"/>
    <w:rsid w:val="00A63629"/>
    <w:rsid w:val="00A639D8"/>
    <w:rsid w:val="00A658F4"/>
    <w:rsid w:val="00A65BA6"/>
    <w:rsid w:val="00A65FF1"/>
    <w:rsid w:val="00A7090C"/>
    <w:rsid w:val="00A71756"/>
    <w:rsid w:val="00A71E85"/>
    <w:rsid w:val="00A72324"/>
    <w:rsid w:val="00A7248C"/>
    <w:rsid w:val="00A73791"/>
    <w:rsid w:val="00A73A0A"/>
    <w:rsid w:val="00A76E8B"/>
    <w:rsid w:val="00A775E7"/>
    <w:rsid w:val="00A777E8"/>
    <w:rsid w:val="00A8026F"/>
    <w:rsid w:val="00A80271"/>
    <w:rsid w:val="00A80E5D"/>
    <w:rsid w:val="00A814A6"/>
    <w:rsid w:val="00A818CE"/>
    <w:rsid w:val="00A81985"/>
    <w:rsid w:val="00A82062"/>
    <w:rsid w:val="00A82427"/>
    <w:rsid w:val="00A83902"/>
    <w:rsid w:val="00A843CC"/>
    <w:rsid w:val="00A844AE"/>
    <w:rsid w:val="00A8461E"/>
    <w:rsid w:val="00A84A47"/>
    <w:rsid w:val="00A851C0"/>
    <w:rsid w:val="00A85599"/>
    <w:rsid w:val="00A867E4"/>
    <w:rsid w:val="00A86CC9"/>
    <w:rsid w:val="00A86DCC"/>
    <w:rsid w:val="00A87EDA"/>
    <w:rsid w:val="00A87FA9"/>
    <w:rsid w:val="00A91442"/>
    <w:rsid w:val="00A91A07"/>
    <w:rsid w:val="00A92B5A"/>
    <w:rsid w:val="00A92CFF"/>
    <w:rsid w:val="00A933D9"/>
    <w:rsid w:val="00A96BD1"/>
    <w:rsid w:val="00A96CA5"/>
    <w:rsid w:val="00A96E03"/>
    <w:rsid w:val="00A97259"/>
    <w:rsid w:val="00A97650"/>
    <w:rsid w:val="00AA0F03"/>
    <w:rsid w:val="00AA1928"/>
    <w:rsid w:val="00AA1E4A"/>
    <w:rsid w:val="00AA4156"/>
    <w:rsid w:val="00AA775A"/>
    <w:rsid w:val="00AA7FA1"/>
    <w:rsid w:val="00AB0BC9"/>
    <w:rsid w:val="00AB0D7D"/>
    <w:rsid w:val="00AB1881"/>
    <w:rsid w:val="00AB3482"/>
    <w:rsid w:val="00AB3D49"/>
    <w:rsid w:val="00AB3D67"/>
    <w:rsid w:val="00AB3E9C"/>
    <w:rsid w:val="00AB424C"/>
    <w:rsid w:val="00AB44C2"/>
    <w:rsid w:val="00AB489A"/>
    <w:rsid w:val="00AB4FBA"/>
    <w:rsid w:val="00AB5975"/>
    <w:rsid w:val="00AB5F1A"/>
    <w:rsid w:val="00AB65BA"/>
    <w:rsid w:val="00AB67CB"/>
    <w:rsid w:val="00AC0F53"/>
    <w:rsid w:val="00AC1969"/>
    <w:rsid w:val="00AC19C4"/>
    <w:rsid w:val="00AC22B2"/>
    <w:rsid w:val="00AC2431"/>
    <w:rsid w:val="00AC2922"/>
    <w:rsid w:val="00AC2BA2"/>
    <w:rsid w:val="00AC2E30"/>
    <w:rsid w:val="00AC2E79"/>
    <w:rsid w:val="00AC2E7B"/>
    <w:rsid w:val="00AC3416"/>
    <w:rsid w:val="00AC344E"/>
    <w:rsid w:val="00AC411C"/>
    <w:rsid w:val="00AC5767"/>
    <w:rsid w:val="00AC5803"/>
    <w:rsid w:val="00AC5BF2"/>
    <w:rsid w:val="00AC5DDE"/>
    <w:rsid w:val="00AC6164"/>
    <w:rsid w:val="00AC74E6"/>
    <w:rsid w:val="00AD0700"/>
    <w:rsid w:val="00AD0B95"/>
    <w:rsid w:val="00AD1293"/>
    <w:rsid w:val="00AD1859"/>
    <w:rsid w:val="00AD3307"/>
    <w:rsid w:val="00AD3A21"/>
    <w:rsid w:val="00AD3A82"/>
    <w:rsid w:val="00AD3CFC"/>
    <w:rsid w:val="00AD3EB9"/>
    <w:rsid w:val="00AD436F"/>
    <w:rsid w:val="00AD49E8"/>
    <w:rsid w:val="00AD51C7"/>
    <w:rsid w:val="00AD551A"/>
    <w:rsid w:val="00AD5F5C"/>
    <w:rsid w:val="00AD680A"/>
    <w:rsid w:val="00AE04D6"/>
    <w:rsid w:val="00AE0AA7"/>
    <w:rsid w:val="00AE123D"/>
    <w:rsid w:val="00AE3694"/>
    <w:rsid w:val="00AE36A4"/>
    <w:rsid w:val="00AE39EB"/>
    <w:rsid w:val="00AE3ED1"/>
    <w:rsid w:val="00AE4381"/>
    <w:rsid w:val="00AE43ED"/>
    <w:rsid w:val="00AE6721"/>
    <w:rsid w:val="00AE6914"/>
    <w:rsid w:val="00AE70EF"/>
    <w:rsid w:val="00AE7BB7"/>
    <w:rsid w:val="00AE7F03"/>
    <w:rsid w:val="00AE7FED"/>
    <w:rsid w:val="00AF1C58"/>
    <w:rsid w:val="00AF2478"/>
    <w:rsid w:val="00AF2F4C"/>
    <w:rsid w:val="00AF31F5"/>
    <w:rsid w:val="00AF3A4B"/>
    <w:rsid w:val="00AF4E1D"/>
    <w:rsid w:val="00AF5111"/>
    <w:rsid w:val="00AF5B35"/>
    <w:rsid w:val="00AF5E85"/>
    <w:rsid w:val="00AF67AF"/>
    <w:rsid w:val="00AF67D1"/>
    <w:rsid w:val="00AF6CFE"/>
    <w:rsid w:val="00AF77A8"/>
    <w:rsid w:val="00B0068C"/>
    <w:rsid w:val="00B01C08"/>
    <w:rsid w:val="00B02251"/>
    <w:rsid w:val="00B039B2"/>
    <w:rsid w:val="00B0475B"/>
    <w:rsid w:val="00B04E41"/>
    <w:rsid w:val="00B0578B"/>
    <w:rsid w:val="00B058DE"/>
    <w:rsid w:val="00B061DC"/>
    <w:rsid w:val="00B0699B"/>
    <w:rsid w:val="00B06A73"/>
    <w:rsid w:val="00B06BB6"/>
    <w:rsid w:val="00B06C0F"/>
    <w:rsid w:val="00B06FA9"/>
    <w:rsid w:val="00B0755E"/>
    <w:rsid w:val="00B119D4"/>
    <w:rsid w:val="00B120C3"/>
    <w:rsid w:val="00B120E6"/>
    <w:rsid w:val="00B126A1"/>
    <w:rsid w:val="00B1299B"/>
    <w:rsid w:val="00B135BE"/>
    <w:rsid w:val="00B142F5"/>
    <w:rsid w:val="00B153AA"/>
    <w:rsid w:val="00B16E6B"/>
    <w:rsid w:val="00B177D9"/>
    <w:rsid w:val="00B2042D"/>
    <w:rsid w:val="00B2057D"/>
    <w:rsid w:val="00B20A51"/>
    <w:rsid w:val="00B20C38"/>
    <w:rsid w:val="00B211B0"/>
    <w:rsid w:val="00B2182C"/>
    <w:rsid w:val="00B21EE1"/>
    <w:rsid w:val="00B230CB"/>
    <w:rsid w:val="00B238C3"/>
    <w:rsid w:val="00B241B6"/>
    <w:rsid w:val="00B24AEB"/>
    <w:rsid w:val="00B26681"/>
    <w:rsid w:val="00B26E2C"/>
    <w:rsid w:val="00B270C1"/>
    <w:rsid w:val="00B2761A"/>
    <w:rsid w:val="00B27E74"/>
    <w:rsid w:val="00B30B46"/>
    <w:rsid w:val="00B30DCD"/>
    <w:rsid w:val="00B3231D"/>
    <w:rsid w:val="00B32612"/>
    <w:rsid w:val="00B33A26"/>
    <w:rsid w:val="00B33AEB"/>
    <w:rsid w:val="00B34FD5"/>
    <w:rsid w:val="00B3566D"/>
    <w:rsid w:val="00B3582D"/>
    <w:rsid w:val="00B3588E"/>
    <w:rsid w:val="00B35B42"/>
    <w:rsid w:val="00B366BC"/>
    <w:rsid w:val="00B36B21"/>
    <w:rsid w:val="00B36F99"/>
    <w:rsid w:val="00B37022"/>
    <w:rsid w:val="00B37722"/>
    <w:rsid w:val="00B400D0"/>
    <w:rsid w:val="00B41922"/>
    <w:rsid w:val="00B423E4"/>
    <w:rsid w:val="00B42894"/>
    <w:rsid w:val="00B429D8"/>
    <w:rsid w:val="00B42CE0"/>
    <w:rsid w:val="00B43B67"/>
    <w:rsid w:val="00B4486A"/>
    <w:rsid w:val="00B45B03"/>
    <w:rsid w:val="00B46B16"/>
    <w:rsid w:val="00B506EE"/>
    <w:rsid w:val="00B51305"/>
    <w:rsid w:val="00B51CA0"/>
    <w:rsid w:val="00B52114"/>
    <w:rsid w:val="00B52228"/>
    <w:rsid w:val="00B52334"/>
    <w:rsid w:val="00B523AC"/>
    <w:rsid w:val="00B5255D"/>
    <w:rsid w:val="00B527C6"/>
    <w:rsid w:val="00B52CC4"/>
    <w:rsid w:val="00B52FFB"/>
    <w:rsid w:val="00B53D46"/>
    <w:rsid w:val="00B5481F"/>
    <w:rsid w:val="00B5483B"/>
    <w:rsid w:val="00B555D0"/>
    <w:rsid w:val="00B56017"/>
    <w:rsid w:val="00B5681E"/>
    <w:rsid w:val="00B56CD6"/>
    <w:rsid w:val="00B56FCF"/>
    <w:rsid w:val="00B57292"/>
    <w:rsid w:val="00B60114"/>
    <w:rsid w:val="00B6157A"/>
    <w:rsid w:val="00B61B13"/>
    <w:rsid w:val="00B621DD"/>
    <w:rsid w:val="00B62941"/>
    <w:rsid w:val="00B62EFF"/>
    <w:rsid w:val="00B6367A"/>
    <w:rsid w:val="00B63840"/>
    <w:rsid w:val="00B63A84"/>
    <w:rsid w:val="00B6441D"/>
    <w:rsid w:val="00B64924"/>
    <w:rsid w:val="00B67B82"/>
    <w:rsid w:val="00B67CE3"/>
    <w:rsid w:val="00B71F3A"/>
    <w:rsid w:val="00B729AE"/>
    <w:rsid w:val="00B72DD6"/>
    <w:rsid w:val="00B73704"/>
    <w:rsid w:val="00B74DC9"/>
    <w:rsid w:val="00B74DE5"/>
    <w:rsid w:val="00B7577A"/>
    <w:rsid w:val="00B75D6E"/>
    <w:rsid w:val="00B765C1"/>
    <w:rsid w:val="00B76BBA"/>
    <w:rsid w:val="00B76C23"/>
    <w:rsid w:val="00B76E3F"/>
    <w:rsid w:val="00B76FA1"/>
    <w:rsid w:val="00B7721C"/>
    <w:rsid w:val="00B772FD"/>
    <w:rsid w:val="00B77475"/>
    <w:rsid w:val="00B77B58"/>
    <w:rsid w:val="00B8038C"/>
    <w:rsid w:val="00B81777"/>
    <w:rsid w:val="00B817D9"/>
    <w:rsid w:val="00B828CF"/>
    <w:rsid w:val="00B836FE"/>
    <w:rsid w:val="00B84843"/>
    <w:rsid w:val="00B8486A"/>
    <w:rsid w:val="00B8523B"/>
    <w:rsid w:val="00B853E8"/>
    <w:rsid w:val="00B8589A"/>
    <w:rsid w:val="00B85A89"/>
    <w:rsid w:val="00B85F47"/>
    <w:rsid w:val="00B8761C"/>
    <w:rsid w:val="00B906C5"/>
    <w:rsid w:val="00B91174"/>
    <w:rsid w:val="00B91504"/>
    <w:rsid w:val="00B91E3A"/>
    <w:rsid w:val="00B922B0"/>
    <w:rsid w:val="00B92307"/>
    <w:rsid w:val="00B9293A"/>
    <w:rsid w:val="00B93176"/>
    <w:rsid w:val="00B93385"/>
    <w:rsid w:val="00B9396E"/>
    <w:rsid w:val="00B93C3B"/>
    <w:rsid w:val="00B94408"/>
    <w:rsid w:val="00B94480"/>
    <w:rsid w:val="00B94A9C"/>
    <w:rsid w:val="00B969BC"/>
    <w:rsid w:val="00B96B70"/>
    <w:rsid w:val="00BA05F8"/>
    <w:rsid w:val="00BA07D8"/>
    <w:rsid w:val="00BA07E1"/>
    <w:rsid w:val="00BA2836"/>
    <w:rsid w:val="00BA2EDB"/>
    <w:rsid w:val="00BA3852"/>
    <w:rsid w:val="00BA4FF7"/>
    <w:rsid w:val="00BA5332"/>
    <w:rsid w:val="00BA5732"/>
    <w:rsid w:val="00BA5BA0"/>
    <w:rsid w:val="00BA5E58"/>
    <w:rsid w:val="00BA66DD"/>
    <w:rsid w:val="00BA6EC8"/>
    <w:rsid w:val="00BA7C27"/>
    <w:rsid w:val="00BA7CD7"/>
    <w:rsid w:val="00BB04E8"/>
    <w:rsid w:val="00BB115F"/>
    <w:rsid w:val="00BB38E9"/>
    <w:rsid w:val="00BB462F"/>
    <w:rsid w:val="00BB4CFD"/>
    <w:rsid w:val="00BB53A5"/>
    <w:rsid w:val="00BB58A4"/>
    <w:rsid w:val="00BB67CF"/>
    <w:rsid w:val="00BB71FF"/>
    <w:rsid w:val="00BB735A"/>
    <w:rsid w:val="00BB76AD"/>
    <w:rsid w:val="00BC00C1"/>
    <w:rsid w:val="00BC072C"/>
    <w:rsid w:val="00BC16FA"/>
    <w:rsid w:val="00BC26E8"/>
    <w:rsid w:val="00BC3569"/>
    <w:rsid w:val="00BC3EB7"/>
    <w:rsid w:val="00BC3EFB"/>
    <w:rsid w:val="00BC45C5"/>
    <w:rsid w:val="00BC480E"/>
    <w:rsid w:val="00BC4F8B"/>
    <w:rsid w:val="00BC74F3"/>
    <w:rsid w:val="00BC79E0"/>
    <w:rsid w:val="00BD0CB4"/>
    <w:rsid w:val="00BD0F41"/>
    <w:rsid w:val="00BD1C26"/>
    <w:rsid w:val="00BD1C8B"/>
    <w:rsid w:val="00BD22EC"/>
    <w:rsid w:val="00BD399B"/>
    <w:rsid w:val="00BD3E13"/>
    <w:rsid w:val="00BD3F1B"/>
    <w:rsid w:val="00BD4E4C"/>
    <w:rsid w:val="00BD51F1"/>
    <w:rsid w:val="00BD6B65"/>
    <w:rsid w:val="00BD70AE"/>
    <w:rsid w:val="00BE1F41"/>
    <w:rsid w:val="00BE2615"/>
    <w:rsid w:val="00BE3135"/>
    <w:rsid w:val="00BE3C74"/>
    <w:rsid w:val="00BE4A87"/>
    <w:rsid w:val="00BE5543"/>
    <w:rsid w:val="00BE557A"/>
    <w:rsid w:val="00BE5FF9"/>
    <w:rsid w:val="00BE695E"/>
    <w:rsid w:val="00BE6D60"/>
    <w:rsid w:val="00BE6F8E"/>
    <w:rsid w:val="00BF05F5"/>
    <w:rsid w:val="00BF1A11"/>
    <w:rsid w:val="00BF1AA3"/>
    <w:rsid w:val="00BF21FE"/>
    <w:rsid w:val="00BF2205"/>
    <w:rsid w:val="00BF221C"/>
    <w:rsid w:val="00BF2A95"/>
    <w:rsid w:val="00BF38BB"/>
    <w:rsid w:val="00BF3920"/>
    <w:rsid w:val="00BF4EE5"/>
    <w:rsid w:val="00BF5339"/>
    <w:rsid w:val="00BF7A42"/>
    <w:rsid w:val="00C012CB"/>
    <w:rsid w:val="00C01A32"/>
    <w:rsid w:val="00C01A53"/>
    <w:rsid w:val="00C027B7"/>
    <w:rsid w:val="00C02EB9"/>
    <w:rsid w:val="00C0392C"/>
    <w:rsid w:val="00C03FC4"/>
    <w:rsid w:val="00C0428F"/>
    <w:rsid w:val="00C0458F"/>
    <w:rsid w:val="00C046E7"/>
    <w:rsid w:val="00C04A0D"/>
    <w:rsid w:val="00C10F5A"/>
    <w:rsid w:val="00C1109B"/>
    <w:rsid w:val="00C11183"/>
    <w:rsid w:val="00C119B0"/>
    <w:rsid w:val="00C11B4B"/>
    <w:rsid w:val="00C1304F"/>
    <w:rsid w:val="00C1321E"/>
    <w:rsid w:val="00C13443"/>
    <w:rsid w:val="00C135BF"/>
    <w:rsid w:val="00C13B85"/>
    <w:rsid w:val="00C13DFC"/>
    <w:rsid w:val="00C14362"/>
    <w:rsid w:val="00C1481C"/>
    <w:rsid w:val="00C15DE0"/>
    <w:rsid w:val="00C168E6"/>
    <w:rsid w:val="00C1747E"/>
    <w:rsid w:val="00C1779C"/>
    <w:rsid w:val="00C21130"/>
    <w:rsid w:val="00C21785"/>
    <w:rsid w:val="00C23FEA"/>
    <w:rsid w:val="00C24073"/>
    <w:rsid w:val="00C248E7"/>
    <w:rsid w:val="00C257C8"/>
    <w:rsid w:val="00C25B75"/>
    <w:rsid w:val="00C26761"/>
    <w:rsid w:val="00C26A13"/>
    <w:rsid w:val="00C27FE1"/>
    <w:rsid w:val="00C310B8"/>
    <w:rsid w:val="00C31C88"/>
    <w:rsid w:val="00C3215A"/>
    <w:rsid w:val="00C32650"/>
    <w:rsid w:val="00C338CE"/>
    <w:rsid w:val="00C34DB6"/>
    <w:rsid w:val="00C354DD"/>
    <w:rsid w:val="00C35620"/>
    <w:rsid w:val="00C366EF"/>
    <w:rsid w:val="00C37014"/>
    <w:rsid w:val="00C371FB"/>
    <w:rsid w:val="00C37FA1"/>
    <w:rsid w:val="00C40A0B"/>
    <w:rsid w:val="00C4145A"/>
    <w:rsid w:val="00C42142"/>
    <w:rsid w:val="00C43D33"/>
    <w:rsid w:val="00C43F10"/>
    <w:rsid w:val="00C44A80"/>
    <w:rsid w:val="00C45AC8"/>
    <w:rsid w:val="00C460AC"/>
    <w:rsid w:val="00C47920"/>
    <w:rsid w:val="00C47FC6"/>
    <w:rsid w:val="00C5058E"/>
    <w:rsid w:val="00C50660"/>
    <w:rsid w:val="00C50FBF"/>
    <w:rsid w:val="00C52DD5"/>
    <w:rsid w:val="00C53C07"/>
    <w:rsid w:val="00C563C8"/>
    <w:rsid w:val="00C568BF"/>
    <w:rsid w:val="00C575CE"/>
    <w:rsid w:val="00C57F81"/>
    <w:rsid w:val="00C60678"/>
    <w:rsid w:val="00C60B0F"/>
    <w:rsid w:val="00C60BA8"/>
    <w:rsid w:val="00C60F21"/>
    <w:rsid w:val="00C6178D"/>
    <w:rsid w:val="00C618A6"/>
    <w:rsid w:val="00C61CA7"/>
    <w:rsid w:val="00C630ED"/>
    <w:rsid w:val="00C6510A"/>
    <w:rsid w:val="00C65475"/>
    <w:rsid w:val="00C65796"/>
    <w:rsid w:val="00C667A7"/>
    <w:rsid w:val="00C705A5"/>
    <w:rsid w:val="00C70E00"/>
    <w:rsid w:val="00C71433"/>
    <w:rsid w:val="00C7319F"/>
    <w:rsid w:val="00C7421C"/>
    <w:rsid w:val="00C74D27"/>
    <w:rsid w:val="00C76404"/>
    <w:rsid w:val="00C77E0B"/>
    <w:rsid w:val="00C80040"/>
    <w:rsid w:val="00C80200"/>
    <w:rsid w:val="00C80CE3"/>
    <w:rsid w:val="00C8127B"/>
    <w:rsid w:val="00C82FE6"/>
    <w:rsid w:val="00C83374"/>
    <w:rsid w:val="00C83874"/>
    <w:rsid w:val="00C84216"/>
    <w:rsid w:val="00C84BBA"/>
    <w:rsid w:val="00C853B1"/>
    <w:rsid w:val="00C85892"/>
    <w:rsid w:val="00C866AF"/>
    <w:rsid w:val="00C869A9"/>
    <w:rsid w:val="00C86AB7"/>
    <w:rsid w:val="00C86DC7"/>
    <w:rsid w:val="00C87016"/>
    <w:rsid w:val="00C87279"/>
    <w:rsid w:val="00C87C30"/>
    <w:rsid w:val="00C9009B"/>
    <w:rsid w:val="00C904C1"/>
    <w:rsid w:val="00C914FE"/>
    <w:rsid w:val="00C9177A"/>
    <w:rsid w:val="00C917EB"/>
    <w:rsid w:val="00C91D35"/>
    <w:rsid w:val="00C92385"/>
    <w:rsid w:val="00C9242D"/>
    <w:rsid w:val="00C93EFC"/>
    <w:rsid w:val="00C941C1"/>
    <w:rsid w:val="00C9603C"/>
    <w:rsid w:val="00C96902"/>
    <w:rsid w:val="00C96A20"/>
    <w:rsid w:val="00C96D71"/>
    <w:rsid w:val="00C97077"/>
    <w:rsid w:val="00C97698"/>
    <w:rsid w:val="00C97701"/>
    <w:rsid w:val="00CA01BC"/>
    <w:rsid w:val="00CA1592"/>
    <w:rsid w:val="00CA180C"/>
    <w:rsid w:val="00CA2708"/>
    <w:rsid w:val="00CA28E4"/>
    <w:rsid w:val="00CA3013"/>
    <w:rsid w:val="00CA3470"/>
    <w:rsid w:val="00CA3EBB"/>
    <w:rsid w:val="00CA485B"/>
    <w:rsid w:val="00CA49C3"/>
    <w:rsid w:val="00CA5CB6"/>
    <w:rsid w:val="00CA6358"/>
    <w:rsid w:val="00CA68F5"/>
    <w:rsid w:val="00CA6E8E"/>
    <w:rsid w:val="00CB07B1"/>
    <w:rsid w:val="00CB07B7"/>
    <w:rsid w:val="00CB12E8"/>
    <w:rsid w:val="00CB2111"/>
    <w:rsid w:val="00CB25BD"/>
    <w:rsid w:val="00CB27BD"/>
    <w:rsid w:val="00CB2B81"/>
    <w:rsid w:val="00CB2D5C"/>
    <w:rsid w:val="00CB3DDB"/>
    <w:rsid w:val="00CB419D"/>
    <w:rsid w:val="00CB5ACB"/>
    <w:rsid w:val="00CB5DAA"/>
    <w:rsid w:val="00CB5F55"/>
    <w:rsid w:val="00CB6018"/>
    <w:rsid w:val="00CB61FE"/>
    <w:rsid w:val="00CB6B94"/>
    <w:rsid w:val="00CC01F9"/>
    <w:rsid w:val="00CC02E7"/>
    <w:rsid w:val="00CC1DEF"/>
    <w:rsid w:val="00CC1E85"/>
    <w:rsid w:val="00CC201F"/>
    <w:rsid w:val="00CC2174"/>
    <w:rsid w:val="00CC2DAE"/>
    <w:rsid w:val="00CC4294"/>
    <w:rsid w:val="00CC46B0"/>
    <w:rsid w:val="00CC4B0B"/>
    <w:rsid w:val="00CC4BBD"/>
    <w:rsid w:val="00CC5538"/>
    <w:rsid w:val="00CC5797"/>
    <w:rsid w:val="00CC6526"/>
    <w:rsid w:val="00CD0CEA"/>
    <w:rsid w:val="00CD1636"/>
    <w:rsid w:val="00CD17D4"/>
    <w:rsid w:val="00CD1AEC"/>
    <w:rsid w:val="00CD1FE8"/>
    <w:rsid w:val="00CD232B"/>
    <w:rsid w:val="00CD28EA"/>
    <w:rsid w:val="00CD3257"/>
    <w:rsid w:val="00CD369A"/>
    <w:rsid w:val="00CD3A6A"/>
    <w:rsid w:val="00CD43D5"/>
    <w:rsid w:val="00CD502B"/>
    <w:rsid w:val="00CD65A9"/>
    <w:rsid w:val="00CD6C6C"/>
    <w:rsid w:val="00CD7569"/>
    <w:rsid w:val="00CD7690"/>
    <w:rsid w:val="00CD79DB"/>
    <w:rsid w:val="00CE01DD"/>
    <w:rsid w:val="00CE04A0"/>
    <w:rsid w:val="00CE0579"/>
    <w:rsid w:val="00CE136F"/>
    <w:rsid w:val="00CE15CC"/>
    <w:rsid w:val="00CE22A3"/>
    <w:rsid w:val="00CE371A"/>
    <w:rsid w:val="00CE3A91"/>
    <w:rsid w:val="00CE3E24"/>
    <w:rsid w:val="00CE4FC9"/>
    <w:rsid w:val="00CE5B94"/>
    <w:rsid w:val="00CE64F7"/>
    <w:rsid w:val="00CE6FA5"/>
    <w:rsid w:val="00CF1DA9"/>
    <w:rsid w:val="00CF30BC"/>
    <w:rsid w:val="00CF3F28"/>
    <w:rsid w:val="00CF48C7"/>
    <w:rsid w:val="00CF4B08"/>
    <w:rsid w:val="00CF5206"/>
    <w:rsid w:val="00CF5538"/>
    <w:rsid w:val="00CF78F5"/>
    <w:rsid w:val="00D000DB"/>
    <w:rsid w:val="00D001EA"/>
    <w:rsid w:val="00D00F81"/>
    <w:rsid w:val="00D02C94"/>
    <w:rsid w:val="00D03234"/>
    <w:rsid w:val="00D05B7B"/>
    <w:rsid w:val="00D075EF"/>
    <w:rsid w:val="00D10636"/>
    <w:rsid w:val="00D10C16"/>
    <w:rsid w:val="00D10E17"/>
    <w:rsid w:val="00D11794"/>
    <w:rsid w:val="00D11D15"/>
    <w:rsid w:val="00D11E3A"/>
    <w:rsid w:val="00D1200C"/>
    <w:rsid w:val="00D12BAF"/>
    <w:rsid w:val="00D12CB2"/>
    <w:rsid w:val="00D12F99"/>
    <w:rsid w:val="00D13F19"/>
    <w:rsid w:val="00D15327"/>
    <w:rsid w:val="00D153E7"/>
    <w:rsid w:val="00D159C0"/>
    <w:rsid w:val="00D15B27"/>
    <w:rsid w:val="00D15F7E"/>
    <w:rsid w:val="00D160D7"/>
    <w:rsid w:val="00D16ABA"/>
    <w:rsid w:val="00D17233"/>
    <w:rsid w:val="00D174A5"/>
    <w:rsid w:val="00D20C0A"/>
    <w:rsid w:val="00D2394F"/>
    <w:rsid w:val="00D23D1F"/>
    <w:rsid w:val="00D24587"/>
    <w:rsid w:val="00D24761"/>
    <w:rsid w:val="00D26440"/>
    <w:rsid w:val="00D264D0"/>
    <w:rsid w:val="00D267CF"/>
    <w:rsid w:val="00D26A7D"/>
    <w:rsid w:val="00D27134"/>
    <w:rsid w:val="00D27CCD"/>
    <w:rsid w:val="00D3022C"/>
    <w:rsid w:val="00D30ED6"/>
    <w:rsid w:val="00D31317"/>
    <w:rsid w:val="00D31690"/>
    <w:rsid w:val="00D324D0"/>
    <w:rsid w:val="00D32609"/>
    <w:rsid w:val="00D33271"/>
    <w:rsid w:val="00D337CE"/>
    <w:rsid w:val="00D33FC5"/>
    <w:rsid w:val="00D341D6"/>
    <w:rsid w:val="00D3505C"/>
    <w:rsid w:val="00D3670D"/>
    <w:rsid w:val="00D36BA6"/>
    <w:rsid w:val="00D37A19"/>
    <w:rsid w:val="00D42278"/>
    <w:rsid w:val="00D4320C"/>
    <w:rsid w:val="00D436FC"/>
    <w:rsid w:val="00D4517C"/>
    <w:rsid w:val="00D46464"/>
    <w:rsid w:val="00D46ADE"/>
    <w:rsid w:val="00D46C3F"/>
    <w:rsid w:val="00D50351"/>
    <w:rsid w:val="00D51385"/>
    <w:rsid w:val="00D522E9"/>
    <w:rsid w:val="00D52905"/>
    <w:rsid w:val="00D52B4E"/>
    <w:rsid w:val="00D557DF"/>
    <w:rsid w:val="00D56D53"/>
    <w:rsid w:val="00D604CC"/>
    <w:rsid w:val="00D62617"/>
    <w:rsid w:val="00D62D4D"/>
    <w:rsid w:val="00D62EB6"/>
    <w:rsid w:val="00D62F28"/>
    <w:rsid w:val="00D62FA9"/>
    <w:rsid w:val="00D6329B"/>
    <w:rsid w:val="00D63D39"/>
    <w:rsid w:val="00D64641"/>
    <w:rsid w:val="00D64A0F"/>
    <w:rsid w:val="00D655F0"/>
    <w:rsid w:val="00D65E81"/>
    <w:rsid w:val="00D66420"/>
    <w:rsid w:val="00D673B1"/>
    <w:rsid w:val="00D702A5"/>
    <w:rsid w:val="00D7286B"/>
    <w:rsid w:val="00D73B90"/>
    <w:rsid w:val="00D74B48"/>
    <w:rsid w:val="00D74E5B"/>
    <w:rsid w:val="00D751BC"/>
    <w:rsid w:val="00D76710"/>
    <w:rsid w:val="00D773B5"/>
    <w:rsid w:val="00D81A57"/>
    <w:rsid w:val="00D82946"/>
    <w:rsid w:val="00D82F99"/>
    <w:rsid w:val="00D834FC"/>
    <w:rsid w:val="00D838FD"/>
    <w:rsid w:val="00D8502F"/>
    <w:rsid w:val="00D85513"/>
    <w:rsid w:val="00D86157"/>
    <w:rsid w:val="00D865B6"/>
    <w:rsid w:val="00D87CD8"/>
    <w:rsid w:val="00D91D49"/>
    <w:rsid w:val="00D92565"/>
    <w:rsid w:val="00D9406E"/>
    <w:rsid w:val="00D94EE9"/>
    <w:rsid w:val="00D95A33"/>
    <w:rsid w:val="00D96505"/>
    <w:rsid w:val="00D96711"/>
    <w:rsid w:val="00D96F58"/>
    <w:rsid w:val="00D97286"/>
    <w:rsid w:val="00D97910"/>
    <w:rsid w:val="00D97D98"/>
    <w:rsid w:val="00DA171C"/>
    <w:rsid w:val="00DA1C66"/>
    <w:rsid w:val="00DA2175"/>
    <w:rsid w:val="00DA328E"/>
    <w:rsid w:val="00DA32E0"/>
    <w:rsid w:val="00DA3443"/>
    <w:rsid w:val="00DA3BED"/>
    <w:rsid w:val="00DA4135"/>
    <w:rsid w:val="00DA42BF"/>
    <w:rsid w:val="00DA438A"/>
    <w:rsid w:val="00DA45D5"/>
    <w:rsid w:val="00DA5416"/>
    <w:rsid w:val="00DA5605"/>
    <w:rsid w:val="00DA5AB8"/>
    <w:rsid w:val="00DA5C80"/>
    <w:rsid w:val="00DA6A7D"/>
    <w:rsid w:val="00DA6EFD"/>
    <w:rsid w:val="00DA7387"/>
    <w:rsid w:val="00DA74A4"/>
    <w:rsid w:val="00DB0A6C"/>
    <w:rsid w:val="00DB0A8A"/>
    <w:rsid w:val="00DB2030"/>
    <w:rsid w:val="00DB2C16"/>
    <w:rsid w:val="00DB36FF"/>
    <w:rsid w:val="00DB4338"/>
    <w:rsid w:val="00DB4CAA"/>
    <w:rsid w:val="00DB62F7"/>
    <w:rsid w:val="00DB6303"/>
    <w:rsid w:val="00DB6DCE"/>
    <w:rsid w:val="00DB7007"/>
    <w:rsid w:val="00DB7834"/>
    <w:rsid w:val="00DB7CBF"/>
    <w:rsid w:val="00DC0764"/>
    <w:rsid w:val="00DC0C08"/>
    <w:rsid w:val="00DC0E62"/>
    <w:rsid w:val="00DC0E67"/>
    <w:rsid w:val="00DC1DDA"/>
    <w:rsid w:val="00DC1F70"/>
    <w:rsid w:val="00DC24EF"/>
    <w:rsid w:val="00DC258A"/>
    <w:rsid w:val="00DC2865"/>
    <w:rsid w:val="00DC2AB8"/>
    <w:rsid w:val="00DC2B4F"/>
    <w:rsid w:val="00DC36A7"/>
    <w:rsid w:val="00DC3ADE"/>
    <w:rsid w:val="00DC3C90"/>
    <w:rsid w:val="00DC4CB7"/>
    <w:rsid w:val="00DC6824"/>
    <w:rsid w:val="00DC6FE2"/>
    <w:rsid w:val="00DC72B8"/>
    <w:rsid w:val="00DD0C54"/>
    <w:rsid w:val="00DD0C8F"/>
    <w:rsid w:val="00DD1ADB"/>
    <w:rsid w:val="00DD3DE0"/>
    <w:rsid w:val="00DD4520"/>
    <w:rsid w:val="00DD4D32"/>
    <w:rsid w:val="00DD50D8"/>
    <w:rsid w:val="00DD53D7"/>
    <w:rsid w:val="00DD6077"/>
    <w:rsid w:val="00DD74C6"/>
    <w:rsid w:val="00DD7797"/>
    <w:rsid w:val="00DD7B9F"/>
    <w:rsid w:val="00DE1C50"/>
    <w:rsid w:val="00DE1EDF"/>
    <w:rsid w:val="00DE208A"/>
    <w:rsid w:val="00DE31F4"/>
    <w:rsid w:val="00DE334E"/>
    <w:rsid w:val="00DE40E2"/>
    <w:rsid w:val="00DE5A4B"/>
    <w:rsid w:val="00DE6195"/>
    <w:rsid w:val="00DE6632"/>
    <w:rsid w:val="00DE6D46"/>
    <w:rsid w:val="00DE70E1"/>
    <w:rsid w:val="00DE797E"/>
    <w:rsid w:val="00DE7B71"/>
    <w:rsid w:val="00DF049E"/>
    <w:rsid w:val="00DF0D8B"/>
    <w:rsid w:val="00DF0F53"/>
    <w:rsid w:val="00DF1443"/>
    <w:rsid w:val="00DF15FE"/>
    <w:rsid w:val="00DF18C7"/>
    <w:rsid w:val="00DF1AB7"/>
    <w:rsid w:val="00DF1B01"/>
    <w:rsid w:val="00DF1E86"/>
    <w:rsid w:val="00DF20D7"/>
    <w:rsid w:val="00DF2282"/>
    <w:rsid w:val="00DF255C"/>
    <w:rsid w:val="00DF2EBD"/>
    <w:rsid w:val="00DF3A5F"/>
    <w:rsid w:val="00DF3CA9"/>
    <w:rsid w:val="00DF3DFC"/>
    <w:rsid w:val="00DF5762"/>
    <w:rsid w:val="00DF6424"/>
    <w:rsid w:val="00DF72A8"/>
    <w:rsid w:val="00E000E8"/>
    <w:rsid w:val="00E005C7"/>
    <w:rsid w:val="00E00D6F"/>
    <w:rsid w:val="00E029C7"/>
    <w:rsid w:val="00E03497"/>
    <w:rsid w:val="00E03D8C"/>
    <w:rsid w:val="00E03F73"/>
    <w:rsid w:val="00E06AA0"/>
    <w:rsid w:val="00E06C49"/>
    <w:rsid w:val="00E06FC5"/>
    <w:rsid w:val="00E10496"/>
    <w:rsid w:val="00E11134"/>
    <w:rsid w:val="00E11E40"/>
    <w:rsid w:val="00E120E0"/>
    <w:rsid w:val="00E122E2"/>
    <w:rsid w:val="00E1295D"/>
    <w:rsid w:val="00E14713"/>
    <w:rsid w:val="00E14F8A"/>
    <w:rsid w:val="00E15C4B"/>
    <w:rsid w:val="00E16E0B"/>
    <w:rsid w:val="00E17B38"/>
    <w:rsid w:val="00E20424"/>
    <w:rsid w:val="00E20516"/>
    <w:rsid w:val="00E21602"/>
    <w:rsid w:val="00E2240E"/>
    <w:rsid w:val="00E225AE"/>
    <w:rsid w:val="00E22741"/>
    <w:rsid w:val="00E228D1"/>
    <w:rsid w:val="00E22D43"/>
    <w:rsid w:val="00E23219"/>
    <w:rsid w:val="00E23886"/>
    <w:rsid w:val="00E244E0"/>
    <w:rsid w:val="00E24832"/>
    <w:rsid w:val="00E2594C"/>
    <w:rsid w:val="00E26674"/>
    <w:rsid w:val="00E27C3A"/>
    <w:rsid w:val="00E30382"/>
    <w:rsid w:val="00E3055A"/>
    <w:rsid w:val="00E310C9"/>
    <w:rsid w:val="00E31144"/>
    <w:rsid w:val="00E325AE"/>
    <w:rsid w:val="00E32941"/>
    <w:rsid w:val="00E32E7D"/>
    <w:rsid w:val="00E33FA8"/>
    <w:rsid w:val="00E3467A"/>
    <w:rsid w:val="00E3631B"/>
    <w:rsid w:val="00E36D58"/>
    <w:rsid w:val="00E36D85"/>
    <w:rsid w:val="00E371E3"/>
    <w:rsid w:val="00E371F1"/>
    <w:rsid w:val="00E37966"/>
    <w:rsid w:val="00E40BED"/>
    <w:rsid w:val="00E426A8"/>
    <w:rsid w:val="00E42C9C"/>
    <w:rsid w:val="00E42E0B"/>
    <w:rsid w:val="00E436F0"/>
    <w:rsid w:val="00E4385C"/>
    <w:rsid w:val="00E44FE2"/>
    <w:rsid w:val="00E45174"/>
    <w:rsid w:val="00E46A6D"/>
    <w:rsid w:val="00E47F6A"/>
    <w:rsid w:val="00E51B5A"/>
    <w:rsid w:val="00E5220B"/>
    <w:rsid w:val="00E52818"/>
    <w:rsid w:val="00E52ACE"/>
    <w:rsid w:val="00E52B3D"/>
    <w:rsid w:val="00E52F32"/>
    <w:rsid w:val="00E53B77"/>
    <w:rsid w:val="00E53D71"/>
    <w:rsid w:val="00E53E85"/>
    <w:rsid w:val="00E54AC8"/>
    <w:rsid w:val="00E557A1"/>
    <w:rsid w:val="00E55D58"/>
    <w:rsid w:val="00E5642A"/>
    <w:rsid w:val="00E5662D"/>
    <w:rsid w:val="00E56C33"/>
    <w:rsid w:val="00E57315"/>
    <w:rsid w:val="00E578CD"/>
    <w:rsid w:val="00E6042D"/>
    <w:rsid w:val="00E612C0"/>
    <w:rsid w:val="00E61423"/>
    <w:rsid w:val="00E61644"/>
    <w:rsid w:val="00E618F3"/>
    <w:rsid w:val="00E61E48"/>
    <w:rsid w:val="00E62CAA"/>
    <w:rsid w:val="00E62DE0"/>
    <w:rsid w:val="00E63200"/>
    <w:rsid w:val="00E636B7"/>
    <w:rsid w:val="00E63FE7"/>
    <w:rsid w:val="00E64ED1"/>
    <w:rsid w:val="00E665E4"/>
    <w:rsid w:val="00E667E8"/>
    <w:rsid w:val="00E66A2B"/>
    <w:rsid w:val="00E670E3"/>
    <w:rsid w:val="00E675B1"/>
    <w:rsid w:val="00E67A94"/>
    <w:rsid w:val="00E708DA"/>
    <w:rsid w:val="00E72228"/>
    <w:rsid w:val="00E72439"/>
    <w:rsid w:val="00E73576"/>
    <w:rsid w:val="00E73745"/>
    <w:rsid w:val="00E7383B"/>
    <w:rsid w:val="00E73C93"/>
    <w:rsid w:val="00E743E1"/>
    <w:rsid w:val="00E74791"/>
    <w:rsid w:val="00E74A2F"/>
    <w:rsid w:val="00E74BAC"/>
    <w:rsid w:val="00E77C9C"/>
    <w:rsid w:val="00E77D5F"/>
    <w:rsid w:val="00E77EF7"/>
    <w:rsid w:val="00E80578"/>
    <w:rsid w:val="00E81161"/>
    <w:rsid w:val="00E81681"/>
    <w:rsid w:val="00E8259C"/>
    <w:rsid w:val="00E82E7F"/>
    <w:rsid w:val="00E83728"/>
    <w:rsid w:val="00E83F6E"/>
    <w:rsid w:val="00E83FF9"/>
    <w:rsid w:val="00E85799"/>
    <w:rsid w:val="00E86711"/>
    <w:rsid w:val="00E867B4"/>
    <w:rsid w:val="00E9040B"/>
    <w:rsid w:val="00E908CC"/>
    <w:rsid w:val="00E90DEF"/>
    <w:rsid w:val="00E914FF"/>
    <w:rsid w:val="00E91665"/>
    <w:rsid w:val="00E937D6"/>
    <w:rsid w:val="00E93870"/>
    <w:rsid w:val="00E9439C"/>
    <w:rsid w:val="00E9585A"/>
    <w:rsid w:val="00E9590C"/>
    <w:rsid w:val="00E96457"/>
    <w:rsid w:val="00E97F24"/>
    <w:rsid w:val="00EA0341"/>
    <w:rsid w:val="00EA05A0"/>
    <w:rsid w:val="00EA138E"/>
    <w:rsid w:val="00EA180B"/>
    <w:rsid w:val="00EA1C34"/>
    <w:rsid w:val="00EA3862"/>
    <w:rsid w:val="00EA3ACC"/>
    <w:rsid w:val="00EA3B01"/>
    <w:rsid w:val="00EA3C57"/>
    <w:rsid w:val="00EA45AF"/>
    <w:rsid w:val="00EA4B71"/>
    <w:rsid w:val="00EA4DCD"/>
    <w:rsid w:val="00EA503D"/>
    <w:rsid w:val="00EA50ED"/>
    <w:rsid w:val="00EA5653"/>
    <w:rsid w:val="00EA6374"/>
    <w:rsid w:val="00EA677F"/>
    <w:rsid w:val="00EA75B9"/>
    <w:rsid w:val="00EB03DD"/>
    <w:rsid w:val="00EB083F"/>
    <w:rsid w:val="00EB1A7C"/>
    <w:rsid w:val="00EB22CC"/>
    <w:rsid w:val="00EB26A7"/>
    <w:rsid w:val="00EB32CF"/>
    <w:rsid w:val="00EB370D"/>
    <w:rsid w:val="00EB3879"/>
    <w:rsid w:val="00EB4190"/>
    <w:rsid w:val="00EB48DF"/>
    <w:rsid w:val="00EB5DD5"/>
    <w:rsid w:val="00EB60B5"/>
    <w:rsid w:val="00EB63A5"/>
    <w:rsid w:val="00EB64EA"/>
    <w:rsid w:val="00EB665B"/>
    <w:rsid w:val="00EB6A89"/>
    <w:rsid w:val="00EB7235"/>
    <w:rsid w:val="00EC07C6"/>
    <w:rsid w:val="00EC0845"/>
    <w:rsid w:val="00EC11B8"/>
    <w:rsid w:val="00EC1705"/>
    <w:rsid w:val="00EC1AF9"/>
    <w:rsid w:val="00EC1FCF"/>
    <w:rsid w:val="00EC31F3"/>
    <w:rsid w:val="00EC4F18"/>
    <w:rsid w:val="00EC5344"/>
    <w:rsid w:val="00EC5678"/>
    <w:rsid w:val="00EC6AF8"/>
    <w:rsid w:val="00EC7429"/>
    <w:rsid w:val="00ED0F5A"/>
    <w:rsid w:val="00ED135A"/>
    <w:rsid w:val="00ED191E"/>
    <w:rsid w:val="00ED2081"/>
    <w:rsid w:val="00ED26EC"/>
    <w:rsid w:val="00ED30CF"/>
    <w:rsid w:val="00ED3263"/>
    <w:rsid w:val="00ED39DD"/>
    <w:rsid w:val="00ED440B"/>
    <w:rsid w:val="00ED4AA9"/>
    <w:rsid w:val="00ED53AF"/>
    <w:rsid w:val="00ED6570"/>
    <w:rsid w:val="00ED770B"/>
    <w:rsid w:val="00ED7E4B"/>
    <w:rsid w:val="00EE069D"/>
    <w:rsid w:val="00EE15F2"/>
    <w:rsid w:val="00EE1A40"/>
    <w:rsid w:val="00EE21FC"/>
    <w:rsid w:val="00EE2216"/>
    <w:rsid w:val="00EE29BB"/>
    <w:rsid w:val="00EE366A"/>
    <w:rsid w:val="00EE3FFE"/>
    <w:rsid w:val="00EE4366"/>
    <w:rsid w:val="00EE4433"/>
    <w:rsid w:val="00EE471E"/>
    <w:rsid w:val="00EE564C"/>
    <w:rsid w:val="00EE59C1"/>
    <w:rsid w:val="00EE6C13"/>
    <w:rsid w:val="00EE7D23"/>
    <w:rsid w:val="00EE7D65"/>
    <w:rsid w:val="00EF00DA"/>
    <w:rsid w:val="00EF2077"/>
    <w:rsid w:val="00EF39BD"/>
    <w:rsid w:val="00EF3DA3"/>
    <w:rsid w:val="00EF3F0B"/>
    <w:rsid w:val="00EF5B32"/>
    <w:rsid w:val="00EF64BB"/>
    <w:rsid w:val="00EF6820"/>
    <w:rsid w:val="00F0097A"/>
    <w:rsid w:val="00F01253"/>
    <w:rsid w:val="00F01621"/>
    <w:rsid w:val="00F01E78"/>
    <w:rsid w:val="00F0255E"/>
    <w:rsid w:val="00F03558"/>
    <w:rsid w:val="00F03CC2"/>
    <w:rsid w:val="00F03FD4"/>
    <w:rsid w:val="00F04D39"/>
    <w:rsid w:val="00F0535B"/>
    <w:rsid w:val="00F05D9F"/>
    <w:rsid w:val="00F05F0B"/>
    <w:rsid w:val="00F06001"/>
    <w:rsid w:val="00F0743E"/>
    <w:rsid w:val="00F07A9E"/>
    <w:rsid w:val="00F10594"/>
    <w:rsid w:val="00F10A6D"/>
    <w:rsid w:val="00F117B1"/>
    <w:rsid w:val="00F11D07"/>
    <w:rsid w:val="00F13309"/>
    <w:rsid w:val="00F13509"/>
    <w:rsid w:val="00F14CAB"/>
    <w:rsid w:val="00F14FFC"/>
    <w:rsid w:val="00F1626B"/>
    <w:rsid w:val="00F16A51"/>
    <w:rsid w:val="00F16BF7"/>
    <w:rsid w:val="00F179B0"/>
    <w:rsid w:val="00F17DC6"/>
    <w:rsid w:val="00F17F53"/>
    <w:rsid w:val="00F201FC"/>
    <w:rsid w:val="00F220C6"/>
    <w:rsid w:val="00F22B73"/>
    <w:rsid w:val="00F23C97"/>
    <w:rsid w:val="00F25CAE"/>
    <w:rsid w:val="00F25CCE"/>
    <w:rsid w:val="00F268B6"/>
    <w:rsid w:val="00F31CEC"/>
    <w:rsid w:val="00F31E0A"/>
    <w:rsid w:val="00F31F6D"/>
    <w:rsid w:val="00F3209B"/>
    <w:rsid w:val="00F32A75"/>
    <w:rsid w:val="00F33059"/>
    <w:rsid w:val="00F339C2"/>
    <w:rsid w:val="00F3602D"/>
    <w:rsid w:val="00F36307"/>
    <w:rsid w:val="00F36748"/>
    <w:rsid w:val="00F36D60"/>
    <w:rsid w:val="00F37AD4"/>
    <w:rsid w:val="00F400A0"/>
    <w:rsid w:val="00F40148"/>
    <w:rsid w:val="00F40858"/>
    <w:rsid w:val="00F40AA2"/>
    <w:rsid w:val="00F40C6D"/>
    <w:rsid w:val="00F40FE8"/>
    <w:rsid w:val="00F41029"/>
    <w:rsid w:val="00F42074"/>
    <w:rsid w:val="00F42924"/>
    <w:rsid w:val="00F42DC4"/>
    <w:rsid w:val="00F441EE"/>
    <w:rsid w:val="00F45B64"/>
    <w:rsid w:val="00F4731F"/>
    <w:rsid w:val="00F47479"/>
    <w:rsid w:val="00F4762F"/>
    <w:rsid w:val="00F47F5D"/>
    <w:rsid w:val="00F5042C"/>
    <w:rsid w:val="00F508AF"/>
    <w:rsid w:val="00F50AA5"/>
    <w:rsid w:val="00F518DB"/>
    <w:rsid w:val="00F52481"/>
    <w:rsid w:val="00F5286C"/>
    <w:rsid w:val="00F53950"/>
    <w:rsid w:val="00F53FB0"/>
    <w:rsid w:val="00F548A0"/>
    <w:rsid w:val="00F54CA7"/>
    <w:rsid w:val="00F55518"/>
    <w:rsid w:val="00F56305"/>
    <w:rsid w:val="00F567AD"/>
    <w:rsid w:val="00F57F0F"/>
    <w:rsid w:val="00F60348"/>
    <w:rsid w:val="00F6079E"/>
    <w:rsid w:val="00F60E40"/>
    <w:rsid w:val="00F60FFC"/>
    <w:rsid w:val="00F61A68"/>
    <w:rsid w:val="00F61D82"/>
    <w:rsid w:val="00F623F3"/>
    <w:rsid w:val="00F629EA"/>
    <w:rsid w:val="00F63ED4"/>
    <w:rsid w:val="00F6567D"/>
    <w:rsid w:val="00F65AFB"/>
    <w:rsid w:val="00F65C4C"/>
    <w:rsid w:val="00F6672C"/>
    <w:rsid w:val="00F669CF"/>
    <w:rsid w:val="00F66D83"/>
    <w:rsid w:val="00F673C6"/>
    <w:rsid w:val="00F67754"/>
    <w:rsid w:val="00F67CD2"/>
    <w:rsid w:val="00F700F3"/>
    <w:rsid w:val="00F715D6"/>
    <w:rsid w:val="00F73747"/>
    <w:rsid w:val="00F73EE8"/>
    <w:rsid w:val="00F7415C"/>
    <w:rsid w:val="00F74D4D"/>
    <w:rsid w:val="00F75D95"/>
    <w:rsid w:val="00F76DF5"/>
    <w:rsid w:val="00F76DFF"/>
    <w:rsid w:val="00F775E7"/>
    <w:rsid w:val="00F80C68"/>
    <w:rsid w:val="00F80E79"/>
    <w:rsid w:val="00F81F85"/>
    <w:rsid w:val="00F8317A"/>
    <w:rsid w:val="00F83344"/>
    <w:rsid w:val="00F84F89"/>
    <w:rsid w:val="00F85D8E"/>
    <w:rsid w:val="00F869F5"/>
    <w:rsid w:val="00F87637"/>
    <w:rsid w:val="00F8787D"/>
    <w:rsid w:val="00F87AFE"/>
    <w:rsid w:val="00F90B27"/>
    <w:rsid w:val="00F90ECE"/>
    <w:rsid w:val="00F911FB"/>
    <w:rsid w:val="00F9183F"/>
    <w:rsid w:val="00F91ADD"/>
    <w:rsid w:val="00F92715"/>
    <w:rsid w:val="00F927EA"/>
    <w:rsid w:val="00F9319D"/>
    <w:rsid w:val="00F951B2"/>
    <w:rsid w:val="00F95857"/>
    <w:rsid w:val="00F95FF1"/>
    <w:rsid w:val="00F96722"/>
    <w:rsid w:val="00F9753B"/>
    <w:rsid w:val="00FA04F8"/>
    <w:rsid w:val="00FA1461"/>
    <w:rsid w:val="00FA1F8D"/>
    <w:rsid w:val="00FA2823"/>
    <w:rsid w:val="00FA2E75"/>
    <w:rsid w:val="00FA3485"/>
    <w:rsid w:val="00FA34EC"/>
    <w:rsid w:val="00FA371D"/>
    <w:rsid w:val="00FA3C7D"/>
    <w:rsid w:val="00FA4011"/>
    <w:rsid w:val="00FA44DF"/>
    <w:rsid w:val="00FA462C"/>
    <w:rsid w:val="00FA50CC"/>
    <w:rsid w:val="00FA50E1"/>
    <w:rsid w:val="00FA549D"/>
    <w:rsid w:val="00FA59CA"/>
    <w:rsid w:val="00FA65DB"/>
    <w:rsid w:val="00FA6814"/>
    <w:rsid w:val="00FA7A7E"/>
    <w:rsid w:val="00FB0218"/>
    <w:rsid w:val="00FB0A49"/>
    <w:rsid w:val="00FB1402"/>
    <w:rsid w:val="00FB2303"/>
    <w:rsid w:val="00FB29E2"/>
    <w:rsid w:val="00FB2C8A"/>
    <w:rsid w:val="00FB3126"/>
    <w:rsid w:val="00FB3140"/>
    <w:rsid w:val="00FB329E"/>
    <w:rsid w:val="00FB34FD"/>
    <w:rsid w:val="00FB411C"/>
    <w:rsid w:val="00FB487B"/>
    <w:rsid w:val="00FB4ED2"/>
    <w:rsid w:val="00FB56A8"/>
    <w:rsid w:val="00FB7C95"/>
    <w:rsid w:val="00FC11C3"/>
    <w:rsid w:val="00FC131F"/>
    <w:rsid w:val="00FC1446"/>
    <w:rsid w:val="00FC23CA"/>
    <w:rsid w:val="00FC2AF9"/>
    <w:rsid w:val="00FC2D03"/>
    <w:rsid w:val="00FC4B2D"/>
    <w:rsid w:val="00FC4BF9"/>
    <w:rsid w:val="00FC5118"/>
    <w:rsid w:val="00FC71BD"/>
    <w:rsid w:val="00FC73DC"/>
    <w:rsid w:val="00FC7747"/>
    <w:rsid w:val="00FD0356"/>
    <w:rsid w:val="00FD0CEB"/>
    <w:rsid w:val="00FD0DA1"/>
    <w:rsid w:val="00FD0DA4"/>
    <w:rsid w:val="00FD110F"/>
    <w:rsid w:val="00FD1DD7"/>
    <w:rsid w:val="00FD2531"/>
    <w:rsid w:val="00FD2DE4"/>
    <w:rsid w:val="00FD2F70"/>
    <w:rsid w:val="00FD3877"/>
    <w:rsid w:val="00FD6DDE"/>
    <w:rsid w:val="00FD7399"/>
    <w:rsid w:val="00FD7F12"/>
    <w:rsid w:val="00FE056E"/>
    <w:rsid w:val="00FE0B70"/>
    <w:rsid w:val="00FE11FF"/>
    <w:rsid w:val="00FE123B"/>
    <w:rsid w:val="00FE12C9"/>
    <w:rsid w:val="00FE17FF"/>
    <w:rsid w:val="00FE1A77"/>
    <w:rsid w:val="00FE1C7F"/>
    <w:rsid w:val="00FE233F"/>
    <w:rsid w:val="00FE31D1"/>
    <w:rsid w:val="00FE339C"/>
    <w:rsid w:val="00FE5D64"/>
    <w:rsid w:val="00FE7268"/>
    <w:rsid w:val="00FE7BF3"/>
    <w:rsid w:val="00FE7DDF"/>
    <w:rsid w:val="00FF1A56"/>
    <w:rsid w:val="00FF2114"/>
    <w:rsid w:val="00FF211C"/>
    <w:rsid w:val="00FF23DB"/>
    <w:rsid w:val="00FF3B46"/>
    <w:rsid w:val="00FF463B"/>
    <w:rsid w:val="00FF4B80"/>
    <w:rsid w:val="00FF4F1F"/>
    <w:rsid w:val="00FF6C58"/>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5CF97B-0491-4EF4-8FF3-542E6AB5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7"/>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7B95"/>
    <w:rPr>
      <w:sz w:val="24"/>
      <w:szCs w:val="24"/>
    </w:rPr>
  </w:style>
  <w:style w:type="paragraph" w:styleId="Heading1">
    <w:name w:val="heading 1"/>
    <w:basedOn w:val="Normal"/>
    <w:next w:val="Normal"/>
    <w:qFormat/>
    <w:rsid w:val="00247B95"/>
    <w:pPr>
      <w:keepNext/>
      <w:outlineLvl w:val="0"/>
    </w:pPr>
    <w:rPr>
      <w:b/>
      <w:bCs/>
      <w:i/>
      <w:iCs/>
    </w:rPr>
  </w:style>
  <w:style w:type="paragraph" w:styleId="Heading2">
    <w:name w:val="heading 2"/>
    <w:basedOn w:val="Normal"/>
    <w:next w:val="Normal"/>
    <w:qFormat/>
    <w:rsid w:val="00247B95"/>
    <w:pPr>
      <w:keepNext/>
      <w:spacing w:before="240" w:after="60"/>
      <w:outlineLvl w:val="1"/>
    </w:pPr>
    <w:rPr>
      <w:rFonts w:cs="Arial"/>
      <w:b/>
      <w:bCs/>
      <w:iCs/>
      <w:sz w:val="20"/>
      <w:szCs w:val="28"/>
    </w:rPr>
  </w:style>
  <w:style w:type="paragraph" w:styleId="Heading3">
    <w:name w:val="heading 3"/>
    <w:basedOn w:val="Normal"/>
    <w:next w:val="Normal"/>
    <w:qFormat/>
    <w:rsid w:val="00247B95"/>
    <w:pPr>
      <w:keepNext/>
      <w:jc w:val="both"/>
      <w:outlineLvl w:val="2"/>
    </w:pPr>
    <w:rPr>
      <w:b/>
      <w:bCs/>
      <w:sz w:val="20"/>
      <w:szCs w:val="20"/>
    </w:rPr>
  </w:style>
  <w:style w:type="paragraph" w:styleId="Heading4">
    <w:name w:val="heading 4"/>
    <w:basedOn w:val="Normal"/>
    <w:next w:val="Normal"/>
    <w:qFormat/>
    <w:rsid w:val="00247B95"/>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247B95"/>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rsid w:val="00247B95"/>
    <w:pPr>
      <w:spacing w:line="300" w:lineRule="exact"/>
    </w:pPr>
    <w:rPr>
      <w:spacing w:val="-2"/>
      <w:sz w:val="28"/>
    </w:rPr>
  </w:style>
  <w:style w:type="paragraph" w:customStyle="1" w:styleId="HM">
    <w:name w:val="_ H __M"/>
    <w:basedOn w:val="HCh"/>
    <w:next w:val="Normal"/>
    <w:rsid w:val="00247B95"/>
    <w:pPr>
      <w:spacing w:line="360" w:lineRule="exact"/>
    </w:pPr>
    <w:rPr>
      <w:spacing w:val="-3"/>
      <w:w w:val="99"/>
      <w:sz w:val="34"/>
    </w:rPr>
  </w:style>
  <w:style w:type="paragraph" w:customStyle="1" w:styleId="H23">
    <w:name w:val="_ H_2/3"/>
    <w:basedOn w:val="H1"/>
    <w:next w:val="Normal"/>
    <w:rsid w:val="00247B95"/>
    <w:pPr>
      <w:spacing w:line="240" w:lineRule="exact"/>
      <w:outlineLvl w:val="1"/>
    </w:pPr>
    <w:rPr>
      <w:spacing w:val="2"/>
      <w:sz w:val="20"/>
    </w:rPr>
  </w:style>
  <w:style w:type="paragraph" w:customStyle="1" w:styleId="H4">
    <w:name w:val="_ H_4"/>
    <w:basedOn w:val="Normal"/>
    <w:next w:val="Normal"/>
    <w:rsid w:val="00247B95"/>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rsid w:val="00247B95"/>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rsid w:val="00247B95"/>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link w:val="SingleTxtChar"/>
    <w:qFormat/>
    <w:rsid w:val="00247B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character" w:styleId="FootnoteReference">
    <w:name w:val="footnote reference"/>
    <w:uiPriority w:val="99"/>
    <w:semiHidden/>
    <w:rsid w:val="00247B95"/>
    <w:rPr>
      <w:spacing w:val="-5"/>
      <w:w w:val="130"/>
      <w:position w:val="-4"/>
      <w:vertAlign w:val="superscript"/>
    </w:rPr>
  </w:style>
  <w:style w:type="paragraph" w:styleId="BodyText3">
    <w:name w:val="Body Text 3"/>
    <w:basedOn w:val="Normal"/>
    <w:rsid w:val="00247B95"/>
    <w:rPr>
      <w:sz w:val="22"/>
    </w:rPr>
  </w:style>
  <w:style w:type="paragraph" w:styleId="Header">
    <w:name w:val="header"/>
    <w:rsid w:val="00247B95"/>
    <w:pPr>
      <w:tabs>
        <w:tab w:val="center" w:pos="4320"/>
        <w:tab w:val="right" w:pos="8640"/>
      </w:tabs>
    </w:pPr>
    <w:rPr>
      <w:noProof/>
      <w:sz w:val="17"/>
    </w:rPr>
  </w:style>
  <w:style w:type="paragraph" w:styleId="Footer">
    <w:name w:val="footer"/>
    <w:link w:val="FooterChar"/>
    <w:rsid w:val="00247B95"/>
    <w:pPr>
      <w:tabs>
        <w:tab w:val="center" w:pos="4320"/>
        <w:tab w:val="right" w:pos="8640"/>
      </w:tabs>
    </w:pPr>
    <w:rPr>
      <w:b/>
      <w:noProof/>
      <w:sz w:val="17"/>
    </w:rPr>
  </w:style>
  <w:style w:type="paragraph" w:customStyle="1" w:styleId="XLarge">
    <w:name w:val="XLarge"/>
    <w:basedOn w:val="Normal"/>
    <w:rsid w:val="00247B95"/>
    <w:pPr>
      <w:keepNext/>
      <w:keepLines/>
      <w:tabs>
        <w:tab w:val="right" w:leader="dot" w:pos="360"/>
      </w:tabs>
      <w:suppressAutoHyphens/>
      <w:spacing w:line="390" w:lineRule="exact"/>
      <w:outlineLvl w:val="0"/>
    </w:pPr>
    <w:rPr>
      <w:b/>
      <w:spacing w:val="-4"/>
      <w:w w:val="98"/>
      <w:kern w:val="14"/>
      <w:sz w:val="40"/>
      <w:szCs w:val="20"/>
      <w:lang w:val="en-GB"/>
    </w:rPr>
  </w:style>
  <w:style w:type="paragraph" w:customStyle="1" w:styleId="singletxt0">
    <w:name w:val="singletxt"/>
    <w:basedOn w:val="Normal"/>
    <w:rsid w:val="00247B95"/>
    <w:pPr>
      <w:spacing w:after="120" w:line="240" w:lineRule="atLeast"/>
      <w:ind w:left="1267" w:right="1267"/>
      <w:jc w:val="both"/>
    </w:pPr>
    <w:rPr>
      <w:rFonts w:eastAsia="Arial Unicode MS"/>
      <w:spacing w:val="4"/>
      <w:sz w:val="20"/>
      <w:szCs w:val="20"/>
    </w:rPr>
  </w:style>
  <w:style w:type="paragraph" w:styleId="BodyText">
    <w:name w:val="Body Text"/>
    <w:basedOn w:val="Normal"/>
    <w:rsid w:val="00247B95"/>
    <w:rPr>
      <w:sz w:val="20"/>
      <w:szCs w:val="20"/>
      <w:lang w:val="en-GB"/>
    </w:rPr>
  </w:style>
  <w:style w:type="paragraph" w:styleId="BodyTextIndent">
    <w:name w:val="Body Text Indent"/>
    <w:basedOn w:val="Normal"/>
    <w:rsid w:val="00247B95"/>
    <w:pPr>
      <w:ind w:left="-30"/>
      <w:jc w:val="both"/>
    </w:pPr>
  </w:style>
  <w:style w:type="paragraph" w:styleId="FootnoteText">
    <w:name w:val="footnote text"/>
    <w:basedOn w:val="Normal"/>
    <w:link w:val="FootnoteTextChar"/>
    <w:uiPriority w:val="99"/>
    <w:semiHidden/>
    <w:rsid w:val="00247B95"/>
    <w:rPr>
      <w:sz w:val="20"/>
      <w:szCs w:val="20"/>
    </w:rPr>
  </w:style>
  <w:style w:type="character" w:styleId="Strong">
    <w:name w:val="Strong"/>
    <w:uiPriority w:val="22"/>
    <w:qFormat/>
    <w:rsid w:val="00BE4A87"/>
    <w:rPr>
      <w:b/>
      <w:bCs/>
    </w:rPr>
  </w:style>
  <w:style w:type="character" w:styleId="Hyperlink">
    <w:name w:val="Hyperlink"/>
    <w:rsid w:val="005C473F"/>
    <w:rPr>
      <w:color w:val="0000FF"/>
      <w:u w:val="single"/>
    </w:rPr>
  </w:style>
  <w:style w:type="table" w:styleId="TableGrid">
    <w:name w:val="Table Grid"/>
    <w:basedOn w:val="TableNormal"/>
    <w:rsid w:val="009C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0C76"/>
    <w:rPr>
      <w:rFonts w:ascii="Tahoma" w:hAnsi="Tahoma" w:cs="Tahoma"/>
      <w:sz w:val="16"/>
      <w:szCs w:val="16"/>
    </w:rPr>
  </w:style>
  <w:style w:type="character" w:styleId="PageNumber">
    <w:name w:val="page number"/>
    <w:basedOn w:val="DefaultParagraphFont"/>
    <w:rsid w:val="00414E22"/>
  </w:style>
  <w:style w:type="character" w:customStyle="1" w:styleId="EmailStyle371">
    <w:name w:val="EmailStyle371"/>
    <w:semiHidden/>
    <w:rsid w:val="00DA6A7D"/>
    <w:rPr>
      <w:rFonts w:ascii="Arial (W1)" w:hAnsi="Arial (W1)" w:cs="Arial" w:hint="default"/>
      <w:color w:val="auto"/>
      <w:sz w:val="20"/>
      <w:szCs w:val="20"/>
    </w:rPr>
  </w:style>
  <w:style w:type="paragraph" w:customStyle="1" w:styleId="a">
    <w:basedOn w:val="Normal"/>
    <w:rsid w:val="00362130"/>
    <w:pPr>
      <w:spacing w:after="160" w:line="240" w:lineRule="exact"/>
    </w:pPr>
    <w:rPr>
      <w:rFonts w:ascii="Arial" w:hAnsi="Arial" w:cs="Arial"/>
      <w:sz w:val="20"/>
      <w:szCs w:val="20"/>
      <w:lang w:val="en-GB"/>
    </w:rPr>
  </w:style>
  <w:style w:type="paragraph" w:customStyle="1" w:styleId="CharCharCharCharCharCharChar">
    <w:name w:val="Char Char Char Char Char Char Char"/>
    <w:basedOn w:val="Heading2"/>
    <w:rsid w:val="0066127F"/>
    <w:pPr>
      <w:pageBreakBefore/>
      <w:tabs>
        <w:tab w:val="left" w:pos="850"/>
        <w:tab w:val="left" w:pos="1191"/>
        <w:tab w:val="left" w:pos="1531"/>
      </w:tabs>
      <w:spacing w:before="120" w:after="120"/>
      <w:jc w:val="center"/>
    </w:pPr>
    <w:rPr>
      <w:rFonts w:ascii="Tahoma" w:hAnsi="Tahoma" w:cs="Tahoma"/>
      <w:bCs w:val="0"/>
      <w:iCs w:val="0"/>
      <w:color w:val="FFFFFF"/>
      <w:spacing w:val="20"/>
      <w:sz w:val="22"/>
      <w:szCs w:val="22"/>
      <w:lang w:val="en-GB" w:eastAsia="zh-CN"/>
    </w:rPr>
  </w:style>
  <w:style w:type="paragraph" w:styleId="NormalWeb">
    <w:name w:val="Normal (Web)"/>
    <w:basedOn w:val="Normal"/>
    <w:uiPriority w:val="99"/>
    <w:rsid w:val="0072397C"/>
    <w:pPr>
      <w:spacing w:before="100" w:beforeAutospacing="1" w:after="225"/>
    </w:pPr>
    <w:rPr>
      <w:rFonts w:ascii="Verdana" w:eastAsia="Arial Unicode MS" w:hAnsi="Verdana" w:cs="Arial Unicode MS"/>
      <w:color w:val="000000"/>
      <w:sz w:val="18"/>
      <w:szCs w:val="18"/>
    </w:rPr>
  </w:style>
  <w:style w:type="numbering" w:customStyle="1" w:styleId="Style1">
    <w:name w:val="Style1"/>
    <w:rsid w:val="0072397C"/>
    <w:pPr>
      <w:numPr>
        <w:numId w:val="1"/>
      </w:numPr>
    </w:pPr>
  </w:style>
  <w:style w:type="paragraph" w:customStyle="1" w:styleId="MediumGrid1-Accent21">
    <w:name w:val="Medium Grid 1 - Accent 21"/>
    <w:basedOn w:val="Normal"/>
    <w:uiPriority w:val="34"/>
    <w:qFormat/>
    <w:rsid w:val="001B667B"/>
    <w:pPr>
      <w:ind w:left="720"/>
    </w:pPr>
    <w:rPr>
      <w:rFonts w:ascii="Calibri" w:eastAsia="Calibri" w:hAnsi="Calibri"/>
      <w:sz w:val="22"/>
      <w:szCs w:val="22"/>
    </w:rPr>
  </w:style>
  <w:style w:type="character" w:styleId="CommentReference">
    <w:name w:val="annotation reference"/>
    <w:rsid w:val="00262548"/>
    <w:rPr>
      <w:sz w:val="16"/>
      <w:szCs w:val="16"/>
    </w:rPr>
  </w:style>
  <w:style w:type="paragraph" w:styleId="CommentText">
    <w:name w:val="annotation text"/>
    <w:basedOn w:val="Normal"/>
    <w:link w:val="CommentTextChar"/>
    <w:rsid w:val="00262548"/>
    <w:rPr>
      <w:sz w:val="20"/>
      <w:szCs w:val="20"/>
    </w:rPr>
  </w:style>
  <w:style w:type="character" w:customStyle="1" w:styleId="CommentTextChar">
    <w:name w:val="Comment Text Char"/>
    <w:link w:val="CommentText"/>
    <w:rsid w:val="00262548"/>
    <w:rPr>
      <w:lang w:eastAsia="en-US"/>
    </w:rPr>
  </w:style>
  <w:style w:type="paragraph" w:styleId="CommentSubject">
    <w:name w:val="annotation subject"/>
    <w:basedOn w:val="CommentText"/>
    <w:next w:val="CommentText"/>
    <w:link w:val="CommentSubjectChar"/>
    <w:rsid w:val="00262548"/>
    <w:rPr>
      <w:b/>
      <w:bCs/>
    </w:rPr>
  </w:style>
  <w:style w:type="character" w:customStyle="1" w:styleId="CommentSubjectChar">
    <w:name w:val="Comment Subject Char"/>
    <w:link w:val="CommentSubject"/>
    <w:rsid w:val="00262548"/>
    <w:rPr>
      <w:b/>
      <w:bCs/>
      <w:lang w:eastAsia="en-US"/>
    </w:rPr>
  </w:style>
  <w:style w:type="paragraph" w:customStyle="1" w:styleId="MediumList2-Accent21">
    <w:name w:val="Medium List 2 - Accent 21"/>
    <w:hidden/>
    <w:uiPriority w:val="99"/>
    <w:semiHidden/>
    <w:rsid w:val="00B400D0"/>
    <w:rPr>
      <w:sz w:val="24"/>
      <w:szCs w:val="24"/>
    </w:rPr>
  </w:style>
  <w:style w:type="character" w:customStyle="1" w:styleId="EmailStyle381">
    <w:name w:val="EmailStyle381"/>
    <w:semiHidden/>
    <w:rsid w:val="006155D0"/>
    <w:rPr>
      <w:rFonts w:ascii="Arial" w:hAnsi="Arial" w:cs="Arial" w:hint="default"/>
      <w:color w:val="000000"/>
    </w:rPr>
  </w:style>
  <w:style w:type="paragraph" w:customStyle="1" w:styleId="Default">
    <w:name w:val="Default"/>
    <w:rsid w:val="001A1547"/>
    <w:pPr>
      <w:autoSpaceDE w:val="0"/>
      <w:autoSpaceDN w:val="0"/>
      <w:adjustRightInd w:val="0"/>
    </w:pPr>
    <w:rPr>
      <w:rFonts w:ascii="Calibri" w:eastAsia="Calibri" w:hAnsi="Calibri" w:cs="Calibri"/>
      <w:color w:val="000000"/>
      <w:sz w:val="24"/>
      <w:szCs w:val="24"/>
    </w:rPr>
  </w:style>
  <w:style w:type="paragraph" w:customStyle="1" w:styleId="default0">
    <w:name w:val="default"/>
    <w:basedOn w:val="Normal"/>
    <w:uiPriority w:val="99"/>
    <w:rsid w:val="00F60FFC"/>
    <w:rPr>
      <w:rFonts w:ascii="Calibri" w:eastAsia="Calibri" w:hAnsi="Calibri" w:cs="Calibri"/>
      <w:color w:val="000000"/>
    </w:rPr>
  </w:style>
  <w:style w:type="table" w:styleId="ColorfulShading-Accent2">
    <w:name w:val="Colorful Shading Accent 2"/>
    <w:basedOn w:val="TableNormal"/>
    <w:uiPriority w:val="67"/>
    <w:rsid w:val="00D13F1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Shading-Accent11">
    <w:name w:val="Colorful Shading - Accent 11"/>
    <w:hidden/>
    <w:uiPriority w:val="99"/>
    <w:semiHidden/>
    <w:rsid w:val="007806C8"/>
    <w:rPr>
      <w:sz w:val="24"/>
      <w:szCs w:val="24"/>
    </w:rPr>
  </w:style>
  <w:style w:type="character" w:customStyle="1" w:styleId="SingleTxtChar">
    <w:name w:val="__Single Txt Char"/>
    <w:link w:val="SingleTxt"/>
    <w:locked/>
    <w:rsid w:val="003E6C7C"/>
    <w:rPr>
      <w:spacing w:val="4"/>
      <w:w w:val="103"/>
      <w:kern w:val="14"/>
      <w:lang w:val="en-GB" w:eastAsia="en-US"/>
    </w:rPr>
  </w:style>
  <w:style w:type="paragraph" w:styleId="ListParagraph">
    <w:name w:val="List Paragraph"/>
    <w:aliases w:val="Bullets,List Paragraph1,List Paragraph (numbered (a)),Colorful List - Accent 11,WB Para"/>
    <w:basedOn w:val="Normal"/>
    <w:uiPriority w:val="34"/>
    <w:qFormat/>
    <w:rsid w:val="00962593"/>
    <w:pPr>
      <w:ind w:left="720"/>
      <w:contextualSpacing/>
    </w:pPr>
  </w:style>
  <w:style w:type="character" w:customStyle="1" w:styleId="MediumGrid1-Accent2Char">
    <w:name w:val="Medium Grid 1 - Accent 2 Char"/>
    <w:aliases w:val="List Paragraph (numbered (a)) Char,Bullets Char,List Paragraph1 Char,List Paragraph Char,Colorful List - Accent 11 Char,WB Para Char"/>
    <w:link w:val="MediumGrid1-Accent2"/>
    <w:uiPriority w:val="34"/>
    <w:locked/>
    <w:rsid w:val="00783575"/>
    <w:rPr>
      <w:sz w:val="24"/>
      <w:szCs w:val="24"/>
    </w:rPr>
  </w:style>
  <w:style w:type="table" w:styleId="MediumGrid1-Accent2">
    <w:name w:val="Medium Grid 1 Accent 2"/>
    <w:basedOn w:val="TableNormal"/>
    <w:link w:val="MediumGrid1-Accent2Char"/>
    <w:uiPriority w:val="34"/>
    <w:rsid w:val="00783575"/>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ms-rtefontsize-2">
    <w:name w:val="ms-rtefontsize-2"/>
    <w:rsid w:val="00751B7D"/>
  </w:style>
  <w:style w:type="character" w:customStyle="1" w:styleId="BalloonTextChar">
    <w:name w:val="Balloon Text Char"/>
    <w:link w:val="BalloonText"/>
    <w:rsid w:val="008D138F"/>
    <w:rPr>
      <w:rFonts w:ascii="Tahoma" w:hAnsi="Tahoma" w:cs="Tahoma"/>
      <w:sz w:val="16"/>
      <w:szCs w:val="16"/>
    </w:rPr>
  </w:style>
  <w:style w:type="character" w:styleId="FollowedHyperlink">
    <w:name w:val="FollowedHyperlink"/>
    <w:rsid w:val="0066644A"/>
    <w:rPr>
      <w:color w:val="954F72"/>
      <w:u w:val="single"/>
    </w:rPr>
  </w:style>
  <w:style w:type="paragraph" w:styleId="Revision">
    <w:name w:val="Revision"/>
    <w:hidden/>
    <w:uiPriority w:val="99"/>
    <w:semiHidden/>
    <w:rsid w:val="00AB4FBA"/>
    <w:rPr>
      <w:sz w:val="24"/>
      <w:szCs w:val="24"/>
    </w:rPr>
  </w:style>
  <w:style w:type="character" w:customStyle="1" w:styleId="FootnoteTextChar">
    <w:name w:val="Footnote Text Char"/>
    <w:link w:val="FootnoteText"/>
    <w:uiPriority w:val="99"/>
    <w:semiHidden/>
    <w:rsid w:val="00F8317A"/>
  </w:style>
  <w:style w:type="character" w:customStyle="1" w:styleId="FooterChar">
    <w:name w:val="Footer Char"/>
    <w:link w:val="Footer"/>
    <w:uiPriority w:val="99"/>
    <w:rsid w:val="00F10A6D"/>
    <w:rPr>
      <w:b/>
      <w:noProof/>
      <w:sz w:val="17"/>
    </w:rPr>
  </w:style>
  <w:style w:type="paragraph" w:customStyle="1" w:styleId="1">
    <w:name w:val="1"/>
    <w:basedOn w:val="Normal"/>
    <w:rsid w:val="00F55518"/>
    <w:pPr>
      <w:spacing w:after="160" w:line="240" w:lineRule="exact"/>
    </w:pPr>
    <w:rPr>
      <w:rFonts w:ascii="Arial" w:hAnsi="Arial" w:cs="Arial"/>
      <w:sz w:val="20"/>
      <w:szCs w:val="20"/>
      <w:lang w:val="en-GB"/>
    </w:rPr>
  </w:style>
  <w:style w:type="paragraph" w:customStyle="1" w:styleId="textmain">
    <w:name w:val="textmain"/>
    <w:basedOn w:val="Normal"/>
    <w:rsid w:val="00F55518"/>
    <w:pPr>
      <w:spacing w:after="100" w:afterAutospacing="1" w:line="160" w:lineRule="atLeast"/>
      <w:ind w:firstLine="300"/>
      <w:jc w:val="both"/>
    </w:pPr>
    <w:rPr>
      <w:color w:val="000000"/>
      <w:sz w:val="14"/>
      <w:szCs w:val="14"/>
    </w:rPr>
  </w:style>
  <w:style w:type="paragraph" w:customStyle="1" w:styleId="xmsolistparagraph">
    <w:name w:val="x_msolistparagraph"/>
    <w:basedOn w:val="Normal"/>
    <w:rsid w:val="00F55518"/>
    <w:pPr>
      <w:spacing w:before="100" w:beforeAutospacing="1" w:after="100" w:afterAutospacing="1"/>
    </w:pPr>
  </w:style>
  <w:style w:type="paragraph" w:styleId="NoSpacing">
    <w:name w:val="No Spacing"/>
    <w:uiPriority w:val="1"/>
    <w:qFormat/>
    <w:rsid w:val="00F55518"/>
    <w:rPr>
      <w:rFonts w:ascii="Calibri" w:hAnsi="Calibri"/>
      <w:sz w:val="22"/>
      <w:szCs w:val="22"/>
      <w:lang w:val="en-GB"/>
    </w:rPr>
  </w:style>
  <w:style w:type="character" w:customStyle="1" w:styleId="ms-rtethemefontface-21">
    <w:name w:val="ms-rtethemefontface-21"/>
    <w:rsid w:val="00F55518"/>
    <w:rPr>
      <w:rFonts w:ascii="Arial" w:hAnsi="Arial" w:cs="Arial" w:hint="default"/>
    </w:rPr>
  </w:style>
  <w:style w:type="paragraph" w:customStyle="1" w:styleId="Title1">
    <w:name w:val="Title 1"/>
    <w:basedOn w:val="HCh"/>
    <w:rsid w:val="00F555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195">
      <w:bodyDiv w:val="1"/>
      <w:marLeft w:val="0"/>
      <w:marRight w:val="0"/>
      <w:marTop w:val="0"/>
      <w:marBottom w:val="0"/>
      <w:divBdr>
        <w:top w:val="none" w:sz="0" w:space="0" w:color="auto"/>
        <w:left w:val="none" w:sz="0" w:space="0" w:color="auto"/>
        <w:bottom w:val="none" w:sz="0" w:space="0" w:color="auto"/>
        <w:right w:val="none" w:sz="0" w:space="0" w:color="auto"/>
      </w:divBdr>
    </w:div>
    <w:div w:id="80568299">
      <w:bodyDiv w:val="1"/>
      <w:marLeft w:val="0"/>
      <w:marRight w:val="0"/>
      <w:marTop w:val="0"/>
      <w:marBottom w:val="0"/>
      <w:divBdr>
        <w:top w:val="none" w:sz="0" w:space="0" w:color="auto"/>
        <w:left w:val="none" w:sz="0" w:space="0" w:color="auto"/>
        <w:bottom w:val="none" w:sz="0" w:space="0" w:color="auto"/>
        <w:right w:val="none" w:sz="0" w:space="0" w:color="auto"/>
      </w:divBdr>
      <w:divsChild>
        <w:div w:id="351810777">
          <w:marLeft w:val="547"/>
          <w:marRight w:val="0"/>
          <w:marTop w:val="0"/>
          <w:marBottom w:val="0"/>
          <w:divBdr>
            <w:top w:val="none" w:sz="0" w:space="0" w:color="auto"/>
            <w:left w:val="none" w:sz="0" w:space="0" w:color="auto"/>
            <w:bottom w:val="none" w:sz="0" w:space="0" w:color="auto"/>
            <w:right w:val="none" w:sz="0" w:space="0" w:color="auto"/>
          </w:divBdr>
        </w:div>
        <w:div w:id="1956518097">
          <w:marLeft w:val="547"/>
          <w:marRight w:val="0"/>
          <w:marTop w:val="0"/>
          <w:marBottom w:val="0"/>
          <w:divBdr>
            <w:top w:val="none" w:sz="0" w:space="0" w:color="auto"/>
            <w:left w:val="none" w:sz="0" w:space="0" w:color="auto"/>
            <w:bottom w:val="none" w:sz="0" w:space="0" w:color="auto"/>
            <w:right w:val="none" w:sz="0" w:space="0" w:color="auto"/>
          </w:divBdr>
        </w:div>
      </w:divsChild>
    </w:div>
    <w:div w:id="81952051">
      <w:bodyDiv w:val="1"/>
      <w:marLeft w:val="0"/>
      <w:marRight w:val="0"/>
      <w:marTop w:val="0"/>
      <w:marBottom w:val="0"/>
      <w:divBdr>
        <w:top w:val="none" w:sz="0" w:space="0" w:color="auto"/>
        <w:left w:val="none" w:sz="0" w:space="0" w:color="auto"/>
        <w:bottom w:val="none" w:sz="0" w:space="0" w:color="auto"/>
        <w:right w:val="none" w:sz="0" w:space="0" w:color="auto"/>
      </w:divBdr>
    </w:div>
    <w:div w:id="263924088">
      <w:bodyDiv w:val="1"/>
      <w:marLeft w:val="0"/>
      <w:marRight w:val="0"/>
      <w:marTop w:val="0"/>
      <w:marBottom w:val="0"/>
      <w:divBdr>
        <w:top w:val="none" w:sz="0" w:space="0" w:color="auto"/>
        <w:left w:val="none" w:sz="0" w:space="0" w:color="auto"/>
        <w:bottom w:val="none" w:sz="0" w:space="0" w:color="auto"/>
        <w:right w:val="none" w:sz="0" w:space="0" w:color="auto"/>
      </w:divBdr>
      <w:divsChild>
        <w:div w:id="1472333004">
          <w:marLeft w:val="547"/>
          <w:marRight w:val="0"/>
          <w:marTop w:val="0"/>
          <w:marBottom w:val="0"/>
          <w:divBdr>
            <w:top w:val="none" w:sz="0" w:space="0" w:color="auto"/>
            <w:left w:val="none" w:sz="0" w:space="0" w:color="auto"/>
            <w:bottom w:val="none" w:sz="0" w:space="0" w:color="auto"/>
            <w:right w:val="none" w:sz="0" w:space="0" w:color="auto"/>
          </w:divBdr>
        </w:div>
      </w:divsChild>
    </w:div>
    <w:div w:id="277222062">
      <w:bodyDiv w:val="1"/>
      <w:marLeft w:val="0"/>
      <w:marRight w:val="0"/>
      <w:marTop w:val="0"/>
      <w:marBottom w:val="0"/>
      <w:divBdr>
        <w:top w:val="none" w:sz="0" w:space="0" w:color="auto"/>
        <w:left w:val="none" w:sz="0" w:space="0" w:color="auto"/>
        <w:bottom w:val="none" w:sz="0" w:space="0" w:color="auto"/>
        <w:right w:val="none" w:sz="0" w:space="0" w:color="auto"/>
      </w:divBdr>
    </w:div>
    <w:div w:id="370349288">
      <w:bodyDiv w:val="1"/>
      <w:marLeft w:val="0"/>
      <w:marRight w:val="0"/>
      <w:marTop w:val="0"/>
      <w:marBottom w:val="0"/>
      <w:divBdr>
        <w:top w:val="none" w:sz="0" w:space="0" w:color="auto"/>
        <w:left w:val="none" w:sz="0" w:space="0" w:color="auto"/>
        <w:bottom w:val="none" w:sz="0" w:space="0" w:color="auto"/>
        <w:right w:val="none" w:sz="0" w:space="0" w:color="auto"/>
      </w:divBdr>
    </w:div>
    <w:div w:id="381950240">
      <w:bodyDiv w:val="1"/>
      <w:marLeft w:val="0"/>
      <w:marRight w:val="0"/>
      <w:marTop w:val="0"/>
      <w:marBottom w:val="0"/>
      <w:divBdr>
        <w:top w:val="none" w:sz="0" w:space="0" w:color="auto"/>
        <w:left w:val="none" w:sz="0" w:space="0" w:color="auto"/>
        <w:bottom w:val="none" w:sz="0" w:space="0" w:color="auto"/>
        <w:right w:val="none" w:sz="0" w:space="0" w:color="auto"/>
      </w:divBdr>
      <w:divsChild>
        <w:div w:id="48069955">
          <w:marLeft w:val="547"/>
          <w:marRight w:val="0"/>
          <w:marTop w:val="0"/>
          <w:marBottom w:val="0"/>
          <w:divBdr>
            <w:top w:val="none" w:sz="0" w:space="0" w:color="auto"/>
            <w:left w:val="none" w:sz="0" w:space="0" w:color="auto"/>
            <w:bottom w:val="none" w:sz="0" w:space="0" w:color="auto"/>
            <w:right w:val="none" w:sz="0" w:space="0" w:color="auto"/>
          </w:divBdr>
        </w:div>
      </w:divsChild>
    </w:div>
    <w:div w:id="403337778">
      <w:bodyDiv w:val="1"/>
      <w:marLeft w:val="0"/>
      <w:marRight w:val="0"/>
      <w:marTop w:val="0"/>
      <w:marBottom w:val="0"/>
      <w:divBdr>
        <w:top w:val="none" w:sz="0" w:space="0" w:color="auto"/>
        <w:left w:val="none" w:sz="0" w:space="0" w:color="auto"/>
        <w:bottom w:val="none" w:sz="0" w:space="0" w:color="auto"/>
        <w:right w:val="none" w:sz="0" w:space="0" w:color="auto"/>
      </w:divBdr>
    </w:div>
    <w:div w:id="476461675">
      <w:bodyDiv w:val="1"/>
      <w:marLeft w:val="0"/>
      <w:marRight w:val="0"/>
      <w:marTop w:val="0"/>
      <w:marBottom w:val="0"/>
      <w:divBdr>
        <w:top w:val="none" w:sz="0" w:space="0" w:color="auto"/>
        <w:left w:val="none" w:sz="0" w:space="0" w:color="auto"/>
        <w:bottom w:val="none" w:sz="0" w:space="0" w:color="auto"/>
        <w:right w:val="none" w:sz="0" w:space="0" w:color="auto"/>
      </w:divBdr>
      <w:divsChild>
        <w:div w:id="1173833236">
          <w:marLeft w:val="547"/>
          <w:marRight w:val="0"/>
          <w:marTop w:val="0"/>
          <w:marBottom w:val="0"/>
          <w:divBdr>
            <w:top w:val="none" w:sz="0" w:space="0" w:color="auto"/>
            <w:left w:val="none" w:sz="0" w:space="0" w:color="auto"/>
            <w:bottom w:val="none" w:sz="0" w:space="0" w:color="auto"/>
            <w:right w:val="none" w:sz="0" w:space="0" w:color="auto"/>
          </w:divBdr>
        </w:div>
      </w:divsChild>
    </w:div>
    <w:div w:id="510950219">
      <w:bodyDiv w:val="1"/>
      <w:marLeft w:val="0"/>
      <w:marRight w:val="0"/>
      <w:marTop w:val="0"/>
      <w:marBottom w:val="0"/>
      <w:divBdr>
        <w:top w:val="none" w:sz="0" w:space="0" w:color="auto"/>
        <w:left w:val="none" w:sz="0" w:space="0" w:color="auto"/>
        <w:bottom w:val="none" w:sz="0" w:space="0" w:color="auto"/>
        <w:right w:val="none" w:sz="0" w:space="0" w:color="auto"/>
      </w:divBdr>
    </w:div>
    <w:div w:id="534319471">
      <w:bodyDiv w:val="1"/>
      <w:marLeft w:val="0"/>
      <w:marRight w:val="0"/>
      <w:marTop w:val="0"/>
      <w:marBottom w:val="0"/>
      <w:divBdr>
        <w:top w:val="none" w:sz="0" w:space="0" w:color="auto"/>
        <w:left w:val="none" w:sz="0" w:space="0" w:color="auto"/>
        <w:bottom w:val="none" w:sz="0" w:space="0" w:color="auto"/>
        <w:right w:val="none" w:sz="0" w:space="0" w:color="auto"/>
      </w:divBdr>
    </w:div>
    <w:div w:id="559948442">
      <w:bodyDiv w:val="1"/>
      <w:marLeft w:val="0"/>
      <w:marRight w:val="0"/>
      <w:marTop w:val="0"/>
      <w:marBottom w:val="0"/>
      <w:divBdr>
        <w:top w:val="none" w:sz="0" w:space="0" w:color="auto"/>
        <w:left w:val="none" w:sz="0" w:space="0" w:color="auto"/>
        <w:bottom w:val="none" w:sz="0" w:space="0" w:color="auto"/>
        <w:right w:val="none" w:sz="0" w:space="0" w:color="auto"/>
      </w:divBdr>
      <w:divsChild>
        <w:div w:id="720330803">
          <w:marLeft w:val="547"/>
          <w:marRight w:val="0"/>
          <w:marTop w:val="0"/>
          <w:marBottom w:val="0"/>
          <w:divBdr>
            <w:top w:val="none" w:sz="0" w:space="0" w:color="auto"/>
            <w:left w:val="none" w:sz="0" w:space="0" w:color="auto"/>
            <w:bottom w:val="none" w:sz="0" w:space="0" w:color="auto"/>
            <w:right w:val="none" w:sz="0" w:space="0" w:color="auto"/>
          </w:divBdr>
        </w:div>
        <w:div w:id="1000276256">
          <w:marLeft w:val="547"/>
          <w:marRight w:val="0"/>
          <w:marTop w:val="0"/>
          <w:marBottom w:val="0"/>
          <w:divBdr>
            <w:top w:val="none" w:sz="0" w:space="0" w:color="auto"/>
            <w:left w:val="none" w:sz="0" w:space="0" w:color="auto"/>
            <w:bottom w:val="none" w:sz="0" w:space="0" w:color="auto"/>
            <w:right w:val="none" w:sz="0" w:space="0" w:color="auto"/>
          </w:divBdr>
        </w:div>
      </w:divsChild>
    </w:div>
    <w:div w:id="582373983">
      <w:bodyDiv w:val="1"/>
      <w:marLeft w:val="0"/>
      <w:marRight w:val="0"/>
      <w:marTop w:val="0"/>
      <w:marBottom w:val="0"/>
      <w:divBdr>
        <w:top w:val="none" w:sz="0" w:space="0" w:color="auto"/>
        <w:left w:val="none" w:sz="0" w:space="0" w:color="auto"/>
        <w:bottom w:val="none" w:sz="0" w:space="0" w:color="auto"/>
        <w:right w:val="none" w:sz="0" w:space="0" w:color="auto"/>
      </w:divBdr>
    </w:div>
    <w:div w:id="661659915">
      <w:bodyDiv w:val="1"/>
      <w:marLeft w:val="0"/>
      <w:marRight w:val="0"/>
      <w:marTop w:val="0"/>
      <w:marBottom w:val="0"/>
      <w:divBdr>
        <w:top w:val="none" w:sz="0" w:space="0" w:color="auto"/>
        <w:left w:val="none" w:sz="0" w:space="0" w:color="auto"/>
        <w:bottom w:val="none" w:sz="0" w:space="0" w:color="auto"/>
        <w:right w:val="none" w:sz="0" w:space="0" w:color="auto"/>
      </w:divBdr>
      <w:divsChild>
        <w:div w:id="32971990">
          <w:marLeft w:val="547"/>
          <w:marRight w:val="0"/>
          <w:marTop w:val="0"/>
          <w:marBottom w:val="0"/>
          <w:divBdr>
            <w:top w:val="none" w:sz="0" w:space="0" w:color="auto"/>
            <w:left w:val="none" w:sz="0" w:space="0" w:color="auto"/>
            <w:bottom w:val="none" w:sz="0" w:space="0" w:color="auto"/>
            <w:right w:val="none" w:sz="0" w:space="0" w:color="auto"/>
          </w:divBdr>
        </w:div>
        <w:div w:id="1255943518">
          <w:marLeft w:val="547"/>
          <w:marRight w:val="0"/>
          <w:marTop w:val="0"/>
          <w:marBottom w:val="0"/>
          <w:divBdr>
            <w:top w:val="none" w:sz="0" w:space="0" w:color="auto"/>
            <w:left w:val="none" w:sz="0" w:space="0" w:color="auto"/>
            <w:bottom w:val="none" w:sz="0" w:space="0" w:color="auto"/>
            <w:right w:val="none" w:sz="0" w:space="0" w:color="auto"/>
          </w:divBdr>
        </w:div>
        <w:div w:id="1480883109">
          <w:marLeft w:val="547"/>
          <w:marRight w:val="0"/>
          <w:marTop w:val="0"/>
          <w:marBottom w:val="0"/>
          <w:divBdr>
            <w:top w:val="none" w:sz="0" w:space="0" w:color="auto"/>
            <w:left w:val="none" w:sz="0" w:space="0" w:color="auto"/>
            <w:bottom w:val="none" w:sz="0" w:space="0" w:color="auto"/>
            <w:right w:val="none" w:sz="0" w:space="0" w:color="auto"/>
          </w:divBdr>
        </w:div>
        <w:div w:id="1759476953">
          <w:marLeft w:val="547"/>
          <w:marRight w:val="0"/>
          <w:marTop w:val="0"/>
          <w:marBottom w:val="0"/>
          <w:divBdr>
            <w:top w:val="none" w:sz="0" w:space="0" w:color="auto"/>
            <w:left w:val="none" w:sz="0" w:space="0" w:color="auto"/>
            <w:bottom w:val="none" w:sz="0" w:space="0" w:color="auto"/>
            <w:right w:val="none" w:sz="0" w:space="0" w:color="auto"/>
          </w:divBdr>
        </w:div>
      </w:divsChild>
    </w:div>
    <w:div w:id="684596841">
      <w:bodyDiv w:val="1"/>
      <w:marLeft w:val="0"/>
      <w:marRight w:val="0"/>
      <w:marTop w:val="0"/>
      <w:marBottom w:val="0"/>
      <w:divBdr>
        <w:top w:val="none" w:sz="0" w:space="0" w:color="auto"/>
        <w:left w:val="none" w:sz="0" w:space="0" w:color="auto"/>
        <w:bottom w:val="none" w:sz="0" w:space="0" w:color="auto"/>
        <w:right w:val="none" w:sz="0" w:space="0" w:color="auto"/>
      </w:divBdr>
    </w:div>
    <w:div w:id="699013877">
      <w:bodyDiv w:val="1"/>
      <w:marLeft w:val="0"/>
      <w:marRight w:val="0"/>
      <w:marTop w:val="0"/>
      <w:marBottom w:val="0"/>
      <w:divBdr>
        <w:top w:val="none" w:sz="0" w:space="0" w:color="auto"/>
        <w:left w:val="none" w:sz="0" w:space="0" w:color="auto"/>
        <w:bottom w:val="none" w:sz="0" w:space="0" w:color="auto"/>
        <w:right w:val="none" w:sz="0" w:space="0" w:color="auto"/>
      </w:divBdr>
    </w:div>
    <w:div w:id="706414028">
      <w:bodyDiv w:val="1"/>
      <w:marLeft w:val="0"/>
      <w:marRight w:val="0"/>
      <w:marTop w:val="0"/>
      <w:marBottom w:val="0"/>
      <w:divBdr>
        <w:top w:val="none" w:sz="0" w:space="0" w:color="auto"/>
        <w:left w:val="none" w:sz="0" w:space="0" w:color="auto"/>
        <w:bottom w:val="none" w:sz="0" w:space="0" w:color="auto"/>
        <w:right w:val="none" w:sz="0" w:space="0" w:color="auto"/>
      </w:divBdr>
      <w:divsChild>
        <w:div w:id="1945844741">
          <w:marLeft w:val="547"/>
          <w:marRight w:val="0"/>
          <w:marTop w:val="0"/>
          <w:marBottom w:val="0"/>
          <w:divBdr>
            <w:top w:val="none" w:sz="0" w:space="0" w:color="auto"/>
            <w:left w:val="none" w:sz="0" w:space="0" w:color="auto"/>
            <w:bottom w:val="none" w:sz="0" w:space="0" w:color="auto"/>
            <w:right w:val="none" w:sz="0" w:space="0" w:color="auto"/>
          </w:divBdr>
        </w:div>
      </w:divsChild>
    </w:div>
    <w:div w:id="733118429">
      <w:bodyDiv w:val="1"/>
      <w:marLeft w:val="0"/>
      <w:marRight w:val="0"/>
      <w:marTop w:val="0"/>
      <w:marBottom w:val="0"/>
      <w:divBdr>
        <w:top w:val="none" w:sz="0" w:space="0" w:color="auto"/>
        <w:left w:val="none" w:sz="0" w:space="0" w:color="auto"/>
        <w:bottom w:val="none" w:sz="0" w:space="0" w:color="auto"/>
        <w:right w:val="none" w:sz="0" w:space="0" w:color="auto"/>
      </w:divBdr>
      <w:divsChild>
        <w:div w:id="514003930">
          <w:marLeft w:val="547"/>
          <w:marRight w:val="0"/>
          <w:marTop w:val="0"/>
          <w:marBottom w:val="0"/>
          <w:divBdr>
            <w:top w:val="none" w:sz="0" w:space="0" w:color="auto"/>
            <w:left w:val="none" w:sz="0" w:space="0" w:color="auto"/>
            <w:bottom w:val="none" w:sz="0" w:space="0" w:color="auto"/>
            <w:right w:val="none" w:sz="0" w:space="0" w:color="auto"/>
          </w:divBdr>
        </w:div>
      </w:divsChild>
    </w:div>
    <w:div w:id="799614852">
      <w:bodyDiv w:val="1"/>
      <w:marLeft w:val="0"/>
      <w:marRight w:val="0"/>
      <w:marTop w:val="0"/>
      <w:marBottom w:val="0"/>
      <w:divBdr>
        <w:top w:val="none" w:sz="0" w:space="0" w:color="auto"/>
        <w:left w:val="none" w:sz="0" w:space="0" w:color="auto"/>
        <w:bottom w:val="none" w:sz="0" w:space="0" w:color="auto"/>
        <w:right w:val="none" w:sz="0" w:space="0" w:color="auto"/>
      </w:divBdr>
    </w:div>
    <w:div w:id="848330217">
      <w:bodyDiv w:val="1"/>
      <w:marLeft w:val="0"/>
      <w:marRight w:val="0"/>
      <w:marTop w:val="0"/>
      <w:marBottom w:val="0"/>
      <w:divBdr>
        <w:top w:val="none" w:sz="0" w:space="0" w:color="auto"/>
        <w:left w:val="none" w:sz="0" w:space="0" w:color="auto"/>
        <w:bottom w:val="none" w:sz="0" w:space="0" w:color="auto"/>
        <w:right w:val="none" w:sz="0" w:space="0" w:color="auto"/>
      </w:divBdr>
    </w:div>
    <w:div w:id="850993653">
      <w:bodyDiv w:val="1"/>
      <w:marLeft w:val="0"/>
      <w:marRight w:val="0"/>
      <w:marTop w:val="0"/>
      <w:marBottom w:val="0"/>
      <w:divBdr>
        <w:top w:val="none" w:sz="0" w:space="0" w:color="auto"/>
        <w:left w:val="none" w:sz="0" w:space="0" w:color="auto"/>
        <w:bottom w:val="none" w:sz="0" w:space="0" w:color="auto"/>
        <w:right w:val="none" w:sz="0" w:space="0" w:color="auto"/>
      </w:divBdr>
    </w:div>
    <w:div w:id="908350137">
      <w:bodyDiv w:val="1"/>
      <w:marLeft w:val="0"/>
      <w:marRight w:val="0"/>
      <w:marTop w:val="0"/>
      <w:marBottom w:val="0"/>
      <w:divBdr>
        <w:top w:val="none" w:sz="0" w:space="0" w:color="auto"/>
        <w:left w:val="none" w:sz="0" w:space="0" w:color="auto"/>
        <w:bottom w:val="none" w:sz="0" w:space="0" w:color="auto"/>
        <w:right w:val="none" w:sz="0" w:space="0" w:color="auto"/>
      </w:divBdr>
      <w:divsChild>
        <w:div w:id="1100612473">
          <w:marLeft w:val="547"/>
          <w:marRight w:val="0"/>
          <w:marTop w:val="0"/>
          <w:marBottom w:val="0"/>
          <w:divBdr>
            <w:top w:val="none" w:sz="0" w:space="0" w:color="auto"/>
            <w:left w:val="none" w:sz="0" w:space="0" w:color="auto"/>
            <w:bottom w:val="none" w:sz="0" w:space="0" w:color="auto"/>
            <w:right w:val="none" w:sz="0" w:space="0" w:color="auto"/>
          </w:divBdr>
        </w:div>
      </w:divsChild>
    </w:div>
    <w:div w:id="924147783">
      <w:bodyDiv w:val="1"/>
      <w:marLeft w:val="0"/>
      <w:marRight w:val="0"/>
      <w:marTop w:val="0"/>
      <w:marBottom w:val="0"/>
      <w:divBdr>
        <w:top w:val="none" w:sz="0" w:space="0" w:color="auto"/>
        <w:left w:val="none" w:sz="0" w:space="0" w:color="auto"/>
        <w:bottom w:val="none" w:sz="0" w:space="0" w:color="auto"/>
        <w:right w:val="none" w:sz="0" w:space="0" w:color="auto"/>
      </w:divBdr>
    </w:div>
    <w:div w:id="1027488277">
      <w:bodyDiv w:val="1"/>
      <w:marLeft w:val="0"/>
      <w:marRight w:val="0"/>
      <w:marTop w:val="0"/>
      <w:marBottom w:val="0"/>
      <w:divBdr>
        <w:top w:val="none" w:sz="0" w:space="0" w:color="auto"/>
        <w:left w:val="none" w:sz="0" w:space="0" w:color="auto"/>
        <w:bottom w:val="none" w:sz="0" w:space="0" w:color="auto"/>
        <w:right w:val="none" w:sz="0" w:space="0" w:color="auto"/>
      </w:divBdr>
    </w:div>
    <w:div w:id="1029992190">
      <w:bodyDiv w:val="1"/>
      <w:marLeft w:val="0"/>
      <w:marRight w:val="0"/>
      <w:marTop w:val="0"/>
      <w:marBottom w:val="0"/>
      <w:divBdr>
        <w:top w:val="none" w:sz="0" w:space="0" w:color="auto"/>
        <w:left w:val="none" w:sz="0" w:space="0" w:color="auto"/>
        <w:bottom w:val="none" w:sz="0" w:space="0" w:color="auto"/>
        <w:right w:val="none" w:sz="0" w:space="0" w:color="auto"/>
      </w:divBdr>
    </w:div>
    <w:div w:id="1069961359">
      <w:bodyDiv w:val="1"/>
      <w:marLeft w:val="0"/>
      <w:marRight w:val="0"/>
      <w:marTop w:val="0"/>
      <w:marBottom w:val="0"/>
      <w:divBdr>
        <w:top w:val="none" w:sz="0" w:space="0" w:color="auto"/>
        <w:left w:val="none" w:sz="0" w:space="0" w:color="auto"/>
        <w:bottom w:val="none" w:sz="0" w:space="0" w:color="auto"/>
        <w:right w:val="none" w:sz="0" w:space="0" w:color="auto"/>
      </w:divBdr>
    </w:div>
    <w:div w:id="1129203123">
      <w:bodyDiv w:val="1"/>
      <w:marLeft w:val="0"/>
      <w:marRight w:val="0"/>
      <w:marTop w:val="0"/>
      <w:marBottom w:val="0"/>
      <w:divBdr>
        <w:top w:val="none" w:sz="0" w:space="0" w:color="auto"/>
        <w:left w:val="none" w:sz="0" w:space="0" w:color="auto"/>
        <w:bottom w:val="none" w:sz="0" w:space="0" w:color="auto"/>
        <w:right w:val="none" w:sz="0" w:space="0" w:color="auto"/>
      </w:divBdr>
    </w:div>
    <w:div w:id="1177698493">
      <w:bodyDiv w:val="1"/>
      <w:marLeft w:val="0"/>
      <w:marRight w:val="0"/>
      <w:marTop w:val="0"/>
      <w:marBottom w:val="0"/>
      <w:divBdr>
        <w:top w:val="none" w:sz="0" w:space="0" w:color="auto"/>
        <w:left w:val="none" w:sz="0" w:space="0" w:color="auto"/>
        <w:bottom w:val="none" w:sz="0" w:space="0" w:color="auto"/>
        <w:right w:val="none" w:sz="0" w:space="0" w:color="auto"/>
      </w:divBdr>
    </w:div>
    <w:div w:id="1344670586">
      <w:bodyDiv w:val="1"/>
      <w:marLeft w:val="0"/>
      <w:marRight w:val="0"/>
      <w:marTop w:val="0"/>
      <w:marBottom w:val="0"/>
      <w:divBdr>
        <w:top w:val="none" w:sz="0" w:space="0" w:color="auto"/>
        <w:left w:val="none" w:sz="0" w:space="0" w:color="auto"/>
        <w:bottom w:val="none" w:sz="0" w:space="0" w:color="auto"/>
        <w:right w:val="none" w:sz="0" w:space="0" w:color="auto"/>
      </w:divBdr>
    </w:div>
    <w:div w:id="1366367008">
      <w:bodyDiv w:val="1"/>
      <w:marLeft w:val="0"/>
      <w:marRight w:val="0"/>
      <w:marTop w:val="0"/>
      <w:marBottom w:val="0"/>
      <w:divBdr>
        <w:top w:val="none" w:sz="0" w:space="0" w:color="auto"/>
        <w:left w:val="none" w:sz="0" w:space="0" w:color="auto"/>
        <w:bottom w:val="none" w:sz="0" w:space="0" w:color="auto"/>
        <w:right w:val="none" w:sz="0" w:space="0" w:color="auto"/>
      </w:divBdr>
    </w:div>
    <w:div w:id="1400706732">
      <w:bodyDiv w:val="1"/>
      <w:marLeft w:val="0"/>
      <w:marRight w:val="0"/>
      <w:marTop w:val="0"/>
      <w:marBottom w:val="0"/>
      <w:divBdr>
        <w:top w:val="none" w:sz="0" w:space="0" w:color="auto"/>
        <w:left w:val="none" w:sz="0" w:space="0" w:color="auto"/>
        <w:bottom w:val="none" w:sz="0" w:space="0" w:color="auto"/>
        <w:right w:val="none" w:sz="0" w:space="0" w:color="auto"/>
      </w:divBdr>
      <w:divsChild>
        <w:div w:id="1211386298">
          <w:marLeft w:val="547"/>
          <w:marRight w:val="0"/>
          <w:marTop w:val="0"/>
          <w:marBottom w:val="0"/>
          <w:divBdr>
            <w:top w:val="none" w:sz="0" w:space="0" w:color="auto"/>
            <w:left w:val="none" w:sz="0" w:space="0" w:color="auto"/>
            <w:bottom w:val="none" w:sz="0" w:space="0" w:color="auto"/>
            <w:right w:val="none" w:sz="0" w:space="0" w:color="auto"/>
          </w:divBdr>
        </w:div>
        <w:div w:id="2106686652">
          <w:marLeft w:val="547"/>
          <w:marRight w:val="0"/>
          <w:marTop w:val="0"/>
          <w:marBottom w:val="0"/>
          <w:divBdr>
            <w:top w:val="none" w:sz="0" w:space="0" w:color="auto"/>
            <w:left w:val="none" w:sz="0" w:space="0" w:color="auto"/>
            <w:bottom w:val="none" w:sz="0" w:space="0" w:color="auto"/>
            <w:right w:val="none" w:sz="0" w:space="0" w:color="auto"/>
          </w:divBdr>
        </w:div>
      </w:divsChild>
    </w:div>
    <w:div w:id="1416590695">
      <w:bodyDiv w:val="1"/>
      <w:marLeft w:val="0"/>
      <w:marRight w:val="0"/>
      <w:marTop w:val="0"/>
      <w:marBottom w:val="0"/>
      <w:divBdr>
        <w:top w:val="none" w:sz="0" w:space="0" w:color="auto"/>
        <w:left w:val="none" w:sz="0" w:space="0" w:color="auto"/>
        <w:bottom w:val="none" w:sz="0" w:space="0" w:color="auto"/>
        <w:right w:val="none" w:sz="0" w:space="0" w:color="auto"/>
      </w:divBdr>
    </w:div>
    <w:div w:id="1425108965">
      <w:bodyDiv w:val="1"/>
      <w:marLeft w:val="0"/>
      <w:marRight w:val="0"/>
      <w:marTop w:val="0"/>
      <w:marBottom w:val="0"/>
      <w:divBdr>
        <w:top w:val="none" w:sz="0" w:space="0" w:color="auto"/>
        <w:left w:val="none" w:sz="0" w:space="0" w:color="auto"/>
        <w:bottom w:val="none" w:sz="0" w:space="0" w:color="auto"/>
        <w:right w:val="none" w:sz="0" w:space="0" w:color="auto"/>
      </w:divBdr>
    </w:div>
    <w:div w:id="1506045859">
      <w:bodyDiv w:val="1"/>
      <w:marLeft w:val="0"/>
      <w:marRight w:val="0"/>
      <w:marTop w:val="0"/>
      <w:marBottom w:val="0"/>
      <w:divBdr>
        <w:top w:val="none" w:sz="0" w:space="0" w:color="auto"/>
        <w:left w:val="none" w:sz="0" w:space="0" w:color="auto"/>
        <w:bottom w:val="none" w:sz="0" w:space="0" w:color="auto"/>
        <w:right w:val="none" w:sz="0" w:space="0" w:color="auto"/>
      </w:divBdr>
    </w:div>
    <w:div w:id="1584099541">
      <w:bodyDiv w:val="1"/>
      <w:marLeft w:val="0"/>
      <w:marRight w:val="0"/>
      <w:marTop w:val="0"/>
      <w:marBottom w:val="0"/>
      <w:divBdr>
        <w:top w:val="none" w:sz="0" w:space="0" w:color="auto"/>
        <w:left w:val="none" w:sz="0" w:space="0" w:color="auto"/>
        <w:bottom w:val="none" w:sz="0" w:space="0" w:color="auto"/>
        <w:right w:val="none" w:sz="0" w:space="0" w:color="auto"/>
      </w:divBdr>
      <w:divsChild>
        <w:div w:id="611404567">
          <w:marLeft w:val="547"/>
          <w:marRight w:val="0"/>
          <w:marTop w:val="0"/>
          <w:marBottom w:val="0"/>
          <w:divBdr>
            <w:top w:val="none" w:sz="0" w:space="0" w:color="auto"/>
            <w:left w:val="none" w:sz="0" w:space="0" w:color="auto"/>
            <w:bottom w:val="none" w:sz="0" w:space="0" w:color="auto"/>
            <w:right w:val="none" w:sz="0" w:space="0" w:color="auto"/>
          </w:divBdr>
        </w:div>
        <w:div w:id="1503545039">
          <w:marLeft w:val="547"/>
          <w:marRight w:val="0"/>
          <w:marTop w:val="0"/>
          <w:marBottom w:val="0"/>
          <w:divBdr>
            <w:top w:val="none" w:sz="0" w:space="0" w:color="auto"/>
            <w:left w:val="none" w:sz="0" w:space="0" w:color="auto"/>
            <w:bottom w:val="none" w:sz="0" w:space="0" w:color="auto"/>
            <w:right w:val="none" w:sz="0" w:space="0" w:color="auto"/>
          </w:divBdr>
        </w:div>
        <w:div w:id="1865166706">
          <w:marLeft w:val="547"/>
          <w:marRight w:val="0"/>
          <w:marTop w:val="0"/>
          <w:marBottom w:val="0"/>
          <w:divBdr>
            <w:top w:val="none" w:sz="0" w:space="0" w:color="auto"/>
            <w:left w:val="none" w:sz="0" w:space="0" w:color="auto"/>
            <w:bottom w:val="none" w:sz="0" w:space="0" w:color="auto"/>
            <w:right w:val="none" w:sz="0" w:space="0" w:color="auto"/>
          </w:divBdr>
        </w:div>
        <w:div w:id="1897738975">
          <w:marLeft w:val="547"/>
          <w:marRight w:val="0"/>
          <w:marTop w:val="0"/>
          <w:marBottom w:val="0"/>
          <w:divBdr>
            <w:top w:val="none" w:sz="0" w:space="0" w:color="auto"/>
            <w:left w:val="none" w:sz="0" w:space="0" w:color="auto"/>
            <w:bottom w:val="none" w:sz="0" w:space="0" w:color="auto"/>
            <w:right w:val="none" w:sz="0" w:space="0" w:color="auto"/>
          </w:divBdr>
        </w:div>
      </w:divsChild>
    </w:div>
    <w:div w:id="1591818455">
      <w:bodyDiv w:val="1"/>
      <w:marLeft w:val="0"/>
      <w:marRight w:val="0"/>
      <w:marTop w:val="0"/>
      <w:marBottom w:val="0"/>
      <w:divBdr>
        <w:top w:val="none" w:sz="0" w:space="0" w:color="auto"/>
        <w:left w:val="none" w:sz="0" w:space="0" w:color="auto"/>
        <w:bottom w:val="none" w:sz="0" w:space="0" w:color="auto"/>
        <w:right w:val="none" w:sz="0" w:space="0" w:color="auto"/>
      </w:divBdr>
    </w:div>
    <w:div w:id="1638804252">
      <w:bodyDiv w:val="1"/>
      <w:marLeft w:val="0"/>
      <w:marRight w:val="0"/>
      <w:marTop w:val="0"/>
      <w:marBottom w:val="0"/>
      <w:divBdr>
        <w:top w:val="none" w:sz="0" w:space="0" w:color="auto"/>
        <w:left w:val="none" w:sz="0" w:space="0" w:color="auto"/>
        <w:bottom w:val="none" w:sz="0" w:space="0" w:color="auto"/>
        <w:right w:val="none" w:sz="0" w:space="0" w:color="auto"/>
      </w:divBdr>
    </w:div>
    <w:div w:id="1738354350">
      <w:bodyDiv w:val="1"/>
      <w:marLeft w:val="0"/>
      <w:marRight w:val="0"/>
      <w:marTop w:val="0"/>
      <w:marBottom w:val="0"/>
      <w:divBdr>
        <w:top w:val="none" w:sz="0" w:space="0" w:color="auto"/>
        <w:left w:val="none" w:sz="0" w:space="0" w:color="auto"/>
        <w:bottom w:val="none" w:sz="0" w:space="0" w:color="auto"/>
        <w:right w:val="none" w:sz="0" w:space="0" w:color="auto"/>
      </w:divBdr>
      <w:divsChild>
        <w:div w:id="937297675">
          <w:marLeft w:val="547"/>
          <w:marRight w:val="0"/>
          <w:marTop w:val="0"/>
          <w:marBottom w:val="0"/>
          <w:divBdr>
            <w:top w:val="none" w:sz="0" w:space="0" w:color="auto"/>
            <w:left w:val="none" w:sz="0" w:space="0" w:color="auto"/>
            <w:bottom w:val="none" w:sz="0" w:space="0" w:color="auto"/>
            <w:right w:val="none" w:sz="0" w:space="0" w:color="auto"/>
          </w:divBdr>
        </w:div>
        <w:div w:id="1861969216">
          <w:marLeft w:val="547"/>
          <w:marRight w:val="0"/>
          <w:marTop w:val="0"/>
          <w:marBottom w:val="0"/>
          <w:divBdr>
            <w:top w:val="none" w:sz="0" w:space="0" w:color="auto"/>
            <w:left w:val="none" w:sz="0" w:space="0" w:color="auto"/>
            <w:bottom w:val="none" w:sz="0" w:space="0" w:color="auto"/>
            <w:right w:val="none" w:sz="0" w:space="0" w:color="auto"/>
          </w:divBdr>
        </w:div>
      </w:divsChild>
    </w:div>
    <w:div w:id="1740902822">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782842204">
      <w:bodyDiv w:val="1"/>
      <w:marLeft w:val="0"/>
      <w:marRight w:val="0"/>
      <w:marTop w:val="0"/>
      <w:marBottom w:val="0"/>
      <w:divBdr>
        <w:top w:val="none" w:sz="0" w:space="0" w:color="auto"/>
        <w:left w:val="none" w:sz="0" w:space="0" w:color="auto"/>
        <w:bottom w:val="none" w:sz="0" w:space="0" w:color="auto"/>
        <w:right w:val="none" w:sz="0" w:space="0" w:color="auto"/>
      </w:divBdr>
    </w:div>
    <w:div w:id="1851142522">
      <w:bodyDiv w:val="1"/>
      <w:marLeft w:val="0"/>
      <w:marRight w:val="0"/>
      <w:marTop w:val="0"/>
      <w:marBottom w:val="0"/>
      <w:divBdr>
        <w:top w:val="none" w:sz="0" w:space="0" w:color="auto"/>
        <w:left w:val="none" w:sz="0" w:space="0" w:color="auto"/>
        <w:bottom w:val="none" w:sz="0" w:space="0" w:color="auto"/>
        <w:right w:val="none" w:sz="0" w:space="0" w:color="auto"/>
      </w:divBdr>
      <w:divsChild>
        <w:div w:id="1697534504">
          <w:marLeft w:val="547"/>
          <w:marRight w:val="0"/>
          <w:marTop w:val="0"/>
          <w:marBottom w:val="0"/>
          <w:divBdr>
            <w:top w:val="none" w:sz="0" w:space="0" w:color="auto"/>
            <w:left w:val="none" w:sz="0" w:space="0" w:color="auto"/>
            <w:bottom w:val="none" w:sz="0" w:space="0" w:color="auto"/>
            <w:right w:val="none" w:sz="0" w:space="0" w:color="auto"/>
          </w:divBdr>
        </w:div>
      </w:divsChild>
    </w:div>
    <w:div w:id="1888374872">
      <w:bodyDiv w:val="1"/>
      <w:marLeft w:val="0"/>
      <w:marRight w:val="0"/>
      <w:marTop w:val="0"/>
      <w:marBottom w:val="0"/>
      <w:divBdr>
        <w:top w:val="none" w:sz="0" w:space="0" w:color="auto"/>
        <w:left w:val="none" w:sz="0" w:space="0" w:color="auto"/>
        <w:bottom w:val="none" w:sz="0" w:space="0" w:color="auto"/>
        <w:right w:val="none" w:sz="0" w:space="0" w:color="auto"/>
      </w:divBdr>
    </w:div>
    <w:div w:id="1899433562">
      <w:bodyDiv w:val="1"/>
      <w:marLeft w:val="0"/>
      <w:marRight w:val="0"/>
      <w:marTop w:val="0"/>
      <w:marBottom w:val="0"/>
      <w:divBdr>
        <w:top w:val="none" w:sz="0" w:space="0" w:color="auto"/>
        <w:left w:val="none" w:sz="0" w:space="0" w:color="auto"/>
        <w:bottom w:val="none" w:sz="0" w:space="0" w:color="auto"/>
        <w:right w:val="none" w:sz="0" w:space="0" w:color="auto"/>
      </w:divBdr>
    </w:div>
    <w:div w:id="1902863885">
      <w:bodyDiv w:val="1"/>
      <w:marLeft w:val="0"/>
      <w:marRight w:val="0"/>
      <w:marTop w:val="0"/>
      <w:marBottom w:val="0"/>
      <w:divBdr>
        <w:top w:val="none" w:sz="0" w:space="0" w:color="auto"/>
        <w:left w:val="none" w:sz="0" w:space="0" w:color="auto"/>
        <w:bottom w:val="none" w:sz="0" w:space="0" w:color="auto"/>
        <w:right w:val="none" w:sz="0" w:space="0" w:color="auto"/>
      </w:divBdr>
    </w:div>
    <w:div w:id="1912160100">
      <w:bodyDiv w:val="1"/>
      <w:marLeft w:val="0"/>
      <w:marRight w:val="0"/>
      <w:marTop w:val="0"/>
      <w:marBottom w:val="0"/>
      <w:divBdr>
        <w:top w:val="none" w:sz="0" w:space="0" w:color="auto"/>
        <w:left w:val="none" w:sz="0" w:space="0" w:color="auto"/>
        <w:bottom w:val="none" w:sz="0" w:space="0" w:color="auto"/>
        <w:right w:val="none" w:sz="0" w:space="0" w:color="auto"/>
      </w:divBdr>
    </w:div>
    <w:div w:id="1928343058">
      <w:bodyDiv w:val="1"/>
      <w:marLeft w:val="0"/>
      <w:marRight w:val="0"/>
      <w:marTop w:val="0"/>
      <w:marBottom w:val="0"/>
      <w:divBdr>
        <w:top w:val="none" w:sz="0" w:space="0" w:color="auto"/>
        <w:left w:val="none" w:sz="0" w:space="0" w:color="auto"/>
        <w:bottom w:val="none" w:sz="0" w:space="0" w:color="auto"/>
        <w:right w:val="none" w:sz="0" w:space="0" w:color="auto"/>
      </w:divBdr>
      <w:divsChild>
        <w:div w:id="195628746">
          <w:marLeft w:val="547"/>
          <w:marRight w:val="0"/>
          <w:marTop w:val="0"/>
          <w:marBottom w:val="0"/>
          <w:divBdr>
            <w:top w:val="none" w:sz="0" w:space="0" w:color="auto"/>
            <w:left w:val="none" w:sz="0" w:space="0" w:color="auto"/>
            <w:bottom w:val="none" w:sz="0" w:space="0" w:color="auto"/>
            <w:right w:val="none" w:sz="0" w:space="0" w:color="auto"/>
          </w:divBdr>
        </w:div>
        <w:div w:id="797913683">
          <w:marLeft w:val="547"/>
          <w:marRight w:val="0"/>
          <w:marTop w:val="0"/>
          <w:marBottom w:val="0"/>
          <w:divBdr>
            <w:top w:val="none" w:sz="0" w:space="0" w:color="auto"/>
            <w:left w:val="none" w:sz="0" w:space="0" w:color="auto"/>
            <w:bottom w:val="none" w:sz="0" w:space="0" w:color="auto"/>
            <w:right w:val="none" w:sz="0" w:space="0" w:color="auto"/>
          </w:divBdr>
        </w:div>
      </w:divsChild>
    </w:div>
    <w:div w:id="195933470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60">
          <w:marLeft w:val="547"/>
          <w:marRight w:val="0"/>
          <w:marTop w:val="0"/>
          <w:marBottom w:val="0"/>
          <w:divBdr>
            <w:top w:val="none" w:sz="0" w:space="0" w:color="auto"/>
            <w:left w:val="none" w:sz="0" w:space="0" w:color="auto"/>
            <w:bottom w:val="none" w:sz="0" w:space="0" w:color="auto"/>
            <w:right w:val="none" w:sz="0" w:space="0" w:color="auto"/>
          </w:divBdr>
        </w:div>
      </w:divsChild>
    </w:div>
    <w:div w:id="1989894323">
      <w:bodyDiv w:val="1"/>
      <w:marLeft w:val="0"/>
      <w:marRight w:val="0"/>
      <w:marTop w:val="0"/>
      <w:marBottom w:val="0"/>
      <w:divBdr>
        <w:top w:val="none" w:sz="0" w:space="0" w:color="auto"/>
        <w:left w:val="none" w:sz="0" w:space="0" w:color="auto"/>
        <w:bottom w:val="none" w:sz="0" w:space="0" w:color="auto"/>
        <w:right w:val="none" w:sz="0" w:space="0" w:color="auto"/>
      </w:divBdr>
    </w:div>
    <w:div w:id="2050955173">
      <w:bodyDiv w:val="1"/>
      <w:marLeft w:val="0"/>
      <w:marRight w:val="0"/>
      <w:marTop w:val="0"/>
      <w:marBottom w:val="0"/>
      <w:divBdr>
        <w:top w:val="none" w:sz="0" w:space="0" w:color="auto"/>
        <w:left w:val="none" w:sz="0" w:space="0" w:color="auto"/>
        <w:bottom w:val="none" w:sz="0" w:space="0" w:color="auto"/>
        <w:right w:val="none" w:sz="0" w:space="0" w:color="auto"/>
      </w:divBdr>
    </w:div>
    <w:div w:id="2087023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a007e7ad-995c-46d2-bc32-90192f265d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86B9E6DDFEC41B907AC7631ADE884" ma:contentTypeVersion="6" ma:contentTypeDescription="Create a new document." ma:contentTypeScope="" ma:versionID="e641d58640fee309aaeae2be37b3e80b">
  <xsd:schema xmlns:xsd="http://www.w3.org/2001/XMLSchema" xmlns:xs="http://www.w3.org/2001/XMLSchema" xmlns:p="http://schemas.microsoft.com/office/2006/metadata/properties" xmlns:ns2="a007e7ad-995c-46d2-bc32-90192f265d43" xmlns:ns3="07a4eaaf-6901-4ef4-b03e-97cb68874a4d" targetNamespace="http://schemas.microsoft.com/office/2006/metadata/properties" ma:root="true" ma:fieldsID="54c4c764735317154b8853756c7fd4b8" ns2:_="" ns3:_="">
    <xsd:import namespace="a007e7ad-995c-46d2-bc32-90192f265d43"/>
    <xsd:import namespace="07a4eaaf-6901-4ef4-b03e-97cb68874a4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7e7ad-995c-46d2-bc32-90192f265d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Date" ma:index="1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a4eaaf-6901-4ef4-b03e-97cb68874a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F10A-C461-47AD-BB14-501E4E2F1941}">
  <ds:schemaRefs>
    <ds:schemaRef ds:uri="http://schemas.microsoft.com/sharepoint/v3/contenttype/forms"/>
  </ds:schemaRefs>
</ds:datastoreItem>
</file>

<file path=customXml/itemProps2.xml><?xml version="1.0" encoding="utf-8"?>
<ds:datastoreItem xmlns:ds="http://schemas.openxmlformats.org/officeDocument/2006/customXml" ds:itemID="{8A0AD685-47EC-4D37-8309-583155B23FB3}">
  <ds:schemaRefs>
    <ds:schemaRef ds:uri="http://schemas.microsoft.com/office/2006/metadata/properties"/>
    <ds:schemaRef ds:uri="http://schemas.microsoft.com/office/infopath/2007/PartnerControls"/>
    <ds:schemaRef ds:uri="a007e7ad-995c-46d2-bc32-90192f265d43"/>
  </ds:schemaRefs>
</ds:datastoreItem>
</file>

<file path=customXml/itemProps3.xml><?xml version="1.0" encoding="utf-8"?>
<ds:datastoreItem xmlns:ds="http://schemas.openxmlformats.org/officeDocument/2006/customXml" ds:itemID="{D310FB6F-B30B-454C-8937-265720F7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7e7ad-995c-46d2-bc32-90192f265d43"/>
    <ds:schemaRef ds:uri="07a4eaaf-6901-4ef4-b03e-97cb68874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37D38-2444-4465-82FC-F6D04319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5838</Words>
  <Characters>33281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Annual session 2015</vt:lpstr>
    </vt:vector>
  </TitlesOfParts>
  <Company>UNDP</Company>
  <LinksUpToDate>false</LinksUpToDate>
  <CharactersWithSpaces>39041</CharactersWithSpaces>
  <SharedDoc>false</SharedDoc>
  <HLinks>
    <vt:vector size="12" baseType="variant">
      <vt:variant>
        <vt:i4>6619159</vt:i4>
      </vt:variant>
      <vt:variant>
        <vt:i4>3</vt:i4>
      </vt:variant>
      <vt:variant>
        <vt:i4>0</vt:i4>
      </vt:variant>
      <vt:variant>
        <vt:i4>5</vt:i4>
      </vt:variant>
      <vt:variant>
        <vt:lpwstr>http://www.undp.org/content/undp/en/home/operations/executive_board/overview.html</vt:lpwstr>
      </vt:variant>
      <vt:variant>
        <vt:lpwstr/>
      </vt:variant>
      <vt:variant>
        <vt:i4>6619159</vt:i4>
      </vt:variant>
      <vt:variant>
        <vt:i4>0</vt:i4>
      </vt:variant>
      <vt:variant>
        <vt:i4>0</vt:i4>
      </vt:variant>
      <vt:variant>
        <vt:i4>5</vt:i4>
      </vt:variant>
      <vt:variant>
        <vt:lpwstr>http://www.undp.org/content/undp/en/home/operations/executive_board/overview.html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session 2015</dc:title>
  <dc:creator>mary.mugambi@undp.org</dc:creator>
  <cp:lastModifiedBy>Svetlana Iazykova</cp:lastModifiedBy>
  <cp:revision>4</cp:revision>
  <cp:lastPrinted>2016-10-21T04:49:00Z</cp:lastPrinted>
  <dcterms:created xsi:type="dcterms:W3CDTF">2018-12-05T16:24:00Z</dcterms:created>
  <dcterms:modified xsi:type="dcterms:W3CDTF">2018-12-05T16:33:00Z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0x01010003786B9E6DDFEC41B907AC7631ADE884</vt:lpwstr>
  </property>
</Properties>
</file>