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3C94" w14:textId="5F8EFBDF" w:rsidR="00AE4740" w:rsidRDefault="00642F29">
      <w:r>
        <w:t>ANNEX</w:t>
      </w:r>
      <w:bookmarkStart w:id="0" w:name="_GoBack"/>
      <w:bookmarkEnd w:id="0"/>
      <w:r>
        <w:t>: Fully</w:t>
      </w:r>
      <w:r w:rsidR="00B80776">
        <w:t>-</w:t>
      </w:r>
      <w:r>
        <w:t>costed evaluation plan</w:t>
      </w:r>
    </w:p>
    <w:p w14:paraId="23B2C106" w14:textId="77777777" w:rsidR="00F0292C" w:rsidRDefault="00F0292C"/>
    <w:tbl>
      <w:tblPr>
        <w:tblStyle w:val="TableGrid"/>
        <w:tblW w:w="13522" w:type="dxa"/>
        <w:tblLayout w:type="fixed"/>
        <w:tblLook w:val="04A0" w:firstRow="1" w:lastRow="0" w:firstColumn="1" w:lastColumn="0" w:noHBand="0" w:noVBand="1"/>
      </w:tblPr>
      <w:tblGrid>
        <w:gridCol w:w="2036"/>
        <w:gridCol w:w="2036"/>
        <w:gridCol w:w="1350"/>
        <w:gridCol w:w="1350"/>
        <w:gridCol w:w="1440"/>
        <w:gridCol w:w="1170"/>
        <w:gridCol w:w="1440"/>
        <w:gridCol w:w="1260"/>
        <w:gridCol w:w="1440"/>
      </w:tblGrid>
      <w:tr w:rsidR="00F0292C" w:rsidRPr="003C26C1" w14:paraId="2DF532D0" w14:textId="77777777" w:rsidTr="00C53E19">
        <w:trPr>
          <w:tblHeader/>
        </w:trPr>
        <w:tc>
          <w:tcPr>
            <w:tcW w:w="2036" w:type="dxa"/>
            <w:shd w:val="clear" w:color="auto" w:fill="DEEAF6" w:themeFill="accent1" w:themeFillTint="33"/>
            <w:vAlign w:val="center"/>
          </w:tcPr>
          <w:p w14:paraId="1BA3D30E" w14:textId="3D1E6B76" w:rsidR="00F0292C" w:rsidRPr="003C26C1" w:rsidRDefault="00F0292C" w:rsidP="00C53E19">
            <w:pPr>
              <w:jc w:val="center"/>
              <w:rPr>
                <w:b/>
                <w:bCs/>
                <w:sz w:val="16"/>
                <w:szCs w:val="16"/>
              </w:rPr>
            </w:pPr>
            <w:r w:rsidRPr="003C26C1">
              <w:rPr>
                <w:b/>
                <w:bCs/>
                <w:sz w:val="16"/>
                <w:szCs w:val="16"/>
              </w:rPr>
              <w:t>UN</w:t>
            </w:r>
            <w:r w:rsidR="005F33F4">
              <w:rPr>
                <w:b/>
                <w:bCs/>
                <w:sz w:val="16"/>
                <w:szCs w:val="16"/>
              </w:rPr>
              <w:t>PDF</w:t>
            </w:r>
            <w:r w:rsidRPr="003C26C1">
              <w:rPr>
                <w:b/>
                <w:bCs/>
                <w:sz w:val="16"/>
                <w:szCs w:val="16"/>
              </w:rPr>
              <w:t xml:space="preserve"> (or equivalent)</w:t>
            </w:r>
          </w:p>
          <w:p w14:paraId="76E48BB0" w14:textId="77777777" w:rsidR="00F0292C" w:rsidRPr="003C26C1" w:rsidRDefault="00F0292C" w:rsidP="00C53E19">
            <w:pPr>
              <w:jc w:val="center"/>
              <w:rPr>
                <w:b/>
                <w:bCs/>
                <w:sz w:val="16"/>
                <w:szCs w:val="16"/>
              </w:rPr>
            </w:pPr>
            <w:r w:rsidRPr="003C26C1">
              <w:rPr>
                <w:b/>
                <w:bCs/>
                <w:sz w:val="16"/>
                <w:szCs w:val="16"/>
              </w:rPr>
              <w:t xml:space="preserve">Outcome </w:t>
            </w:r>
          </w:p>
        </w:tc>
        <w:tc>
          <w:tcPr>
            <w:tcW w:w="2036" w:type="dxa"/>
            <w:shd w:val="clear" w:color="auto" w:fill="DEEAF6" w:themeFill="accent1" w:themeFillTint="33"/>
            <w:vAlign w:val="center"/>
          </w:tcPr>
          <w:p w14:paraId="38CFC358" w14:textId="77777777" w:rsidR="00F0292C" w:rsidRPr="003C26C1" w:rsidRDefault="00F0292C" w:rsidP="00C53E19">
            <w:pPr>
              <w:jc w:val="center"/>
              <w:rPr>
                <w:b/>
                <w:bCs/>
                <w:sz w:val="16"/>
                <w:szCs w:val="16"/>
              </w:rPr>
            </w:pPr>
            <w:r w:rsidRPr="003C26C1">
              <w:rPr>
                <w:b/>
                <w:bCs/>
                <w:sz w:val="16"/>
                <w:szCs w:val="16"/>
              </w:rPr>
              <w:t>UNDP Strategic Plan Outcome</w:t>
            </w:r>
          </w:p>
        </w:tc>
        <w:tc>
          <w:tcPr>
            <w:tcW w:w="1350" w:type="dxa"/>
            <w:shd w:val="clear" w:color="auto" w:fill="DEEAF6" w:themeFill="accent1" w:themeFillTint="33"/>
            <w:vAlign w:val="center"/>
          </w:tcPr>
          <w:p w14:paraId="1585C9BC" w14:textId="77777777" w:rsidR="00F0292C" w:rsidRPr="003C26C1" w:rsidRDefault="00F0292C" w:rsidP="00C53E19">
            <w:pPr>
              <w:jc w:val="center"/>
              <w:rPr>
                <w:b/>
                <w:bCs/>
                <w:sz w:val="16"/>
                <w:szCs w:val="16"/>
              </w:rPr>
            </w:pPr>
            <w:r w:rsidRPr="003C26C1">
              <w:rPr>
                <w:b/>
                <w:bCs/>
                <w:sz w:val="16"/>
                <w:szCs w:val="16"/>
              </w:rPr>
              <w:t>Evaluation Title</w:t>
            </w:r>
          </w:p>
        </w:tc>
        <w:tc>
          <w:tcPr>
            <w:tcW w:w="1350" w:type="dxa"/>
            <w:shd w:val="clear" w:color="auto" w:fill="DEEAF6" w:themeFill="accent1" w:themeFillTint="33"/>
            <w:vAlign w:val="center"/>
          </w:tcPr>
          <w:p w14:paraId="4898DEB4" w14:textId="77777777" w:rsidR="00F0292C" w:rsidRPr="003C26C1" w:rsidDel="00BA628C" w:rsidRDefault="00F0292C" w:rsidP="00C53E19">
            <w:pPr>
              <w:jc w:val="center"/>
              <w:rPr>
                <w:b/>
                <w:bCs/>
                <w:sz w:val="16"/>
                <w:szCs w:val="16"/>
              </w:rPr>
            </w:pPr>
            <w:r w:rsidRPr="003C26C1">
              <w:rPr>
                <w:b/>
                <w:bCs/>
                <w:sz w:val="16"/>
                <w:szCs w:val="16"/>
              </w:rPr>
              <w:t>Partners (joint evaluation)</w:t>
            </w:r>
          </w:p>
        </w:tc>
        <w:tc>
          <w:tcPr>
            <w:tcW w:w="1440" w:type="dxa"/>
            <w:shd w:val="clear" w:color="auto" w:fill="DEEAF6" w:themeFill="accent1" w:themeFillTint="33"/>
            <w:vAlign w:val="center"/>
          </w:tcPr>
          <w:p w14:paraId="2BA47C14" w14:textId="77777777" w:rsidR="00F0292C" w:rsidRPr="003C26C1" w:rsidRDefault="00F0292C" w:rsidP="00C53E19">
            <w:pPr>
              <w:jc w:val="center"/>
              <w:rPr>
                <w:b/>
                <w:bCs/>
                <w:sz w:val="16"/>
                <w:szCs w:val="16"/>
              </w:rPr>
            </w:pPr>
            <w:r w:rsidRPr="003C26C1">
              <w:rPr>
                <w:b/>
                <w:bCs/>
                <w:sz w:val="16"/>
                <w:szCs w:val="16"/>
              </w:rPr>
              <w:t>Evaluation commissioned by (if not UNDP)</w:t>
            </w:r>
          </w:p>
        </w:tc>
        <w:tc>
          <w:tcPr>
            <w:tcW w:w="1170" w:type="dxa"/>
            <w:shd w:val="clear" w:color="auto" w:fill="DEEAF6" w:themeFill="accent1" w:themeFillTint="33"/>
            <w:vAlign w:val="center"/>
          </w:tcPr>
          <w:p w14:paraId="6038D930" w14:textId="77777777" w:rsidR="00F0292C" w:rsidRPr="003C26C1" w:rsidRDefault="00F0292C" w:rsidP="00C53E19">
            <w:pPr>
              <w:jc w:val="center"/>
              <w:rPr>
                <w:b/>
                <w:bCs/>
                <w:sz w:val="16"/>
                <w:szCs w:val="16"/>
              </w:rPr>
            </w:pPr>
            <w:r w:rsidRPr="003C26C1">
              <w:rPr>
                <w:b/>
                <w:bCs/>
                <w:sz w:val="16"/>
                <w:szCs w:val="16"/>
              </w:rPr>
              <w:t>Type of evaluation</w:t>
            </w:r>
          </w:p>
        </w:tc>
        <w:tc>
          <w:tcPr>
            <w:tcW w:w="1440" w:type="dxa"/>
            <w:shd w:val="clear" w:color="auto" w:fill="DEEAF6" w:themeFill="accent1" w:themeFillTint="33"/>
            <w:vAlign w:val="center"/>
          </w:tcPr>
          <w:p w14:paraId="7FF1030A" w14:textId="77777777" w:rsidR="00F0292C" w:rsidRPr="003C26C1" w:rsidRDefault="00F0292C" w:rsidP="00C53E19">
            <w:pPr>
              <w:jc w:val="center"/>
              <w:rPr>
                <w:b/>
                <w:bCs/>
                <w:sz w:val="16"/>
                <w:szCs w:val="16"/>
              </w:rPr>
            </w:pPr>
            <w:r w:rsidRPr="003C26C1">
              <w:rPr>
                <w:b/>
                <w:bCs/>
                <w:sz w:val="16"/>
                <w:szCs w:val="16"/>
              </w:rPr>
              <w:t>Planned Evaluation Completion Date</w:t>
            </w:r>
          </w:p>
        </w:tc>
        <w:tc>
          <w:tcPr>
            <w:tcW w:w="1260" w:type="dxa"/>
            <w:shd w:val="clear" w:color="auto" w:fill="DEEAF6" w:themeFill="accent1" w:themeFillTint="33"/>
            <w:vAlign w:val="center"/>
          </w:tcPr>
          <w:p w14:paraId="5C0E9975" w14:textId="77777777" w:rsidR="00F0292C" w:rsidRPr="003C26C1" w:rsidRDefault="00F0292C" w:rsidP="00C53E19">
            <w:pPr>
              <w:jc w:val="center"/>
              <w:rPr>
                <w:b/>
                <w:bCs/>
                <w:sz w:val="16"/>
                <w:szCs w:val="16"/>
              </w:rPr>
            </w:pPr>
            <w:r w:rsidRPr="003C26C1">
              <w:rPr>
                <w:b/>
                <w:bCs/>
                <w:sz w:val="16"/>
                <w:szCs w:val="16"/>
              </w:rPr>
              <w:t>Estimated Cost</w:t>
            </w:r>
          </w:p>
        </w:tc>
        <w:tc>
          <w:tcPr>
            <w:tcW w:w="1440" w:type="dxa"/>
            <w:shd w:val="clear" w:color="auto" w:fill="DEEAF6" w:themeFill="accent1" w:themeFillTint="33"/>
            <w:vAlign w:val="center"/>
          </w:tcPr>
          <w:p w14:paraId="3721FD0A" w14:textId="77777777" w:rsidR="00F0292C" w:rsidRPr="003C26C1" w:rsidRDefault="00F0292C" w:rsidP="00C53E19">
            <w:pPr>
              <w:jc w:val="center"/>
              <w:rPr>
                <w:b/>
                <w:bCs/>
                <w:sz w:val="16"/>
                <w:szCs w:val="16"/>
              </w:rPr>
            </w:pPr>
            <w:r w:rsidRPr="003C26C1">
              <w:rPr>
                <w:b/>
                <w:bCs/>
                <w:sz w:val="16"/>
                <w:szCs w:val="16"/>
              </w:rPr>
              <w:t>Provisional Source of Funding</w:t>
            </w:r>
          </w:p>
        </w:tc>
      </w:tr>
      <w:tr w:rsidR="00F0292C" w:rsidRPr="003C26C1" w14:paraId="1D8CAC9E" w14:textId="77777777" w:rsidTr="00C53E19">
        <w:tc>
          <w:tcPr>
            <w:tcW w:w="2036" w:type="dxa"/>
          </w:tcPr>
          <w:p w14:paraId="32AB28A9" w14:textId="77777777" w:rsidR="00F16705" w:rsidRPr="00667085" w:rsidRDefault="003936B0" w:rsidP="00667085">
            <w:pPr>
              <w:spacing w:before="60" w:after="60"/>
              <w:rPr>
                <w:sz w:val="16"/>
                <w:szCs w:val="16"/>
              </w:rPr>
            </w:pPr>
            <w:r w:rsidRPr="00667085">
              <w:rPr>
                <w:sz w:val="16"/>
                <w:szCs w:val="16"/>
              </w:rPr>
              <w:t xml:space="preserve">UNPDF Outcome 1: </w:t>
            </w:r>
            <w:r w:rsidR="00FA4392" w:rsidRPr="00FA4392">
              <w:rPr>
                <w:sz w:val="16"/>
                <w:szCs w:val="16"/>
              </w:rPr>
              <w:t>By 2020, more vulnerable, low income and food insecure people have an adequate standard of living and equitable access to decent work, sustainable livelihoods, economic development and income-earning opportunities.</w:t>
            </w:r>
          </w:p>
          <w:p w14:paraId="6B439FBA" w14:textId="77777777" w:rsidR="003936B0" w:rsidRDefault="003936B0" w:rsidP="00667085">
            <w:pPr>
              <w:spacing w:before="60" w:after="60"/>
              <w:rPr>
                <w:sz w:val="16"/>
                <w:szCs w:val="16"/>
              </w:rPr>
            </w:pPr>
          </w:p>
          <w:p w14:paraId="1C539596" w14:textId="77777777" w:rsidR="00F16705" w:rsidRDefault="003936B0" w:rsidP="00667085">
            <w:pPr>
              <w:spacing w:before="60" w:after="60"/>
              <w:rPr>
                <w:sz w:val="16"/>
                <w:szCs w:val="16"/>
              </w:rPr>
            </w:pPr>
            <w:r w:rsidRPr="00667085">
              <w:rPr>
                <w:sz w:val="16"/>
                <w:szCs w:val="16"/>
              </w:rPr>
              <w:t>UNPDF Outcome 2:</w:t>
            </w:r>
            <w:r w:rsidR="00FA4392" w:rsidRPr="007714A0">
              <w:rPr>
                <w:rFonts w:ascii="Calibri" w:hAnsi="Calibri"/>
                <w:bCs/>
                <w:color w:val="000000"/>
              </w:rPr>
              <w:t xml:space="preserve"> </w:t>
            </w:r>
            <w:r w:rsidR="00FA4392" w:rsidRPr="00FA4392">
              <w:rPr>
                <w:sz w:val="16"/>
                <w:szCs w:val="16"/>
              </w:rPr>
              <w:t>By 2020, the poor and most vulnerable have better and more equitable access to quality basic social services, including health and education, and to comprehensive social protection, and better access to water supply and sanitation.</w:t>
            </w:r>
          </w:p>
          <w:p w14:paraId="4D9E6E70" w14:textId="77777777" w:rsidR="00FB2067" w:rsidRPr="00667085" w:rsidRDefault="00FB2067" w:rsidP="00667085">
            <w:pPr>
              <w:spacing w:before="60" w:after="60"/>
              <w:rPr>
                <w:sz w:val="16"/>
                <w:szCs w:val="16"/>
              </w:rPr>
            </w:pPr>
          </w:p>
          <w:p w14:paraId="51FF9B73" w14:textId="77777777" w:rsidR="00F16705" w:rsidRPr="00667085" w:rsidRDefault="003936B0" w:rsidP="00667085">
            <w:pPr>
              <w:spacing w:before="60" w:after="60"/>
              <w:rPr>
                <w:sz w:val="16"/>
                <w:szCs w:val="16"/>
              </w:rPr>
            </w:pPr>
            <w:r w:rsidRPr="00667085">
              <w:rPr>
                <w:sz w:val="16"/>
                <w:szCs w:val="16"/>
              </w:rPr>
              <w:t>UNPDF Outcome 3:</w:t>
            </w:r>
            <w:r w:rsidR="00FA4392" w:rsidRPr="007714A0">
              <w:t xml:space="preserve"> </w:t>
            </w:r>
            <w:r w:rsidR="00FA4392" w:rsidRPr="00FA4392">
              <w:rPr>
                <w:sz w:val="16"/>
                <w:szCs w:val="16"/>
              </w:rPr>
              <w:t>By 2020, Indonesia is sustainably managing its natural resources, on land and at sea, with an increased resilience to the effects of climate change, disasters and other shocks</w:t>
            </w:r>
          </w:p>
          <w:p w14:paraId="55FB5FAC" w14:textId="77777777" w:rsidR="003378E9" w:rsidRDefault="003378E9" w:rsidP="00667085">
            <w:pPr>
              <w:spacing w:before="60" w:after="60"/>
              <w:rPr>
                <w:sz w:val="16"/>
                <w:szCs w:val="16"/>
              </w:rPr>
            </w:pPr>
          </w:p>
          <w:p w14:paraId="27921B9C" w14:textId="77777777" w:rsidR="00F16705" w:rsidRPr="00667085" w:rsidRDefault="00667085" w:rsidP="00B10134">
            <w:pPr>
              <w:spacing w:before="60" w:after="60"/>
              <w:rPr>
                <w:sz w:val="16"/>
                <w:szCs w:val="16"/>
              </w:rPr>
            </w:pPr>
            <w:r w:rsidRPr="00667085">
              <w:rPr>
                <w:sz w:val="16"/>
                <w:szCs w:val="16"/>
              </w:rPr>
              <w:t>UNPDF Outcome 4:</w:t>
            </w:r>
            <w:r w:rsidR="00FA4392" w:rsidRPr="007714A0">
              <w:t xml:space="preserve"> </w:t>
            </w:r>
            <w:r w:rsidR="00FA4392" w:rsidRPr="00FA4392">
              <w:rPr>
                <w:sz w:val="16"/>
                <w:szCs w:val="16"/>
              </w:rPr>
              <w:t>By 2020, disadvantaged populations benefit from enhanced access to justice and more responsive, inclusive and accountable public institutions that enjoy public trust</w:t>
            </w:r>
          </w:p>
        </w:tc>
        <w:tc>
          <w:tcPr>
            <w:tcW w:w="2036" w:type="dxa"/>
          </w:tcPr>
          <w:p w14:paraId="2B39E625" w14:textId="77777777" w:rsidR="00F16705" w:rsidRDefault="005561D3" w:rsidP="00C53E19">
            <w:pPr>
              <w:spacing w:before="60" w:after="60"/>
              <w:rPr>
                <w:sz w:val="16"/>
                <w:szCs w:val="16"/>
              </w:rPr>
            </w:pPr>
            <w:r>
              <w:rPr>
                <w:sz w:val="16"/>
                <w:szCs w:val="16"/>
              </w:rPr>
              <w:t xml:space="preserve">SP Outcome </w:t>
            </w:r>
            <w:r w:rsidR="00F16705" w:rsidRPr="00270BBA">
              <w:rPr>
                <w:sz w:val="16"/>
                <w:szCs w:val="16"/>
              </w:rPr>
              <w:t xml:space="preserve">1. </w:t>
            </w:r>
            <w:r w:rsidR="00F16705" w:rsidRPr="00270BBA">
              <w:rPr>
                <w:rFonts w:eastAsiaTheme="minorEastAsia"/>
                <w:sz w:val="16"/>
                <w:szCs w:val="16"/>
              </w:rPr>
              <w:t>Growth and development are inclusive and sustainable, incorporating productive capacities that create employment and livelihoods for the poor and excluded</w:t>
            </w:r>
          </w:p>
          <w:p w14:paraId="673EF54D" w14:textId="77777777" w:rsidR="00F16705" w:rsidRDefault="005561D3" w:rsidP="00C53E19">
            <w:pPr>
              <w:spacing w:before="60" w:after="60"/>
              <w:rPr>
                <w:sz w:val="16"/>
                <w:szCs w:val="16"/>
              </w:rPr>
            </w:pPr>
            <w:r>
              <w:rPr>
                <w:sz w:val="16"/>
                <w:szCs w:val="16"/>
              </w:rPr>
              <w:t xml:space="preserve">SP Outcome </w:t>
            </w:r>
            <w:r w:rsidR="00F16705" w:rsidRPr="00270BBA">
              <w:rPr>
                <w:sz w:val="16"/>
                <w:szCs w:val="16"/>
              </w:rPr>
              <w:t>2. Citizen expectations for voice, development, the rule of law and accountability are met by stronger systems of democratic governance</w:t>
            </w:r>
          </w:p>
          <w:p w14:paraId="75557F55" w14:textId="77777777" w:rsidR="00F0292C" w:rsidRDefault="005561D3" w:rsidP="00C53E19">
            <w:pPr>
              <w:spacing w:before="60" w:after="60"/>
              <w:rPr>
                <w:sz w:val="16"/>
                <w:szCs w:val="16"/>
              </w:rPr>
            </w:pPr>
            <w:r>
              <w:rPr>
                <w:sz w:val="16"/>
                <w:szCs w:val="16"/>
              </w:rPr>
              <w:t xml:space="preserve">SP Outcome </w:t>
            </w:r>
            <w:r w:rsidR="00F0292C" w:rsidRPr="00270BBA">
              <w:rPr>
                <w:sz w:val="16"/>
                <w:szCs w:val="16"/>
              </w:rPr>
              <w:t>3. Countries have strengthened institutions to progressively deliver universal access to basic services</w:t>
            </w:r>
          </w:p>
          <w:p w14:paraId="6C02E373" w14:textId="77777777" w:rsidR="00596C7A" w:rsidRPr="00270BBA" w:rsidRDefault="00596C7A" w:rsidP="00C53E19">
            <w:pPr>
              <w:spacing w:before="60" w:after="60"/>
              <w:rPr>
                <w:sz w:val="16"/>
                <w:szCs w:val="16"/>
              </w:rPr>
            </w:pPr>
          </w:p>
          <w:p w14:paraId="45DCB17B" w14:textId="77777777" w:rsidR="00F0292C" w:rsidRPr="003C26C1" w:rsidRDefault="00F0292C" w:rsidP="00C53E19">
            <w:pPr>
              <w:rPr>
                <w:sz w:val="16"/>
                <w:szCs w:val="16"/>
              </w:rPr>
            </w:pPr>
          </w:p>
        </w:tc>
        <w:tc>
          <w:tcPr>
            <w:tcW w:w="1350" w:type="dxa"/>
          </w:tcPr>
          <w:p w14:paraId="3E919B84" w14:textId="77777777" w:rsidR="00F0292C" w:rsidRPr="003C26C1" w:rsidRDefault="008A5984" w:rsidP="008A5984">
            <w:pPr>
              <w:rPr>
                <w:sz w:val="16"/>
                <w:szCs w:val="16"/>
              </w:rPr>
            </w:pPr>
            <w:r>
              <w:rPr>
                <w:sz w:val="16"/>
                <w:szCs w:val="16"/>
              </w:rPr>
              <w:t xml:space="preserve">UNPDF </w:t>
            </w:r>
            <w:r w:rsidR="00B10134">
              <w:rPr>
                <w:sz w:val="16"/>
                <w:szCs w:val="16"/>
              </w:rPr>
              <w:t xml:space="preserve">Mid Term Evaluation: </w:t>
            </w:r>
          </w:p>
        </w:tc>
        <w:tc>
          <w:tcPr>
            <w:tcW w:w="1350" w:type="dxa"/>
          </w:tcPr>
          <w:p w14:paraId="7307FD01" w14:textId="77777777" w:rsidR="00F0292C" w:rsidRPr="005332BC" w:rsidRDefault="008A5984" w:rsidP="00C53E19">
            <w:pPr>
              <w:spacing w:after="120"/>
              <w:rPr>
                <w:iCs/>
                <w:color w:val="000000"/>
                <w:sz w:val="16"/>
                <w:szCs w:val="16"/>
              </w:rPr>
            </w:pPr>
            <w:r>
              <w:rPr>
                <w:iCs/>
                <w:color w:val="000000"/>
                <w:sz w:val="16"/>
                <w:szCs w:val="16"/>
              </w:rPr>
              <w:t xml:space="preserve">UN Agencies and </w:t>
            </w:r>
            <w:r w:rsidR="00F0292C">
              <w:rPr>
                <w:iCs/>
                <w:color w:val="000000"/>
                <w:sz w:val="16"/>
                <w:szCs w:val="16"/>
              </w:rPr>
              <w:t>National Development Planning Agency (</w:t>
            </w:r>
            <w:proofErr w:type="spellStart"/>
            <w:r w:rsidR="00F0292C" w:rsidRPr="00CD5530">
              <w:rPr>
                <w:iCs/>
                <w:color w:val="000000"/>
                <w:sz w:val="16"/>
                <w:szCs w:val="16"/>
              </w:rPr>
              <w:t>Bappenas</w:t>
            </w:r>
            <w:proofErr w:type="spellEnd"/>
            <w:r w:rsidR="00F0292C">
              <w:rPr>
                <w:iCs/>
                <w:color w:val="000000"/>
                <w:sz w:val="16"/>
                <w:szCs w:val="16"/>
              </w:rPr>
              <w:t>)</w:t>
            </w:r>
          </w:p>
        </w:tc>
        <w:tc>
          <w:tcPr>
            <w:tcW w:w="1440" w:type="dxa"/>
          </w:tcPr>
          <w:p w14:paraId="1481F857" w14:textId="77777777" w:rsidR="00F0292C" w:rsidRPr="003C26C1" w:rsidRDefault="008A5984" w:rsidP="00C53E19">
            <w:pPr>
              <w:rPr>
                <w:sz w:val="16"/>
                <w:szCs w:val="16"/>
              </w:rPr>
            </w:pPr>
            <w:r>
              <w:rPr>
                <w:sz w:val="16"/>
                <w:szCs w:val="16"/>
              </w:rPr>
              <w:t xml:space="preserve">UN Agencies </w:t>
            </w:r>
          </w:p>
        </w:tc>
        <w:tc>
          <w:tcPr>
            <w:tcW w:w="1170" w:type="dxa"/>
          </w:tcPr>
          <w:p w14:paraId="5920E783" w14:textId="530D6888" w:rsidR="00F0292C" w:rsidRPr="003C26C1" w:rsidRDefault="008A5984" w:rsidP="00AD7175">
            <w:pPr>
              <w:rPr>
                <w:sz w:val="16"/>
                <w:szCs w:val="16"/>
              </w:rPr>
            </w:pPr>
            <w:r>
              <w:rPr>
                <w:sz w:val="16"/>
                <w:szCs w:val="16"/>
              </w:rPr>
              <w:t>UN</w:t>
            </w:r>
            <w:r w:rsidR="00AD7175">
              <w:rPr>
                <w:sz w:val="16"/>
                <w:szCs w:val="16"/>
              </w:rPr>
              <w:t>P</w:t>
            </w:r>
            <w:r>
              <w:rPr>
                <w:sz w:val="16"/>
                <w:szCs w:val="16"/>
              </w:rPr>
              <w:t>DF Evaluation</w:t>
            </w:r>
          </w:p>
        </w:tc>
        <w:tc>
          <w:tcPr>
            <w:tcW w:w="1440" w:type="dxa"/>
          </w:tcPr>
          <w:p w14:paraId="5E5E787C" w14:textId="77777777" w:rsidR="00F0292C" w:rsidRPr="003C26C1" w:rsidRDefault="00F0292C" w:rsidP="00AB7A22">
            <w:pPr>
              <w:spacing w:before="40" w:after="40"/>
              <w:rPr>
                <w:sz w:val="16"/>
                <w:szCs w:val="16"/>
              </w:rPr>
            </w:pPr>
            <w:r>
              <w:rPr>
                <w:sz w:val="16"/>
                <w:szCs w:val="16"/>
              </w:rPr>
              <w:t>Q</w:t>
            </w:r>
            <w:r w:rsidR="00AB7A22">
              <w:rPr>
                <w:sz w:val="16"/>
                <w:szCs w:val="16"/>
              </w:rPr>
              <w:t>2</w:t>
            </w:r>
            <w:r>
              <w:rPr>
                <w:sz w:val="16"/>
                <w:szCs w:val="16"/>
              </w:rPr>
              <w:t xml:space="preserve"> 2019</w:t>
            </w:r>
          </w:p>
        </w:tc>
        <w:tc>
          <w:tcPr>
            <w:tcW w:w="1260" w:type="dxa"/>
          </w:tcPr>
          <w:p w14:paraId="69411C77" w14:textId="77777777" w:rsidR="00F0292C" w:rsidRPr="003C26C1" w:rsidRDefault="00F0292C" w:rsidP="00C53E19">
            <w:pPr>
              <w:rPr>
                <w:sz w:val="16"/>
                <w:szCs w:val="16"/>
              </w:rPr>
            </w:pPr>
            <w:r>
              <w:rPr>
                <w:sz w:val="16"/>
                <w:szCs w:val="16"/>
              </w:rPr>
              <w:t>USD 40,000</w:t>
            </w:r>
          </w:p>
        </w:tc>
        <w:tc>
          <w:tcPr>
            <w:tcW w:w="1440" w:type="dxa"/>
          </w:tcPr>
          <w:p w14:paraId="01EDDEE5" w14:textId="77777777" w:rsidR="00F0292C" w:rsidRPr="003C26C1" w:rsidRDefault="008A5984" w:rsidP="008A5984">
            <w:pPr>
              <w:rPr>
                <w:rStyle w:val="CommentReference"/>
                <w:sz w:val="16"/>
                <w:szCs w:val="16"/>
                <w:lang w:eastAsia="uk-UA"/>
              </w:rPr>
            </w:pPr>
            <w:r>
              <w:rPr>
                <w:rStyle w:val="CommentReference"/>
                <w:sz w:val="16"/>
                <w:szCs w:val="16"/>
                <w:lang w:eastAsia="uk-UA"/>
              </w:rPr>
              <w:t>Cost Shared UN Agencies</w:t>
            </w:r>
          </w:p>
        </w:tc>
      </w:tr>
      <w:tr w:rsidR="008A5984" w:rsidRPr="003C26C1" w14:paraId="4D1D116F" w14:textId="77777777" w:rsidTr="00C53E19">
        <w:tc>
          <w:tcPr>
            <w:tcW w:w="2036" w:type="dxa"/>
          </w:tcPr>
          <w:p w14:paraId="38C6F06F" w14:textId="77777777" w:rsidR="008A5984" w:rsidRPr="00667085" w:rsidRDefault="008A5984" w:rsidP="008A5984">
            <w:pPr>
              <w:spacing w:before="60" w:after="60"/>
              <w:rPr>
                <w:sz w:val="16"/>
                <w:szCs w:val="16"/>
              </w:rPr>
            </w:pPr>
            <w:r>
              <w:rPr>
                <w:sz w:val="16"/>
                <w:szCs w:val="16"/>
              </w:rPr>
              <w:lastRenderedPageBreak/>
              <w:t>UNPDF Outcome 1,2,3 and 4</w:t>
            </w:r>
          </w:p>
        </w:tc>
        <w:tc>
          <w:tcPr>
            <w:tcW w:w="2036" w:type="dxa"/>
          </w:tcPr>
          <w:p w14:paraId="4302A44C" w14:textId="77777777" w:rsidR="008A5984" w:rsidRDefault="008A5984" w:rsidP="008A5984">
            <w:pPr>
              <w:spacing w:before="60" w:after="60"/>
              <w:rPr>
                <w:sz w:val="16"/>
                <w:szCs w:val="16"/>
              </w:rPr>
            </w:pPr>
            <w:r>
              <w:rPr>
                <w:sz w:val="16"/>
                <w:szCs w:val="16"/>
              </w:rPr>
              <w:t>SP Outcome 1,2, and 3</w:t>
            </w:r>
          </w:p>
        </w:tc>
        <w:tc>
          <w:tcPr>
            <w:tcW w:w="1350" w:type="dxa"/>
          </w:tcPr>
          <w:p w14:paraId="5765C682" w14:textId="16FD27CA" w:rsidR="008A5984" w:rsidRDefault="008A5984" w:rsidP="002F246F">
            <w:pPr>
              <w:rPr>
                <w:sz w:val="16"/>
                <w:szCs w:val="16"/>
              </w:rPr>
            </w:pPr>
            <w:r>
              <w:rPr>
                <w:sz w:val="16"/>
                <w:szCs w:val="16"/>
              </w:rPr>
              <w:t xml:space="preserve">Country Programme Mid </w:t>
            </w:r>
            <w:r w:rsidR="00A93D64">
              <w:rPr>
                <w:sz w:val="16"/>
                <w:szCs w:val="16"/>
              </w:rPr>
              <w:t>T</w:t>
            </w:r>
            <w:r>
              <w:rPr>
                <w:sz w:val="16"/>
                <w:szCs w:val="16"/>
              </w:rPr>
              <w:t xml:space="preserve">erm </w:t>
            </w:r>
            <w:r w:rsidR="00AD7175">
              <w:rPr>
                <w:sz w:val="16"/>
                <w:szCs w:val="16"/>
              </w:rPr>
              <w:t>Evaluation to</w:t>
            </w:r>
            <w:r>
              <w:rPr>
                <w:sz w:val="16"/>
                <w:szCs w:val="16"/>
              </w:rPr>
              <w:t xml:space="preserve"> assess overall progress as well as </w:t>
            </w:r>
            <w:r w:rsidR="00A93D64">
              <w:rPr>
                <w:sz w:val="16"/>
                <w:szCs w:val="16"/>
              </w:rPr>
              <w:t xml:space="preserve">specific outcomes or </w:t>
            </w:r>
            <w:r>
              <w:rPr>
                <w:sz w:val="16"/>
                <w:szCs w:val="16"/>
              </w:rPr>
              <w:t>aspect</w:t>
            </w:r>
            <w:r w:rsidR="00A93D64">
              <w:rPr>
                <w:sz w:val="16"/>
                <w:szCs w:val="16"/>
              </w:rPr>
              <w:t>s</w:t>
            </w:r>
            <w:r>
              <w:rPr>
                <w:sz w:val="16"/>
                <w:szCs w:val="16"/>
              </w:rPr>
              <w:t xml:space="preserve"> of the </w:t>
            </w:r>
            <w:r w:rsidR="00A93D64">
              <w:rPr>
                <w:sz w:val="16"/>
                <w:szCs w:val="16"/>
              </w:rPr>
              <w:t>CP</w:t>
            </w:r>
            <w:r>
              <w:rPr>
                <w:sz w:val="16"/>
                <w:szCs w:val="16"/>
              </w:rPr>
              <w:t xml:space="preserve"> </w:t>
            </w:r>
            <w:r w:rsidR="00A93D64">
              <w:rPr>
                <w:sz w:val="16"/>
                <w:szCs w:val="16"/>
              </w:rPr>
              <w:t>of strategic importance.</w:t>
            </w:r>
          </w:p>
        </w:tc>
        <w:tc>
          <w:tcPr>
            <w:tcW w:w="1350" w:type="dxa"/>
          </w:tcPr>
          <w:p w14:paraId="767D4D54" w14:textId="77777777" w:rsidR="008A5984" w:rsidRPr="005332BC" w:rsidRDefault="008A5984" w:rsidP="008A5984">
            <w:pPr>
              <w:spacing w:after="120"/>
              <w:rPr>
                <w:iCs/>
                <w:color w:val="000000"/>
                <w:sz w:val="16"/>
                <w:szCs w:val="16"/>
              </w:rPr>
            </w:pPr>
            <w:r>
              <w:rPr>
                <w:iCs/>
                <w:color w:val="000000"/>
                <w:sz w:val="16"/>
                <w:szCs w:val="16"/>
              </w:rPr>
              <w:t>National Development Planning Agency (</w:t>
            </w:r>
            <w:proofErr w:type="spellStart"/>
            <w:r w:rsidRPr="00CD5530">
              <w:rPr>
                <w:iCs/>
                <w:color w:val="000000"/>
                <w:sz w:val="16"/>
                <w:szCs w:val="16"/>
              </w:rPr>
              <w:t>Bappenas</w:t>
            </w:r>
            <w:proofErr w:type="spellEnd"/>
            <w:r>
              <w:rPr>
                <w:iCs/>
                <w:color w:val="000000"/>
                <w:sz w:val="16"/>
                <w:szCs w:val="16"/>
              </w:rPr>
              <w:t>)</w:t>
            </w:r>
          </w:p>
        </w:tc>
        <w:tc>
          <w:tcPr>
            <w:tcW w:w="1440" w:type="dxa"/>
          </w:tcPr>
          <w:p w14:paraId="400C8321" w14:textId="77777777" w:rsidR="008A5984" w:rsidRPr="003C26C1" w:rsidRDefault="008A5984" w:rsidP="008A5984">
            <w:pPr>
              <w:rPr>
                <w:sz w:val="16"/>
                <w:szCs w:val="16"/>
              </w:rPr>
            </w:pPr>
          </w:p>
        </w:tc>
        <w:tc>
          <w:tcPr>
            <w:tcW w:w="1170" w:type="dxa"/>
          </w:tcPr>
          <w:p w14:paraId="3B0F6D51" w14:textId="65090D86" w:rsidR="008A5984" w:rsidRPr="003C26C1" w:rsidRDefault="008A5984" w:rsidP="00AD7175">
            <w:pPr>
              <w:rPr>
                <w:sz w:val="16"/>
                <w:szCs w:val="16"/>
              </w:rPr>
            </w:pPr>
            <w:r>
              <w:rPr>
                <w:sz w:val="16"/>
                <w:szCs w:val="16"/>
              </w:rPr>
              <w:t>C</w:t>
            </w:r>
            <w:r w:rsidR="00AD7175">
              <w:rPr>
                <w:sz w:val="16"/>
                <w:szCs w:val="16"/>
              </w:rPr>
              <w:t>ountry Programme Evaluation</w:t>
            </w:r>
          </w:p>
        </w:tc>
        <w:tc>
          <w:tcPr>
            <w:tcW w:w="1440" w:type="dxa"/>
          </w:tcPr>
          <w:p w14:paraId="59E19E95" w14:textId="77777777" w:rsidR="008A5984" w:rsidRPr="003C26C1" w:rsidRDefault="008F0CD0" w:rsidP="008A5984">
            <w:pPr>
              <w:spacing w:before="40" w:after="40"/>
              <w:rPr>
                <w:sz w:val="16"/>
                <w:szCs w:val="16"/>
              </w:rPr>
            </w:pPr>
            <w:r>
              <w:rPr>
                <w:sz w:val="16"/>
                <w:szCs w:val="16"/>
              </w:rPr>
              <w:t>Q1 2018</w:t>
            </w:r>
          </w:p>
        </w:tc>
        <w:tc>
          <w:tcPr>
            <w:tcW w:w="1260" w:type="dxa"/>
          </w:tcPr>
          <w:p w14:paraId="3F8D9205" w14:textId="77777777" w:rsidR="008A5984" w:rsidRPr="003C26C1" w:rsidRDefault="008A5984" w:rsidP="008A5984">
            <w:pPr>
              <w:rPr>
                <w:sz w:val="16"/>
                <w:szCs w:val="16"/>
              </w:rPr>
            </w:pPr>
            <w:r>
              <w:rPr>
                <w:sz w:val="16"/>
                <w:szCs w:val="16"/>
              </w:rPr>
              <w:t>USD 40,000</w:t>
            </w:r>
          </w:p>
        </w:tc>
        <w:tc>
          <w:tcPr>
            <w:tcW w:w="1440" w:type="dxa"/>
          </w:tcPr>
          <w:p w14:paraId="3527A621" w14:textId="77777777" w:rsidR="008A5984" w:rsidRPr="003C26C1" w:rsidRDefault="008A5984" w:rsidP="008A5984">
            <w:pPr>
              <w:rPr>
                <w:rStyle w:val="CommentReference"/>
                <w:sz w:val="16"/>
                <w:szCs w:val="16"/>
                <w:lang w:eastAsia="uk-UA"/>
              </w:rPr>
            </w:pPr>
            <w:r>
              <w:rPr>
                <w:rStyle w:val="CommentReference"/>
                <w:sz w:val="16"/>
                <w:szCs w:val="16"/>
                <w:lang w:eastAsia="uk-UA"/>
              </w:rPr>
              <w:t>M&amp;E budget, DAS</w:t>
            </w:r>
          </w:p>
        </w:tc>
      </w:tr>
      <w:tr w:rsidR="00FA4392" w14:paraId="238FDB07" w14:textId="77777777" w:rsidTr="00C53E19">
        <w:tc>
          <w:tcPr>
            <w:tcW w:w="2036" w:type="dxa"/>
          </w:tcPr>
          <w:p w14:paraId="6F32BA2B" w14:textId="77777777" w:rsidR="00FA4392" w:rsidRPr="00667085" w:rsidRDefault="00FA4392" w:rsidP="008A5984">
            <w:pPr>
              <w:spacing w:before="60" w:after="60"/>
              <w:rPr>
                <w:sz w:val="16"/>
                <w:szCs w:val="16"/>
              </w:rPr>
            </w:pPr>
            <w:r>
              <w:rPr>
                <w:sz w:val="16"/>
                <w:szCs w:val="16"/>
              </w:rPr>
              <w:t>UNPDF Outcome 3</w:t>
            </w:r>
          </w:p>
        </w:tc>
        <w:tc>
          <w:tcPr>
            <w:tcW w:w="2036" w:type="dxa"/>
          </w:tcPr>
          <w:p w14:paraId="081D0494" w14:textId="77777777" w:rsidR="00FA4392" w:rsidRDefault="00FA4392" w:rsidP="008A5984">
            <w:pPr>
              <w:spacing w:before="60" w:after="60" w:line="256" w:lineRule="auto"/>
              <w:rPr>
                <w:sz w:val="16"/>
                <w:szCs w:val="16"/>
              </w:rPr>
            </w:pPr>
            <w:r>
              <w:rPr>
                <w:sz w:val="16"/>
                <w:szCs w:val="16"/>
              </w:rPr>
              <w:t>SP Outcome 1</w:t>
            </w:r>
          </w:p>
        </w:tc>
        <w:tc>
          <w:tcPr>
            <w:tcW w:w="1350" w:type="dxa"/>
          </w:tcPr>
          <w:p w14:paraId="5C45461B" w14:textId="77777777" w:rsidR="00FA4392" w:rsidRDefault="00FA4392" w:rsidP="008F0CD0">
            <w:pPr>
              <w:rPr>
                <w:sz w:val="16"/>
                <w:szCs w:val="16"/>
              </w:rPr>
            </w:pPr>
            <w:r>
              <w:rPr>
                <w:sz w:val="16"/>
                <w:szCs w:val="16"/>
              </w:rPr>
              <w:t>Outcome Evaluation</w:t>
            </w:r>
            <w:r w:rsidR="008F0CD0">
              <w:rPr>
                <w:sz w:val="16"/>
                <w:szCs w:val="16"/>
              </w:rPr>
              <w:t xml:space="preserve"> (Given the strategic significance of outcome 3 and amount of resources assigned.)</w:t>
            </w:r>
          </w:p>
        </w:tc>
        <w:tc>
          <w:tcPr>
            <w:tcW w:w="1350" w:type="dxa"/>
          </w:tcPr>
          <w:p w14:paraId="689F5751" w14:textId="77777777" w:rsidR="00FA4392" w:rsidRDefault="00FA4392" w:rsidP="00330CE7">
            <w:pPr>
              <w:spacing w:after="120"/>
              <w:rPr>
                <w:iCs/>
                <w:color w:val="000000"/>
                <w:sz w:val="16"/>
                <w:szCs w:val="16"/>
              </w:rPr>
            </w:pPr>
            <w:r>
              <w:rPr>
                <w:iCs/>
                <w:color w:val="000000"/>
                <w:sz w:val="16"/>
                <w:szCs w:val="16"/>
              </w:rPr>
              <w:t>National Development Planning Agency (</w:t>
            </w:r>
            <w:proofErr w:type="spellStart"/>
            <w:r w:rsidRPr="00CD5530">
              <w:rPr>
                <w:iCs/>
                <w:color w:val="000000"/>
                <w:sz w:val="16"/>
                <w:szCs w:val="16"/>
              </w:rPr>
              <w:t>Bappenas</w:t>
            </w:r>
            <w:proofErr w:type="spellEnd"/>
            <w:r>
              <w:rPr>
                <w:iCs/>
                <w:color w:val="000000"/>
                <w:sz w:val="16"/>
                <w:szCs w:val="16"/>
              </w:rPr>
              <w:t>)</w:t>
            </w:r>
          </w:p>
        </w:tc>
        <w:tc>
          <w:tcPr>
            <w:tcW w:w="1440" w:type="dxa"/>
          </w:tcPr>
          <w:p w14:paraId="43E5B2A4" w14:textId="77777777" w:rsidR="00FA4392" w:rsidRDefault="00FA4392" w:rsidP="008A5984">
            <w:pPr>
              <w:rPr>
                <w:sz w:val="16"/>
                <w:szCs w:val="16"/>
              </w:rPr>
            </w:pPr>
          </w:p>
        </w:tc>
        <w:tc>
          <w:tcPr>
            <w:tcW w:w="1170" w:type="dxa"/>
          </w:tcPr>
          <w:p w14:paraId="5E030CDA" w14:textId="77777777" w:rsidR="00FA4392" w:rsidRDefault="00FA4392" w:rsidP="008A5984">
            <w:pPr>
              <w:rPr>
                <w:sz w:val="16"/>
                <w:szCs w:val="16"/>
              </w:rPr>
            </w:pPr>
            <w:r>
              <w:rPr>
                <w:sz w:val="16"/>
                <w:szCs w:val="16"/>
              </w:rPr>
              <w:t>Outcome Evaluation</w:t>
            </w:r>
          </w:p>
        </w:tc>
        <w:tc>
          <w:tcPr>
            <w:tcW w:w="1440" w:type="dxa"/>
          </w:tcPr>
          <w:p w14:paraId="3610E7C7" w14:textId="77777777" w:rsidR="00FA4392" w:rsidRDefault="008F0CD0" w:rsidP="008A5984">
            <w:pPr>
              <w:spacing w:before="40" w:after="40"/>
              <w:rPr>
                <w:sz w:val="16"/>
                <w:szCs w:val="16"/>
              </w:rPr>
            </w:pPr>
            <w:r>
              <w:rPr>
                <w:sz w:val="16"/>
                <w:szCs w:val="16"/>
              </w:rPr>
              <w:t>Q3 2019</w:t>
            </w:r>
          </w:p>
        </w:tc>
        <w:tc>
          <w:tcPr>
            <w:tcW w:w="1260" w:type="dxa"/>
          </w:tcPr>
          <w:p w14:paraId="41989C4D" w14:textId="77777777" w:rsidR="00FA4392" w:rsidRDefault="00FA4392" w:rsidP="008A5984">
            <w:pPr>
              <w:rPr>
                <w:sz w:val="16"/>
                <w:szCs w:val="16"/>
              </w:rPr>
            </w:pPr>
            <w:r>
              <w:rPr>
                <w:sz w:val="16"/>
                <w:szCs w:val="16"/>
              </w:rPr>
              <w:t>USD 40,000</w:t>
            </w:r>
          </w:p>
        </w:tc>
        <w:tc>
          <w:tcPr>
            <w:tcW w:w="1440" w:type="dxa"/>
          </w:tcPr>
          <w:p w14:paraId="16B11C1A" w14:textId="77777777" w:rsidR="00FA4392" w:rsidRDefault="00FA4392" w:rsidP="008A5984">
            <w:pPr>
              <w:rPr>
                <w:sz w:val="16"/>
                <w:szCs w:val="16"/>
              </w:rPr>
            </w:pPr>
            <w:r>
              <w:rPr>
                <w:sz w:val="16"/>
                <w:szCs w:val="16"/>
              </w:rPr>
              <w:t>M&amp;E budget, DAS</w:t>
            </w:r>
          </w:p>
        </w:tc>
      </w:tr>
      <w:tr w:rsidR="00B52E67" w14:paraId="15DB62AA" w14:textId="77777777" w:rsidTr="00C85E90">
        <w:trPr>
          <w:trHeight w:val="1656"/>
        </w:trPr>
        <w:tc>
          <w:tcPr>
            <w:tcW w:w="2036" w:type="dxa"/>
            <w:vMerge w:val="restart"/>
          </w:tcPr>
          <w:p w14:paraId="60D25D41" w14:textId="77777777" w:rsidR="00B52E67" w:rsidRPr="00667085" w:rsidRDefault="00B52E67" w:rsidP="00330CE7">
            <w:pPr>
              <w:spacing w:before="60" w:after="60"/>
              <w:rPr>
                <w:sz w:val="16"/>
                <w:szCs w:val="16"/>
              </w:rPr>
            </w:pPr>
            <w:r w:rsidRPr="00667085">
              <w:rPr>
                <w:sz w:val="16"/>
                <w:szCs w:val="16"/>
              </w:rPr>
              <w:t>UNPDF Outcome 3:</w:t>
            </w:r>
          </w:p>
          <w:p w14:paraId="01506BEC" w14:textId="77777777" w:rsidR="00B52E67" w:rsidRPr="00270BBA" w:rsidRDefault="00E42DB5" w:rsidP="00330CE7">
            <w:pPr>
              <w:spacing w:before="60" w:after="60"/>
              <w:rPr>
                <w:sz w:val="16"/>
                <w:szCs w:val="16"/>
              </w:rPr>
            </w:pPr>
            <w:r w:rsidRPr="00FA4392">
              <w:rPr>
                <w:sz w:val="16"/>
                <w:szCs w:val="16"/>
              </w:rPr>
              <w:t>By 2020, Indonesia is sustainably managing its natural resources, on land and at sea, with an increased resilience to the effects of climate change, disasters and other shocks</w:t>
            </w:r>
            <w:r w:rsidRPr="00270BBA">
              <w:rPr>
                <w:sz w:val="16"/>
                <w:szCs w:val="16"/>
              </w:rPr>
              <w:t xml:space="preserve"> </w:t>
            </w:r>
          </w:p>
        </w:tc>
        <w:tc>
          <w:tcPr>
            <w:tcW w:w="2036" w:type="dxa"/>
            <w:vMerge w:val="restart"/>
          </w:tcPr>
          <w:p w14:paraId="0548E008" w14:textId="77777777" w:rsidR="00B52E67" w:rsidRPr="00270BBA" w:rsidRDefault="00B52E67" w:rsidP="00330CE7">
            <w:pPr>
              <w:spacing w:before="60" w:after="60" w:line="256" w:lineRule="auto"/>
              <w:rPr>
                <w:sz w:val="16"/>
                <w:szCs w:val="16"/>
              </w:rPr>
            </w:pPr>
            <w:r>
              <w:rPr>
                <w:sz w:val="16"/>
                <w:szCs w:val="16"/>
              </w:rPr>
              <w:t xml:space="preserve">SP Outcome </w:t>
            </w:r>
            <w:r w:rsidRPr="00270BBA">
              <w:rPr>
                <w:sz w:val="16"/>
                <w:szCs w:val="16"/>
              </w:rPr>
              <w:t xml:space="preserve">1. </w:t>
            </w:r>
            <w:r w:rsidRPr="00270BBA">
              <w:rPr>
                <w:rFonts w:eastAsiaTheme="minorEastAsia"/>
                <w:sz w:val="16"/>
                <w:szCs w:val="16"/>
              </w:rPr>
              <w:t>Growth and development are inclusive and sustainable, incorporating productive capacities that create employment and livelihoods for the poor and excluded</w:t>
            </w:r>
          </w:p>
        </w:tc>
        <w:tc>
          <w:tcPr>
            <w:tcW w:w="1350" w:type="dxa"/>
          </w:tcPr>
          <w:p w14:paraId="57C73539" w14:textId="77777777" w:rsidR="00B52E67" w:rsidRDefault="00B52E67" w:rsidP="00330CE7">
            <w:pPr>
              <w:rPr>
                <w:sz w:val="16"/>
                <w:szCs w:val="16"/>
              </w:rPr>
            </w:pPr>
            <w:r>
              <w:rPr>
                <w:sz w:val="16"/>
                <w:szCs w:val="16"/>
              </w:rPr>
              <w:t xml:space="preserve">Terminal Evaluation: </w:t>
            </w:r>
            <w:r w:rsidRPr="00A946E6">
              <w:rPr>
                <w:sz w:val="16"/>
                <w:szCs w:val="16"/>
              </w:rPr>
              <w:t>Enhancing the Protected Area System in Sulawesi  (E-PASS) for Biodiversity Conservation</w:t>
            </w:r>
          </w:p>
        </w:tc>
        <w:tc>
          <w:tcPr>
            <w:tcW w:w="1350" w:type="dxa"/>
          </w:tcPr>
          <w:p w14:paraId="1051B864" w14:textId="77777777" w:rsidR="00B52E67" w:rsidRPr="00F16705" w:rsidRDefault="00B52E67" w:rsidP="00330CE7">
            <w:pPr>
              <w:spacing w:after="120"/>
              <w:rPr>
                <w:sz w:val="16"/>
                <w:szCs w:val="16"/>
              </w:rPr>
            </w:pPr>
            <w:r>
              <w:rPr>
                <w:iCs/>
                <w:color w:val="000000"/>
                <w:sz w:val="16"/>
                <w:szCs w:val="16"/>
              </w:rPr>
              <w:t>Ministry of Environment and Forestry</w:t>
            </w:r>
          </w:p>
        </w:tc>
        <w:tc>
          <w:tcPr>
            <w:tcW w:w="1440" w:type="dxa"/>
          </w:tcPr>
          <w:p w14:paraId="2A1B7F0A" w14:textId="77777777" w:rsidR="00B52E67" w:rsidRPr="003C26C1" w:rsidRDefault="00502A44" w:rsidP="00502A44">
            <w:pPr>
              <w:rPr>
                <w:sz w:val="16"/>
                <w:szCs w:val="16"/>
              </w:rPr>
            </w:pPr>
            <w:r>
              <w:rPr>
                <w:sz w:val="16"/>
                <w:szCs w:val="16"/>
              </w:rPr>
              <w:t>UNDP and Ministry of Environment and Forestry</w:t>
            </w:r>
          </w:p>
        </w:tc>
        <w:tc>
          <w:tcPr>
            <w:tcW w:w="1170" w:type="dxa"/>
          </w:tcPr>
          <w:p w14:paraId="7BE56AA3" w14:textId="77777777" w:rsidR="00B52E67" w:rsidRDefault="00B52E67" w:rsidP="00330CE7">
            <w:pPr>
              <w:rPr>
                <w:sz w:val="16"/>
                <w:szCs w:val="16"/>
              </w:rPr>
            </w:pPr>
            <w:r>
              <w:rPr>
                <w:sz w:val="16"/>
                <w:szCs w:val="16"/>
              </w:rPr>
              <w:t>Project Evaluation</w:t>
            </w:r>
          </w:p>
        </w:tc>
        <w:tc>
          <w:tcPr>
            <w:tcW w:w="1440" w:type="dxa"/>
          </w:tcPr>
          <w:p w14:paraId="2B38DE69" w14:textId="77777777" w:rsidR="00B52E67" w:rsidRDefault="00B52E67" w:rsidP="00330CE7">
            <w:pPr>
              <w:tabs>
                <w:tab w:val="left" w:pos="1105"/>
              </w:tabs>
              <w:spacing w:before="40" w:after="40"/>
              <w:rPr>
                <w:sz w:val="16"/>
                <w:szCs w:val="16"/>
              </w:rPr>
            </w:pPr>
            <w:r>
              <w:rPr>
                <w:sz w:val="16"/>
                <w:szCs w:val="16"/>
              </w:rPr>
              <w:t>Q2 2020</w:t>
            </w:r>
            <w:r>
              <w:rPr>
                <w:sz w:val="16"/>
                <w:szCs w:val="16"/>
              </w:rPr>
              <w:tab/>
            </w:r>
          </w:p>
        </w:tc>
        <w:tc>
          <w:tcPr>
            <w:tcW w:w="1260" w:type="dxa"/>
          </w:tcPr>
          <w:p w14:paraId="3FB92AE6" w14:textId="77777777" w:rsidR="00B52E67" w:rsidRDefault="00B52E67" w:rsidP="00330CE7">
            <w:pPr>
              <w:rPr>
                <w:sz w:val="16"/>
                <w:szCs w:val="16"/>
              </w:rPr>
            </w:pPr>
            <w:r>
              <w:rPr>
                <w:sz w:val="16"/>
                <w:szCs w:val="16"/>
              </w:rPr>
              <w:t>35,000</w:t>
            </w:r>
          </w:p>
        </w:tc>
        <w:tc>
          <w:tcPr>
            <w:tcW w:w="1440" w:type="dxa"/>
          </w:tcPr>
          <w:p w14:paraId="3DAFA1B5" w14:textId="77777777" w:rsidR="00B52E67" w:rsidRDefault="00B52E67" w:rsidP="00330CE7">
            <w:pPr>
              <w:rPr>
                <w:sz w:val="16"/>
                <w:szCs w:val="16"/>
              </w:rPr>
            </w:pPr>
            <w:r>
              <w:rPr>
                <w:sz w:val="16"/>
                <w:szCs w:val="16"/>
              </w:rPr>
              <w:t>E-PASS project</w:t>
            </w:r>
          </w:p>
        </w:tc>
      </w:tr>
      <w:tr w:rsidR="00330CE7" w14:paraId="58AB8F54" w14:textId="77777777" w:rsidTr="00C53E19">
        <w:tc>
          <w:tcPr>
            <w:tcW w:w="2036" w:type="dxa"/>
            <w:vMerge/>
          </w:tcPr>
          <w:p w14:paraId="1C64D94B" w14:textId="77777777" w:rsidR="00330CE7" w:rsidRPr="00270BBA" w:rsidRDefault="00330CE7" w:rsidP="00330CE7">
            <w:pPr>
              <w:rPr>
                <w:sz w:val="16"/>
                <w:szCs w:val="16"/>
              </w:rPr>
            </w:pPr>
          </w:p>
        </w:tc>
        <w:tc>
          <w:tcPr>
            <w:tcW w:w="2036" w:type="dxa"/>
            <w:vMerge/>
          </w:tcPr>
          <w:p w14:paraId="63F0DB4D" w14:textId="77777777" w:rsidR="00330CE7" w:rsidRPr="00270BBA" w:rsidRDefault="00330CE7" w:rsidP="00330CE7">
            <w:pPr>
              <w:spacing w:before="60" w:after="60" w:line="256" w:lineRule="auto"/>
              <w:rPr>
                <w:sz w:val="16"/>
                <w:szCs w:val="16"/>
              </w:rPr>
            </w:pPr>
          </w:p>
        </w:tc>
        <w:tc>
          <w:tcPr>
            <w:tcW w:w="1350" w:type="dxa"/>
          </w:tcPr>
          <w:p w14:paraId="2A19F6A2" w14:textId="77777777" w:rsidR="00330CE7" w:rsidRPr="00677CE0" w:rsidRDefault="00330CE7" w:rsidP="00330CE7">
            <w:pPr>
              <w:spacing w:after="120"/>
              <w:rPr>
                <w:iCs/>
                <w:color w:val="000000"/>
                <w:sz w:val="16"/>
                <w:szCs w:val="16"/>
              </w:rPr>
            </w:pPr>
            <w:r>
              <w:rPr>
                <w:iCs/>
                <w:color w:val="000000"/>
                <w:sz w:val="16"/>
                <w:szCs w:val="16"/>
              </w:rPr>
              <w:t xml:space="preserve">Terminal Evaluation: </w:t>
            </w:r>
            <w:r w:rsidRPr="00677CE0">
              <w:rPr>
                <w:iCs/>
                <w:color w:val="000000"/>
                <w:sz w:val="16"/>
                <w:szCs w:val="16"/>
              </w:rPr>
              <w:t>Sustainable Palm Oil Initiative (SPO)</w:t>
            </w:r>
          </w:p>
        </w:tc>
        <w:tc>
          <w:tcPr>
            <w:tcW w:w="1350" w:type="dxa"/>
          </w:tcPr>
          <w:p w14:paraId="411780A4" w14:textId="77777777" w:rsidR="00330CE7" w:rsidRDefault="00330CE7" w:rsidP="00330CE7">
            <w:pPr>
              <w:spacing w:after="120"/>
              <w:rPr>
                <w:iCs/>
                <w:color w:val="000000"/>
                <w:sz w:val="16"/>
                <w:szCs w:val="16"/>
              </w:rPr>
            </w:pPr>
            <w:r>
              <w:rPr>
                <w:iCs/>
                <w:color w:val="000000"/>
                <w:sz w:val="16"/>
                <w:szCs w:val="16"/>
              </w:rPr>
              <w:t>Ministry of Agriculture</w:t>
            </w:r>
          </w:p>
        </w:tc>
        <w:tc>
          <w:tcPr>
            <w:tcW w:w="1440" w:type="dxa"/>
          </w:tcPr>
          <w:p w14:paraId="3DAEDA9C" w14:textId="77777777" w:rsidR="00330CE7" w:rsidRPr="003C26C1" w:rsidRDefault="00502A44" w:rsidP="00502A44">
            <w:pPr>
              <w:rPr>
                <w:sz w:val="16"/>
                <w:szCs w:val="16"/>
              </w:rPr>
            </w:pPr>
            <w:r>
              <w:rPr>
                <w:sz w:val="16"/>
                <w:szCs w:val="16"/>
              </w:rPr>
              <w:t>UNDP and Ministry of Agriculture</w:t>
            </w:r>
          </w:p>
        </w:tc>
        <w:tc>
          <w:tcPr>
            <w:tcW w:w="1170" w:type="dxa"/>
          </w:tcPr>
          <w:p w14:paraId="78057400" w14:textId="77777777" w:rsidR="00330CE7" w:rsidRDefault="00330CE7" w:rsidP="00330CE7">
            <w:pPr>
              <w:rPr>
                <w:sz w:val="16"/>
                <w:szCs w:val="16"/>
              </w:rPr>
            </w:pPr>
            <w:r>
              <w:rPr>
                <w:sz w:val="16"/>
                <w:szCs w:val="16"/>
              </w:rPr>
              <w:t>Project Evaluation</w:t>
            </w:r>
          </w:p>
        </w:tc>
        <w:tc>
          <w:tcPr>
            <w:tcW w:w="1440" w:type="dxa"/>
          </w:tcPr>
          <w:p w14:paraId="04402255" w14:textId="13527AA0" w:rsidR="00330CE7" w:rsidRDefault="00330CE7" w:rsidP="00330CE7">
            <w:pPr>
              <w:spacing w:before="40" w:after="40"/>
              <w:rPr>
                <w:sz w:val="16"/>
                <w:szCs w:val="16"/>
              </w:rPr>
            </w:pPr>
            <w:r>
              <w:rPr>
                <w:sz w:val="16"/>
                <w:szCs w:val="16"/>
              </w:rPr>
              <w:t>Q1 201</w:t>
            </w:r>
            <w:r w:rsidR="000F5C97">
              <w:rPr>
                <w:sz w:val="16"/>
                <w:szCs w:val="16"/>
              </w:rPr>
              <w:t>8</w:t>
            </w:r>
          </w:p>
        </w:tc>
        <w:tc>
          <w:tcPr>
            <w:tcW w:w="1260" w:type="dxa"/>
          </w:tcPr>
          <w:p w14:paraId="2B71D3F2" w14:textId="77777777" w:rsidR="00330CE7" w:rsidRDefault="00330CE7" w:rsidP="00330CE7">
            <w:pPr>
              <w:rPr>
                <w:sz w:val="16"/>
                <w:szCs w:val="16"/>
              </w:rPr>
            </w:pPr>
            <w:r>
              <w:rPr>
                <w:sz w:val="16"/>
                <w:szCs w:val="16"/>
              </w:rPr>
              <w:t>35000</w:t>
            </w:r>
          </w:p>
        </w:tc>
        <w:tc>
          <w:tcPr>
            <w:tcW w:w="1440" w:type="dxa"/>
          </w:tcPr>
          <w:p w14:paraId="48DCC62D" w14:textId="77777777" w:rsidR="00330CE7" w:rsidRDefault="00330CE7" w:rsidP="00330CE7">
            <w:pPr>
              <w:rPr>
                <w:sz w:val="16"/>
                <w:szCs w:val="16"/>
              </w:rPr>
            </w:pPr>
            <w:r>
              <w:rPr>
                <w:sz w:val="16"/>
                <w:szCs w:val="16"/>
              </w:rPr>
              <w:t>SPO Project</w:t>
            </w:r>
          </w:p>
        </w:tc>
      </w:tr>
      <w:tr w:rsidR="00B52E67" w14:paraId="7EBB922D" w14:textId="77777777" w:rsidTr="00205AA2">
        <w:trPr>
          <w:trHeight w:val="1592"/>
        </w:trPr>
        <w:tc>
          <w:tcPr>
            <w:tcW w:w="2036" w:type="dxa"/>
            <w:vMerge/>
          </w:tcPr>
          <w:p w14:paraId="48A66155" w14:textId="77777777" w:rsidR="00B52E67" w:rsidRPr="00270BBA" w:rsidRDefault="00B52E67" w:rsidP="00330CE7">
            <w:pPr>
              <w:rPr>
                <w:sz w:val="16"/>
                <w:szCs w:val="16"/>
              </w:rPr>
            </w:pPr>
          </w:p>
        </w:tc>
        <w:tc>
          <w:tcPr>
            <w:tcW w:w="2036" w:type="dxa"/>
            <w:vMerge/>
          </w:tcPr>
          <w:p w14:paraId="31F0CF39" w14:textId="77777777" w:rsidR="00B52E67" w:rsidRPr="00270BBA" w:rsidRDefault="00B52E67" w:rsidP="00330CE7">
            <w:pPr>
              <w:spacing w:before="60" w:after="60" w:line="256" w:lineRule="auto"/>
              <w:rPr>
                <w:sz w:val="16"/>
                <w:szCs w:val="16"/>
              </w:rPr>
            </w:pPr>
          </w:p>
        </w:tc>
        <w:tc>
          <w:tcPr>
            <w:tcW w:w="1350" w:type="dxa"/>
          </w:tcPr>
          <w:p w14:paraId="7E4A9346" w14:textId="77777777" w:rsidR="00B52E67" w:rsidRPr="00677CE0" w:rsidRDefault="00B52E67" w:rsidP="00330CE7">
            <w:pPr>
              <w:spacing w:after="120"/>
              <w:rPr>
                <w:iCs/>
                <w:color w:val="000000"/>
                <w:sz w:val="16"/>
                <w:szCs w:val="16"/>
              </w:rPr>
            </w:pPr>
            <w:r w:rsidRPr="00677CE0">
              <w:rPr>
                <w:iCs/>
                <w:color w:val="000000"/>
                <w:sz w:val="16"/>
                <w:szCs w:val="16"/>
              </w:rPr>
              <w:t>Terminal Evaluation: Strengthening Forest Area Planning &amp; Management in Kalimantan (SPO-2)</w:t>
            </w:r>
          </w:p>
        </w:tc>
        <w:tc>
          <w:tcPr>
            <w:tcW w:w="1350" w:type="dxa"/>
          </w:tcPr>
          <w:p w14:paraId="0E00CEE8" w14:textId="77777777" w:rsidR="00B52E67" w:rsidRDefault="00B52E67" w:rsidP="00330CE7">
            <w:pPr>
              <w:spacing w:after="120"/>
              <w:rPr>
                <w:iCs/>
                <w:color w:val="000000"/>
                <w:sz w:val="16"/>
                <w:szCs w:val="16"/>
              </w:rPr>
            </w:pPr>
            <w:r>
              <w:rPr>
                <w:iCs/>
                <w:color w:val="000000"/>
                <w:sz w:val="16"/>
                <w:szCs w:val="16"/>
              </w:rPr>
              <w:t>Ministry of Environment and Forestry</w:t>
            </w:r>
          </w:p>
        </w:tc>
        <w:tc>
          <w:tcPr>
            <w:tcW w:w="1440" w:type="dxa"/>
          </w:tcPr>
          <w:p w14:paraId="500E521A" w14:textId="77777777" w:rsidR="00B52E67" w:rsidRPr="003C26C1" w:rsidRDefault="00502A44" w:rsidP="00330CE7">
            <w:pPr>
              <w:rPr>
                <w:sz w:val="16"/>
                <w:szCs w:val="16"/>
              </w:rPr>
            </w:pPr>
            <w:r>
              <w:rPr>
                <w:sz w:val="16"/>
                <w:szCs w:val="16"/>
              </w:rPr>
              <w:t>UNDP and Ministry of Environment and Forestry</w:t>
            </w:r>
          </w:p>
        </w:tc>
        <w:tc>
          <w:tcPr>
            <w:tcW w:w="1170" w:type="dxa"/>
          </w:tcPr>
          <w:p w14:paraId="507095A6" w14:textId="77777777" w:rsidR="00B52E67" w:rsidRDefault="00B52E67" w:rsidP="00330CE7">
            <w:pPr>
              <w:rPr>
                <w:sz w:val="16"/>
                <w:szCs w:val="16"/>
              </w:rPr>
            </w:pPr>
            <w:r>
              <w:rPr>
                <w:sz w:val="16"/>
                <w:szCs w:val="16"/>
              </w:rPr>
              <w:t>Project Evaluation</w:t>
            </w:r>
          </w:p>
        </w:tc>
        <w:tc>
          <w:tcPr>
            <w:tcW w:w="1440" w:type="dxa"/>
          </w:tcPr>
          <w:p w14:paraId="0A29D1DB" w14:textId="5E36F868" w:rsidR="00B52E67" w:rsidRDefault="00B52E67" w:rsidP="00F74141">
            <w:pPr>
              <w:spacing w:before="40" w:after="40"/>
              <w:rPr>
                <w:sz w:val="16"/>
                <w:szCs w:val="16"/>
              </w:rPr>
            </w:pPr>
            <w:r>
              <w:rPr>
                <w:sz w:val="16"/>
                <w:szCs w:val="16"/>
              </w:rPr>
              <w:t>Q2 20</w:t>
            </w:r>
            <w:r w:rsidR="00F74141">
              <w:rPr>
                <w:sz w:val="16"/>
                <w:szCs w:val="16"/>
              </w:rPr>
              <w:t>20</w:t>
            </w:r>
          </w:p>
        </w:tc>
        <w:tc>
          <w:tcPr>
            <w:tcW w:w="1260" w:type="dxa"/>
          </w:tcPr>
          <w:p w14:paraId="01647C27" w14:textId="77777777" w:rsidR="00B52E67" w:rsidRDefault="00B52E67" w:rsidP="00330CE7">
            <w:pPr>
              <w:rPr>
                <w:sz w:val="16"/>
                <w:szCs w:val="16"/>
              </w:rPr>
            </w:pPr>
            <w:r>
              <w:rPr>
                <w:sz w:val="16"/>
                <w:szCs w:val="16"/>
              </w:rPr>
              <w:t>35000</w:t>
            </w:r>
          </w:p>
        </w:tc>
        <w:tc>
          <w:tcPr>
            <w:tcW w:w="1440" w:type="dxa"/>
          </w:tcPr>
          <w:p w14:paraId="06FBA37C" w14:textId="77777777" w:rsidR="00B52E67" w:rsidRDefault="00B52E67" w:rsidP="00330CE7">
            <w:pPr>
              <w:rPr>
                <w:sz w:val="16"/>
                <w:szCs w:val="16"/>
              </w:rPr>
            </w:pPr>
            <w:r>
              <w:rPr>
                <w:sz w:val="16"/>
                <w:szCs w:val="16"/>
              </w:rPr>
              <w:t>SPO-2 Project</w:t>
            </w:r>
          </w:p>
        </w:tc>
      </w:tr>
      <w:tr w:rsidR="00330CE7" w14:paraId="23FE7DED" w14:textId="77777777" w:rsidTr="00C53E19">
        <w:tc>
          <w:tcPr>
            <w:tcW w:w="2036" w:type="dxa"/>
            <w:vMerge/>
          </w:tcPr>
          <w:p w14:paraId="7CE3D4A6" w14:textId="77777777" w:rsidR="00330CE7" w:rsidRPr="00270BBA" w:rsidRDefault="00330CE7" w:rsidP="00330CE7">
            <w:pPr>
              <w:rPr>
                <w:sz w:val="16"/>
                <w:szCs w:val="16"/>
              </w:rPr>
            </w:pPr>
          </w:p>
        </w:tc>
        <w:tc>
          <w:tcPr>
            <w:tcW w:w="2036" w:type="dxa"/>
            <w:vMerge/>
          </w:tcPr>
          <w:p w14:paraId="4B61D61F" w14:textId="77777777" w:rsidR="00330CE7" w:rsidRPr="00270BBA" w:rsidRDefault="00330CE7" w:rsidP="00330CE7">
            <w:pPr>
              <w:spacing w:before="60" w:after="60" w:line="256" w:lineRule="auto"/>
              <w:rPr>
                <w:sz w:val="16"/>
                <w:szCs w:val="16"/>
              </w:rPr>
            </w:pPr>
          </w:p>
        </w:tc>
        <w:tc>
          <w:tcPr>
            <w:tcW w:w="1350" w:type="dxa"/>
          </w:tcPr>
          <w:p w14:paraId="036039CF" w14:textId="77777777" w:rsidR="00330CE7" w:rsidRPr="00677CE0" w:rsidRDefault="00330CE7" w:rsidP="00330CE7">
            <w:pPr>
              <w:spacing w:after="120"/>
              <w:rPr>
                <w:iCs/>
                <w:color w:val="000000"/>
                <w:sz w:val="16"/>
                <w:szCs w:val="16"/>
              </w:rPr>
            </w:pPr>
            <w:r>
              <w:rPr>
                <w:iCs/>
                <w:color w:val="000000"/>
                <w:sz w:val="16"/>
                <w:szCs w:val="16"/>
              </w:rPr>
              <w:t xml:space="preserve">Terminal Evaluation: </w:t>
            </w:r>
            <w:r w:rsidRPr="00677CE0">
              <w:rPr>
                <w:iCs/>
                <w:color w:val="000000"/>
                <w:sz w:val="16"/>
                <w:szCs w:val="16"/>
              </w:rPr>
              <w:t xml:space="preserve">Cross Cutting Capacity </w:t>
            </w:r>
            <w:r w:rsidRPr="00677CE0">
              <w:rPr>
                <w:iCs/>
                <w:color w:val="000000"/>
                <w:sz w:val="16"/>
                <w:szCs w:val="16"/>
              </w:rPr>
              <w:lastRenderedPageBreak/>
              <w:t>Development (</w:t>
            </w:r>
            <w:r>
              <w:rPr>
                <w:iCs/>
                <w:color w:val="000000"/>
                <w:sz w:val="16"/>
                <w:szCs w:val="16"/>
              </w:rPr>
              <w:t>CCCD</w:t>
            </w:r>
            <w:r w:rsidRPr="00677CE0">
              <w:rPr>
                <w:iCs/>
                <w:color w:val="000000"/>
                <w:sz w:val="16"/>
                <w:szCs w:val="16"/>
              </w:rPr>
              <w:t>)</w:t>
            </w:r>
          </w:p>
        </w:tc>
        <w:tc>
          <w:tcPr>
            <w:tcW w:w="1350" w:type="dxa"/>
          </w:tcPr>
          <w:p w14:paraId="1D9665CF" w14:textId="77777777" w:rsidR="00330CE7" w:rsidRDefault="00330CE7" w:rsidP="00330CE7">
            <w:pPr>
              <w:spacing w:after="120"/>
              <w:rPr>
                <w:iCs/>
                <w:color w:val="000000"/>
                <w:sz w:val="16"/>
                <w:szCs w:val="16"/>
              </w:rPr>
            </w:pPr>
            <w:r>
              <w:rPr>
                <w:iCs/>
                <w:color w:val="000000"/>
                <w:sz w:val="16"/>
                <w:szCs w:val="16"/>
              </w:rPr>
              <w:lastRenderedPageBreak/>
              <w:t>Ministry of Environment and Forestry</w:t>
            </w:r>
          </w:p>
        </w:tc>
        <w:tc>
          <w:tcPr>
            <w:tcW w:w="1440" w:type="dxa"/>
          </w:tcPr>
          <w:p w14:paraId="2DCC851A" w14:textId="77777777" w:rsidR="00330CE7" w:rsidRPr="003C26C1" w:rsidRDefault="00502A44" w:rsidP="00330CE7">
            <w:pPr>
              <w:rPr>
                <w:sz w:val="16"/>
                <w:szCs w:val="16"/>
              </w:rPr>
            </w:pPr>
            <w:r>
              <w:rPr>
                <w:sz w:val="16"/>
                <w:szCs w:val="16"/>
              </w:rPr>
              <w:t>UNDP and Ministry of Environment and Forestry</w:t>
            </w:r>
          </w:p>
        </w:tc>
        <w:tc>
          <w:tcPr>
            <w:tcW w:w="1170" w:type="dxa"/>
          </w:tcPr>
          <w:p w14:paraId="1A1AF430" w14:textId="77777777" w:rsidR="00330CE7" w:rsidRDefault="00330CE7" w:rsidP="00330CE7">
            <w:pPr>
              <w:rPr>
                <w:sz w:val="16"/>
                <w:szCs w:val="16"/>
              </w:rPr>
            </w:pPr>
            <w:r>
              <w:rPr>
                <w:sz w:val="16"/>
                <w:szCs w:val="16"/>
              </w:rPr>
              <w:t>Project Evaluation</w:t>
            </w:r>
          </w:p>
        </w:tc>
        <w:tc>
          <w:tcPr>
            <w:tcW w:w="1440" w:type="dxa"/>
          </w:tcPr>
          <w:p w14:paraId="1716A2B1" w14:textId="7DE49507" w:rsidR="00330CE7" w:rsidRDefault="00330CE7" w:rsidP="001C469C">
            <w:pPr>
              <w:spacing w:before="40" w:after="40"/>
              <w:rPr>
                <w:sz w:val="16"/>
                <w:szCs w:val="16"/>
              </w:rPr>
            </w:pPr>
            <w:r>
              <w:rPr>
                <w:sz w:val="16"/>
                <w:szCs w:val="16"/>
              </w:rPr>
              <w:t>Q</w:t>
            </w:r>
            <w:r w:rsidR="001C469C">
              <w:rPr>
                <w:sz w:val="16"/>
                <w:szCs w:val="16"/>
              </w:rPr>
              <w:t>2</w:t>
            </w:r>
            <w:r>
              <w:rPr>
                <w:sz w:val="16"/>
                <w:szCs w:val="16"/>
              </w:rPr>
              <w:t xml:space="preserve"> 2018</w:t>
            </w:r>
          </w:p>
        </w:tc>
        <w:tc>
          <w:tcPr>
            <w:tcW w:w="1260" w:type="dxa"/>
          </w:tcPr>
          <w:p w14:paraId="5A6C1E31" w14:textId="77777777" w:rsidR="00330CE7" w:rsidRDefault="00330CE7" w:rsidP="00330CE7">
            <w:pPr>
              <w:rPr>
                <w:sz w:val="16"/>
                <w:szCs w:val="16"/>
              </w:rPr>
            </w:pPr>
            <w:r>
              <w:rPr>
                <w:sz w:val="16"/>
                <w:szCs w:val="16"/>
              </w:rPr>
              <w:t>30000</w:t>
            </w:r>
          </w:p>
        </w:tc>
        <w:tc>
          <w:tcPr>
            <w:tcW w:w="1440" w:type="dxa"/>
          </w:tcPr>
          <w:p w14:paraId="00CF18FE" w14:textId="77777777" w:rsidR="00330CE7" w:rsidRDefault="00330CE7" w:rsidP="00330CE7">
            <w:pPr>
              <w:rPr>
                <w:sz w:val="16"/>
                <w:szCs w:val="16"/>
              </w:rPr>
            </w:pPr>
            <w:r>
              <w:rPr>
                <w:sz w:val="16"/>
                <w:szCs w:val="16"/>
              </w:rPr>
              <w:t>CCCD Project</w:t>
            </w:r>
          </w:p>
        </w:tc>
      </w:tr>
      <w:tr w:rsidR="00E42DB5" w14:paraId="49CE6C15" w14:textId="77777777" w:rsidTr="003133F4">
        <w:trPr>
          <w:trHeight w:val="1472"/>
        </w:trPr>
        <w:tc>
          <w:tcPr>
            <w:tcW w:w="2036" w:type="dxa"/>
            <w:vMerge/>
          </w:tcPr>
          <w:p w14:paraId="7531A2AB" w14:textId="77777777" w:rsidR="00E42DB5" w:rsidRPr="00270BBA" w:rsidRDefault="00E42DB5" w:rsidP="00330CE7">
            <w:pPr>
              <w:rPr>
                <w:sz w:val="16"/>
                <w:szCs w:val="16"/>
              </w:rPr>
            </w:pPr>
          </w:p>
        </w:tc>
        <w:tc>
          <w:tcPr>
            <w:tcW w:w="2036" w:type="dxa"/>
            <w:vMerge/>
          </w:tcPr>
          <w:p w14:paraId="0C3A80F5" w14:textId="77777777" w:rsidR="00E42DB5" w:rsidRPr="00270BBA" w:rsidRDefault="00E42DB5" w:rsidP="00330CE7">
            <w:pPr>
              <w:spacing w:before="60" w:after="60" w:line="256" w:lineRule="auto"/>
              <w:rPr>
                <w:sz w:val="16"/>
                <w:szCs w:val="16"/>
              </w:rPr>
            </w:pPr>
          </w:p>
        </w:tc>
        <w:tc>
          <w:tcPr>
            <w:tcW w:w="1350" w:type="dxa"/>
          </w:tcPr>
          <w:p w14:paraId="3B71F86B" w14:textId="77777777" w:rsidR="00E42DB5" w:rsidRPr="00677CE0" w:rsidRDefault="00E42DB5" w:rsidP="00330CE7">
            <w:pPr>
              <w:rPr>
                <w:iCs/>
                <w:color w:val="000000"/>
                <w:sz w:val="16"/>
                <w:szCs w:val="16"/>
              </w:rPr>
            </w:pPr>
            <w:r>
              <w:rPr>
                <w:sz w:val="16"/>
                <w:szCs w:val="16"/>
              </w:rPr>
              <w:t xml:space="preserve">Terminal Evaluation: </w:t>
            </w:r>
            <w:r w:rsidRPr="002D0491">
              <w:rPr>
                <w:rFonts w:eastAsiaTheme="minorEastAsia"/>
                <w:sz w:val="16"/>
                <w:szCs w:val="16"/>
              </w:rPr>
              <w:t xml:space="preserve">Reducing Releases of </w:t>
            </w:r>
            <w:proofErr w:type="spellStart"/>
            <w:r w:rsidRPr="002D0491">
              <w:rPr>
                <w:rFonts w:eastAsiaTheme="minorEastAsia"/>
                <w:sz w:val="16"/>
                <w:szCs w:val="16"/>
              </w:rPr>
              <w:t>Polybromodiphenyl</w:t>
            </w:r>
            <w:proofErr w:type="spellEnd"/>
            <w:r w:rsidRPr="002D0491">
              <w:rPr>
                <w:rFonts w:eastAsiaTheme="minorEastAsia"/>
                <w:sz w:val="16"/>
                <w:szCs w:val="16"/>
              </w:rPr>
              <w:t xml:space="preserve"> Ethers (PBDE) in Indonesia</w:t>
            </w:r>
          </w:p>
        </w:tc>
        <w:tc>
          <w:tcPr>
            <w:tcW w:w="1350" w:type="dxa"/>
          </w:tcPr>
          <w:p w14:paraId="1E53EA4E" w14:textId="77777777" w:rsidR="00E42DB5" w:rsidRDefault="00E42DB5" w:rsidP="00330CE7">
            <w:pPr>
              <w:spacing w:after="120"/>
              <w:rPr>
                <w:iCs/>
                <w:color w:val="000000"/>
                <w:sz w:val="16"/>
                <w:szCs w:val="16"/>
              </w:rPr>
            </w:pPr>
            <w:r>
              <w:rPr>
                <w:iCs/>
                <w:color w:val="000000"/>
                <w:sz w:val="16"/>
                <w:szCs w:val="16"/>
              </w:rPr>
              <w:t>Ministry of Industry</w:t>
            </w:r>
          </w:p>
        </w:tc>
        <w:tc>
          <w:tcPr>
            <w:tcW w:w="1440" w:type="dxa"/>
          </w:tcPr>
          <w:p w14:paraId="1450661D" w14:textId="77777777" w:rsidR="00E42DB5" w:rsidRPr="003C26C1" w:rsidRDefault="00CF0661" w:rsidP="00CF0661">
            <w:pPr>
              <w:rPr>
                <w:sz w:val="16"/>
                <w:szCs w:val="16"/>
              </w:rPr>
            </w:pPr>
            <w:r>
              <w:rPr>
                <w:sz w:val="16"/>
                <w:szCs w:val="16"/>
              </w:rPr>
              <w:t>UNDP and Ministry of Industry</w:t>
            </w:r>
          </w:p>
        </w:tc>
        <w:tc>
          <w:tcPr>
            <w:tcW w:w="1170" w:type="dxa"/>
          </w:tcPr>
          <w:p w14:paraId="6B6A2DB7" w14:textId="77777777" w:rsidR="00E42DB5" w:rsidRDefault="00E42DB5" w:rsidP="00330CE7">
            <w:pPr>
              <w:rPr>
                <w:sz w:val="16"/>
                <w:szCs w:val="16"/>
              </w:rPr>
            </w:pPr>
            <w:r>
              <w:rPr>
                <w:sz w:val="16"/>
                <w:szCs w:val="16"/>
              </w:rPr>
              <w:t>Project Evaluation</w:t>
            </w:r>
          </w:p>
        </w:tc>
        <w:tc>
          <w:tcPr>
            <w:tcW w:w="1440" w:type="dxa"/>
          </w:tcPr>
          <w:p w14:paraId="6368B4BF" w14:textId="45363949" w:rsidR="00E42DB5" w:rsidRDefault="00E42DB5" w:rsidP="002945F6">
            <w:pPr>
              <w:spacing w:before="40" w:after="40"/>
              <w:rPr>
                <w:sz w:val="16"/>
                <w:szCs w:val="16"/>
              </w:rPr>
            </w:pPr>
            <w:r>
              <w:rPr>
                <w:sz w:val="16"/>
                <w:szCs w:val="16"/>
              </w:rPr>
              <w:t>Q2 20</w:t>
            </w:r>
            <w:r w:rsidR="002945F6">
              <w:rPr>
                <w:sz w:val="16"/>
                <w:szCs w:val="16"/>
              </w:rPr>
              <w:t>19</w:t>
            </w:r>
          </w:p>
        </w:tc>
        <w:tc>
          <w:tcPr>
            <w:tcW w:w="1260" w:type="dxa"/>
          </w:tcPr>
          <w:p w14:paraId="42EAF98C" w14:textId="77777777" w:rsidR="00E42DB5" w:rsidRDefault="00E42DB5" w:rsidP="00330CE7">
            <w:pPr>
              <w:rPr>
                <w:sz w:val="16"/>
                <w:szCs w:val="16"/>
              </w:rPr>
            </w:pPr>
            <w:r>
              <w:rPr>
                <w:sz w:val="16"/>
                <w:szCs w:val="16"/>
              </w:rPr>
              <w:t>35,000</w:t>
            </w:r>
          </w:p>
        </w:tc>
        <w:tc>
          <w:tcPr>
            <w:tcW w:w="1440" w:type="dxa"/>
          </w:tcPr>
          <w:p w14:paraId="4B745ADB" w14:textId="77777777" w:rsidR="00E42DB5" w:rsidRDefault="00E42DB5" w:rsidP="00330CE7">
            <w:pPr>
              <w:rPr>
                <w:sz w:val="16"/>
                <w:szCs w:val="16"/>
              </w:rPr>
            </w:pPr>
            <w:r>
              <w:rPr>
                <w:sz w:val="16"/>
                <w:szCs w:val="16"/>
              </w:rPr>
              <w:t>PBDE project</w:t>
            </w:r>
          </w:p>
        </w:tc>
      </w:tr>
      <w:tr w:rsidR="00E42DB5" w14:paraId="54C24D17" w14:textId="77777777" w:rsidTr="00C53E19">
        <w:tc>
          <w:tcPr>
            <w:tcW w:w="2036" w:type="dxa"/>
            <w:vMerge w:val="restart"/>
          </w:tcPr>
          <w:p w14:paraId="0F154A62" w14:textId="77777777" w:rsidR="00E42DB5" w:rsidRPr="00270BBA" w:rsidRDefault="00E42DB5" w:rsidP="00330CE7">
            <w:pPr>
              <w:rPr>
                <w:sz w:val="16"/>
                <w:szCs w:val="16"/>
              </w:rPr>
            </w:pPr>
          </w:p>
        </w:tc>
        <w:tc>
          <w:tcPr>
            <w:tcW w:w="2036" w:type="dxa"/>
            <w:vMerge w:val="restart"/>
          </w:tcPr>
          <w:p w14:paraId="3ED34288" w14:textId="77777777" w:rsidR="00E42DB5" w:rsidRPr="00270BBA" w:rsidRDefault="00E42DB5" w:rsidP="00330CE7">
            <w:pPr>
              <w:spacing w:before="60" w:after="60" w:line="256" w:lineRule="auto"/>
              <w:rPr>
                <w:sz w:val="16"/>
                <w:szCs w:val="16"/>
              </w:rPr>
            </w:pPr>
          </w:p>
        </w:tc>
        <w:tc>
          <w:tcPr>
            <w:tcW w:w="1350" w:type="dxa"/>
          </w:tcPr>
          <w:p w14:paraId="49AC2656" w14:textId="77777777" w:rsidR="00E42DB5" w:rsidRDefault="00E42DB5" w:rsidP="00330CE7">
            <w:pPr>
              <w:rPr>
                <w:sz w:val="16"/>
                <w:szCs w:val="16"/>
              </w:rPr>
            </w:pPr>
            <w:r>
              <w:rPr>
                <w:sz w:val="16"/>
                <w:szCs w:val="16"/>
              </w:rPr>
              <w:t>Terminal Evaluation:</w:t>
            </w:r>
          </w:p>
          <w:p w14:paraId="6C477D4B" w14:textId="77777777" w:rsidR="00E42DB5" w:rsidRDefault="00E42DB5" w:rsidP="00330CE7">
            <w:pPr>
              <w:rPr>
                <w:sz w:val="16"/>
                <w:szCs w:val="16"/>
              </w:rPr>
            </w:pPr>
            <w:r>
              <w:rPr>
                <w:sz w:val="16"/>
                <w:szCs w:val="16"/>
              </w:rPr>
              <w:t>Market Transformation (MT)</w:t>
            </w:r>
          </w:p>
        </w:tc>
        <w:tc>
          <w:tcPr>
            <w:tcW w:w="1350" w:type="dxa"/>
          </w:tcPr>
          <w:p w14:paraId="0D9E8E1A" w14:textId="77777777" w:rsidR="00E42DB5" w:rsidRDefault="00E42DB5" w:rsidP="00330CE7">
            <w:pPr>
              <w:spacing w:after="120"/>
              <w:rPr>
                <w:iCs/>
                <w:color w:val="000000"/>
                <w:sz w:val="16"/>
                <w:szCs w:val="16"/>
              </w:rPr>
            </w:pPr>
            <w:r>
              <w:rPr>
                <w:iCs/>
                <w:color w:val="000000"/>
                <w:sz w:val="16"/>
                <w:szCs w:val="16"/>
              </w:rPr>
              <w:t>Ministry of  Energy and Mineral Resources</w:t>
            </w:r>
          </w:p>
        </w:tc>
        <w:tc>
          <w:tcPr>
            <w:tcW w:w="1440" w:type="dxa"/>
          </w:tcPr>
          <w:p w14:paraId="16BE25A2" w14:textId="77777777" w:rsidR="00E42DB5" w:rsidRPr="003C26C1" w:rsidRDefault="00CF0661" w:rsidP="00CF0661">
            <w:pPr>
              <w:rPr>
                <w:sz w:val="16"/>
                <w:szCs w:val="16"/>
              </w:rPr>
            </w:pPr>
            <w:r>
              <w:rPr>
                <w:sz w:val="16"/>
                <w:szCs w:val="16"/>
              </w:rPr>
              <w:t>UNDP and Ministry of Energy and Mineral Resources</w:t>
            </w:r>
          </w:p>
        </w:tc>
        <w:tc>
          <w:tcPr>
            <w:tcW w:w="1170" w:type="dxa"/>
          </w:tcPr>
          <w:p w14:paraId="17B67572" w14:textId="77777777" w:rsidR="00E42DB5" w:rsidRDefault="00E42DB5" w:rsidP="00330CE7">
            <w:pPr>
              <w:rPr>
                <w:sz w:val="16"/>
                <w:szCs w:val="16"/>
              </w:rPr>
            </w:pPr>
            <w:r>
              <w:rPr>
                <w:sz w:val="16"/>
                <w:szCs w:val="16"/>
              </w:rPr>
              <w:t>Project Evaluation</w:t>
            </w:r>
          </w:p>
        </w:tc>
        <w:tc>
          <w:tcPr>
            <w:tcW w:w="1440" w:type="dxa"/>
          </w:tcPr>
          <w:p w14:paraId="4DC455BA" w14:textId="77777777" w:rsidR="00E42DB5" w:rsidRDefault="00E42DB5" w:rsidP="00330CE7">
            <w:pPr>
              <w:spacing w:before="40" w:after="40"/>
              <w:rPr>
                <w:sz w:val="16"/>
                <w:szCs w:val="16"/>
              </w:rPr>
            </w:pPr>
            <w:r>
              <w:rPr>
                <w:sz w:val="16"/>
                <w:szCs w:val="16"/>
              </w:rPr>
              <w:t>Q2 2019</w:t>
            </w:r>
          </w:p>
        </w:tc>
        <w:tc>
          <w:tcPr>
            <w:tcW w:w="1260" w:type="dxa"/>
          </w:tcPr>
          <w:p w14:paraId="0019AD12" w14:textId="77777777" w:rsidR="00E42DB5" w:rsidRDefault="00E42DB5" w:rsidP="00330CE7">
            <w:pPr>
              <w:rPr>
                <w:sz w:val="16"/>
                <w:szCs w:val="16"/>
              </w:rPr>
            </w:pPr>
            <w:r>
              <w:rPr>
                <w:sz w:val="16"/>
                <w:szCs w:val="16"/>
              </w:rPr>
              <w:t>35,000</w:t>
            </w:r>
          </w:p>
        </w:tc>
        <w:tc>
          <w:tcPr>
            <w:tcW w:w="1440" w:type="dxa"/>
          </w:tcPr>
          <w:p w14:paraId="74113F9D" w14:textId="77777777" w:rsidR="00E42DB5" w:rsidRDefault="00E42DB5" w:rsidP="00330CE7">
            <w:pPr>
              <w:rPr>
                <w:sz w:val="16"/>
                <w:szCs w:val="16"/>
              </w:rPr>
            </w:pPr>
            <w:r>
              <w:rPr>
                <w:sz w:val="16"/>
                <w:szCs w:val="16"/>
              </w:rPr>
              <w:t>MT Project</w:t>
            </w:r>
          </w:p>
        </w:tc>
      </w:tr>
      <w:tr w:rsidR="00E42DB5" w14:paraId="16065477" w14:textId="77777777" w:rsidTr="00C53E19">
        <w:tc>
          <w:tcPr>
            <w:tcW w:w="2036" w:type="dxa"/>
            <w:vMerge/>
          </w:tcPr>
          <w:p w14:paraId="3D1457ED" w14:textId="77777777" w:rsidR="00E42DB5" w:rsidRPr="00270BBA" w:rsidRDefault="00E42DB5" w:rsidP="00330CE7">
            <w:pPr>
              <w:rPr>
                <w:sz w:val="16"/>
                <w:szCs w:val="16"/>
              </w:rPr>
            </w:pPr>
          </w:p>
        </w:tc>
        <w:tc>
          <w:tcPr>
            <w:tcW w:w="2036" w:type="dxa"/>
            <w:vMerge/>
          </w:tcPr>
          <w:p w14:paraId="507E0081" w14:textId="77777777" w:rsidR="00E42DB5" w:rsidRPr="00270BBA" w:rsidRDefault="00E42DB5" w:rsidP="00330CE7">
            <w:pPr>
              <w:spacing w:before="60" w:after="60" w:line="256" w:lineRule="auto"/>
              <w:rPr>
                <w:sz w:val="16"/>
                <w:szCs w:val="16"/>
              </w:rPr>
            </w:pPr>
          </w:p>
        </w:tc>
        <w:tc>
          <w:tcPr>
            <w:tcW w:w="1350" w:type="dxa"/>
          </w:tcPr>
          <w:p w14:paraId="0CE633CD" w14:textId="77777777" w:rsidR="00E42DB5" w:rsidRDefault="00E42DB5" w:rsidP="00330CE7">
            <w:pPr>
              <w:rPr>
                <w:sz w:val="16"/>
                <w:szCs w:val="16"/>
              </w:rPr>
            </w:pPr>
            <w:r w:rsidRPr="00A248E7">
              <w:rPr>
                <w:sz w:val="16"/>
                <w:szCs w:val="16"/>
              </w:rPr>
              <w:t>Terminal Evaluation: Promoting Energy Efficiency for Non-HCFC Refrigeration and Air Conditioning (PENHRA)</w:t>
            </w:r>
          </w:p>
        </w:tc>
        <w:tc>
          <w:tcPr>
            <w:tcW w:w="1350" w:type="dxa"/>
          </w:tcPr>
          <w:p w14:paraId="765DF844" w14:textId="77777777" w:rsidR="00E42DB5" w:rsidRPr="00FE61EA" w:rsidRDefault="00E42DB5" w:rsidP="00330CE7">
            <w:pPr>
              <w:jc w:val="center"/>
              <w:rPr>
                <w:sz w:val="16"/>
                <w:szCs w:val="16"/>
              </w:rPr>
            </w:pPr>
            <w:r>
              <w:rPr>
                <w:iCs/>
                <w:color w:val="000000"/>
                <w:sz w:val="16"/>
                <w:szCs w:val="16"/>
              </w:rPr>
              <w:t>Ministry of  Energy and Mineral Resources</w:t>
            </w:r>
          </w:p>
        </w:tc>
        <w:tc>
          <w:tcPr>
            <w:tcW w:w="1440" w:type="dxa"/>
          </w:tcPr>
          <w:p w14:paraId="0E0A3CC5" w14:textId="4C407638" w:rsidR="00E42DB5" w:rsidRDefault="00CF0661" w:rsidP="00CF0661">
            <w:pPr>
              <w:rPr>
                <w:sz w:val="16"/>
                <w:szCs w:val="16"/>
              </w:rPr>
            </w:pPr>
            <w:r>
              <w:rPr>
                <w:sz w:val="16"/>
                <w:szCs w:val="16"/>
              </w:rPr>
              <w:t>UNDP and Ministry of Energy and Mineral resources</w:t>
            </w:r>
          </w:p>
        </w:tc>
        <w:tc>
          <w:tcPr>
            <w:tcW w:w="1170" w:type="dxa"/>
          </w:tcPr>
          <w:p w14:paraId="39CA12FB" w14:textId="77777777" w:rsidR="00E42DB5" w:rsidRDefault="00E42DB5" w:rsidP="00330CE7">
            <w:pPr>
              <w:rPr>
                <w:sz w:val="16"/>
                <w:szCs w:val="16"/>
              </w:rPr>
            </w:pPr>
            <w:r>
              <w:rPr>
                <w:sz w:val="16"/>
                <w:szCs w:val="16"/>
              </w:rPr>
              <w:t>Project Evaluation</w:t>
            </w:r>
          </w:p>
        </w:tc>
        <w:tc>
          <w:tcPr>
            <w:tcW w:w="1440" w:type="dxa"/>
          </w:tcPr>
          <w:p w14:paraId="1846F09E" w14:textId="60040DDF" w:rsidR="00E42DB5" w:rsidRDefault="00E42DB5" w:rsidP="00330CE7">
            <w:pPr>
              <w:spacing w:before="40" w:after="40"/>
              <w:rPr>
                <w:sz w:val="16"/>
                <w:szCs w:val="16"/>
              </w:rPr>
            </w:pPr>
            <w:r>
              <w:rPr>
                <w:sz w:val="16"/>
                <w:szCs w:val="16"/>
              </w:rPr>
              <w:t>Q2 201</w:t>
            </w:r>
            <w:r w:rsidR="008F77FD">
              <w:rPr>
                <w:sz w:val="16"/>
                <w:szCs w:val="16"/>
              </w:rPr>
              <w:t>7</w:t>
            </w:r>
          </w:p>
        </w:tc>
        <w:tc>
          <w:tcPr>
            <w:tcW w:w="1260" w:type="dxa"/>
          </w:tcPr>
          <w:p w14:paraId="7489912C" w14:textId="77777777" w:rsidR="00E42DB5" w:rsidRDefault="00E42DB5" w:rsidP="00330CE7">
            <w:pPr>
              <w:rPr>
                <w:sz w:val="16"/>
                <w:szCs w:val="16"/>
              </w:rPr>
            </w:pPr>
            <w:r>
              <w:rPr>
                <w:sz w:val="16"/>
                <w:szCs w:val="16"/>
              </w:rPr>
              <w:t>35,000</w:t>
            </w:r>
          </w:p>
        </w:tc>
        <w:tc>
          <w:tcPr>
            <w:tcW w:w="1440" w:type="dxa"/>
          </w:tcPr>
          <w:p w14:paraId="5C933287" w14:textId="77777777" w:rsidR="00E42DB5" w:rsidRDefault="00E42DB5" w:rsidP="00330CE7">
            <w:pPr>
              <w:rPr>
                <w:sz w:val="16"/>
                <w:szCs w:val="16"/>
              </w:rPr>
            </w:pPr>
            <w:r>
              <w:rPr>
                <w:sz w:val="16"/>
                <w:szCs w:val="16"/>
              </w:rPr>
              <w:t>PENHRA project</w:t>
            </w:r>
          </w:p>
        </w:tc>
      </w:tr>
      <w:tr w:rsidR="00E42DB5" w14:paraId="50D7BD4D" w14:textId="77777777" w:rsidTr="00EA118E">
        <w:trPr>
          <w:trHeight w:val="1840"/>
        </w:trPr>
        <w:tc>
          <w:tcPr>
            <w:tcW w:w="2036" w:type="dxa"/>
            <w:vMerge/>
          </w:tcPr>
          <w:p w14:paraId="0BE31088" w14:textId="77777777" w:rsidR="00E42DB5" w:rsidRPr="00270BBA" w:rsidRDefault="00E42DB5" w:rsidP="00330CE7">
            <w:pPr>
              <w:rPr>
                <w:sz w:val="16"/>
                <w:szCs w:val="16"/>
              </w:rPr>
            </w:pPr>
          </w:p>
        </w:tc>
        <w:tc>
          <w:tcPr>
            <w:tcW w:w="2036" w:type="dxa"/>
            <w:vMerge/>
          </w:tcPr>
          <w:p w14:paraId="20FDE6D5" w14:textId="77777777" w:rsidR="00E42DB5" w:rsidRPr="00270BBA" w:rsidRDefault="00E42DB5" w:rsidP="00330CE7">
            <w:pPr>
              <w:spacing w:before="60" w:after="60" w:line="256" w:lineRule="auto"/>
              <w:rPr>
                <w:sz w:val="16"/>
                <w:szCs w:val="16"/>
              </w:rPr>
            </w:pPr>
          </w:p>
        </w:tc>
        <w:tc>
          <w:tcPr>
            <w:tcW w:w="1350" w:type="dxa"/>
          </w:tcPr>
          <w:p w14:paraId="478D4069" w14:textId="77777777" w:rsidR="00E42DB5" w:rsidRDefault="00E42DB5" w:rsidP="00330CE7">
            <w:pPr>
              <w:rPr>
                <w:sz w:val="16"/>
                <w:szCs w:val="16"/>
              </w:rPr>
            </w:pPr>
            <w:r>
              <w:rPr>
                <w:sz w:val="16"/>
                <w:szCs w:val="16"/>
              </w:rPr>
              <w:t xml:space="preserve">Terminal  Evaluation: </w:t>
            </w:r>
            <w:r w:rsidRPr="00766DEC">
              <w:rPr>
                <w:sz w:val="16"/>
                <w:szCs w:val="16"/>
              </w:rPr>
              <w:t>Transforming Effectiveness of Biodiversity Conservation in Priority Sumatran Landscapes (Tiger Project)</w:t>
            </w:r>
          </w:p>
        </w:tc>
        <w:tc>
          <w:tcPr>
            <w:tcW w:w="1350" w:type="dxa"/>
          </w:tcPr>
          <w:p w14:paraId="10ECDD7B" w14:textId="77777777" w:rsidR="00E42DB5" w:rsidRDefault="00E42DB5" w:rsidP="00330CE7">
            <w:pPr>
              <w:spacing w:after="120"/>
              <w:rPr>
                <w:iCs/>
                <w:color w:val="000000"/>
                <w:sz w:val="16"/>
                <w:szCs w:val="16"/>
              </w:rPr>
            </w:pPr>
            <w:r>
              <w:rPr>
                <w:iCs/>
                <w:color w:val="000000"/>
                <w:sz w:val="16"/>
                <w:szCs w:val="16"/>
              </w:rPr>
              <w:t>Ministry of Environment and Forestry</w:t>
            </w:r>
          </w:p>
        </w:tc>
        <w:tc>
          <w:tcPr>
            <w:tcW w:w="1440" w:type="dxa"/>
          </w:tcPr>
          <w:p w14:paraId="69F96949" w14:textId="77777777" w:rsidR="00E42DB5" w:rsidRDefault="00502A44" w:rsidP="00330CE7">
            <w:pPr>
              <w:rPr>
                <w:sz w:val="16"/>
                <w:szCs w:val="16"/>
              </w:rPr>
            </w:pPr>
            <w:r>
              <w:rPr>
                <w:sz w:val="16"/>
                <w:szCs w:val="16"/>
              </w:rPr>
              <w:t>UNDP and Ministry of Environment and Forestry</w:t>
            </w:r>
          </w:p>
        </w:tc>
        <w:tc>
          <w:tcPr>
            <w:tcW w:w="1170" w:type="dxa"/>
          </w:tcPr>
          <w:p w14:paraId="2048F8CD" w14:textId="77777777" w:rsidR="00E42DB5" w:rsidRDefault="00E42DB5" w:rsidP="00330CE7">
            <w:pPr>
              <w:rPr>
                <w:sz w:val="16"/>
                <w:szCs w:val="16"/>
              </w:rPr>
            </w:pPr>
            <w:r>
              <w:rPr>
                <w:sz w:val="16"/>
                <w:szCs w:val="16"/>
              </w:rPr>
              <w:t>Project Evaluation</w:t>
            </w:r>
          </w:p>
        </w:tc>
        <w:tc>
          <w:tcPr>
            <w:tcW w:w="1440" w:type="dxa"/>
          </w:tcPr>
          <w:p w14:paraId="2A7D9DCD" w14:textId="6D655FA8" w:rsidR="00E42DB5" w:rsidRDefault="00E42DB5" w:rsidP="001C469C">
            <w:pPr>
              <w:spacing w:before="40" w:after="40"/>
              <w:rPr>
                <w:sz w:val="16"/>
                <w:szCs w:val="16"/>
              </w:rPr>
            </w:pPr>
            <w:r>
              <w:rPr>
                <w:sz w:val="16"/>
                <w:szCs w:val="16"/>
              </w:rPr>
              <w:t>Q</w:t>
            </w:r>
            <w:r w:rsidR="001C469C">
              <w:rPr>
                <w:sz w:val="16"/>
                <w:szCs w:val="16"/>
              </w:rPr>
              <w:t>1</w:t>
            </w:r>
            <w:r>
              <w:rPr>
                <w:sz w:val="16"/>
                <w:szCs w:val="16"/>
              </w:rPr>
              <w:t xml:space="preserve"> 202</w:t>
            </w:r>
            <w:r w:rsidR="00CB257B">
              <w:rPr>
                <w:sz w:val="16"/>
                <w:szCs w:val="16"/>
              </w:rPr>
              <w:t>0</w:t>
            </w:r>
          </w:p>
        </w:tc>
        <w:tc>
          <w:tcPr>
            <w:tcW w:w="1260" w:type="dxa"/>
          </w:tcPr>
          <w:p w14:paraId="301B8655" w14:textId="77777777" w:rsidR="00E42DB5" w:rsidRDefault="00E42DB5" w:rsidP="00330CE7">
            <w:pPr>
              <w:rPr>
                <w:sz w:val="16"/>
                <w:szCs w:val="16"/>
              </w:rPr>
            </w:pPr>
            <w:r>
              <w:rPr>
                <w:sz w:val="16"/>
                <w:szCs w:val="16"/>
              </w:rPr>
              <w:t>35,000</w:t>
            </w:r>
          </w:p>
        </w:tc>
        <w:tc>
          <w:tcPr>
            <w:tcW w:w="1440" w:type="dxa"/>
          </w:tcPr>
          <w:p w14:paraId="2AFD41F2" w14:textId="77777777" w:rsidR="00E42DB5" w:rsidRDefault="00E42DB5" w:rsidP="00330CE7">
            <w:pPr>
              <w:rPr>
                <w:sz w:val="16"/>
                <w:szCs w:val="16"/>
              </w:rPr>
            </w:pPr>
            <w:r>
              <w:rPr>
                <w:sz w:val="16"/>
                <w:szCs w:val="16"/>
              </w:rPr>
              <w:t>Tiger Project</w:t>
            </w:r>
          </w:p>
        </w:tc>
      </w:tr>
      <w:tr w:rsidR="00E42DB5" w14:paraId="24DD9621" w14:textId="77777777" w:rsidTr="00A70265">
        <w:trPr>
          <w:trHeight w:val="672"/>
        </w:trPr>
        <w:tc>
          <w:tcPr>
            <w:tcW w:w="2036" w:type="dxa"/>
            <w:vMerge/>
            <w:tcBorders>
              <w:bottom w:val="single" w:sz="4" w:space="0" w:color="auto"/>
            </w:tcBorders>
          </w:tcPr>
          <w:p w14:paraId="7F860B62" w14:textId="77777777" w:rsidR="00E42DB5" w:rsidRPr="00270BBA" w:rsidRDefault="00E42DB5" w:rsidP="00330CE7">
            <w:pPr>
              <w:rPr>
                <w:sz w:val="16"/>
                <w:szCs w:val="16"/>
              </w:rPr>
            </w:pPr>
          </w:p>
        </w:tc>
        <w:tc>
          <w:tcPr>
            <w:tcW w:w="2036" w:type="dxa"/>
            <w:vMerge/>
            <w:tcBorders>
              <w:bottom w:val="single" w:sz="4" w:space="0" w:color="auto"/>
            </w:tcBorders>
          </w:tcPr>
          <w:p w14:paraId="546FBBB1" w14:textId="77777777" w:rsidR="00E42DB5" w:rsidRPr="00270BBA" w:rsidRDefault="00E42DB5" w:rsidP="00330CE7">
            <w:pPr>
              <w:spacing w:before="60" w:after="60" w:line="256" w:lineRule="auto"/>
              <w:rPr>
                <w:sz w:val="16"/>
                <w:szCs w:val="16"/>
              </w:rPr>
            </w:pPr>
          </w:p>
        </w:tc>
        <w:tc>
          <w:tcPr>
            <w:tcW w:w="1350" w:type="dxa"/>
            <w:tcBorders>
              <w:bottom w:val="single" w:sz="4" w:space="0" w:color="auto"/>
            </w:tcBorders>
          </w:tcPr>
          <w:p w14:paraId="5D805056" w14:textId="77777777" w:rsidR="00E42DB5" w:rsidRDefault="00E42DB5" w:rsidP="00330CE7">
            <w:pPr>
              <w:rPr>
                <w:sz w:val="16"/>
                <w:szCs w:val="16"/>
              </w:rPr>
            </w:pPr>
            <w:r>
              <w:rPr>
                <w:sz w:val="16"/>
                <w:szCs w:val="16"/>
              </w:rPr>
              <w:t>Terminal Evaluation: ATSEA Phase 2</w:t>
            </w:r>
          </w:p>
        </w:tc>
        <w:tc>
          <w:tcPr>
            <w:tcW w:w="1350" w:type="dxa"/>
            <w:tcBorders>
              <w:bottom w:val="single" w:sz="4" w:space="0" w:color="auto"/>
            </w:tcBorders>
          </w:tcPr>
          <w:p w14:paraId="1E96E7AF" w14:textId="77777777" w:rsidR="00E42DB5" w:rsidRDefault="00E42DB5" w:rsidP="00330CE7">
            <w:pPr>
              <w:spacing w:after="120"/>
              <w:rPr>
                <w:iCs/>
                <w:color w:val="000000"/>
                <w:sz w:val="16"/>
                <w:szCs w:val="16"/>
              </w:rPr>
            </w:pPr>
            <w:r>
              <w:rPr>
                <w:iCs/>
                <w:color w:val="000000"/>
                <w:sz w:val="16"/>
                <w:szCs w:val="16"/>
              </w:rPr>
              <w:t>Ministry of Marine and Fisheries</w:t>
            </w:r>
          </w:p>
        </w:tc>
        <w:tc>
          <w:tcPr>
            <w:tcW w:w="1440" w:type="dxa"/>
            <w:tcBorders>
              <w:bottom w:val="single" w:sz="4" w:space="0" w:color="auto"/>
            </w:tcBorders>
          </w:tcPr>
          <w:p w14:paraId="1E42E264" w14:textId="77777777" w:rsidR="00E42DB5" w:rsidRDefault="006711F6" w:rsidP="006711F6">
            <w:pPr>
              <w:rPr>
                <w:sz w:val="16"/>
                <w:szCs w:val="16"/>
              </w:rPr>
            </w:pPr>
            <w:r>
              <w:rPr>
                <w:sz w:val="16"/>
                <w:szCs w:val="16"/>
              </w:rPr>
              <w:t>UNDP and Ministry of Marine and Fisheries</w:t>
            </w:r>
          </w:p>
        </w:tc>
        <w:tc>
          <w:tcPr>
            <w:tcW w:w="1170" w:type="dxa"/>
            <w:tcBorders>
              <w:bottom w:val="single" w:sz="4" w:space="0" w:color="auto"/>
            </w:tcBorders>
          </w:tcPr>
          <w:p w14:paraId="06F3EA8D" w14:textId="77777777" w:rsidR="00E42DB5" w:rsidRDefault="00E42DB5" w:rsidP="00330CE7">
            <w:pPr>
              <w:rPr>
                <w:sz w:val="16"/>
                <w:szCs w:val="16"/>
              </w:rPr>
            </w:pPr>
            <w:r>
              <w:rPr>
                <w:sz w:val="16"/>
                <w:szCs w:val="16"/>
              </w:rPr>
              <w:t>Project Evaluation</w:t>
            </w:r>
          </w:p>
        </w:tc>
        <w:tc>
          <w:tcPr>
            <w:tcW w:w="1440" w:type="dxa"/>
            <w:tcBorders>
              <w:bottom w:val="single" w:sz="4" w:space="0" w:color="auto"/>
            </w:tcBorders>
          </w:tcPr>
          <w:p w14:paraId="5679DCFE" w14:textId="6513A9CA" w:rsidR="00E42DB5" w:rsidRDefault="00E42DB5" w:rsidP="00EB2068">
            <w:pPr>
              <w:spacing w:before="40" w:after="40"/>
              <w:rPr>
                <w:sz w:val="16"/>
                <w:szCs w:val="16"/>
              </w:rPr>
            </w:pPr>
            <w:r>
              <w:rPr>
                <w:sz w:val="16"/>
                <w:szCs w:val="16"/>
              </w:rPr>
              <w:t>Q</w:t>
            </w:r>
            <w:r w:rsidR="00EB2068">
              <w:rPr>
                <w:sz w:val="16"/>
                <w:szCs w:val="16"/>
              </w:rPr>
              <w:t>2</w:t>
            </w:r>
            <w:r>
              <w:rPr>
                <w:sz w:val="16"/>
                <w:szCs w:val="16"/>
              </w:rPr>
              <w:t xml:space="preserve"> 2020</w:t>
            </w:r>
          </w:p>
        </w:tc>
        <w:tc>
          <w:tcPr>
            <w:tcW w:w="1260" w:type="dxa"/>
            <w:tcBorders>
              <w:bottom w:val="single" w:sz="4" w:space="0" w:color="auto"/>
            </w:tcBorders>
          </w:tcPr>
          <w:p w14:paraId="1C1FD7D7" w14:textId="77777777" w:rsidR="00E42DB5" w:rsidRDefault="00E42DB5" w:rsidP="00330CE7">
            <w:pPr>
              <w:rPr>
                <w:sz w:val="16"/>
                <w:szCs w:val="16"/>
              </w:rPr>
            </w:pPr>
            <w:r>
              <w:rPr>
                <w:sz w:val="16"/>
                <w:szCs w:val="16"/>
              </w:rPr>
              <w:t>35,000</w:t>
            </w:r>
          </w:p>
        </w:tc>
        <w:tc>
          <w:tcPr>
            <w:tcW w:w="1440" w:type="dxa"/>
            <w:tcBorders>
              <w:bottom w:val="single" w:sz="4" w:space="0" w:color="auto"/>
            </w:tcBorders>
          </w:tcPr>
          <w:p w14:paraId="0CA8053C" w14:textId="77777777" w:rsidR="00E42DB5" w:rsidRDefault="00E42DB5" w:rsidP="00330CE7">
            <w:pPr>
              <w:rPr>
                <w:sz w:val="16"/>
                <w:szCs w:val="16"/>
              </w:rPr>
            </w:pPr>
            <w:r>
              <w:rPr>
                <w:sz w:val="16"/>
                <w:szCs w:val="16"/>
              </w:rPr>
              <w:t>ATSEA project</w:t>
            </w:r>
          </w:p>
        </w:tc>
      </w:tr>
      <w:tr w:rsidR="00117250" w14:paraId="510CA03A" w14:textId="77777777" w:rsidTr="00D938ED">
        <w:tc>
          <w:tcPr>
            <w:tcW w:w="2036" w:type="dxa"/>
            <w:vMerge w:val="restart"/>
          </w:tcPr>
          <w:p w14:paraId="63D546D4" w14:textId="77777777" w:rsidR="00117250" w:rsidRPr="00667085" w:rsidRDefault="00117250" w:rsidP="00117250">
            <w:pPr>
              <w:spacing w:before="60" w:after="60"/>
              <w:rPr>
                <w:sz w:val="16"/>
                <w:szCs w:val="16"/>
              </w:rPr>
            </w:pPr>
            <w:r w:rsidRPr="00667085">
              <w:rPr>
                <w:sz w:val="16"/>
                <w:szCs w:val="16"/>
              </w:rPr>
              <w:t>UNPDF Outcome 4:</w:t>
            </w:r>
          </w:p>
          <w:p w14:paraId="080B20DD" w14:textId="77777777" w:rsidR="00117250" w:rsidRPr="00270BBA" w:rsidRDefault="00117250" w:rsidP="00117250">
            <w:pPr>
              <w:rPr>
                <w:sz w:val="16"/>
                <w:szCs w:val="16"/>
              </w:rPr>
            </w:pPr>
            <w:r w:rsidRPr="00FA4392">
              <w:rPr>
                <w:sz w:val="16"/>
                <w:szCs w:val="16"/>
              </w:rPr>
              <w:t xml:space="preserve">By 2020, disadvantaged populations benefit from enhanced access to justice and more responsive, inclusive and accountable </w:t>
            </w:r>
            <w:r w:rsidRPr="00FA4392">
              <w:rPr>
                <w:sz w:val="16"/>
                <w:szCs w:val="16"/>
              </w:rPr>
              <w:lastRenderedPageBreak/>
              <w:t>public institutions that enjoy public trust</w:t>
            </w:r>
          </w:p>
        </w:tc>
        <w:tc>
          <w:tcPr>
            <w:tcW w:w="2036" w:type="dxa"/>
          </w:tcPr>
          <w:p w14:paraId="30D4C4A2" w14:textId="35C0CF19" w:rsidR="00117250" w:rsidRPr="00270BBA" w:rsidRDefault="00117250" w:rsidP="00117250">
            <w:pPr>
              <w:spacing w:before="60" w:after="60" w:line="256" w:lineRule="auto"/>
              <w:rPr>
                <w:sz w:val="16"/>
                <w:szCs w:val="16"/>
              </w:rPr>
            </w:pPr>
            <w:r w:rsidRPr="0030696C">
              <w:rPr>
                <w:rFonts w:eastAsiaTheme="minorEastAsia"/>
                <w:sz w:val="16"/>
                <w:szCs w:val="16"/>
              </w:rPr>
              <w:lastRenderedPageBreak/>
              <w:t>SP O</w:t>
            </w:r>
            <w:r>
              <w:rPr>
                <w:rFonts w:eastAsiaTheme="minorEastAsia"/>
                <w:sz w:val="16"/>
                <w:szCs w:val="16"/>
              </w:rPr>
              <w:t>utcome 2</w:t>
            </w:r>
            <w:r w:rsidRPr="0030696C">
              <w:rPr>
                <w:rFonts w:eastAsiaTheme="minorEastAsia"/>
                <w:sz w:val="16"/>
                <w:szCs w:val="16"/>
              </w:rPr>
              <w:t xml:space="preserve">. </w:t>
            </w:r>
            <w:r>
              <w:rPr>
                <w:rFonts w:eastAsiaTheme="minorEastAsia"/>
                <w:sz w:val="16"/>
                <w:szCs w:val="16"/>
              </w:rPr>
              <w:t>Citizen expectations for voice, development, the rule of law and accountability are met by stronger systems of democratic governance.</w:t>
            </w:r>
          </w:p>
        </w:tc>
        <w:tc>
          <w:tcPr>
            <w:tcW w:w="1350" w:type="dxa"/>
          </w:tcPr>
          <w:p w14:paraId="6D883A03" w14:textId="77777777" w:rsidR="00117250" w:rsidRDefault="00117250" w:rsidP="00117250">
            <w:pPr>
              <w:spacing w:after="120"/>
              <w:rPr>
                <w:iCs/>
                <w:color w:val="000000"/>
                <w:sz w:val="16"/>
                <w:szCs w:val="16"/>
              </w:rPr>
            </w:pPr>
            <w:r>
              <w:rPr>
                <w:iCs/>
                <w:color w:val="000000"/>
                <w:sz w:val="16"/>
                <w:szCs w:val="16"/>
              </w:rPr>
              <w:t>Terminal Evaluation:</w:t>
            </w:r>
          </w:p>
          <w:p w14:paraId="1E268A04" w14:textId="77777777" w:rsidR="00117250" w:rsidRPr="00677CE0" w:rsidRDefault="00117250" w:rsidP="00117250">
            <w:pPr>
              <w:spacing w:after="120"/>
              <w:rPr>
                <w:iCs/>
                <w:color w:val="000000"/>
                <w:sz w:val="16"/>
                <w:szCs w:val="16"/>
              </w:rPr>
            </w:pPr>
            <w:r w:rsidRPr="00677CE0">
              <w:rPr>
                <w:iCs/>
                <w:color w:val="000000"/>
                <w:sz w:val="16"/>
                <w:szCs w:val="16"/>
              </w:rPr>
              <w:t>Peace Through Development in Disadvantaged Areas (PTDDA)</w:t>
            </w:r>
          </w:p>
        </w:tc>
        <w:tc>
          <w:tcPr>
            <w:tcW w:w="1350" w:type="dxa"/>
          </w:tcPr>
          <w:p w14:paraId="478977EC" w14:textId="77777777" w:rsidR="00117250" w:rsidRDefault="00117250" w:rsidP="00117250">
            <w:pPr>
              <w:spacing w:after="120"/>
              <w:rPr>
                <w:iCs/>
                <w:color w:val="000000"/>
                <w:sz w:val="16"/>
                <w:szCs w:val="16"/>
              </w:rPr>
            </w:pPr>
            <w:r w:rsidRPr="0071172E">
              <w:rPr>
                <w:iCs/>
                <w:color w:val="000000"/>
                <w:sz w:val="16"/>
                <w:szCs w:val="16"/>
              </w:rPr>
              <w:t>Ministry of Village Affairs, Development of Disadvantaged Regions &amp; Transmigration</w:t>
            </w:r>
          </w:p>
        </w:tc>
        <w:tc>
          <w:tcPr>
            <w:tcW w:w="1440" w:type="dxa"/>
          </w:tcPr>
          <w:p w14:paraId="7FCA629C" w14:textId="77777777" w:rsidR="00117250" w:rsidRPr="003C26C1" w:rsidRDefault="006711F6" w:rsidP="006711F6">
            <w:pPr>
              <w:rPr>
                <w:sz w:val="16"/>
                <w:szCs w:val="16"/>
              </w:rPr>
            </w:pPr>
            <w:r>
              <w:rPr>
                <w:sz w:val="16"/>
                <w:szCs w:val="16"/>
              </w:rPr>
              <w:t>UNDP and Ministry of Village Affair, Disadvantaged Regions &amp; Transmigration</w:t>
            </w:r>
          </w:p>
        </w:tc>
        <w:tc>
          <w:tcPr>
            <w:tcW w:w="1170" w:type="dxa"/>
          </w:tcPr>
          <w:p w14:paraId="1235FEA0" w14:textId="77777777" w:rsidR="00117250" w:rsidRDefault="00117250" w:rsidP="00117250">
            <w:pPr>
              <w:rPr>
                <w:sz w:val="16"/>
                <w:szCs w:val="16"/>
              </w:rPr>
            </w:pPr>
            <w:r>
              <w:rPr>
                <w:sz w:val="16"/>
                <w:szCs w:val="16"/>
              </w:rPr>
              <w:t>Project Evaluation</w:t>
            </w:r>
          </w:p>
        </w:tc>
        <w:tc>
          <w:tcPr>
            <w:tcW w:w="1440" w:type="dxa"/>
          </w:tcPr>
          <w:p w14:paraId="3C75EEA8" w14:textId="40D5B478" w:rsidR="00117250" w:rsidRDefault="00117250" w:rsidP="00EB2068">
            <w:pPr>
              <w:spacing w:before="40" w:after="40"/>
              <w:rPr>
                <w:sz w:val="16"/>
                <w:szCs w:val="16"/>
              </w:rPr>
            </w:pPr>
            <w:r>
              <w:rPr>
                <w:sz w:val="16"/>
                <w:szCs w:val="16"/>
              </w:rPr>
              <w:t>Q</w:t>
            </w:r>
            <w:r w:rsidR="00EB2068">
              <w:rPr>
                <w:sz w:val="16"/>
                <w:szCs w:val="16"/>
              </w:rPr>
              <w:t>2</w:t>
            </w:r>
            <w:r>
              <w:rPr>
                <w:sz w:val="16"/>
                <w:szCs w:val="16"/>
              </w:rPr>
              <w:t xml:space="preserve"> 2016</w:t>
            </w:r>
          </w:p>
        </w:tc>
        <w:tc>
          <w:tcPr>
            <w:tcW w:w="1260" w:type="dxa"/>
          </w:tcPr>
          <w:p w14:paraId="13517528" w14:textId="77777777" w:rsidR="00117250" w:rsidRDefault="00117250" w:rsidP="00117250">
            <w:pPr>
              <w:rPr>
                <w:sz w:val="16"/>
                <w:szCs w:val="16"/>
              </w:rPr>
            </w:pPr>
            <w:r>
              <w:rPr>
                <w:sz w:val="16"/>
                <w:szCs w:val="16"/>
              </w:rPr>
              <w:t>35,000</w:t>
            </w:r>
          </w:p>
        </w:tc>
        <w:tc>
          <w:tcPr>
            <w:tcW w:w="1440" w:type="dxa"/>
          </w:tcPr>
          <w:p w14:paraId="37083601" w14:textId="77777777" w:rsidR="00117250" w:rsidRDefault="00117250" w:rsidP="00117250">
            <w:pPr>
              <w:rPr>
                <w:sz w:val="16"/>
                <w:szCs w:val="16"/>
              </w:rPr>
            </w:pPr>
            <w:r>
              <w:rPr>
                <w:sz w:val="16"/>
                <w:szCs w:val="16"/>
              </w:rPr>
              <w:t>PTDDA project</w:t>
            </w:r>
          </w:p>
        </w:tc>
      </w:tr>
      <w:tr w:rsidR="00117250" w14:paraId="15C0F078" w14:textId="77777777" w:rsidTr="00C32E55">
        <w:trPr>
          <w:trHeight w:val="1554"/>
        </w:trPr>
        <w:tc>
          <w:tcPr>
            <w:tcW w:w="2036" w:type="dxa"/>
            <w:vMerge/>
          </w:tcPr>
          <w:p w14:paraId="6C6B9F11" w14:textId="77777777" w:rsidR="00117250" w:rsidRPr="00270BBA" w:rsidRDefault="00117250" w:rsidP="00117250">
            <w:pPr>
              <w:rPr>
                <w:sz w:val="16"/>
                <w:szCs w:val="16"/>
              </w:rPr>
            </w:pPr>
          </w:p>
        </w:tc>
        <w:tc>
          <w:tcPr>
            <w:tcW w:w="2036" w:type="dxa"/>
          </w:tcPr>
          <w:p w14:paraId="77C252BF" w14:textId="0CC46BE1" w:rsidR="00117250" w:rsidRPr="0025242D" w:rsidRDefault="00117250" w:rsidP="00117250">
            <w:pPr>
              <w:spacing w:before="60" w:after="60" w:line="256" w:lineRule="auto"/>
              <w:rPr>
                <w:rFonts w:eastAsiaTheme="minorEastAsia"/>
                <w:sz w:val="16"/>
                <w:szCs w:val="16"/>
              </w:rPr>
            </w:pPr>
          </w:p>
        </w:tc>
        <w:tc>
          <w:tcPr>
            <w:tcW w:w="1350" w:type="dxa"/>
          </w:tcPr>
          <w:p w14:paraId="74ED6816" w14:textId="77777777" w:rsidR="00117250" w:rsidRPr="00677CE0" w:rsidRDefault="00117250" w:rsidP="00117250">
            <w:pPr>
              <w:spacing w:after="120"/>
              <w:rPr>
                <w:iCs/>
                <w:color w:val="000000"/>
                <w:sz w:val="16"/>
                <w:szCs w:val="16"/>
              </w:rPr>
            </w:pPr>
            <w:r>
              <w:rPr>
                <w:iCs/>
                <w:color w:val="000000"/>
                <w:sz w:val="16"/>
                <w:szCs w:val="16"/>
              </w:rPr>
              <w:t xml:space="preserve">Final Evaluation: </w:t>
            </w:r>
            <w:r w:rsidRPr="00677CE0">
              <w:rPr>
                <w:iCs/>
                <w:color w:val="000000"/>
                <w:sz w:val="16"/>
                <w:szCs w:val="16"/>
              </w:rPr>
              <w:t>Support to the Justice Sector Reform in Indonesia (SUSTAIN)</w:t>
            </w:r>
          </w:p>
        </w:tc>
        <w:tc>
          <w:tcPr>
            <w:tcW w:w="1350" w:type="dxa"/>
          </w:tcPr>
          <w:p w14:paraId="52BF1A30" w14:textId="77777777" w:rsidR="00117250" w:rsidRDefault="00117250" w:rsidP="00117250">
            <w:pPr>
              <w:spacing w:after="120"/>
              <w:rPr>
                <w:iCs/>
                <w:color w:val="000000"/>
                <w:sz w:val="16"/>
                <w:szCs w:val="16"/>
              </w:rPr>
            </w:pPr>
            <w:r>
              <w:rPr>
                <w:iCs/>
                <w:color w:val="000000"/>
                <w:sz w:val="16"/>
                <w:szCs w:val="16"/>
              </w:rPr>
              <w:t>Supreme Court of Indonesia</w:t>
            </w:r>
          </w:p>
        </w:tc>
        <w:tc>
          <w:tcPr>
            <w:tcW w:w="1440" w:type="dxa"/>
          </w:tcPr>
          <w:p w14:paraId="085C8992" w14:textId="77777777" w:rsidR="00117250" w:rsidRPr="003C26C1" w:rsidRDefault="00502A44" w:rsidP="00502A44">
            <w:pPr>
              <w:rPr>
                <w:sz w:val="16"/>
                <w:szCs w:val="16"/>
              </w:rPr>
            </w:pPr>
            <w:r>
              <w:rPr>
                <w:sz w:val="16"/>
                <w:szCs w:val="16"/>
              </w:rPr>
              <w:t>UNDP and Supreme Court of Indonesia</w:t>
            </w:r>
          </w:p>
        </w:tc>
        <w:tc>
          <w:tcPr>
            <w:tcW w:w="1170" w:type="dxa"/>
          </w:tcPr>
          <w:p w14:paraId="61164941" w14:textId="77777777" w:rsidR="00117250" w:rsidRDefault="00117250" w:rsidP="00117250">
            <w:pPr>
              <w:rPr>
                <w:sz w:val="16"/>
                <w:szCs w:val="16"/>
              </w:rPr>
            </w:pPr>
            <w:r>
              <w:rPr>
                <w:sz w:val="16"/>
                <w:szCs w:val="16"/>
              </w:rPr>
              <w:t>Project Evaluation</w:t>
            </w:r>
          </w:p>
        </w:tc>
        <w:tc>
          <w:tcPr>
            <w:tcW w:w="1440" w:type="dxa"/>
          </w:tcPr>
          <w:p w14:paraId="2F052AB1" w14:textId="666B57C6" w:rsidR="00117250" w:rsidRDefault="00117250" w:rsidP="00117250">
            <w:pPr>
              <w:spacing w:before="40" w:after="40"/>
              <w:rPr>
                <w:sz w:val="16"/>
                <w:szCs w:val="16"/>
              </w:rPr>
            </w:pPr>
            <w:r>
              <w:rPr>
                <w:sz w:val="16"/>
                <w:szCs w:val="16"/>
              </w:rPr>
              <w:t>Q2 2019</w:t>
            </w:r>
          </w:p>
        </w:tc>
        <w:tc>
          <w:tcPr>
            <w:tcW w:w="1260" w:type="dxa"/>
          </w:tcPr>
          <w:p w14:paraId="7443873D" w14:textId="77777777" w:rsidR="00117250" w:rsidRDefault="00117250" w:rsidP="00117250">
            <w:pPr>
              <w:rPr>
                <w:sz w:val="16"/>
                <w:szCs w:val="16"/>
              </w:rPr>
            </w:pPr>
            <w:r>
              <w:rPr>
                <w:sz w:val="16"/>
                <w:szCs w:val="16"/>
              </w:rPr>
              <w:t>35,000</w:t>
            </w:r>
          </w:p>
        </w:tc>
        <w:tc>
          <w:tcPr>
            <w:tcW w:w="1440" w:type="dxa"/>
          </w:tcPr>
          <w:p w14:paraId="5DA81F2D" w14:textId="77777777" w:rsidR="00117250" w:rsidRDefault="00117250" w:rsidP="00117250">
            <w:pPr>
              <w:rPr>
                <w:sz w:val="16"/>
                <w:szCs w:val="16"/>
              </w:rPr>
            </w:pPr>
            <w:r>
              <w:rPr>
                <w:sz w:val="16"/>
                <w:szCs w:val="16"/>
              </w:rPr>
              <w:t>Sustain Project</w:t>
            </w:r>
          </w:p>
        </w:tc>
      </w:tr>
    </w:tbl>
    <w:p w14:paraId="25D5ED62" w14:textId="77777777" w:rsidR="00F0292C" w:rsidRDefault="00F0292C"/>
    <w:sectPr w:rsidR="00F0292C" w:rsidSect="00F029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2C"/>
    <w:rsid w:val="00043857"/>
    <w:rsid w:val="000911F7"/>
    <w:rsid w:val="000F5C97"/>
    <w:rsid w:val="00117250"/>
    <w:rsid w:val="00125FAD"/>
    <w:rsid w:val="00191700"/>
    <w:rsid w:val="001C3B42"/>
    <w:rsid w:val="001C469C"/>
    <w:rsid w:val="001C776A"/>
    <w:rsid w:val="002122F5"/>
    <w:rsid w:val="0025242D"/>
    <w:rsid w:val="00283FF9"/>
    <w:rsid w:val="002945F6"/>
    <w:rsid w:val="002F246F"/>
    <w:rsid w:val="003268A2"/>
    <w:rsid w:val="00330CE7"/>
    <w:rsid w:val="003378E9"/>
    <w:rsid w:val="00342632"/>
    <w:rsid w:val="003936B0"/>
    <w:rsid w:val="003D5242"/>
    <w:rsid w:val="003E6FE0"/>
    <w:rsid w:val="003E7685"/>
    <w:rsid w:val="003F6AFF"/>
    <w:rsid w:val="00493BDF"/>
    <w:rsid w:val="00502A44"/>
    <w:rsid w:val="005561D3"/>
    <w:rsid w:val="0058373A"/>
    <w:rsid w:val="005847C4"/>
    <w:rsid w:val="00596C7A"/>
    <w:rsid w:val="005A3A04"/>
    <w:rsid w:val="005A4C90"/>
    <w:rsid w:val="005F0A5D"/>
    <w:rsid w:val="005F33F4"/>
    <w:rsid w:val="006131B2"/>
    <w:rsid w:val="00642F29"/>
    <w:rsid w:val="00667085"/>
    <w:rsid w:val="006711F6"/>
    <w:rsid w:val="00704A2F"/>
    <w:rsid w:val="0070702A"/>
    <w:rsid w:val="007115EA"/>
    <w:rsid w:val="00713D7B"/>
    <w:rsid w:val="008803D3"/>
    <w:rsid w:val="008A5984"/>
    <w:rsid w:val="008B094F"/>
    <w:rsid w:val="008F0CD0"/>
    <w:rsid w:val="008F77FD"/>
    <w:rsid w:val="009125DC"/>
    <w:rsid w:val="009B28A7"/>
    <w:rsid w:val="009C0026"/>
    <w:rsid w:val="009E7F80"/>
    <w:rsid w:val="009F1DBC"/>
    <w:rsid w:val="00A248E7"/>
    <w:rsid w:val="00A40924"/>
    <w:rsid w:val="00A71483"/>
    <w:rsid w:val="00A93D64"/>
    <w:rsid w:val="00AB7A22"/>
    <w:rsid w:val="00AD7175"/>
    <w:rsid w:val="00AE4740"/>
    <w:rsid w:val="00B10134"/>
    <w:rsid w:val="00B145CD"/>
    <w:rsid w:val="00B52E67"/>
    <w:rsid w:val="00B540FD"/>
    <w:rsid w:val="00B80776"/>
    <w:rsid w:val="00BC4ABB"/>
    <w:rsid w:val="00BE6B2B"/>
    <w:rsid w:val="00C01935"/>
    <w:rsid w:val="00C765D6"/>
    <w:rsid w:val="00CB257B"/>
    <w:rsid w:val="00CB5668"/>
    <w:rsid w:val="00CF0661"/>
    <w:rsid w:val="00D001A5"/>
    <w:rsid w:val="00D31C60"/>
    <w:rsid w:val="00DA6D92"/>
    <w:rsid w:val="00DC6723"/>
    <w:rsid w:val="00DD20EA"/>
    <w:rsid w:val="00E16E6C"/>
    <w:rsid w:val="00E42DB5"/>
    <w:rsid w:val="00E431A6"/>
    <w:rsid w:val="00EB2068"/>
    <w:rsid w:val="00F02006"/>
    <w:rsid w:val="00F0292C"/>
    <w:rsid w:val="00F12F58"/>
    <w:rsid w:val="00F16705"/>
    <w:rsid w:val="00F4053E"/>
    <w:rsid w:val="00F74141"/>
    <w:rsid w:val="00F81F73"/>
    <w:rsid w:val="00F873C2"/>
    <w:rsid w:val="00FA4392"/>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59F3"/>
  <w15:docId w15:val="{CE482277-4094-404F-BD24-68D2EDD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0292C"/>
    <w:rPr>
      <w:rFonts w:cs="Times New Roman"/>
      <w:sz w:val="6"/>
      <w:szCs w:val="6"/>
    </w:rPr>
  </w:style>
  <w:style w:type="table" w:styleId="TableGrid">
    <w:name w:val="Table Grid"/>
    <w:basedOn w:val="TableNormal"/>
    <w:rsid w:val="00F0292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705"/>
    <w:pPr>
      <w:ind w:left="720"/>
      <w:contextualSpacing/>
    </w:pPr>
  </w:style>
  <w:style w:type="paragraph" w:styleId="BalloonText">
    <w:name w:val="Balloon Text"/>
    <w:basedOn w:val="Normal"/>
    <w:link w:val="BalloonTextChar"/>
    <w:uiPriority w:val="99"/>
    <w:semiHidden/>
    <w:unhideWhenUsed/>
    <w:rsid w:val="00C01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35"/>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713D7B"/>
  </w:style>
  <w:style w:type="character" w:customStyle="1" w:styleId="CommentTextChar">
    <w:name w:val="Comment Text Char"/>
    <w:basedOn w:val="DefaultParagraphFont"/>
    <w:link w:val="CommentText"/>
    <w:uiPriority w:val="99"/>
    <w:semiHidden/>
    <w:rsid w:val="00713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D7B"/>
    <w:rPr>
      <w:b/>
      <w:bCs/>
    </w:rPr>
  </w:style>
  <w:style w:type="character" w:customStyle="1" w:styleId="CommentSubjectChar">
    <w:name w:val="Comment Subject Char"/>
    <w:basedOn w:val="CommentTextChar"/>
    <w:link w:val="CommentSubject"/>
    <w:uiPriority w:val="99"/>
    <w:semiHidden/>
    <w:rsid w:val="00713D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4568</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Sirman Purba</dc:creator>
  <cp:lastModifiedBy>Svetlana Iazykova</cp:lastModifiedBy>
  <cp:revision>2</cp:revision>
  <cp:lastPrinted>2015-05-11T05:19:00Z</cp:lastPrinted>
  <dcterms:created xsi:type="dcterms:W3CDTF">2015-05-21T20:39:00Z</dcterms:created>
  <dcterms:modified xsi:type="dcterms:W3CDTF">2015-05-21T20:39:00Z</dcterms:modified>
</cp:coreProperties>
</file>