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33F2A" w14:textId="77777777" w:rsidR="00B547FE" w:rsidRPr="00394BB8" w:rsidRDefault="00B547FE" w:rsidP="00B547F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lang w:val="en-GB"/>
        </w:rPr>
      </w:pPr>
      <w:r w:rsidRPr="00394BB8">
        <w:rPr>
          <w:b/>
          <w:color w:val="000000"/>
          <w:lang w:val="en-GB"/>
        </w:rPr>
        <w:t>Second regular session 2015</w:t>
      </w:r>
    </w:p>
    <w:p w14:paraId="329B094C" w14:textId="51C42AED" w:rsidR="00B547FE" w:rsidRPr="00394BB8" w:rsidRDefault="00B547FE" w:rsidP="00B547F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394BB8">
        <w:rPr>
          <w:color w:val="000000"/>
          <w:lang w:val="en-GB"/>
        </w:rPr>
        <w:t>1</w:t>
      </w:r>
      <w:r w:rsidR="000A30B8">
        <w:rPr>
          <w:color w:val="000000"/>
          <w:lang w:val="en-GB"/>
        </w:rPr>
        <w:t xml:space="preserve"> - </w:t>
      </w:r>
      <w:r w:rsidRPr="00394BB8">
        <w:rPr>
          <w:color w:val="000000"/>
          <w:lang w:val="en-GB"/>
        </w:rPr>
        <w:t>4 September 2015, New York</w:t>
      </w:r>
    </w:p>
    <w:p w14:paraId="00C076B0" w14:textId="77777777" w:rsidR="00B547FE" w:rsidRPr="00394BB8" w:rsidRDefault="00B547FE" w:rsidP="00B547F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394BB8">
        <w:rPr>
          <w:color w:val="000000"/>
          <w:lang w:val="en-GB"/>
        </w:rPr>
        <w:t>Item 6 of the provisional agenda</w:t>
      </w:r>
    </w:p>
    <w:p w14:paraId="7295FBC0" w14:textId="77777777" w:rsidR="00B547FE" w:rsidRPr="00394BB8" w:rsidRDefault="00B547FE" w:rsidP="00B547FE">
      <w:pPr>
        <w:ind w:right="1260"/>
        <w:rPr>
          <w:b/>
          <w:color w:val="000000"/>
          <w:lang w:val="en-GB"/>
        </w:rPr>
      </w:pPr>
      <w:r w:rsidRPr="00394BB8">
        <w:rPr>
          <w:b/>
          <w:color w:val="000000"/>
          <w:lang w:val="en-GB"/>
        </w:rPr>
        <w:t>Country programmes and related matters</w:t>
      </w:r>
    </w:p>
    <w:p w14:paraId="7EE7EF55" w14:textId="77777777" w:rsidR="00B547FE" w:rsidRPr="00394BB8" w:rsidRDefault="00B547FE" w:rsidP="00B547FE">
      <w:pPr>
        <w:pStyle w:val="SingleTxt"/>
        <w:spacing w:after="0" w:line="120" w:lineRule="exact"/>
        <w:rPr>
          <w:color w:val="000000"/>
          <w:sz w:val="10"/>
        </w:rPr>
      </w:pPr>
    </w:p>
    <w:p w14:paraId="22D57B8E" w14:textId="77777777" w:rsidR="00B547FE" w:rsidRPr="00394BB8" w:rsidRDefault="00B547FE" w:rsidP="00B547FE">
      <w:pPr>
        <w:pStyle w:val="SingleTxt"/>
        <w:spacing w:after="0" w:line="120" w:lineRule="exact"/>
        <w:rPr>
          <w:color w:val="000000"/>
          <w:sz w:val="10"/>
        </w:rPr>
      </w:pPr>
    </w:p>
    <w:p w14:paraId="648E103D" w14:textId="77777777" w:rsidR="001F1FC3" w:rsidRPr="00394BB8" w:rsidRDefault="001F1FC3" w:rsidP="00B547FE">
      <w:pPr>
        <w:pStyle w:val="SingleTxt"/>
        <w:spacing w:after="0" w:line="120" w:lineRule="exact"/>
        <w:rPr>
          <w:color w:val="000000"/>
          <w:sz w:val="10"/>
        </w:rPr>
      </w:pPr>
    </w:p>
    <w:p w14:paraId="3911D2DF" w14:textId="77777777" w:rsidR="001F1FC3" w:rsidRPr="00394BB8" w:rsidRDefault="001F1FC3" w:rsidP="00B547FE">
      <w:pPr>
        <w:pStyle w:val="SingleTxt"/>
        <w:spacing w:after="0" w:line="120" w:lineRule="exact"/>
        <w:rPr>
          <w:color w:val="000000"/>
          <w:sz w:val="10"/>
        </w:rPr>
      </w:pPr>
    </w:p>
    <w:p w14:paraId="7BD37F43" w14:textId="77777777" w:rsidR="001F1FC3" w:rsidRPr="00394BB8" w:rsidRDefault="001F1FC3" w:rsidP="00B547FE">
      <w:pPr>
        <w:pStyle w:val="SingleTxt"/>
        <w:spacing w:after="0" w:line="120" w:lineRule="exact"/>
        <w:rPr>
          <w:color w:val="000000"/>
          <w:sz w:val="10"/>
        </w:rPr>
      </w:pPr>
    </w:p>
    <w:p w14:paraId="72F1AACF" w14:textId="77777777" w:rsidR="00B547FE" w:rsidRPr="00394BB8" w:rsidRDefault="00B547FE" w:rsidP="00B547FE">
      <w:pPr>
        <w:pStyle w:val="SingleTxt"/>
        <w:spacing w:after="0" w:line="120" w:lineRule="exact"/>
        <w:rPr>
          <w:color w:val="000000"/>
          <w:sz w:val="10"/>
        </w:rPr>
      </w:pPr>
    </w:p>
    <w:p w14:paraId="00D10659" w14:textId="76A60D97" w:rsidR="00B547FE" w:rsidRPr="00394BB8" w:rsidRDefault="00B547FE" w:rsidP="00D11AF4">
      <w:pPr>
        <w:keepNext/>
        <w:keepLines/>
        <w:tabs>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rPr>
          <w:sz w:val="32"/>
          <w:szCs w:val="32"/>
          <w:lang w:val="en-GB"/>
        </w:rPr>
      </w:pPr>
      <w:r w:rsidRPr="00394BB8">
        <w:rPr>
          <w:rFonts w:asciiTheme="minorHAnsi" w:hAnsiTheme="minorHAnsi"/>
          <w:color w:val="000000"/>
          <w:lang w:val="en-GB"/>
        </w:rPr>
        <w:tab/>
      </w:r>
      <w:r w:rsidRPr="00394BB8">
        <w:rPr>
          <w:b/>
          <w:color w:val="000000"/>
          <w:spacing w:val="-2"/>
          <w:w w:val="103"/>
          <w:kern w:val="14"/>
          <w:sz w:val="32"/>
          <w:szCs w:val="32"/>
          <w:lang w:val="en-GB"/>
        </w:rPr>
        <w:t xml:space="preserve">Draft country programme document for </w:t>
      </w:r>
      <w:r w:rsidR="00D11AF4" w:rsidRPr="00394BB8">
        <w:rPr>
          <w:b/>
          <w:color w:val="000000"/>
          <w:sz w:val="32"/>
          <w:szCs w:val="32"/>
          <w:lang w:val="en-GB"/>
        </w:rPr>
        <w:t>Georgia</w:t>
      </w:r>
      <w:r w:rsidRPr="00394BB8">
        <w:rPr>
          <w:b/>
          <w:color w:val="000000"/>
          <w:sz w:val="32"/>
          <w:szCs w:val="32"/>
          <w:lang w:val="en-GB"/>
        </w:rPr>
        <w:t xml:space="preserve"> (2016-2020)</w:t>
      </w:r>
      <w:r w:rsidRPr="00394BB8">
        <w:rPr>
          <w:b/>
          <w:color w:val="000000"/>
          <w:sz w:val="32"/>
          <w:szCs w:val="32"/>
          <w:lang w:val="en-GB"/>
        </w:rPr>
        <w:br/>
      </w:r>
    </w:p>
    <w:p w14:paraId="6DED2FF0" w14:textId="77777777" w:rsidR="00B547FE" w:rsidRPr="00394BB8" w:rsidRDefault="00B547FE" w:rsidP="00B547FE">
      <w:pPr>
        <w:rPr>
          <w:lang w:val="en-GB"/>
        </w:rPr>
      </w:pPr>
    </w:p>
    <w:p w14:paraId="3F54FF74" w14:textId="77777777" w:rsidR="00B547FE" w:rsidRDefault="00B547FE" w:rsidP="00B547F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firstLine="450"/>
        <w:outlineLvl w:val="0"/>
        <w:rPr>
          <w:spacing w:val="-2"/>
          <w:w w:val="103"/>
          <w:kern w:val="14"/>
          <w:sz w:val="24"/>
          <w:szCs w:val="24"/>
          <w:lang w:val="en-GB"/>
        </w:rPr>
      </w:pPr>
      <w:r w:rsidRPr="00394BB8">
        <w:rPr>
          <w:spacing w:val="-2"/>
          <w:w w:val="103"/>
          <w:kern w:val="14"/>
          <w:sz w:val="24"/>
          <w:szCs w:val="24"/>
          <w:lang w:val="en-GB"/>
        </w:rPr>
        <w:t>Contents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0A30B8" w:rsidRPr="000A30B8" w14:paraId="136CA7CC" w14:textId="77777777" w:rsidTr="007B50DA">
        <w:tc>
          <w:tcPr>
            <w:tcW w:w="1060" w:type="dxa"/>
            <w:shd w:val="clear" w:color="auto" w:fill="auto"/>
          </w:tcPr>
          <w:p w14:paraId="78B6F407" w14:textId="77777777" w:rsidR="000A30B8" w:rsidRPr="000A30B8" w:rsidRDefault="000A30B8" w:rsidP="000A30B8">
            <w:pPr>
              <w:suppressAutoHyphens/>
              <w:spacing w:after="120"/>
              <w:jc w:val="right"/>
              <w:rPr>
                <w:i/>
                <w:spacing w:val="4"/>
                <w:w w:val="103"/>
                <w:kern w:val="14"/>
                <w:sz w:val="14"/>
                <w:lang w:val="en-GB"/>
              </w:rPr>
            </w:pPr>
          </w:p>
        </w:tc>
        <w:tc>
          <w:tcPr>
            <w:tcW w:w="7315" w:type="dxa"/>
            <w:shd w:val="clear" w:color="auto" w:fill="auto"/>
          </w:tcPr>
          <w:p w14:paraId="1DBCA19D" w14:textId="77777777" w:rsidR="000A30B8" w:rsidRPr="000A30B8" w:rsidRDefault="000A30B8" w:rsidP="000A30B8">
            <w:pPr>
              <w:suppressAutoHyphens/>
              <w:spacing w:after="120"/>
              <w:rPr>
                <w:i/>
                <w:spacing w:val="4"/>
                <w:w w:val="103"/>
                <w:kern w:val="14"/>
                <w:sz w:val="14"/>
                <w:lang w:val="en-GB"/>
              </w:rPr>
            </w:pPr>
          </w:p>
        </w:tc>
        <w:tc>
          <w:tcPr>
            <w:tcW w:w="1527" w:type="dxa"/>
            <w:gridSpan w:val="2"/>
            <w:shd w:val="clear" w:color="auto" w:fill="auto"/>
          </w:tcPr>
          <w:p w14:paraId="6890BB41" w14:textId="77777777" w:rsidR="000A30B8" w:rsidRPr="000A30B8" w:rsidRDefault="000A30B8" w:rsidP="000A30B8">
            <w:pPr>
              <w:suppressAutoHyphens/>
              <w:spacing w:after="120"/>
              <w:jc w:val="right"/>
              <w:rPr>
                <w:i/>
                <w:spacing w:val="4"/>
                <w:w w:val="103"/>
                <w:kern w:val="14"/>
                <w:sz w:val="14"/>
                <w:lang w:val="en-GB"/>
              </w:rPr>
            </w:pPr>
            <w:r w:rsidRPr="000A30B8">
              <w:rPr>
                <w:i/>
                <w:spacing w:val="4"/>
                <w:w w:val="103"/>
                <w:kern w:val="14"/>
                <w:sz w:val="14"/>
                <w:lang w:val="en-GB"/>
              </w:rPr>
              <w:t>Page</w:t>
            </w:r>
          </w:p>
        </w:tc>
      </w:tr>
      <w:tr w:rsidR="000A30B8" w:rsidRPr="000A30B8" w14:paraId="141D1EAF" w14:textId="77777777" w:rsidTr="007B50DA">
        <w:tc>
          <w:tcPr>
            <w:tcW w:w="8375" w:type="dxa"/>
            <w:gridSpan w:val="2"/>
            <w:shd w:val="clear" w:color="auto" w:fill="auto"/>
          </w:tcPr>
          <w:p w14:paraId="4A6E0843" w14:textId="77777777" w:rsidR="000A30B8" w:rsidRPr="000A30B8" w:rsidRDefault="000A30B8" w:rsidP="000A30B8">
            <w:pPr>
              <w:numPr>
                <w:ilvl w:val="0"/>
                <w:numId w:val="6"/>
              </w:numPr>
              <w:tabs>
                <w:tab w:val="right" w:pos="1080"/>
                <w:tab w:val="left" w:pos="1296"/>
                <w:tab w:val="left" w:pos="1728"/>
                <w:tab w:val="left" w:pos="2160"/>
                <w:tab w:val="left" w:pos="2592"/>
                <w:tab w:val="right" w:leader="dot" w:pos="8381"/>
              </w:tabs>
              <w:suppressAutoHyphens/>
              <w:spacing w:after="120" w:line="240" w:lineRule="exact"/>
              <w:jc w:val="both"/>
              <w:rPr>
                <w:spacing w:val="4"/>
                <w:w w:val="103"/>
                <w:kern w:val="14"/>
                <w:lang w:val="en-GB"/>
              </w:rPr>
            </w:pPr>
            <w:r w:rsidRPr="000A30B8">
              <w:rPr>
                <w:spacing w:val="4"/>
                <w:w w:val="103"/>
                <w:kern w:val="14"/>
                <w:lang w:val="en-GB"/>
              </w:rPr>
              <w:tab/>
              <w:t>Programme rationale</w:t>
            </w:r>
            <w:r w:rsidRPr="000A30B8">
              <w:rPr>
                <w:spacing w:val="60"/>
                <w:w w:val="103"/>
                <w:kern w:val="14"/>
                <w:sz w:val="17"/>
                <w:lang w:val="en-GB"/>
              </w:rPr>
              <w:tab/>
            </w:r>
          </w:p>
        </w:tc>
        <w:tc>
          <w:tcPr>
            <w:tcW w:w="1527" w:type="dxa"/>
            <w:gridSpan w:val="2"/>
            <w:vMerge w:val="restart"/>
            <w:shd w:val="clear" w:color="auto" w:fill="auto"/>
            <w:vAlign w:val="bottom"/>
          </w:tcPr>
          <w:p w14:paraId="7A3FD34B" w14:textId="77777777" w:rsidR="000A30B8" w:rsidRPr="000A30B8" w:rsidRDefault="000A30B8" w:rsidP="000A30B8">
            <w:pPr>
              <w:suppressAutoHyphens/>
              <w:spacing w:after="120" w:line="240" w:lineRule="exact"/>
              <w:jc w:val="right"/>
              <w:rPr>
                <w:spacing w:val="4"/>
                <w:w w:val="103"/>
                <w:kern w:val="14"/>
                <w:lang w:val="en-GB"/>
              </w:rPr>
            </w:pPr>
            <w:r w:rsidRPr="000A30B8">
              <w:rPr>
                <w:spacing w:val="4"/>
                <w:w w:val="103"/>
                <w:kern w:val="14"/>
                <w:lang w:val="en-GB"/>
              </w:rPr>
              <w:t>2</w:t>
            </w:r>
          </w:p>
          <w:p w14:paraId="7D99E618" w14:textId="238318F4" w:rsidR="000A30B8" w:rsidRPr="000A30B8" w:rsidRDefault="00234027" w:rsidP="000A30B8">
            <w:pPr>
              <w:suppressAutoHyphens/>
              <w:spacing w:after="120" w:line="240" w:lineRule="exact"/>
              <w:jc w:val="right"/>
              <w:rPr>
                <w:spacing w:val="4"/>
                <w:w w:val="103"/>
                <w:kern w:val="14"/>
                <w:lang w:val="en-GB"/>
              </w:rPr>
            </w:pPr>
            <w:r>
              <w:rPr>
                <w:spacing w:val="4"/>
                <w:w w:val="103"/>
                <w:kern w:val="14"/>
                <w:lang w:val="en-GB"/>
              </w:rPr>
              <w:t>4</w:t>
            </w:r>
          </w:p>
        </w:tc>
      </w:tr>
      <w:tr w:rsidR="000A30B8" w:rsidRPr="000A30B8" w14:paraId="292751CC" w14:textId="77777777" w:rsidTr="007B50DA">
        <w:tc>
          <w:tcPr>
            <w:tcW w:w="8375" w:type="dxa"/>
            <w:gridSpan w:val="2"/>
            <w:shd w:val="clear" w:color="auto" w:fill="auto"/>
          </w:tcPr>
          <w:p w14:paraId="3C2ECBB5" w14:textId="77777777" w:rsidR="000A30B8" w:rsidRPr="000A30B8" w:rsidRDefault="000A30B8" w:rsidP="000A30B8">
            <w:pPr>
              <w:numPr>
                <w:ilvl w:val="0"/>
                <w:numId w:val="6"/>
              </w:numPr>
              <w:tabs>
                <w:tab w:val="right" w:pos="1080"/>
                <w:tab w:val="left" w:pos="1296"/>
                <w:tab w:val="left" w:pos="1728"/>
                <w:tab w:val="left" w:pos="2160"/>
                <w:tab w:val="left" w:pos="2592"/>
                <w:tab w:val="left" w:pos="3024"/>
                <w:tab w:val="left" w:pos="3456"/>
                <w:tab w:val="left" w:pos="3888"/>
                <w:tab w:val="left" w:pos="4320"/>
                <w:tab w:val="right" w:leader="dot" w:pos="8381"/>
              </w:tabs>
              <w:suppressAutoHyphens/>
              <w:spacing w:after="120" w:line="240" w:lineRule="exact"/>
              <w:jc w:val="both"/>
              <w:rPr>
                <w:spacing w:val="4"/>
                <w:w w:val="103"/>
                <w:kern w:val="14"/>
                <w:lang w:val="en-GB"/>
              </w:rPr>
            </w:pPr>
            <w:r w:rsidRPr="000A30B8">
              <w:rPr>
                <w:spacing w:val="4"/>
                <w:w w:val="103"/>
                <w:kern w:val="14"/>
                <w:lang w:val="en-GB"/>
              </w:rPr>
              <w:tab/>
              <w:t>Programme priorities and partnerships</w:t>
            </w:r>
            <w:r w:rsidRPr="000A30B8">
              <w:rPr>
                <w:spacing w:val="60"/>
                <w:w w:val="103"/>
                <w:kern w:val="14"/>
                <w:sz w:val="17"/>
                <w:lang w:val="en-GB"/>
              </w:rPr>
              <w:tab/>
            </w:r>
          </w:p>
        </w:tc>
        <w:tc>
          <w:tcPr>
            <w:tcW w:w="1527" w:type="dxa"/>
            <w:gridSpan w:val="2"/>
            <w:vMerge/>
            <w:shd w:val="clear" w:color="auto" w:fill="auto"/>
            <w:vAlign w:val="bottom"/>
          </w:tcPr>
          <w:p w14:paraId="6A49B811" w14:textId="77777777" w:rsidR="000A30B8" w:rsidRPr="000A30B8" w:rsidRDefault="000A30B8" w:rsidP="000A30B8">
            <w:pPr>
              <w:suppressAutoHyphens/>
              <w:spacing w:after="120" w:line="240" w:lineRule="exact"/>
              <w:jc w:val="right"/>
              <w:rPr>
                <w:spacing w:val="4"/>
                <w:w w:val="103"/>
                <w:kern w:val="14"/>
                <w:lang w:val="en-GB"/>
              </w:rPr>
            </w:pPr>
          </w:p>
        </w:tc>
      </w:tr>
      <w:tr w:rsidR="000A30B8" w:rsidRPr="000A30B8" w14:paraId="7BAFA560" w14:textId="77777777" w:rsidTr="007B50DA">
        <w:tc>
          <w:tcPr>
            <w:tcW w:w="8375" w:type="dxa"/>
            <w:gridSpan w:val="2"/>
            <w:shd w:val="clear" w:color="auto" w:fill="auto"/>
          </w:tcPr>
          <w:p w14:paraId="6479CEFB" w14:textId="77777777" w:rsidR="000A30B8" w:rsidRPr="000A30B8" w:rsidRDefault="000A30B8" w:rsidP="000A30B8">
            <w:pPr>
              <w:numPr>
                <w:ilvl w:val="0"/>
                <w:numId w:val="6"/>
              </w:numPr>
              <w:tabs>
                <w:tab w:val="right" w:pos="1080"/>
                <w:tab w:val="left" w:pos="1296"/>
                <w:tab w:val="left" w:pos="1728"/>
                <w:tab w:val="left" w:pos="2160"/>
                <w:tab w:val="left" w:pos="2592"/>
                <w:tab w:val="left" w:pos="3024"/>
                <w:tab w:val="right" w:leader="dot" w:pos="8381"/>
              </w:tabs>
              <w:suppressAutoHyphens/>
              <w:spacing w:after="120" w:line="240" w:lineRule="exact"/>
              <w:jc w:val="both"/>
              <w:rPr>
                <w:spacing w:val="4"/>
                <w:w w:val="103"/>
                <w:kern w:val="14"/>
                <w:lang w:val="en-GB"/>
              </w:rPr>
            </w:pPr>
            <w:r w:rsidRPr="000A30B8">
              <w:rPr>
                <w:spacing w:val="4"/>
                <w:w w:val="103"/>
                <w:kern w:val="14"/>
                <w:lang w:val="en-GB"/>
              </w:rPr>
              <w:tab/>
              <w:t>Programme and risk management</w:t>
            </w:r>
            <w:r w:rsidRPr="000A30B8">
              <w:rPr>
                <w:spacing w:val="60"/>
                <w:w w:val="103"/>
                <w:kern w:val="14"/>
                <w:sz w:val="17"/>
                <w:lang w:val="en-GB"/>
              </w:rPr>
              <w:tab/>
            </w:r>
          </w:p>
        </w:tc>
        <w:tc>
          <w:tcPr>
            <w:tcW w:w="1527" w:type="dxa"/>
            <w:gridSpan w:val="2"/>
            <w:vMerge w:val="restart"/>
            <w:shd w:val="clear" w:color="auto" w:fill="auto"/>
            <w:vAlign w:val="bottom"/>
          </w:tcPr>
          <w:p w14:paraId="30066527" w14:textId="61A8DA8E" w:rsidR="000A30B8" w:rsidRPr="000A30B8" w:rsidRDefault="00234027" w:rsidP="000A30B8">
            <w:pPr>
              <w:suppressAutoHyphens/>
              <w:spacing w:after="120" w:line="240" w:lineRule="exact"/>
              <w:jc w:val="right"/>
              <w:rPr>
                <w:spacing w:val="4"/>
                <w:w w:val="103"/>
                <w:kern w:val="14"/>
                <w:lang w:val="en-GB"/>
              </w:rPr>
            </w:pPr>
            <w:r>
              <w:rPr>
                <w:spacing w:val="4"/>
                <w:w w:val="103"/>
                <w:kern w:val="14"/>
                <w:lang w:val="en-GB"/>
              </w:rPr>
              <w:t>6</w:t>
            </w:r>
          </w:p>
          <w:p w14:paraId="00634736" w14:textId="082CDD63" w:rsidR="000A30B8" w:rsidRPr="000A30B8" w:rsidRDefault="00234027" w:rsidP="000A30B8">
            <w:pPr>
              <w:suppressAutoHyphens/>
              <w:spacing w:after="120" w:line="240" w:lineRule="exact"/>
              <w:jc w:val="right"/>
              <w:rPr>
                <w:spacing w:val="4"/>
                <w:w w:val="103"/>
                <w:kern w:val="14"/>
                <w:lang w:val="en-GB"/>
              </w:rPr>
            </w:pPr>
            <w:r>
              <w:rPr>
                <w:spacing w:val="4"/>
                <w:w w:val="103"/>
                <w:kern w:val="14"/>
                <w:lang w:val="en-GB"/>
              </w:rPr>
              <w:t>7</w:t>
            </w:r>
          </w:p>
        </w:tc>
      </w:tr>
      <w:tr w:rsidR="000A30B8" w:rsidRPr="000A30B8" w14:paraId="669DBA9A" w14:textId="77777777" w:rsidTr="007B50DA">
        <w:tc>
          <w:tcPr>
            <w:tcW w:w="8375" w:type="dxa"/>
            <w:gridSpan w:val="2"/>
            <w:shd w:val="clear" w:color="auto" w:fill="auto"/>
          </w:tcPr>
          <w:p w14:paraId="1C684E03" w14:textId="77777777" w:rsidR="000A30B8" w:rsidRPr="000A30B8" w:rsidRDefault="000A30B8" w:rsidP="000A30B8">
            <w:pPr>
              <w:numPr>
                <w:ilvl w:val="0"/>
                <w:numId w:val="6"/>
              </w:numPr>
              <w:tabs>
                <w:tab w:val="right" w:pos="1080"/>
                <w:tab w:val="left" w:pos="1296"/>
                <w:tab w:val="left" w:pos="1728"/>
                <w:tab w:val="left" w:pos="2160"/>
                <w:tab w:val="left" w:pos="2592"/>
                <w:tab w:val="left" w:pos="3024"/>
                <w:tab w:val="left" w:pos="3420"/>
                <w:tab w:val="left" w:pos="3456"/>
                <w:tab w:val="right" w:leader="dot" w:pos="8381"/>
              </w:tabs>
              <w:suppressAutoHyphens/>
              <w:spacing w:after="120" w:line="240" w:lineRule="exact"/>
              <w:jc w:val="both"/>
              <w:rPr>
                <w:spacing w:val="4"/>
                <w:w w:val="103"/>
                <w:kern w:val="14"/>
                <w:lang w:val="en-GB"/>
              </w:rPr>
            </w:pPr>
            <w:r w:rsidRPr="000A30B8">
              <w:rPr>
                <w:spacing w:val="4"/>
                <w:w w:val="103"/>
                <w:kern w:val="14"/>
                <w:lang w:val="en-GB"/>
              </w:rPr>
              <w:tab/>
              <w:t>Monitoring and evaluation</w:t>
            </w:r>
            <w:r w:rsidRPr="000A30B8">
              <w:rPr>
                <w:spacing w:val="60"/>
                <w:w w:val="103"/>
                <w:kern w:val="14"/>
                <w:sz w:val="17"/>
                <w:lang w:val="en-GB"/>
              </w:rPr>
              <w:tab/>
            </w:r>
          </w:p>
        </w:tc>
        <w:tc>
          <w:tcPr>
            <w:tcW w:w="1527" w:type="dxa"/>
            <w:gridSpan w:val="2"/>
            <w:vMerge/>
            <w:shd w:val="clear" w:color="auto" w:fill="auto"/>
            <w:vAlign w:val="bottom"/>
          </w:tcPr>
          <w:p w14:paraId="68858DCC" w14:textId="77777777" w:rsidR="000A30B8" w:rsidRPr="000A30B8" w:rsidRDefault="000A30B8" w:rsidP="000A30B8">
            <w:pPr>
              <w:suppressAutoHyphens/>
              <w:spacing w:after="120" w:line="240" w:lineRule="exact"/>
              <w:jc w:val="right"/>
              <w:rPr>
                <w:spacing w:val="4"/>
                <w:w w:val="103"/>
                <w:kern w:val="14"/>
                <w:lang w:val="en-GB"/>
              </w:rPr>
            </w:pPr>
          </w:p>
        </w:tc>
      </w:tr>
      <w:tr w:rsidR="000A30B8" w:rsidRPr="000A30B8" w14:paraId="118ED6F3" w14:textId="77777777" w:rsidTr="007B50DA">
        <w:tc>
          <w:tcPr>
            <w:tcW w:w="9369" w:type="dxa"/>
            <w:gridSpan w:val="3"/>
            <w:shd w:val="clear" w:color="auto" w:fill="auto"/>
          </w:tcPr>
          <w:p w14:paraId="4C0C8A93" w14:textId="77777777" w:rsidR="000A30B8" w:rsidRPr="000A30B8" w:rsidRDefault="000A30B8" w:rsidP="000A30B8">
            <w:pPr>
              <w:tabs>
                <w:tab w:val="right" w:pos="1080"/>
                <w:tab w:val="left" w:pos="1296"/>
                <w:tab w:val="right" w:pos="1714"/>
                <w:tab w:val="left" w:pos="2160"/>
                <w:tab w:val="left" w:pos="2592"/>
                <w:tab w:val="left" w:pos="3024"/>
                <w:tab w:val="left" w:pos="3456"/>
              </w:tabs>
              <w:suppressAutoHyphens/>
              <w:spacing w:after="120" w:line="240" w:lineRule="exact"/>
              <w:ind w:left="475"/>
              <w:rPr>
                <w:spacing w:val="4"/>
                <w:w w:val="103"/>
                <w:kern w:val="14"/>
                <w:lang w:val="en-GB"/>
              </w:rPr>
            </w:pPr>
            <w:r w:rsidRPr="000A30B8">
              <w:rPr>
                <w:spacing w:val="4"/>
                <w:w w:val="103"/>
                <w:kern w:val="14"/>
                <w:lang w:val="en-GB"/>
              </w:rPr>
              <w:t>Annex</w:t>
            </w:r>
          </w:p>
        </w:tc>
        <w:tc>
          <w:tcPr>
            <w:tcW w:w="533" w:type="dxa"/>
            <w:shd w:val="clear" w:color="auto" w:fill="auto"/>
            <w:vAlign w:val="bottom"/>
          </w:tcPr>
          <w:p w14:paraId="182D0112" w14:textId="77777777" w:rsidR="000A30B8" w:rsidRPr="000A30B8" w:rsidRDefault="000A30B8" w:rsidP="000A30B8">
            <w:pPr>
              <w:suppressAutoHyphens/>
              <w:spacing w:after="120" w:line="240" w:lineRule="exact"/>
              <w:jc w:val="right"/>
              <w:rPr>
                <w:spacing w:val="4"/>
                <w:w w:val="103"/>
                <w:kern w:val="14"/>
                <w:lang w:val="en-GB"/>
              </w:rPr>
            </w:pPr>
          </w:p>
        </w:tc>
      </w:tr>
      <w:tr w:rsidR="000A30B8" w:rsidRPr="000A30B8" w14:paraId="0FE9809E" w14:textId="77777777" w:rsidTr="007B50DA">
        <w:tc>
          <w:tcPr>
            <w:tcW w:w="9369" w:type="dxa"/>
            <w:gridSpan w:val="3"/>
            <w:shd w:val="clear" w:color="auto" w:fill="auto"/>
          </w:tcPr>
          <w:p w14:paraId="2FD8DFBA" w14:textId="4F2C642A" w:rsidR="000A30B8" w:rsidRPr="000A30B8" w:rsidRDefault="000A30B8" w:rsidP="000A30B8">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spacing w:val="60"/>
                <w:w w:val="103"/>
                <w:kern w:val="14"/>
                <w:sz w:val="17"/>
                <w:lang w:val="en-GB"/>
              </w:rPr>
            </w:pPr>
            <w:r w:rsidRPr="000A30B8">
              <w:rPr>
                <w:spacing w:val="4"/>
                <w:w w:val="103"/>
                <w:kern w:val="14"/>
                <w:lang w:val="en-GB"/>
              </w:rPr>
              <w:t xml:space="preserve">Results and resources framework for </w:t>
            </w:r>
            <w:r>
              <w:rPr>
                <w:spacing w:val="4"/>
                <w:w w:val="103"/>
                <w:kern w:val="14"/>
                <w:lang w:val="en-GB"/>
              </w:rPr>
              <w:t>Georgia</w:t>
            </w:r>
            <w:r w:rsidRPr="000A30B8">
              <w:rPr>
                <w:spacing w:val="4"/>
                <w:w w:val="103"/>
                <w:kern w:val="14"/>
                <w:lang w:val="en-GB"/>
              </w:rPr>
              <w:t xml:space="preserve"> (2016-2020)</w:t>
            </w:r>
          </w:p>
        </w:tc>
        <w:tc>
          <w:tcPr>
            <w:tcW w:w="533" w:type="dxa"/>
            <w:shd w:val="clear" w:color="auto" w:fill="auto"/>
            <w:vAlign w:val="bottom"/>
          </w:tcPr>
          <w:p w14:paraId="2E0BA5EF" w14:textId="7A0A715F" w:rsidR="000A30B8" w:rsidRPr="000A30B8" w:rsidRDefault="00234027" w:rsidP="000A30B8">
            <w:pPr>
              <w:suppressAutoHyphens/>
              <w:spacing w:after="120" w:line="240" w:lineRule="exact"/>
              <w:jc w:val="right"/>
              <w:rPr>
                <w:spacing w:val="4"/>
                <w:w w:val="103"/>
                <w:kern w:val="14"/>
                <w:lang w:val="en-GB"/>
              </w:rPr>
            </w:pPr>
            <w:r>
              <w:rPr>
                <w:spacing w:val="4"/>
                <w:w w:val="103"/>
                <w:kern w:val="14"/>
                <w:lang w:val="en-GB"/>
              </w:rPr>
              <w:t>8</w:t>
            </w:r>
          </w:p>
        </w:tc>
      </w:tr>
    </w:tbl>
    <w:p w14:paraId="6DAFA99A" w14:textId="01164E5D" w:rsidR="000A30B8" w:rsidRDefault="000A30B8" w:rsidP="000A30B8"/>
    <w:p w14:paraId="4FC906D3" w14:textId="77777777" w:rsidR="000A30B8" w:rsidRDefault="000A30B8">
      <w:r>
        <w:br w:type="page"/>
      </w:r>
    </w:p>
    <w:p w14:paraId="701BCD6F" w14:textId="4E7FF3AF" w:rsidR="00A918A7" w:rsidRPr="00394BB8" w:rsidRDefault="00D11AF4" w:rsidP="008F7317">
      <w:pPr>
        <w:pStyle w:val="Heading2"/>
        <w:numPr>
          <w:ilvl w:val="0"/>
          <w:numId w:val="7"/>
        </w:numPr>
        <w:ind w:left="720" w:hanging="450"/>
        <w:jc w:val="both"/>
        <w:rPr>
          <w:rFonts w:ascii="Times New Roman" w:hAnsi="Times New Roman"/>
          <w:bCs/>
          <w:szCs w:val="28"/>
          <w:lang w:val="en-GB"/>
        </w:rPr>
      </w:pPr>
      <w:r w:rsidRPr="00394BB8">
        <w:rPr>
          <w:rFonts w:ascii="Times New Roman" w:hAnsi="Times New Roman"/>
          <w:bCs/>
          <w:szCs w:val="28"/>
          <w:lang w:val="en-GB"/>
        </w:rPr>
        <w:lastRenderedPageBreak/>
        <w:t>Programme r</w:t>
      </w:r>
      <w:r w:rsidR="0059112A" w:rsidRPr="00394BB8">
        <w:rPr>
          <w:rFonts w:ascii="Times New Roman" w:hAnsi="Times New Roman"/>
          <w:bCs/>
          <w:szCs w:val="28"/>
          <w:lang w:val="en-GB"/>
        </w:rPr>
        <w:t>ationale</w:t>
      </w:r>
      <w:r w:rsidR="00A113D7" w:rsidRPr="00394BB8">
        <w:rPr>
          <w:rFonts w:ascii="Times New Roman" w:hAnsi="Times New Roman"/>
          <w:bCs/>
          <w:szCs w:val="28"/>
          <w:lang w:val="en-GB"/>
        </w:rPr>
        <w:t xml:space="preserve"> </w:t>
      </w:r>
    </w:p>
    <w:p w14:paraId="75A4FE00" w14:textId="77777777" w:rsidR="003636D3" w:rsidRPr="00394BB8" w:rsidRDefault="003636D3" w:rsidP="00D11AF4">
      <w:pPr>
        <w:rPr>
          <w:sz w:val="12"/>
          <w:szCs w:val="12"/>
          <w:lang w:val="en-GB"/>
        </w:rPr>
      </w:pPr>
    </w:p>
    <w:p w14:paraId="55B14EBE" w14:textId="4A976F12" w:rsidR="00BB1BC0" w:rsidRPr="00394BB8" w:rsidRDefault="002C34D6" w:rsidP="00D635F2">
      <w:pPr>
        <w:pStyle w:val="ListParagraph"/>
        <w:numPr>
          <w:ilvl w:val="2"/>
          <w:numId w:val="6"/>
        </w:numPr>
        <w:tabs>
          <w:tab w:val="num" w:pos="990"/>
        </w:tabs>
        <w:spacing w:after="120"/>
        <w:ind w:left="720" w:firstLine="0"/>
        <w:jc w:val="both"/>
        <w:rPr>
          <w:lang w:val="en-GB"/>
        </w:rPr>
      </w:pPr>
      <w:r w:rsidRPr="00394BB8">
        <w:rPr>
          <w:lang w:val="en-GB"/>
        </w:rPr>
        <w:t>Georgia is a lower-middle-income</w:t>
      </w:r>
      <w:r w:rsidR="00CC0661" w:rsidRPr="00394BB8">
        <w:rPr>
          <w:lang w:val="en-GB"/>
        </w:rPr>
        <w:t xml:space="preserve"> country of 4.5</w:t>
      </w:r>
      <w:r w:rsidR="00F31CD6" w:rsidRPr="00394BB8">
        <w:rPr>
          <w:lang w:val="en-GB"/>
        </w:rPr>
        <w:t xml:space="preserve"> million people in the Southern Caucasus, </w:t>
      </w:r>
      <w:r w:rsidR="00B0660E" w:rsidRPr="00394BB8">
        <w:rPr>
          <w:lang w:val="en-GB"/>
        </w:rPr>
        <w:t>b</w:t>
      </w:r>
      <w:r w:rsidR="00F31CD6" w:rsidRPr="00394BB8">
        <w:rPr>
          <w:lang w:val="en-GB"/>
        </w:rPr>
        <w:t>ordered by Arm</w:t>
      </w:r>
      <w:r w:rsidR="00CC0661" w:rsidRPr="00394BB8">
        <w:rPr>
          <w:lang w:val="en-GB"/>
        </w:rPr>
        <w:t>enia, Azerbaijan, Russia</w:t>
      </w:r>
      <w:r w:rsidR="001F1FC3" w:rsidRPr="00394BB8">
        <w:rPr>
          <w:lang w:val="en-GB"/>
        </w:rPr>
        <w:t>, Turkey,</w:t>
      </w:r>
      <w:r w:rsidR="00B0660E" w:rsidRPr="00394BB8">
        <w:rPr>
          <w:lang w:val="en-GB"/>
        </w:rPr>
        <w:t xml:space="preserve"> and the Black Sea. </w:t>
      </w:r>
      <w:r w:rsidR="003630B1" w:rsidRPr="00394BB8">
        <w:rPr>
          <w:lang w:val="en-GB"/>
        </w:rPr>
        <w:t>Situated</w:t>
      </w:r>
      <w:r w:rsidR="00B0660E" w:rsidRPr="00394BB8">
        <w:rPr>
          <w:lang w:val="en-GB"/>
        </w:rPr>
        <w:t xml:space="preserve"> at the crossroads of Western Asia and Eastern Europe, </w:t>
      </w:r>
      <w:r w:rsidR="000D7272" w:rsidRPr="00394BB8">
        <w:rPr>
          <w:lang w:val="en-GB"/>
        </w:rPr>
        <w:t>the country</w:t>
      </w:r>
      <w:r w:rsidR="00DC6EAB" w:rsidRPr="00394BB8">
        <w:rPr>
          <w:lang w:val="en-GB"/>
        </w:rPr>
        <w:t xml:space="preserve"> </w:t>
      </w:r>
      <w:r w:rsidR="004167B4" w:rsidRPr="00394BB8">
        <w:rPr>
          <w:lang w:val="en-GB"/>
        </w:rPr>
        <w:t>enjoys</w:t>
      </w:r>
      <w:r w:rsidR="00DC6EAB" w:rsidRPr="00394BB8">
        <w:rPr>
          <w:lang w:val="en-GB"/>
        </w:rPr>
        <w:t xml:space="preserve"> </w:t>
      </w:r>
      <w:r w:rsidR="00243EEE" w:rsidRPr="00394BB8">
        <w:rPr>
          <w:lang w:val="en-GB"/>
        </w:rPr>
        <w:t>advantages</w:t>
      </w:r>
      <w:r w:rsidR="00DC6EAB" w:rsidRPr="00394BB8">
        <w:rPr>
          <w:lang w:val="en-GB"/>
        </w:rPr>
        <w:t xml:space="preserve"> </w:t>
      </w:r>
      <w:r w:rsidR="003630B1" w:rsidRPr="00394BB8">
        <w:rPr>
          <w:lang w:val="en-GB"/>
        </w:rPr>
        <w:t>a</w:t>
      </w:r>
      <w:r w:rsidR="00243EEE" w:rsidRPr="00394BB8">
        <w:rPr>
          <w:lang w:val="en-GB"/>
        </w:rPr>
        <w:t>s a natural</w:t>
      </w:r>
      <w:r w:rsidR="003630B1" w:rsidRPr="00394BB8">
        <w:rPr>
          <w:lang w:val="en-GB"/>
        </w:rPr>
        <w:t xml:space="preserve"> </w:t>
      </w:r>
      <w:r w:rsidR="00243EEE" w:rsidRPr="00394BB8">
        <w:rPr>
          <w:lang w:val="en-GB"/>
        </w:rPr>
        <w:t>trade, energy</w:t>
      </w:r>
      <w:r w:rsidR="00B0660E" w:rsidRPr="00394BB8">
        <w:rPr>
          <w:lang w:val="en-GB"/>
        </w:rPr>
        <w:t xml:space="preserve"> and transportation corridor</w:t>
      </w:r>
      <w:r w:rsidR="001F1FC3" w:rsidRPr="00394BB8">
        <w:rPr>
          <w:lang w:val="en-GB"/>
        </w:rPr>
        <w:t>,</w:t>
      </w:r>
      <w:r w:rsidR="00DC6EAB" w:rsidRPr="00394BB8">
        <w:rPr>
          <w:lang w:val="en-GB"/>
        </w:rPr>
        <w:t xml:space="preserve"> </w:t>
      </w:r>
      <w:r w:rsidR="001F1FC3" w:rsidRPr="00394BB8">
        <w:rPr>
          <w:lang w:val="en-GB"/>
        </w:rPr>
        <w:t xml:space="preserve">yet </w:t>
      </w:r>
      <w:r w:rsidR="0003392F" w:rsidRPr="00394BB8">
        <w:rPr>
          <w:lang w:val="en-GB"/>
        </w:rPr>
        <w:t>fac</w:t>
      </w:r>
      <w:r w:rsidR="001F1FC3" w:rsidRPr="00394BB8">
        <w:rPr>
          <w:lang w:val="en-GB"/>
        </w:rPr>
        <w:t>es</w:t>
      </w:r>
      <w:r w:rsidR="0003392F" w:rsidRPr="00394BB8">
        <w:rPr>
          <w:lang w:val="en-GB"/>
        </w:rPr>
        <w:t xml:space="preserve"> </w:t>
      </w:r>
      <w:r w:rsidR="00DC6EAB" w:rsidRPr="00394BB8">
        <w:rPr>
          <w:lang w:val="en-GB"/>
        </w:rPr>
        <w:t>a</w:t>
      </w:r>
      <w:r w:rsidR="001014AF" w:rsidRPr="00394BB8">
        <w:rPr>
          <w:lang w:val="en-GB"/>
        </w:rPr>
        <w:t>n increasingly</w:t>
      </w:r>
      <w:r w:rsidR="00DB5D5B" w:rsidRPr="00394BB8">
        <w:rPr>
          <w:lang w:val="en-GB"/>
        </w:rPr>
        <w:t xml:space="preserve"> </w:t>
      </w:r>
      <w:r w:rsidR="0003392F" w:rsidRPr="00394BB8">
        <w:rPr>
          <w:lang w:val="en-GB"/>
        </w:rPr>
        <w:t>challenging</w:t>
      </w:r>
      <w:r w:rsidR="00DC6EAB" w:rsidRPr="00394BB8">
        <w:rPr>
          <w:lang w:val="en-GB"/>
        </w:rPr>
        <w:t xml:space="preserve"> </w:t>
      </w:r>
      <w:r w:rsidR="00DB5D5B" w:rsidRPr="00394BB8">
        <w:rPr>
          <w:lang w:val="en-GB"/>
        </w:rPr>
        <w:t xml:space="preserve">and conflict-affected </w:t>
      </w:r>
      <w:r w:rsidR="00DC6EAB" w:rsidRPr="00394BB8">
        <w:rPr>
          <w:lang w:val="en-GB"/>
        </w:rPr>
        <w:t>region</w:t>
      </w:r>
      <w:r w:rsidR="00B0660E" w:rsidRPr="00394BB8">
        <w:rPr>
          <w:lang w:val="en-GB"/>
        </w:rPr>
        <w:t>.</w:t>
      </w:r>
      <w:r w:rsidR="00CC0661" w:rsidRPr="00394BB8">
        <w:rPr>
          <w:lang w:val="en-GB"/>
        </w:rPr>
        <w:t xml:space="preserve"> </w:t>
      </w:r>
    </w:p>
    <w:p w14:paraId="2B4725C1" w14:textId="606768C5" w:rsidR="00305F0A" w:rsidRPr="00394BB8" w:rsidRDefault="00BE0547" w:rsidP="006F51BC">
      <w:pPr>
        <w:pStyle w:val="ListParagraph"/>
        <w:numPr>
          <w:ilvl w:val="2"/>
          <w:numId w:val="6"/>
        </w:numPr>
        <w:tabs>
          <w:tab w:val="num" w:pos="990"/>
          <w:tab w:val="left" w:pos="2070"/>
        </w:tabs>
        <w:spacing w:after="120"/>
        <w:ind w:left="720" w:firstLine="0"/>
        <w:jc w:val="both"/>
        <w:rPr>
          <w:iCs/>
          <w:lang w:val="en-GB"/>
        </w:rPr>
      </w:pPr>
      <w:r w:rsidRPr="00394BB8">
        <w:rPr>
          <w:lang w:val="en-GB"/>
        </w:rPr>
        <w:t>Seeking to</w:t>
      </w:r>
      <w:r w:rsidR="004167B4" w:rsidRPr="00394BB8">
        <w:rPr>
          <w:lang w:val="en-GB"/>
        </w:rPr>
        <w:t xml:space="preserve"> emerge from a</w:t>
      </w:r>
      <w:r w:rsidR="009C2484" w:rsidRPr="00394BB8">
        <w:rPr>
          <w:lang w:val="en-GB"/>
        </w:rPr>
        <w:t xml:space="preserve">n often </w:t>
      </w:r>
      <w:r w:rsidR="004167B4" w:rsidRPr="00394BB8">
        <w:rPr>
          <w:lang w:val="en-GB"/>
        </w:rPr>
        <w:t xml:space="preserve">tumultuous </w:t>
      </w:r>
      <w:r w:rsidR="00BC3AE1" w:rsidRPr="00394BB8">
        <w:rPr>
          <w:lang w:val="en-GB"/>
        </w:rPr>
        <w:t xml:space="preserve">and conflict-affected </w:t>
      </w:r>
      <w:r w:rsidR="00FC7F68" w:rsidRPr="00394BB8">
        <w:rPr>
          <w:lang w:val="en-GB"/>
        </w:rPr>
        <w:t>history</w:t>
      </w:r>
      <w:r w:rsidR="00BF5E78" w:rsidRPr="00394BB8">
        <w:rPr>
          <w:lang w:val="en-GB"/>
        </w:rPr>
        <w:t xml:space="preserve"> since independence 25 years ago, </w:t>
      </w:r>
      <w:r w:rsidRPr="00394BB8">
        <w:rPr>
          <w:lang w:val="en-GB"/>
        </w:rPr>
        <w:t>Georgia</w:t>
      </w:r>
      <w:r w:rsidR="000F226B" w:rsidRPr="00394BB8">
        <w:rPr>
          <w:lang w:val="en-GB"/>
        </w:rPr>
        <w:t xml:space="preserve"> </w:t>
      </w:r>
      <w:r w:rsidR="00BC3AE1" w:rsidRPr="00394BB8">
        <w:rPr>
          <w:lang w:val="en-GB"/>
        </w:rPr>
        <w:t xml:space="preserve">continues </w:t>
      </w:r>
      <w:r w:rsidR="001F1FC3" w:rsidRPr="00394BB8">
        <w:rPr>
          <w:lang w:val="en-GB"/>
        </w:rPr>
        <w:t>its</w:t>
      </w:r>
      <w:r w:rsidR="000F226B" w:rsidRPr="00394BB8">
        <w:rPr>
          <w:lang w:val="en-GB"/>
        </w:rPr>
        <w:t xml:space="preserve"> programme of</w:t>
      </w:r>
      <w:r w:rsidR="0073201E" w:rsidRPr="00394BB8">
        <w:rPr>
          <w:lang w:val="en-GB"/>
        </w:rPr>
        <w:t xml:space="preserve"> </w:t>
      </w:r>
      <w:r w:rsidR="006B56D9" w:rsidRPr="00394BB8">
        <w:rPr>
          <w:lang w:val="en-GB"/>
        </w:rPr>
        <w:t>democratic and economic reforms</w:t>
      </w:r>
      <w:r w:rsidR="0073201E" w:rsidRPr="00394BB8">
        <w:rPr>
          <w:lang w:val="en-GB"/>
        </w:rPr>
        <w:t>.</w:t>
      </w:r>
      <w:r w:rsidR="006B56D9" w:rsidRPr="00394BB8">
        <w:rPr>
          <w:lang w:val="en-GB"/>
        </w:rPr>
        <w:t xml:space="preserve"> </w:t>
      </w:r>
      <w:r w:rsidR="001F1FC3" w:rsidRPr="00394BB8">
        <w:rPr>
          <w:lang w:val="en-GB"/>
        </w:rPr>
        <w:t>T</w:t>
      </w:r>
      <w:r w:rsidRPr="00394BB8">
        <w:rPr>
          <w:lang w:val="en-GB"/>
        </w:rPr>
        <w:t>he country</w:t>
      </w:r>
      <w:r w:rsidR="004167B4" w:rsidRPr="00394BB8">
        <w:rPr>
          <w:lang w:val="en-GB"/>
        </w:rPr>
        <w:t xml:space="preserve"> </w:t>
      </w:r>
      <w:r w:rsidR="0073201E" w:rsidRPr="00394BB8">
        <w:rPr>
          <w:lang w:val="en-GB"/>
        </w:rPr>
        <w:t xml:space="preserve">has </w:t>
      </w:r>
      <w:r w:rsidR="00F173CC" w:rsidRPr="00394BB8">
        <w:rPr>
          <w:lang w:val="en-GB"/>
        </w:rPr>
        <w:t>benefited</w:t>
      </w:r>
      <w:r w:rsidR="002F6C1F" w:rsidRPr="00394BB8">
        <w:rPr>
          <w:lang w:val="en-GB"/>
        </w:rPr>
        <w:t xml:space="preserve"> from </w:t>
      </w:r>
      <w:r w:rsidR="00C60D05" w:rsidRPr="00394BB8">
        <w:rPr>
          <w:lang w:val="en-GB"/>
        </w:rPr>
        <w:t>improving</w:t>
      </w:r>
      <w:r w:rsidR="00BB1BC0" w:rsidRPr="00394BB8">
        <w:rPr>
          <w:lang w:val="en-GB"/>
        </w:rPr>
        <w:t xml:space="preserve"> social and economic development </w:t>
      </w:r>
      <w:r w:rsidR="00C60D05" w:rsidRPr="00394BB8">
        <w:rPr>
          <w:lang w:val="en-GB"/>
        </w:rPr>
        <w:t xml:space="preserve">indicators </w:t>
      </w:r>
      <w:r w:rsidR="006E20D4" w:rsidRPr="00394BB8">
        <w:rPr>
          <w:lang w:val="en-GB"/>
        </w:rPr>
        <w:t>in recent years</w:t>
      </w:r>
      <w:r w:rsidR="002E3CD0" w:rsidRPr="00394BB8">
        <w:rPr>
          <w:lang w:val="en-GB"/>
        </w:rPr>
        <w:t>, reflected in both</w:t>
      </w:r>
      <w:r w:rsidR="008D67F1" w:rsidRPr="00394BB8">
        <w:rPr>
          <w:lang w:val="en-GB"/>
        </w:rPr>
        <w:t xml:space="preserve"> a </w:t>
      </w:r>
      <w:r w:rsidR="002E3CD0" w:rsidRPr="00394BB8">
        <w:rPr>
          <w:lang w:val="en-GB"/>
        </w:rPr>
        <w:t>rising</w:t>
      </w:r>
      <w:r w:rsidR="001F1FC3" w:rsidRPr="00394BB8">
        <w:rPr>
          <w:lang w:val="en-GB"/>
        </w:rPr>
        <w:t xml:space="preserve"> human development index</w:t>
      </w:r>
      <w:r w:rsidR="002E3CD0" w:rsidRPr="00394BB8">
        <w:rPr>
          <w:lang w:val="en-GB"/>
        </w:rPr>
        <w:t>,</w:t>
      </w:r>
      <w:r w:rsidR="00837E81" w:rsidRPr="00394BB8">
        <w:rPr>
          <w:lang w:val="en-GB"/>
        </w:rPr>
        <w:t xml:space="preserve"> </w:t>
      </w:r>
      <w:r w:rsidR="007816F3" w:rsidRPr="00394BB8">
        <w:rPr>
          <w:lang w:val="en-GB"/>
        </w:rPr>
        <w:t>from 0.710 in 2005 to 0.744 in 2013</w:t>
      </w:r>
      <w:r w:rsidR="008F7317">
        <w:rPr>
          <w:lang w:val="en-GB"/>
        </w:rPr>
        <w:t>,</w:t>
      </w:r>
      <w:r w:rsidR="00D37D7E" w:rsidRPr="00394BB8">
        <w:rPr>
          <w:bCs/>
          <w:lang w:val="en-GB"/>
        </w:rPr>
        <w:t xml:space="preserve"> </w:t>
      </w:r>
      <w:r w:rsidR="00837E81" w:rsidRPr="00394BB8">
        <w:rPr>
          <w:lang w:val="en-GB"/>
        </w:rPr>
        <w:t xml:space="preserve">and </w:t>
      </w:r>
      <w:r w:rsidR="002E3CD0" w:rsidRPr="00394BB8">
        <w:rPr>
          <w:lang w:val="en-GB"/>
        </w:rPr>
        <w:t>per</w:t>
      </w:r>
      <w:r w:rsidR="001F1FC3" w:rsidRPr="00394BB8">
        <w:rPr>
          <w:lang w:val="en-GB"/>
        </w:rPr>
        <w:t>-</w:t>
      </w:r>
      <w:r w:rsidR="002E3CD0" w:rsidRPr="00394BB8">
        <w:rPr>
          <w:lang w:val="en-GB"/>
        </w:rPr>
        <w:t xml:space="preserve">capita </w:t>
      </w:r>
      <w:r w:rsidR="001F1FC3" w:rsidRPr="00394BB8">
        <w:rPr>
          <w:lang w:val="en-GB"/>
        </w:rPr>
        <w:t xml:space="preserve">gross domestic product, </w:t>
      </w:r>
      <w:r w:rsidR="002E3CD0" w:rsidRPr="00394BB8">
        <w:rPr>
          <w:lang w:val="en-GB"/>
        </w:rPr>
        <w:t xml:space="preserve">from </w:t>
      </w:r>
      <w:r w:rsidR="001F1FC3" w:rsidRPr="00394BB8">
        <w:rPr>
          <w:lang w:val="en-GB"/>
        </w:rPr>
        <w:t>$</w:t>
      </w:r>
      <w:r w:rsidR="002E3CD0" w:rsidRPr="00394BB8">
        <w:rPr>
          <w:lang w:val="en-GB"/>
        </w:rPr>
        <w:t>2,613 in 2010</w:t>
      </w:r>
      <w:r w:rsidR="002E3CD0" w:rsidRPr="00394BB8">
        <w:rPr>
          <w:rStyle w:val="FootnoteReference"/>
          <w:bCs/>
          <w:lang w:val="en-GB"/>
        </w:rPr>
        <w:t xml:space="preserve"> </w:t>
      </w:r>
      <w:r w:rsidR="00837E81" w:rsidRPr="00394BB8">
        <w:rPr>
          <w:lang w:val="en-GB"/>
        </w:rPr>
        <w:t xml:space="preserve">to </w:t>
      </w:r>
      <w:r w:rsidR="001F1FC3" w:rsidRPr="00394BB8">
        <w:rPr>
          <w:lang w:val="en-GB"/>
        </w:rPr>
        <w:t>$</w:t>
      </w:r>
      <w:r w:rsidR="00837E81" w:rsidRPr="00394BB8">
        <w:rPr>
          <w:lang w:val="en-GB"/>
        </w:rPr>
        <w:t xml:space="preserve">3,605 in 2013. </w:t>
      </w:r>
      <w:r w:rsidR="001F1FC3" w:rsidRPr="00394BB8">
        <w:rPr>
          <w:lang w:val="en-GB"/>
        </w:rPr>
        <w:t>T</w:t>
      </w:r>
      <w:r w:rsidR="006D7001" w:rsidRPr="00394BB8">
        <w:rPr>
          <w:lang w:val="en-GB"/>
        </w:rPr>
        <w:t>he</w:t>
      </w:r>
      <w:r w:rsidR="00C3253C" w:rsidRPr="00394BB8">
        <w:rPr>
          <w:lang w:val="en-GB"/>
        </w:rPr>
        <w:t xml:space="preserve"> signing of the </w:t>
      </w:r>
      <w:r w:rsidR="0013058C" w:rsidRPr="00394BB8">
        <w:rPr>
          <w:lang w:val="en-GB"/>
        </w:rPr>
        <w:t>a</w:t>
      </w:r>
      <w:r w:rsidR="00C3253C" w:rsidRPr="00394BB8">
        <w:rPr>
          <w:lang w:val="en-GB"/>
        </w:rPr>
        <w:t xml:space="preserve">ssociation </w:t>
      </w:r>
      <w:r w:rsidR="0013058C" w:rsidRPr="00394BB8">
        <w:rPr>
          <w:lang w:val="en-GB"/>
        </w:rPr>
        <w:t>a</w:t>
      </w:r>
      <w:r w:rsidR="00C3253C" w:rsidRPr="00394BB8">
        <w:rPr>
          <w:lang w:val="en-GB"/>
        </w:rPr>
        <w:t>greement</w:t>
      </w:r>
      <w:r w:rsidR="005A3CF9" w:rsidRPr="00394BB8">
        <w:rPr>
          <w:lang w:val="en-GB"/>
        </w:rPr>
        <w:t xml:space="preserve"> </w:t>
      </w:r>
      <w:r w:rsidR="00E501E6" w:rsidRPr="00394BB8">
        <w:rPr>
          <w:lang w:val="en-GB"/>
        </w:rPr>
        <w:t>with the European Union</w:t>
      </w:r>
      <w:r w:rsidR="001F1FC3" w:rsidRPr="00394BB8">
        <w:rPr>
          <w:lang w:val="en-GB"/>
        </w:rPr>
        <w:t>,</w:t>
      </w:r>
      <w:r w:rsidR="00E501E6" w:rsidRPr="00394BB8">
        <w:rPr>
          <w:lang w:val="en-GB"/>
        </w:rPr>
        <w:t xml:space="preserve"> </w:t>
      </w:r>
      <w:r w:rsidR="00C3253C" w:rsidRPr="00394BB8">
        <w:rPr>
          <w:lang w:val="en-GB"/>
        </w:rPr>
        <w:t>in 2014</w:t>
      </w:r>
      <w:r w:rsidR="001F1FC3" w:rsidRPr="00394BB8">
        <w:rPr>
          <w:lang w:val="en-GB"/>
        </w:rPr>
        <w:t>,</w:t>
      </w:r>
      <w:r w:rsidR="00C3253C" w:rsidRPr="00394BB8">
        <w:rPr>
          <w:lang w:val="en-GB"/>
        </w:rPr>
        <w:t xml:space="preserve"> </w:t>
      </w:r>
      <w:r w:rsidR="00A54097" w:rsidRPr="00394BB8">
        <w:rPr>
          <w:lang w:val="en-GB"/>
        </w:rPr>
        <w:t xml:space="preserve">represented </w:t>
      </w:r>
      <w:r w:rsidR="00D23F08" w:rsidRPr="00394BB8">
        <w:rPr>
          <w:lang w:val="en-GB"/>
        </w:rPr>
        <w:t>an important step</w:t>
      </w:r>
      <w:r w:rsidR="009901F9" w:rsidRPr="00394BB8">
        <w:rPr>
          <w:lang w:val="en-GB"/>
        </w:rPr>
        <w:t xml:space="preserve"> </w:t>
      </w:r>
      <w:r w:rsidR="00586D27" w:rsidRPr="00394BB8">
        <w:rPr>
          <w:lang w:val="en-GB"/>
        </w:rPr>
        <w:t>for</w:t>
      </w:r>
      <w:r w:rsidR="00EE438A" w:rsidRPr="00394BB8">
        <w:rPr>
          <w:lang w:val="en-GB"/>
        </w:rPr>
        <w:t xml:space="preserve"> </w:t>
      </w:r>
      <w:r w:rsidR="001F1FC3" w:rsidRPr="00394BB8">
        <w:rPr>
          <w:lang w:val="en-GB"/>
        </w:rPr>
        <w:t xml:space="preserve">the </w:t>
      </w:r>
      <w:r w:rsidR="000F226B" w:rsidRPr="00394BB8">
        <w:rPr>
          <w:lang w:val="en-GB"/>
        </w:rPr>
        <w:t xml:space="preserve">broader </w:t>
      </w:r>
    </w:p>
    <w:p w14:paraId="44391E18" w14:textId="23E3DDBF" w:rsidR="00F12888" w:rsidRPr="00394BB8" w:rsidRDefault="001134D0" w:rsidP="00D635F2">
      <w:pPr>
        <w:pStyle w:val="ListParagraph"/>
        <w:numPr>
          <w:ilvl w:val="2"/>
          <w:numId w:val="6"/>
        </w:numPr>
        <w:tabs>
          <w:tab w:val="left" w:pos="720"/>
          <w:tab w:val="num" w:pos="990"/>
          <w:tab w:val="left" w:pos="2070"/>
          <w:tab w:val="left" w:pos="3360"/>
          <w:tab w:val="left" w:pos="3450"/>
          <w:tab w:val="left" w:pos="5220"/>
        </w:tabs>
        <w:autoSpaceDE w:val="0"/>
        <w:autoSpaceDN w:val="0"/>
        <w:adjustRightInd w:val="0"/>
        <w:spacing w:after="120"/>
        <w:ind w:left="720" w:firstLine="0"/>
        <w:jc w:val="both"/>
        <w:rPr>
          <w:lang w:val="en-GB"/>
        </w:rPr>
      </w:pPr>
      <w:r w:rsidRPr="00394BB8">
        <w:rPr>
          <w:b/>
          <w:i/>
          <w:lang w:val="en-GB"/>
        </w:rPr>
        <w:t>Inclusive e</w:t>
      </w:r>
      <w:r w:rsidR="000D2EE4" w:rsidRPr="00394BB8">
        <w:rPr>
          <w:b/>
          <w:i/>
          <w:lang w:val="en-GB"/>
        </w:rPr>
        <w:t xml:space="preserve">conomic </w:t>
      </w:r>
      <w:r w:rsidR="00062532" w:rsidRPr="00394BB8">
        <w:rPr>
          <w:b/>
          <w:i/>
          <w:lang w:val="en-GB"/>
        </w:rPr>
        <w:t xml:space="preserve">growth, </w:t>
      </w:r>
      <w:r w:rsidR="00C07D9A" w:rsidRPr="00394BB8">
        <w:rPr>
          <w:b/>
          <w:i/>
          <w:lang w:val="en-GB"/>
        </w:rPr>
        <w:t>shared prosperity</w:t>
      </w:r>
      <w:r w:rsidR="000D2EE4" w:rsidRPr="00394BB8">
        <w:rPr>
          <w:b/>
          <w:i/>
          <w:lang w:val="en-GB"/>
        </w:rPr>
        <w:t>.</w:t>
      </w:r>
      <w:r w:rsidR="000D2EE4" w:rsidRPr="00394BB8">
        <w:rPr>
          <w:lang w:val="en-GB"/>
        </w:rPr>
        <w:t xml:space="preserve"> </w:t>
      </w:r>
      <w:r w:rsidR="006232C6" w:rsidRPr="00394BB8">
        <w:rPr>
          <w:lang w:val="en-GB"/>
        </w:rPr>
        <w:t xml:space="preserve">Unemployment, </w:t>
      </w:r>
      <w:r w:rsidR="0052260E" w:rsidRPr="00394BB8">
        <w:rPr>
          <w:lang w:val="en-GB"/>
        </w:rPr>
        <w:t xml:space="preserve">inequality, poverty and low productivity, especially in the </w:t>
      </w:r>
      <w:r w:rsidR="006232C6" w:rsidRPr="00394BB8">
        <w:rPr>
          <w:lang w:val="en-GB"/>
        </w:rPr>
        <w:t>rural economy</w:t>
      </w:r>
      <w:r w:rsidR="0052260E" w:rsidRPr="00394BB8">
        <w:rPr>
          <w:lang w:val="en-GB"/>
        </w:rPr>
        <w:t>,</w:t>
      </w:r>
      <w:r w:rsidR="006232C6" w:rsidRPr="00394BB8">
        <w:rPr>
          <w:lang w:val="en-GB"/>
        </w:rPr>
        <w:t xml:space="preserve"> remain </w:t>
      </w:r>
      <w:r w:rsidR="002E2016" w:rsidRPr="00394BB8">
        <w:rPr>
          <w:lang w:val="en-GB"/>
        </w:rPr>
        <w:t>key</w:t>
      </w:r>
      <w:r w:rsidR="006232C6" w:rsidRPr="00394BB8">
        <w:rPr>
          <w:lang w:val="en-GB"/>
        </w:rPr>
        <w:t xml:space="preserve"> policy </w:t>
      </w:r>
      <w:r w:rsidR="002E2016" w:rsidRPr="00394BB8">
        <w:rPr>
          <w:lang w:val="en-GB"/>
        </w:rPr>
        <w:t>challenges</w:t>
      </w:r>
      <w:r w:rsidR="00CE1C0F" w:rsidRPr="00394BB8">
        <w:rPr>
          <w:lang w:val="en-GB"/>
        </w:rPr>
        <w:t xml:space="preserve">, </w:t>
      </w:r>
      <w:r w:rsidR="002E2016" w:rsidRPr="00394BB8">
        <w:rPr>
          <w:lang w:val="en-GB"/>
        </w:rPr>
        <w:t>reflecting an</w:t>
      </w:r>
      <w:r w:rsidR="00CE1C0F" w:rsidRPr="00394BB8">
        <w:rPr>
          <w:lang w:val="en-GB"/>
        </w:rPr>
        <w:t xml:space="preserve"> unfinished transition to</w:t>
      </w:r>
      <w:r w:rsidR="002E2016" w:rsidRPr="00394BB8">
        <w:rPr>
          <w:lang w:val="en-GB"/>
        </w:rPr>
        <w:t>wards</w:t>
      </w:r>
      <w:r w:rsidR="00CE1C0F" w:rsidRPr="00394BB8">
        <w:rPr>
          <w:lang w:val="en-GB"/>
        </w:rPr>
        <w:t xml:space="preserve"> </w:t>
      </w:r>
      <w:r w:rsidR="0021283E" w:rsidRPr="00394BB8">
        <w:rPr>
          <w:lang w:val="en-GB"/>
        </w:rPr>
        <w:t xml:space="preserve">mature </w:t>
      </w:r>
      <w:r w:rsidR="00CE1C0F" w:rsidRPr="00394BB8">
        <w:rPr>
          <w:lang w:val="en-GB"/>
        </w:rPr>
        <w:t xml:space="preserve">economic and labour institutions. </w:t>
      </w:r>
      <w:r w:rsidR="00F47F48" w:rsidRPr="00394BB8">
        <w:rPr>
          <w:lang w:val="en-GB"/>
        </w:rPr>
        <w:t xml:space="preserve">While </w:t>
      </w:r>
      <w:r w:rsidR="0068358B" w:rsidRPr="00394BB8">
        <w:rPr>
          <w:lang w:val="en-GB"/>
        </w:rPr>
        <w:t xml:space="preserve">Georgia demonstrated </w:t>
      </w:r>
      <w:r w:rsidR="00AA2BDD" w:rsidRPr="00394BB8">
        <w:rPr>
          <w:lang w:val="en-GB"/>
        </w:rPr>
        <w:t>robust</w:t>
      </w:r>
      <w:r w:rsidR="00BB1BC0" w:rsidRPr="00394BB8">
        <w:rPr>
          <w:lang w:val="en-GB"/>
        </w:rPr>
        <w:t xml:space="preserve"> growth </w:t>
      </w:r>
      <w:r w:rsidR="00D96C82" w:rsidRPr="00394BB8">
        <w:rPr>
          <w:lang w:val="en-GB"/>
        </w:rPr>
        <w:t>from</w:t>
      </w:r>
      <w:r w:rsidR="00C236BF" w:rsidRPr="00394BB8">
        <w:rPr>
          <w:lang w:val="en-GB"/>
        </w:rPr>
        <w:t xml:space="preserve"> 2010</w:t>
      </w:r>
      <w:r w:rsidR="00F47F48" w:rsidRPr="00394BB8">
        <w:rPr>
          <w:lang w:val="en-GB"/>
        </w:rPr>
        <w:t>,</w:t>
      </w:r>
      <w:r w:rsidR="00BB1BC0" w:rsidRPr="00394BB8">
        <w:rPr>
          <w:lang w:val="en-GB"/>
        </w:rPr>
        <w:t xml:space="preserve"> </w:t>
      </w:r>
      <w:r w:rsidR="00AB69B8" w:rsidRPr="00394BB8">
        <w:rPr>
          <w:lang w:val="en-GB"/>
        </w:rPr>
        <w:t>with</w:t>
      </w:r>
      <w:r w:rsidR="00EF52D7" w:rsidRPr="00394BB8">
        <w:rPr>
          <w:lang w:val="en-GB"/>
        </w:rPr>
        <w:t xml:space="preserve"> </w:t>
      </w:r>
      <w:r w:rsidR="0095439A" w:rsidRPr="00394BB8">
        <w:rPr>
          <w:lang w:val="en-GB"/>
        </w:rPr>
        <w:t>reduced</w:t>
      </w:r>
      <w:r w:rsidR="00BB1BC0" w:rsidRPr="00394BB8">
        <w:rPr>
          <w:lang w:val="en-GB"/>
        </w:rPr>
        <w:t xml:space="preserve"> poverty </w:t>
      </w:r>
      <w:r w:rsidR="0068358B" w:rsidRPr="00394BB8">
        <w:rPr>
          <w:lang w:val="en-GB"/>
        </w:rPr>
        <w:t>(</w:t>
      </w:r>
      <w:r w:rsidR="005C07EC" w:rsidRPr="00394BB8">
        <w:rPr>
          <w:lang w:val="en-GB"/>
        </w:rPr>
        <w:t>14.8</w:t>
      </w:r>
      <w:r w:rsidR="00D37D7E" w:rsidRPr="00394BB8">
        <w:rPr>
          <w:lang w:val="en-GB"/>
        </w:rPr>
        <w:t xml:space="preserve"> per cent</w:t>
      </w:r>
      <w:r w:rsidR="005C07EC" w:rsidRPr="00394BB8">
        <w:rPr>
          <w:lang w:val="en-GB"/>
        </w:rPr>
        <w:t xml:space="preserve"> in 2012 compared to 20.9</w:t>
      </w:r>
      <w:r w:rsidR="00D37D7E" w:rsidRPr="00394BB8">
        <w:rPr>
          <w:lang w:val="en-GB"/>
        </w:rPr>
        <w:t xml:space="preserve"> per cent</w:t>
      </w:r>
      <w:r w:rsidR="005C07EC" w:rsidRPr="00394BB8">
        <w:rPr>
          <w:lang w:val="en-GB"/>
        </w:rPr>
        <w:t xml:space="preserve"> in 2010</w:t>
      </w:r>
      <w:r w:rsidR="0068358B" w:rsidRPr="00394BB8">
        <w:rPr>
          <w:lang w:val="en-GB"/>
        </w:rPr>
        <w:t>)</w:t>
      </w:r>
      <w:r w:rsidR="00EF52D7" w:rsidRPr="00394BB8">
        <w:rPr>
          <w:lang w:val="en-GB"/>
        </w:rPr>
        <w:t>,</w:t>
      </w:r>
      <w:r w:rsidR="0052435E" w:rsidRPr="00394BB8">
        <w:rPr>
          <w:lang w:val="en-GB"/>
        </w:rPr>
        <w:t xml:space="preserve"> </w:t>
      </w:r>
      <w:r w:rsidR="00555BE7" w:rsidRPr="00394BB8">
        <w:rPr>
          <w:lang w:val="en-GB"/>
        </w:rPr>
        <w:t>25</w:t>
      </w:r>
      <w:r w:rsidR="00D37D7E" w:rsidRPr="00394BB8">
        <w:rPr>
          <w:lang w:val="en-GB"/>
        </w:rPr>
        <w:t xml:space="preserve"> per cent</w:t>
      </w:r>
      <w:r w:rsidR="00555BE7" w:rsidRPr="00394BB8">
        <w:rPr>
          <w:lang w:val="en-GB"/>
        </w:rPr>
        <w:t xml:space="preserve"> of</w:t>
      </w:r>
      <w:r w:rsidR="00FE01AB" w:rsidRPr="00394BB8">
        <w:rPr>
          <w:lang w:val="en-GB"/>
        </w:rPr>
        <w:t xml:space="preserve"> children</w:t>
      </w:r>
      <w:r w:rsidR="0052435E" w:rsidRPr="00394BB8">
        <w:rPr>
          <w:lang w:val="en-GB"/>
        </w:rPr>
        <w:t xml:space="preserve"> </w:t>
      </w:r>
      <w:r w:rsidR="00555BE7" w:rsidRPr="00394BB8">
        <w:rPr>
          <w:lang w:val="en-GB"/>
        </w:rPr>
        <w:t>remain</w:t>
      </w:r>
      <w:r w:rsidR="00EF52D7" w:rsidRPr="00394BB8">
        <w:rPr>
          <w:lang w:val="en-GB"/>
        </w:rPr>
        <w:t xml:space="preserve"> </w:t>
      </w:r>
      <w:r w:rsidR="00555BE7" w:rsidRPr="00394BB8">
        <w:rPr>
          <w:lang w:val="en-GB"/>
        </w:rPr>
        <w:t>poor</w:t>
      </w:r>
      <w:r w:rsidR="0068358B" w:rsidRPr="00394BB8">
        <w:rPr>
          <w:lang w:val="en-GB"/>
        </w:rPr>
        <w:t xml:space="preserve">. </w:t>
      </w:r>
      <w:r w:rsidR="0095439A" w:rsidRPr="00394BB8">
        <w:rPr>
          <w:lang w:val="en-GB"/>
        </w:rPr>
        <w:t>S</w:t>
      </w:r>
      <w:r w:rsidR="00AA3A93" w:rsidRPr="00394BB8">
        <w:rPr>
          <w:lang w:val="en-GB"/>
        </w:rPr>
        <w:t xml:space="preserve">pillover from a growing </w:t>
      </w:r>
      <w:r w:rsidR="007072BB" w:rsidRPr="00394BB8">
        <w:rPr>
          <w:lang w:val="en-GB"/>
        </w:rPr>
        <w:t>r</w:t>
      </w:r>
      <w:r w:rsidR="00AA3A93" w:rsidRPr="00394BB8">
        <w:rPr>
          <w:lang w:val="en-GB"/>
        </w:rPr>
        <w:t>egional economic crisis</w:t>
      </w:r>
      <w:r w:rsidR="0095439A" w:rsidRPr="00394BB8">
        <w:rPr>
          <w:lang w:val="en-GB"/>
        </w:rPr>
        <w:t xml:space="preserve"> </w:t>
      </w:r>
      <w:r w:rsidR="00E929CE" w:rsidRPr="00394BB8">
        <w:rPr>
          <w:lang w:val="en-GB"/>
        </w:rPr>
        <w:t xml:space="preserve">recently </w:t>
      </w:r>
      <w:r w:rsidR="009A49AE" w:rsidRPr="00394BB8">
        <w:rPr>
          <w:lang w:val="en-GB"/>
        </w:rPr>
        <w:t xml:space="preserve">led </w:t>
      </w:r>
      <w:r w:rsidR="00E929CE" w:rsidRPr="00394BB8">
        <w:rPr>
          <w:lang w:val="en-GB"/>
        </w:rPr>
        <w:t xml:space="preserve">to </w:t>
      </w:r>
      <w:r w:rsidR="00AA3A93" w:rsidRPr="00394BB8">
        <w:rPr>
          <w:lang w:val="en-GB"/>
        </w:rPr>
        <w:t>sh</w:t>
      </w:r>
      <w:r w:rsidR="009B0E26" w:rsidRPr="00394BB8">
        <w:rPr>
          <w:lang w:val="en-GB"/>
        </w:rPr>
        <w:t xml:space="preserve">arp </w:t>
      </w:r>
      <w:r w:rsidR="00E16FAB" w:rsidRPr="00394BB8">
        <w:rPr>
          <w:lang w:val="en-GB"/>
        </w:rPr>
        <w:t xml:space="preserve">currency </w:t>
      </w:r>
      <w:r w:rsidR="009B0E26" w:rsidRPr="00394BB8">
        <w:rPr>
          <w:lang w:val="en-GB"/>
        </w:rPr>
        <w:t xml:space="preserve">devaluation </w:t>
      </w:r>
      <w:r w:rsidR="0095439A" w:rsidRPr="00394BB8">
        <w:rPr>
          <w:lang w:val="en-GB"/>
        </w:rPr>
        <w:t xml:space="preserve">and </w:t>
      </w:r>
      <w:r w:rsidR="009A49AE" w:rsidRPr="00394BB8">
        <w:rPr>
          <w:lang w:val="en-GB"/>
        </w:rPr>
        <w:t>a weaker gross domestic product</w:t>
      </w:r>
      <w:r w:rsidR="00E16FAB" w:rsidRPr="00394BB8">
        <w:rPr>
          <w:lang w:val="en-GB"/>
        </w:rPr>
        <w:t xml:space="preserve">, which </w:t>
      </w:r>
      <w:r w:rsidR="007072BB" w:rsidRPr="00394BB8">
        <w:rPr>
          <w:lang w:val="en-GB"/>
        </w:rPr>
        <w:t>may threaten Georgia’s prospects for</w:t>
      </w:r>
      <w:r w:rsidR="00635F04" w:rsidRPr="00394BB8">
        <w:rPr>
          <w:lang w:val="en-GB"/>
        </w:rPr>
        <w:t xml:space="preserve"> development and</w:t>
      </w:r>
      <w:r w:rsidR="007072BB" w:rsidRPr="00394BB8">
        <w:rPr>
          <w:lang w:val="en-GB"/>
        </w:rPr>
        <w:t xml:space="preserve"> stability. </w:t>
      </w:r>
      <w:r w:rsidR="00E929CE" w:rsidRPr="00394BB8">
        <w:rPr>
          <w:lang w:val="en-GB"/>
        </w:rPr>
        <w:t>G</w:t>
      </w:r>
      <w:r w:rsidRPr="00394BB8">
        <w:rPr>
          <w:lang w:val="en-GB"/>
        </w:rPr>
        <w:t>rowth</w:t>
      </w:r>
      <w:r w:rsidR="007072BB" w:rsidRPr="00394BB8">
        <w:rPr>
          <w:lang w:val="en-GB"/>
        </w:rPr>
        <w:t xml:space="preserve"> </w:t>
      </w:r>
      <w:r w:rsidR="00E16FAB" w:rsidRPr="00394BB8">
        <w:rPr>
          <w:lang w:val="en-GB"/>
        </w:rPr>
        <w:t xml:space="preserve">has </w:t>
      </w:r>
      <w:r w:rsidR="00F73910" w:rsidRPr="00394BB8">
        <w:rPr>
          <w:lang w:val="en-GB"/>
        </w:rPr>
        <w:t>failed to translate into</w:t>
      </w:r>
      <w:r w:rsidR="006232C6" w:rsidRPr="00394BB8">
        <w:rPr>
          <w:lang w:val="en-GB"/>
        </w:rPr>
        <w:t xml:space="preserve"> </w:t>
      </w:r>
      <w:r w:rsidR="00F73910" w:rsidRPr="00394BB8">
        <w:rPr>
          <w:lang w:val="en-GB"/>
        </w:rPr>
        <w:t xml:space="preserve">a </w:t>
      </w:r>
      <w:r w:rsidR="006232C6" w:rsidRPr="00394BB8">
        <w:rPr>
          <w:lang w:val="en-GB"/>
        </w:rPr>
        <w:t>significant</w:t>
      </w:r>
      <w:r w:rsidRPr="00394BB8">
        <w:rPr>
          <w:lang w:val="en-GB"/>
        </w:rPr>
        <w:t xml:space="preserve"> </w:t>
      </w:r>
      <w:r w:rsidR="00F73910" w:rsidRPr="00394BB8">
        <w:rPr>
          <w:lang w:val="en-GB"/>
        </w:rPr>
        <w:t>reduction in</w:t>
      </w:r>
      <w:r w:rsidRPr="00394BB8">
        <w:rPr>
          <w:lang w:val="en-GB"/>
        </w:rPr>
        <w:t xml:space="preserve"> </w:t>
      </w:r>
      <w:r w:rsidR="00BB1BC0" w:rsidRPr="00394BB8">
        <w:rPr>
          <w:lang w:val="en-GB"/>
        </w:rPr>
        <w:t>unemployment</w:t>
      </w:r>
      <w:r w:rsidR="00F73910" w:rsidRPr="00394BB8">
        <w:rPr>
          <w:lang w:val="en-GB"/>
        </w:rPr>
        <w:t>, which</w:t>
      </w:r>
      <w:r w:rsidR="005E7AC4" w:rsidRPr="00394BB8">
        <w:rPr>
          <w:lang w:val="en-GB"/>
        </w:rPr>
        <w:t xml:space="preserve"> </w:t>
      </w:r>
      <w:r w:rsidR="00F73910" w:rsidRPr="00394BB8">
        <w:rPr>
          <w:lang w:val="en-GB"/>
        </w:rPr>
        <w:t>remained</w:t>
      </w:r>
      <w:r w:rsidR="008B3636" w:rsidRPr="00394BB8">
        <w:rPr>
          <w:lang w:val="en-GB"/>
        </w:rPr>
        <w:t xml:space="preserve"> at</w:t>
      </w:r>
      <w:r w:rsidR="005C07EC" w:rsidRPr="00394BB8">
        <w:rPr>
          <w:lang w:val="en-GB"/>
        </w:rPr>
        <w:t xml:space="preserve"> 14.6</w:t>
      </w:r>
      <w:r w:rsidR="00D37D7E" w:rsidRPr="00394BB8">
        <w:rPr>
          <w:lang w:val="en-GB"/>
        </w:rPr>
        <w:t xml:space="preserve"> per cent</w:t>
      </w:r>
      <w:r w:rsidR="005C07EC" w:rsidRPr="00394BB8">
        <w:rPr>
          <w:lang w:val="en-GB"/>
        </w:rPr>
        <w:t xml:space="preserve"> in </w:t>
      </w:r>
      <w:r w:rsidR="00511A3C" w:rsidRPr="00394BB8">
        <w:rPr>
          <w:lang w:val="en-GB"/>
        </w:rPr>
        <w:t>2013</w:t>
      </w:r>
      <w:r w:rsidR="00F73910" w:rsidRPr="00394BB8">
        <w:rPr>
          <w:lang w:val="en-GB"/>
        </w:rPr>
        <w:t>, reaching</w:t>
      </w:r>
      <w:r w:rsidR="005C07EC" w:rsidRPr="00394BB8">
        <w:rPr>
          <w:lang w:val="en-GB"/>
        </w:rPr>
        <w:t xml:space="preserve"> 25.7</w:t>
      </w:r>
      <w:r w:rsidR="00D37D7E" w:rsidRPr="00394BB8">
        <w:rPr>
          <w:lang w:val="en-GB"/>
        </w:rPr>
        <w:t xml:space="preserve"> per cent</w:t>
      </w:r>
      <w:r w:rsidR="005C07EC" w:rsidRPr="00394BB8">
        <w:rPr>
          <w:lang w:val="en-GB"/>
        </w:rPr>
        <w:t xml:space="preserve"> among </w:t>
      </w:r>
      <w:r w:rsidR="00BD56DA" w:rsidRPr="00394BB8">
        <w:rPr>
          <w:lang w:val="en-GB"/>
        </w:rPr>
        <w:t>people</w:t>
      </w:r>
      <w:r w:rsidR="00AB69B8" w:rsidRPr="00394BB8">
        <w:rPr>
          <w:lang w:val="en-GB"/>
        </w:rPr>
        <w:t xml:space="preserve"> aged</w:t>
      </w:r>
      <w:r w:rsidR="005C07EC" w:rsidRPr="00394BB8">
        <w:rPr>
          <w:lang w:val="en-GB"/>
        </w:rPr>
        <w:t xml:space="preserve"> 25-29</w:t>
      </w:r>
      <w:r w:rsidR="009A49AE" w:rsidRPr="00394BB8">
        <w:rPr>
          <w:lang w:val="en-GB"/>
        </w:rPr>
        <w:t>,</w:t>
      </w:r>
      <w:r w:rsidR="00BB1BC0" w:rsidRPr="00394BB8">
        <w:rPr>
          <w:lang w:val="en-GB"/>
        </w:rPr>
        <w:t xml:space="preserve"> </w:t>
      </w:r>
      <w:r w:rsidR="00BD56DA" w:rsidRPr="00394BB8">
        <w:rPr>
          <w:lang w:val="en-GB"/>
        </w:rPr>
        <w:t xml:space="preserve">and higher among youth. </w:t>
      </w:r>
      <w:r w:rsidR="0095439A" w:rsidRPr="00394BB8">
        <w:rPr>
          <w:rStyle w:val="Strong"/>
          <w:b w:val="0"/>
          <w:lang w:val="en-GB"/>
        </w:rPr>
        <w:t>F</w:t>
      </w:r>
      <w:r w:rsidR="00E47E03" w:rsidRPr="00394BB8">
        <w:rPr>
          <w:rStyle w:val="Strong"/>
          <w:b w:val="0"/>
          <w:lang w:val="en-GB"/>
        </w:rPr>
        <w:t>emale labo</w:t>
      </w:r>
      <w:r w:rsidR="009A49AE" w:rsidRPr="00394BB8">
        <w:rPr>
          <w:rStyle w:val="Strong"/>
          <w:b w:val="0"/>
          <w:lang w:val="en-GB"/>
        </w:rPr>
        <w:t>u</w:t>
      </w:r>
      <w:r w:rsidR="00E47E03" w:rsidRPr="00394BB8">
        <w:rPr>
          <w:rStyle w:val="Strong"/>
          <w:b w:val="0"/>
          <w:lang w:val="en-GB"/>
        </w:rPr>
        <w:t>r for</w:t>
      </w:r>
      <w:r w:rsidR="006232C6" w:rsidRPr="00394BB8">
        <w:rPr>
          <w:rStyle w:val="Strong"/>
          <w:b w:val="0"/>
          <w:lang w:val="en-GB"/>
        </w:rPr>
        <w:t xml:space="preserve">ce participation </w:t>
      </w:r>
      <w:r w:rsidR="00957230" w:rsidRPr="00394BB8">
        <w:rPr>
          <w:rStyle w:val="Strong"/>
          <w:b w:val="0"/>
          <w:lang w:val="en-GB"/>
        </w:rPr>
        <w:t>is</w:t>
      </w:r>
      <w:r w:rsidR="005E7AC4" w:rsidRPr="00394BB8">
        <w:rPr>
          <w:rStyle w:val="Strong"/>
          <w:b w:val="0"/>
          <w:lang w:val="en-GB"/>
        </w:rPr>
        <w:t xml:space="preserve"> </w:t>
      </w:r>
      <w:r w:rsidR="00E16FAB" w:rsidRPr="00394BB8">
        <w:rPr>
          <w:rStyle w:val="Strong"/>
          <w:b w:val="0"/>
          <w:lang w:val="en-GB"/>
        </w:rPr>
        <w:t>low</w:t>
      </w:r>
      <w:r w:rsidR="00A2295E" w:rsidRPr="00394BB8">
        <w:rPr>
          <w:rStyle w:val="Strong"/>
          <w:b w:val="0"/>
          <w:lang w:val="en-GB"/>
        </w:rPr>
        <w:t xml:space="preserve"> (57</w:t>
      </w:r>
      <w:r w:rsidR="00D37D7E" w:rsidRPr="00394BB8">
        <w:rPr>
          <w:rStyle w:val="Strong"/>
          <w:b w:val="0"/>
          <w:lang w:val="en-GB"/>
        </w:rPr>
        <w:t xml:space="preserve"> per cent</w:t>
      </w:r>
      <w:r w:rsidR="008F7317">
        <w:rPr>
          <w:rStyle w:val="Strong"/>
          <w:b w:val="0"/>
          <w:lang w:val="en-GB"/>
        </w:rPr>
        <w:t>,</w:t>
      </w:r>
      <w:r w:rsidR="005E7AC4" w:rsidRPr="00394BB8">
        <w:rPr>
          <w:rStyle w:val="Strong"/>
          <w:b w:val="0"/>
          <w:lang w:val="en-GB"/>
        </w:rPr>
        <w:t xml:space="preserve"> </w:t>
      </w:r>
      <w:r w:rsidR="009A49AE" w:rsidRPr="00394BB8">
        <w:rPr>
          <w:rStyle w:val="Strong"/>
          <w:b w:val="0"/>
          <w:lang w:val="en-GB"/>
        </w:rPr>
        <w:t>against</w:t>
      </w:r>
      <w:r w:rsidR="005E7AC4" w:rsidRPr="00394BB8">
        <w:rPr>
          <w:rStyle w:val="Strong"/>
          <w:b w:val="0"/>
          <w:lang w:val="en-GB"/>
        </w:rPr>
        <w:t xml:space="preserve"> 75</w:t>
      </w:r>
      <w:r w:rsidR="00D37D7E" w:rsidRPr="00394BB8">
        <w:rPr>
          <w:rStyle w:val="Strong"/>
          <w:b w:val="0"/>
          <w:lang w:val="en-GB"/>
        </w:rPr>
        <w:t xml:space="preserve"> per cent</w:t>
      </w:r>
      <w:r w:rsidR="005E7AC4" w:rsidRPr="00394BB8">
        <w:rPr>
          <w:rStyle w:val="Strong"/>
          <w:b w:val="0"/>
          <w:lang w:val="en-GB"/>
        </w:rPr>
        <w:t xml:space="preserve"> for </w:t>
      </w:r>
      <w:r w:rsidR="00E53427" w:rsidRPr="00394BB8">
        <w:rPr>
          <w:rStyle w:val="Strong"/>
          <w:b w:val="0"/>
          <w:lang w:val="en-GB"/>
        </w:rPr>
        <w:t>males</w:t>
      </w:r>
      <w:r w:rsidRPr="00394BB8">
        <w:rPr>
          <w:rStyle w:val="Strong"/>
          <w:b w:val="0"/>
          <w:lang w:val="en-GB"/>
        </w:rPr>
        <w:t>)</w:t>
      </w:r>
      <w:r w:rsidR="009A49AE" w:rsidRPr="00394BB8">
        <w:rPr>
          <w:rStyle w:val="Strong"/>
          <w:b w:val="0"/>
          <w:lang w:val="en-GB"/>
        </w:rPr>
        <w:t>,</w:t>
      </w:r>
      <w:r w:rsidR="00427B47" w:rsidRPr="00394BB8">
        <w:rPr>
          <w:rStyle w:val="Strong"/>
          <w:b w:val="0"/>
          <w:lang w:val="en-GB"/>
        </w:rPr>
        <w:t xml:space="preserve"> </w:t>
      </w:r>
      <w:r w:rsidR="00E53427" w:rsidRPr="00394BB8">
        <w:rPr>
          <w:rStyle w:val="Strong"/>
          <w:b w:val="0"/>
          <w:lang w:val="en-GB"/>
        </w:rPr>
        <w:t xml:space="preserve">while </w:t>
      </w:r>
      <w:r w:rsidR="00B0592F" w:rsidRPr="00394BB8">
        <w:rPr>
          <w:lang w:val="en-GB"/>
        </w:rPr>
        <w:t xml:space="preserve">the average monthly salary of women </w:t>
      </w:r>
      <w:r w:rsidR="0021283E" w:rsidRPr="00394BB8">
        <w:rPr>
          <w:lang w:val="en-GB"/>
        </w:rPr>
        <w:t>is</w:t>
      </w:r>
      <w:r w:rsidR="00B0592F" w:rsidRPr="00394BB8">
        <w:rPr>
          <w:lang w:val="en-GB"/>
        </w:rPr>
        <w:t xml:space="preserve"> 40</w:t>
      </w:r>
      <w:r w:rsidR="00D37D7E" w:rsidRPr="00394BB8">
        <w:rPr>
          <w:lang w:val="en-GB"/>
        </w:rPr>
        <w:t xml:space="preserve"> per cent</w:t>
      </w:r>
      <w:r w:rsidR="00B0592F" w:rsidRPr="00394BB8">
        <w:rPr>
          <w:lang w:val="en-GB"/>
        </w:rPr>
        <w:t xml:space="preserve"> lower than that of men</w:t>
      </w:r>
      <w:r w:rsidR="00E53427" w:rsidRPr="00394BB8">
        <w:rPr>
          <w:bCs/>
          <w:lang w:val="en-GB"/>
        </w:rPr>
        <w:t xml:space="preserve"> due to </w:t>
      </w:r>
      <w:r w:rsidR="00D96C82" w:rsidRPr="00394BB8">
        <w:rPr>
          <w:bCs/>
          <w:lang w:val="en-GB"/>
        </w:rPr>
        <w:t xml:space="preserve">a </w:t>
      </w:r>
      <w:r w:rsidR="00E53427" w:rsidRPr="00394BB8">
        <w:rPr>
          <w:bCs/>
          <w:lang w:val="en-GB"/>
        </w:rPr>
        <w:t xml:space="preserve">concentration in lower-paid </w:t>
      </w:r>
      <w:r w:rsidR="00001017" w:rsidRPr="00394BB8">
        <w:rPr>
          <w:bCs/>
          <w:lang w:val="en-GB"/>
        </w:rPr>
        <w:t>jobs</w:t>
      </w:r>
      <w:r w:rsidR="00E53427" w:rsidRPr="00394BB8">
        <w:rPr>
          <w:bCs/>
          <w:lang w:val="en-GB"/>
        </w:rPr>
        <w:t xml:space="preserve"> (health care, education and subsistence agriculture)</w:t>
      </w:r>
      <w:r w:rsidRPr="00394BB8">
        <w:rPr>
          <w:bCs/>
          <w:lang w:val="en-GB"/>
        </w:rPr>
        <w:t xml:space="preserve">. </w:t>
      </w:r>
      <w:r w:rsidR="00EF1EC3" w:rsidRPr="00394BB8">
        <w:rPr>
          <w:bCs/>
          <w:lang w:val="en-GB"/>
        </w:rPr>
        <w:t xml:space="preserve">While Georgia </w:t>
      </w:r>
      <w:r w:rsidR="00D96C82" w:rsidRPr="00394BB8">
        <w:rPr>
          <w:lang w:val="en-GB"/>
        </w:rPr>
        <w:t>maintains</w:t>
      </w:r>
      <w:r w:rsidR="00EF1EC3" w:rsidRPr="00394BB8">
        <w:rPr>
          <w:lang w:val="en-GB"/>
        </w:rPr>
        <w:t xml:space="preserve"> high prim</w:t>
      </w:r>
      <w:r w:rsidR="00067C04" w:rsidRPr="00394BB8">
        <w:rPr>
          <w:lang w:val="en-GB"/>
        </w:rPr>
        <w:t>ary school enrolment (96-100</w:t>
      </w:r>
      <w:r w:rsidR="00D37D7E" w:rsidRPr="00394BB8">
        <w:rPr>
          <w:lang w:val="en-GB"/>
        </w:rPr>
        <w:t xml:space="preserve"> per cent</w:t>
      </w:r>
      <w:r w:rsidR="00067C04" w:rsidRPr="00394BB8">
        <w:rPr>
          <w:lang w:val="en-GB"/>
        </w:rPr>
        <w:t xml:space="preserve">) </w:t>
      </w:r>
      <w:r w:rsidR="00EF1EC3" w:rsidRPr="00394BB8">
        <w:rPr>
          <w:lang w:val="en-GB"/>
        </w:rPr>
        <w:t xml:space="preserve">and </w:t>
      </w:r>
      <w:r w:rsidR="006C30CE" w:rsidRPr="00394BB8">
        <w:rPr>
          <w:lang w:val="en-GB"/>
        </w:rPr>
        <w:t xml:space="preserve">a </w:t>
      </w:r>
      <w:r w:rsidR="00EF1EC3" w:rsidRPr="00394BB8">
        <w:rPr>
          <w:lang w:val="en-GB"/>
        </w:rPr>
        <w:t>ge</w:t>
      </w:r>
      <w:r w:rsidR="006C30CE" w:rsidRPr="00394BB8">
        <w:rPr>
          <w:lang w:val="en-GB"/>
        </w:rPr>
        <w:t>nder parity index of 1.03 (</w:t>
      </w:r>
      <w:r w:rsidR="009A49AE" w:rsidRPr="00394BB8">
        <w:rPr>
          <w:lang w:val="en-GB"/>
        </w:rPr>
        <w:t xml:space="preserve">in </w:t>
      </w:r>
      <w:r w:rsidR="00EF1EC3" w:rsidRPr="00394BB8">
        <w:rPr>
          <w:lang w:val="en-GB"/>
        </w:rPr>
        <w:t>2011</w:t>
      </w:r>
      <w:r w:rsidR="006C30CE" w:rsidRPr="00394BB8">
        <w:rPr>
          <w:lang w:val="en-GB"/>
        </w:rPr>
        <w:t>)</w:t>
      </w:r>
      <w:r w:rsidR="00EF1EC3" w:rsidRPr="00394BB8">
        <w:rPr>
          <w:lang w:val="en-GB"/>
        </w:rPr>
        <w:t>, universal access to education has not translated into</w:t>
      </w:r>
      <w:r w:rsidR="00F10F81" w:rsidRPr="00394BB8">
        <w:rPr>
          <w:lang w:val="en-GB"/>
        </w:rPr>
        <w:t xml:space="preserve"> increased employment.  F</w:t>
      </w:r>
      <w:r w:rsidR="00B801F6" w:rsidRPr="00394BB8">
        <w:rPr>
          <w:lang w:val="en-GB"/>
        </w:rPr>
        <w:t xml:space="preserve">actors </w:t>
      </w:r>
      <w:r w:rsidR="00001017" w:rsidRPr="00394BB8">
        <w:rPr>
          <w:lang w:val="en-GB"/>
        </w:rPr>
        <w:t>hindering</w:t>
      </w:r>
      <w:r w:rsidR="00B801F6" w:rsidRPr="00394BB8">
        <w:rPr>
          <w:lang w:val="en-GB"/>
        </w:rPr>
        <w:t xml:space="preserve"> women’s economic participation include domestic work</w:t>
      </w:r>
      <w:r w:rsidR="00B801F6" w:rsidRPr="00394BB8">
        <w:rPr>
          <w:iCs/>
          <w:lang w:val="en-GB"/>
        </w:rPr>
        <w:t xml:space="preserve">, </w:t>
      </w:r>
      <w:r w:rsidR="00D10D55" w:rsidRPr="00394BB8">
        <w:rPr>
          <w:iCs/>
          <w:lang w:val="en-GB"/>
        </w:rPr>
        <w:t>lack</w:t>
      </w:r>
      <w:r w:rsidR="00B801F6" w:rsidRPr="00394BB8">
        <w:rPr>
          <w:iCs/>
          <w:lang w:val="en-GB"/>
        </w:rPr>
        <w:t xml:space="preserve"> of affordable child</w:t>
      </w:r>
      <w:r w:rsidR="009A49AE" w:rsidRPr="00394BB8">
        <w:rPr>
          <w:iCs/>
          <w:lang w:val="en-GB"/>
        </w:rPr>
        <w:t xml:space="preserve"> </w:t>
      </w:r>
      <w:r w:rsidR="00B801F6" w:rsidRPr="00394BB8">
        <w:rPr>
          <w:iCs/>
          <w:lang w:val="en-GB"/>
        </w:rPr>
        <w:t>care</w:t>
      </w:r>
      <w:r w:rsidR="009A49AE" w:rsidRPr="00394BB8">
        <w:rPr>
          <w:iCs/>
          <w:lang w:val="en-GB"/>
        </w:rPr>
        <w:t>,</w:t>
      </w:r>
      <w:r w:rsidR="00D10D55" w:rsidRPr="00394BB8">
        <w:rPr>
          <w:iCs/>
          <w:lang w:val="en-GB"/>
        </w:rPr>
        <w:t xml:space="preserve"> </w:t>
      </w:r>
      <w:r w:rsidR="00D96C82" w:rsidRPr="00394BB8">
        <w:rPr>
          <w:iCs/>
          <w:lang w:val="en-GB"/>
        </w:rPr>
        <w:t>and</w:t>
      </w:r>
      <w:r w:rsidR="00B801F6" w:rsidRPr="00394BB8">
        <w:rPr>
          <w:iCs/>
          <w:lang w:val="en-GB"/>
        </w:rPr>
        <w:t xml:space="preserve"> unequal</w:t>
      </w:r>
      <w:r w:rsidR="009E448B" w:rsidRPr="00394BB8">
        <w:rPr>
          <w:iCs/>
          <w:lang w:val="en-GB"/>
        </w:rPr>
        <w:t xml:space="preserve"> access to resources</w:t>
      </w:r>
      <w:r w:rsidR="00B801F6" w:rsidRPr="00394BB8">
        <w:rPr>
          <w:iCs/>
          <w:lang w:val="en-GB"/>
        </w:rPr>
        <w:t xml:space="preserve">. </w:t>
      </w:r>
    </w:p>
    <w:p w14:paraId="09AB2220" w14:textId="77BEBA0E" w:rsidR="00F12888" w:rsidRPr="00394BB8" w:rsidRDefault="00BD4482" w:rsidP="0013058C">
      <w:pPr>
        <w:pStyle w:val="ListParagraph"/>
        <w:numPr>
          <w:ilvl w:val="2"/>
          <w:numId w:val="6"/>
        </w:numPr>
        <w:tabs>
          <w:tab w:val="left" w:pos="720"/>
          <w:tab w:val="num" w:pos="990"/>
          <w:tab w:val="left" w:pos="2070"/>
          <w:tab w:val="left" w:pos="3360"/>
          <w:tab w:val="left" w:pos="3450"/>
          <w:tab w:val="left" w:pos="5220"/>
        </w:tabs>
        <w:autoSpaceDE w:val="0"/>
        <w:autoSpaceDN w:val="0"/>
        <w:adjustRightInd w:val="0"/>
        <w:spacing w:after="120"/>
        <w:ind w:left="720" w:firstLine="0"/>
        <w:jc w:val="both"/>
        <w:rPr>
          <w:lang w:val="en-GB"/>
        </w:rPr>
      </w:pPr>
      <w:r w:rsidRPr="00394BB8">
        <w:rPr>
          <w:lang w:val="en-GB"/>
        </w:rPr>
        <w:t xml:space="preserve">Despite improving from 0.48 in 2011 to 0.41 in 2013, </w:t>
      </w:r>
      <w:r w:rsidR="003513EB" w:rsidRPr="00394BB8">
        <w:rPr>
          <w:lang w:val="en-GB"/>
        </w:rPr>
        <w:t xml:space="preserve">the </w:t>
      </w:r>
      <w:r w:rsidRPr="00394BB8">
        <w:rPr>
          <w:lang w:val="en-GB"/>
        </w:rPr>
        <w:t>G</w:t>
      </w:r>
      <w:r w:rsidR="000F1E61">
        <w:rPr>
          <w:lang w:val="en-GB"/>
        </w:rPr>
        <w:t>ini</w:t>
      </w:r>
      <w:r w:rsidRPr="00394BB8">
        <w:rPr>
          <w:lang w:val="en-GB"/>
        </w:rPr>
        <w:t xml:space="preserve"> coefficient </w:t>
      </w:r>
      <w:r w:rsidR="003513EB" w:rsidRPr="00394BB8">
        <w:rPr>
          <w:lang w:val="en-GB"/>
        </w:rPr>
        <w:t xml:space="preserve">of Georgia </w:t>
      </w:r>
      <w:r w:rsidRPr="00394BB8">
        <w:rPr>
          <w:lang w:val="en-GB"/>
        </w:rPr>
        <w:t>is still one of the highest in the region.</w:t>
      </w:r>
      <w:r w:rsidR="00724AC7" w:rsidRPr="00394BB8">
        <w:rPr>
          <w:lang w:val="en-GB"/>
        </w:rPr>
        <w:t xml:space="preserve"> </w:t>
      </w:r>
      <w:r w:rsidR="001134D0" w:rsidRPr="00394BB8">
        <w:rPr>
          <w:lang w:val="en-GB"/>
        </w:rPr>
        <w:t>I</w:t>
      </w:r>
      <w:r w:rsidR="001828D7" w:rsidRPr="00394BB8">
        <w:rPr>
          <w:lang w:val="en-GB"/>
        </w:rPr>
        <w:t xml:space="preserve">ncome and regional </w:t>
      </w:r>
      <w:r w:rsidR="00BB1BC0" w:rsidRPr="00394BB8">
        <w:rPr>
          <w:lang w:val="en-GB"/>
        </w:rPr>
        <w:t xml:space="preserve">inequalities </w:t>
      </w:r>
      <w:r w:rsidR="00960E82" w:rsidRPr="00394BB8">
        <w:rPr>
          <w:lang w:val="en-GB"/>
        </w:rPr>
        <w:t>leave</w:t>
      </w:r>
      <w:r w:rsidR="0052435E" w:rsidRPr="00394BB8">
        <w:rPr>
          <w:lang w:val="en-GB"/>
        </w:rPr>
        <w:t xml:space="preserve"> </w:t>
      </w:r>
      <w:r w:rsidR="00BB1BC0" w:rsidRPr="00394BB8">
        <w:rPr>
          <w:lang w:val="en-GB"/>
        </w:rPr>
        <w:t xml:space="preserve">rural households, </w:t>
      </w:r>
      <w:r w:rsidR="003513EB" w:rsidRPr="00394BB8">
        <w:rPr>
          <w:lang w:val="en-GB"/>
        </w:rPr>
        <w:t>i</w:t>
      </w:r>
      <w:r w:rsidR="00E26EF9" w:rsidRPr="00394BB8">
        <w:rPr>
          <w:lang w:val="en-GB"/>
        </w:rPr>
        <w:t xml:space="preserve">nternally </w:t>
      </w:r>
      <w:r w:rsidR="003513EB" w:rsidRPr="00394BB8">
        <w:rPr>
          <w:lang w:val="en-GB"/>
        </w:rPr>
        <w:t>d</w:t>
      </w:r>
      <w:r w:rsidR="00E26EF9" w:rsidRPr="00394BB8">
        <w:rPr>
          <w:lang w:val="en-GB"/>
        </w:rPr>
        <w:t xml:space="preserve">isplaced </w:t>
      </w:r>
      <w:r w:rsidR="003513EB" w:rsidRPr="00394BB8">
        <w:rPr>
          <w:lang w:val="en-GB"/>
        </w:rPr>
        <w:t>p</w:t>
      </w:r>
      <w:r w:rsidR="00E26EF9" w:rsidRPr="00394BB8">
        <w:rPr>
          <w:lang w:val="en-GB"/>
        </w:rPr>
        <w:t>ersons</w:t>
      </w:r>
      <w:r w:rsidR="006E1BE0" w:rsidRPr="00394BB8">
        <w:rPr>
          <w:lang w:val="en-GB"/>
        </w:rPr>
        <w:t xml:space="preserve">, </w:t>
      </w:r>
      <w:r w:rsidR="003513EB" w:rsidRPr="00394BB8">
        <w:rPr>
          <w:lang w:val="en-GB"/>
        </w:rPr>
        <w:t>people with disabilities</w:t>
      </w:r>
      <w:r w:rsidR="00BB1BC0" w:rsidRPr="00394BB8">
        <w:rPr>
          <w:lang w:val="en-GB"/>
        </w:rPr>
        <w:t>, women and youth</w:t>
      </w:r>
      <w:r w:rsidR="003513EB" w:rsidRPr="00394BB8">
        <w:rPr>
          <w:lang w:val="en-GB"/>
        </w:rPr>
        <w:t>,</w:t>
      </w:r>
      <w:r w:rsidR="00BB1BC0" w:rsidRPr="00394BB8">
        <w:rPr>
          <w:lang w:val="en-GB"/>
        </w:rPr>
        <w:t xml:space="preserve"> vulnerable.</w:t>
      </w:r>
      <w:r w:rsidR="007038EB" w:rsidRPr="00394BB8">
        <w:rPr>
          <w:lang w:val="en-GB"/>
        </w:rPr>
        <w:t xml:space="preserve"> </w:t>
      </w:r>
      <w:r w:rsidR="00710C1D" w:rsidRPr="00394BB8">
        <w:rPr>
          <w:lang w:val="en-GB"/>
        </w:rPr>
        <w:t>While 5</w:t>
      </w:r>
      <w:r w:rsidR="00B66AE6" w:rsidRPr="00394BB8">
        <w:rPr>
          <w:lang w:val="en-GB"/>
        </w:rPr>
        <w:t>3</w:t>
      </w:r>
      <w:r w:rsidR="00D37D7E" w:rsidRPr="00394BB8">
        <w:rPr>
          <w:lang w:val="en-GB"/>
        </w:rPr>
        <w:t xml:space="preserve"> per cent</w:t>
      </w:r>
      <w:r w:rsidR="001828D7" w:rsidRPr="00394BB8">
        <w:rPr>
          <w:lang w:val="en-GB"/>
        </w:rPr>
        <w:t xml:space="preserve"> of </w:t>
      </w:r>
      <w:r w:rsidR="0052435E" w:rsidRPr="00394BB8">
        <w:rPr>
          <w:lang w:val="en-GB"/>
        </w:rPr>
        <w:t xml:space="preserve">the workforce is employed </w:t>
      </w:r>
      <w:r w:rsidR="001828D7" w:rsidRPr="00394BB8">
        <w:rPr>
          <w:lang w:val="en-GB"/>
        </w:rPr>
        <w:t>in rural areas</w:t>
      </w:r>
      <w:r w:rsidR="00710C1D" w:rsidRPr="00394BB8">
        <w:rPr>
          <w:lang w:val="en-GB"/>
        </w:rPr>
        <w:t xml:space="preserve">, agriculture generates </w:t>
      </w:r>
      <w:r w:rsidR="00B66AE6" w:rsidRPr="00394BB8">
        <w:rPr>
          <w:lang w:val="en-GB"/>
        </w:rPr>
        <w:t>only 9</w:t>
      </w:r>
      <w:r w:rsidR="00D37D7E" w:rsidRPr="00394BB8">
        <w:rPr>
          <w:lang w:val="en-GB"/>
        </w:rPr>
        <w:t xml:space="preserve"> per cent</w:t>
      </w:r>
      <w:r w:rsidR="00710C1D" w:rsidRPr="00394BB8">
        <w:rPr>
          <w:lang w:val="en-GB"/>
        </w:rPr>
        <w:t xml:space="preserve"> of </w:t>
      </w:r>
      <w:r w:rsidR="0013058C" w:rsidRPr="00394BB8">
        <w:rPr>
          <w:lang w:val="en-GB"/>
        </w:rPr>
        <w:t>gross domestic product</w:t>
      </w:r>
      <w:r w:rsidR="006232C6" w:rsidRPr="00394BB8">
        <w:rPr>
          <w:lang w:val="en-GB"/>
        </w:rPr>
        <w:t xml:space="preserve">. </w:t>
      </w:r>
      <w:r w:rsidR="0013058C" w:rsidRPr="00394BB8">
        <w:rPr>
          <w:lang w:val="en-GB"/>
        </w:rPr>
        <w:t>The u</w:t>
      </w:r>
      <w:r w:rsidR="00BB1BC0" w:rsidRPr="00394BB8">
        <w:rPr>
          <w:lang w:val="en-GB"/>
        </w:rPr>
        <w:t>nderlying causes of limited employment opportunities</w:t>
      </w:r>
      <w:r w:rsidR="001828D7" w:rsidRPr="00394BB8">
        <w:rPr>
          <w:lang w:val="en-GB"/>
        </w:rPr>
        <w:t xml:space="preserve"> </w:t>
      </w:r>
      <w:r w:rsidR="00BB1BC0" w:rsidRPr="00394BB8">
        <w:rPr>
          <w:lang w:val="en-GB"/>
        </w:rPr>
        <w:t>are multidimensional</w:t>
      </w:r>
      <w:r w:rsidR="006E1BE0" w:rsidRPr="00394BB8">
        <w:rPr>
          <w:lang w:val="en-GB"/>
        </w:rPr>
        <w:t>, ranging</w:t>
      </w:r>
      <w:r w:rsidR="001828D7" w:rsidRPr="00394BB8">
        <w:rPr>
          <w:lang w:val="en-GB"/>
        </w:rPr>
        <w:t xml:space="preserve"> from </w:t>
      </w:r>
      <w:r w:rsidR="006E1BE0" w:rsidRPr="00394BB8">
        <w:rPr>
          <w:lang w:val="en-GB"/>
        </w:rPr>
        <w:t>a labour</w:t>
      </w:r>
      <w:r w:rsidR="0013058C" w:rsidRPr="00394BB8">
        <w:rPr>
          <w:lang w:val="en-GB"/>
        </w:rPr>
        <w:t>-</w:t>
      </w:r>
      <w:r w:rsidR="006E1BE0" w:rsidRPr="00394BB8">
        <w:rPr>
          <w:lang w:val="en-GB"/>
        </w:rPr>
        <w:t xml:space="preserve">market </w:t>
      </w:r>
      <w:r w:rsidR="001828D7" w:rsidRPr="00394BB8">
        <w:rPr>
          <w:lang w:val="en-GB"/>
        </w:rPr>
        <w:t>s</w:t>
      </w:r>
      <w:r w:rsidR="00BB1BC0" w:rsidRPr="00394BB8">
        <w:rPr>
          <w:lang w:val="en-GB"/>
        </w:rPr>
        <w:t>kills mismatch</w:t>
      </w:r>
      <w:r w:rsidR="000F1E61">
        <w:rPr>
          <w:lang w:val="en-GB"/>
        </w:rPr>
        <w:t>,</w:t>
      </w:r>
      <w:r w:rsidR="00BB1BC0" w:rsidRPr="00394BB8">
        <w:rPr>
          <w:lang w:val="en-GB"/>
        </w:rPr>
        <w:t xml:space="preserve"> </w:t>
      </w:r>
      <w:r w:rsidR="001828D7" w:rsidRPr="00394BB8">
        <w:rPr>
          <w:lang w:val="en-GB"/>
        </w:rPr>
        <w:t xml:space="preserve">inadequate </w:t>
      </w:r>
      <w:r w:rsidR="00BB1BC0" w:rsidRPr="00394BB8">
        <w:rPr>
          <w:lang w:val="en-GB"/>
        </w:rPr>
        <w:t xml:space="preserve">policies, </w:t>
      </w:r>
      <w:r w:rsidR="0052435E" w:rsidRPr="00394BB8">
        <w:rPr>
          <w:lang w:val="en-GB"/>
        </w:rPr>
        <w:t xml:space="preserve">and </w:t>
      </w:r>
      <w:r w:rsidR="00BB1BC0" w:rsidRPr="00394BB8">
        <w:rPr>
          <w:lang w:val="en-GB"/>
        </w:rPr>
        <w:t xml:space="preserve">gaps in </w:t>
      </w:r>
      <w:r w:rsidR="00A64B78" w:rsidRPr="00394BB8">
        <w:rPr>
          <w:lang w:val="en-GB"/>
        </w:rPr>
        <w:t xml:space="preserve">the quality of </w:t>
      </w:r>
      <w:r w:rsidR="00BB1BC0" w:rsidRPr="00394BB8">
        <w:rPr>
          <w:lang w:val="en-GB"/>
        </w:rPr>
        <w:t>secondary and vocational education</w:t>
      </w:r>
      <w:r w:rsidR="00A64B78" w:rsidRPr="00394BB8">
        <w:rPr>
          <w:lang w:val="en-GB"/>
        </w:rPr>
        <w:t>,</w:t>
      </w:r>
      <w:r w:rsidR="00BB1BC0" w:rsidRPr="00394BB8">
        <w:rPr>
          <w:lang w:val="en-GB"/>
        </w:rPr>
        <w:t xml:space="preserve"> to limited competitiveness and </w:t>
      </w:r>
      <w:r w:rsidR="00E16FAB" w:rsidRPr="00394BB8">
        <w:rPr>
          <w:lang w:val="en-GB"/>
        </w:rPr>
        <w:t>productive</w:t>
      </w:r>
      <w:r w:rsidR="00BB1BC0" w:rsidRPr="00394BB8">
        <w:rPr>
          <w:lang w:val="en-GB"/>
        </w:rPr>
        <w:t xml:space="preserve"> capacities of small and medium</w:t>
      </w:r>
      <w:r w:rsidR="000F1E61">
        <w:rPr>
          <w:lang w:val="en-GB"/>
        </w:rPr>
        <w:t>-sized</w:t>
      </w:r>
      <w:r w:rsidR="00BB1BC0" w:rsidRPr="00394BB8">
        <w:rPr>
          <w:lang w:val="en-GB"/>
        </w:rPr>
        <w:t xml:space="preserve"> enterprises.</w:t>
      </w:r>
      <w:r w:rsidR="00692D35" w:rsidRPr="00394BB8">
        <w:rPr>
          <w:lang w:val="en-GB"/>
        </w:rPr>
        <w:t xml:space="preserve"> </w:t>
      </w:r>
      <w:r w:rsidR="00D96C82" w:rsidRPr="00394BB8">
        <w:rPr>
          <w:lang w:val="en-GB"/>
        </w:rPr>
        <w:t>F</w:t>
      </w:r>
      <w:r w:rsidR="003F087E" w:rsidRPr="00394BB8">
        <w:rPr>
          <w:lang w:val="en-GB"/>
        </w:rPr>
        <w:t>armers face competition from lower</w:t>
      </w:r>
      <w:r w:rsidR="000F1E61">
        <w:rPr>
          <w:lang w:val="en-GB"/>
        </w:rPr>
        <w:t>-</w:t>
      </w:r>
      <w:r w:rsidR="003F087E" w:rsidRPr="00394BB8">
        <w:rPr>
          <w:lang w:val="en-GB"/>
        </w:rPr>
        <w:t>cost produce</w:t>
      </w:r>
      <w:r w:rsidR="00F01100" w:rsidRPr="00394BB8">
        <w:rPr>
          <w:lang w:val="en-GB"/>
        </w:rPr>
        <w:t xml:space="preserve">rs in the region, while </w:t>
      </w:r>
      <w:r w:rsidR="00C7095B" w:rsidRPr="00394BB8">
        <w:rPr>
          <w:lang w:val="en-GB"/>
        </w:rPr>
        <w:t xml:space="preserve">trade </w:t>
      </w:r>
      <w:r w:rsidR="00F01100" w:rsidRPr="00394BB8">
        <w:rPr>
          <w:lang w:val="en-GB"/>
        </w:rPr>
        <w:t>a</w:t>
      </w:r>
      <w:r w:rsidR="00414BDC" w:rsidRPr="00394BB8">
        <w:rPr>
          <w:lang w:val="en-GB"/>
        </w:rPr>
        <w:t>ccess to the E</w:t>
      </w:r>
      <w:r w:rsidR="0013058C" w:rsidRPr="00394BB8">
        <w:rPr>
          <w:lang w:val="en-GB"/>
        </w:rPr>
        <w:t>uropean Union</w:t>
      </w:r>
      <w:r w:rsidR="00414BDC" w:rsidRPr="00394BB8">
        <w:rPr>
          <w:lang w:val="en-GB"/>
        </w:rPr>
        <w:t xml:space="preserve"> market</w:t>
      </w:r>
      <w:r w:rsidR="0013058C" w:rsidRPr="00394BB8">
        <w:rPr>
          <w:lang w:val="en-GB"/>
        </w:rPr>
        <w:t>,</w:t>
      </w:r>
      <w:r w:rsidR="00414BDC" w:rsidRPr="00394BB8">
        <w:rPr>
          <w:lang w:val="en-GB"/>
        </w:rPr>
        <w:t xml:space="preserve"> </w:t>
      </w:r>
      <w:r w:rsidR="004E3CF4" w:rsidRPr="00394BB8">
        <w:rPr>
          <w:lang w:val="en-GB"/>
        </w:rPr>
        <w:t>made possible</w:t>
      </w:r>
      <w:r w:rsidR="00D96C82" w:rsidRPr="00394BB8">
        <w:rPr>
          <w:lang w:val="en-GB"/>
        </w:rPr>
        <w:t xml:space="preserve"> by </w:t>
      </w:r>
      <w:r w:rsidR="00681E4C" w:rsidRPr="00394BB8">
        <w:rPr>
          <w:lang w:val="en-GB"/>
        </w:rPr>
        <w:t xml:space="preserve">the </w:t>
      </w:r>
      <w:r w:rsidR="00F47F9D" w:rsidRPr="00394BB8">
        <w:rPr>
          <w:lang w:val="en-GB"/>
        </w:rPr>
        <w:t>comprehensive free trade area</w:t>
      </w:r>
      <w:r w:rsidR="00F47F9D" w:rsidRPr="00394BB8" w:rsidDel="0013058C">
        <w:rPr>
          <w:lang w:val="en-GB"/>
        </w:rPr>
        <w:t xml:space="preserve"> </w:t>
      </w:r>
      <w:r w:rsidR="0013058C" w:rsidRPr="00394BB8">
        <w:rPr>
          <w:lang w:val="en-GB"/>
        </w:rPr>
        <w:t>of the association agreement</w:t>
      </w:r>
      <w:r w:rsidR="00F47F9D" w:rsidRPr="00394BB8">
        <w:rPr>
          <w:lang w:val="en-GB"/>
        </w:rPr>
        <w:t>,</w:t>
      </w:r>
      <w:r w:rsidR="00414BDC" w:rsidRPr="00394BB8">
        <w:rPr>
          <w:lang w:val="en-GB"/>
        </w:rPr>
        <w:t xml:space="preserve"> will</w:t>
      </w:r>
      <w:r w:rsidR="004E3CF4" w:rsidRPr="00394BB8">
        <w:rPr>
          <w:lang w:val="en-GB"/>
        </w:rPr>
        <w:t xml:space="preserve"> only materialize at scale following improvements in quality and efficiency.</w:t>
      </w:r>
      <w:r w:rsidR="00414BDC" w:rsidRPr="00394BB8">
        <w:rPr>
          <w:lang w:val="en-GB"/>
        </w:rPr>
        <w:t xml:space="preserve"> </w:t>
      </w:r>
      <w:r w:rsidR="00C738AD" w:rsidRPr="00394BB8">
        <w:rPr>
          <w:lang w:val="en-GB"/>
        </w:rPr>
        <w:t xml:space="preserve">The Government has </w:t>
      </w:r>
      <w:r w:rsidR="002C57A1" w:rsidRPr="00394BB8">
        <w:rPr>
          <w:lang w:val="en-GB"/>
        </w:rPr>
        <w:t>prioritized</w:t>
      </w:r>
      <w:r w:rsidR="00C738AD" w:rsidRPr="00394BB8">
        <w:rPr>
          <w:lang w:val="en-GB"/>
        </w:rPr>
        <w:t xml:space="preserve"> targeted </w:t>
      </w:r>
      <w:r w:rsidR="004F79A8" w:rsidRPr="00394BB8">
        <w:rPr>
          <w:lang w:val="en-GB"/>
        </w:rPr>
        <w:t xml:space="preserve">social </w:t>
      </w:r>
      <w:r w:rsidR="00681E4C" w:rsidRPr="00394BB8">
        <w:rPr>
          <w:lang w:val="en-GB"/>
        </w:rPr>
        <w:t>assistance</w:t>
      </w:r>
      <w:r w:rsidR="004F79A8" w:rsidRPr="00394BB8">
        <w:rPr>
          <w:lang w:val="en-GB"/>
        </w:rPr>
        <w:t xml:space="preserve">, </w:t>
      </w:r>
      <w:r w:rsidR="00C738AD" w:rsidRPr="00394BB8">
        <w:rPr>
          <w:lang w:val="en-GB"/>
        </w:rPr>
        <w:t xml:space="preserve">investing in agriculture and </w:t>
      </w:r>
      <w:r w:rsidR="004F79A8" w:rsidRPr="00394BB8">
        <w:rPr>
          <w:lang w:val="en-GB"/>
        </w:rPr>
        <w:t xml:space="preserve">supporting </w:t>
      </w:r>
      <w:r w:rsidR="0013058C" w:rsidRPr="00394BB8">
        <w:rPr>
          <w:lang w:val="en-GB"/>
        </w:rPr>
        <w:t>small and medium-sized enterpr</w:t>
      </w:r>
      <w:r w:rsidR="00F47F9D" w:rsidRPr="00394BB8">
        <w:rPr>
          <w:lang w:val="en-GB"/>
        </w:rPr>
        <w:t>i</w:t>
      </w:r>
      <w:r w:rsidR="0013058C" w:rsidRPr="00394BB8">
        <w:rPr>
          <w:lang w:val="en-GB"/>
        </w:rPr>
        <w:t xml:space="preserve">ses </w:t>
      </w:r>
      <w:r w:rsidR="00C738AD" w:rsidRPr="00394BB8">
        <w:rPr>
          <w:lang w:val="en-GB"/>
        </w:rPr>
        <w:t xml:space="preserve">to reduce </w:t>
      </w:r>
      <w:r w:rsidR="00397641" w:rsidRPr="00394BB8">
        <w:rPr>
          <w:lang w:val="en-GB"/>
        </w:rPr>
        <w:t xml:space="preserve">poverty and </w:t>
      </w:r>
      <w:r w:rsidR="00C738AD" w:rsidRPr="00394BB8">
        <w:rPr>
          <w:lang w:val="en-GB"/>
        </w:rPr>
        <w:t xml:space="preserve">regional </w:t>
      </w:r>
      <w:r w:rsidR="00397641" w:rsidRPr="00394BB8">
        <w:rPr>
          <w:lang w:val="en-GB"/>
        </w:rPr>
        <w:t>disparity</w:t>
      </w:r>
      <w:r w:rsidR="001F516C" w:rsidRPr="00394BB8">
        <w:rPr>
          <w:lang w:val="en-GB"/>
        </w:rPr>
        <w:t>.</w:t>
      </w:r>
      <w:r w:rsidR="00F12888" w:rsidRPr="00394BB8">
        <w:rPr>
          <w:lang w:val="en-GB"/>
        </w:rPr>
        <w:t xml:space="preserve"> </w:t>
      </w:r>
    </w:p>
    <w:p w14:paraId="159C9031" w14:textId="3E9AEF5B" w:rsidR="00F12888" w:rsidRPr="00394BB8" w:rsidRDefault="00B03171" w:rsidP="0013058C">
      <w:pPr>
        <w:pStyle w:val="ListParagraph"/>
        <w:numPr>
          <w:ilvl w:val="2"/>
          <w:numId w:val="6"/>
        </w:numPr>
        <w:tabs>
          <w:tab w:val="left" w:pos="720"/>
          <w:tab w:val="num" w:pos="990"/>
          <w:tab w:val="left" w:pos="2070"/>
          <w:tab w:val="left" w:pos="3360"/>
          <w:tab w:val="left" w:pos="3450"/>
          <w:tab w:val="left" w:pos="5220"/>
        </w:tabs>
        <w:autoSpaceDE w:val="0"/>
        <w:autoSpaceDN w:val="0"/>
        <w:adjustRightInd w:val="0"/>
        <w:spacing w:after="120"/>
        <w:ind w:left="720" w:firstLine="0"/>
        <w:jc w:val="both"/>
        <w:rPr>
          <w:lang w:val="en-GB"/>
        </w:rPr>
      </w:pPr>
      <w:r w:rsidRPr="00394BB8">
        <w:rPr>
          <w:b/>
          <w:i/>
          <w:lang w:val="en-GB"/>
        </w:rPr>
        <w:t>Conflict-</w:t>
      </w:r>
      <w:r w:rsidR="000D2EE4" w:rsidRPr="00394BB8">
        <w:rPr>
          <w:b/>
          <w:i/>
          <w:lang w:val="en-GB"/>
        </w:rPr>
        <w:t>affected communit</w:t>
      </w:r>
      <w:r w:rsidR="00001AE0" w:rsidRPr="00394BB8">
        <w:rPr>
          <w:b/>
          <w:i/>
          <w:lang w:val="en-GB"/>
        </w:rPr>
        <w:t>ies</w:t>
      </w:r>
      <w:r w:rsidR="000D2EE4" w:rsidRPr="00394BB8">
        <w:rPr>
          <w:b/>
          <w:i/>
          <w:lang w:val="en-GB"/>
        </w:rPr>
        <w:t>.</w:t>
      </w:r>
      <w:r w:rsidR="001204BF" w:rsidRPr="00394BB8">
        <w:rPr>
          <w:b/>
          <w:lang w:val="en-GB"/>
        </w:rPr>
        <w:t xml:space="preserve"> </w:t>
      </w:r>
      <w:r w:rsidR="003D7A7F" w:rsidRPr="00394BB8">
        <w:rPr>
          <w:lang w:val="en-GB"/>
        </w:rPr>
        <w:t>D</w:t>
      </w:r>
      <w:r w:rsidR="00E16FAB" w:rsidRPr="00394BB8">
        <w:rPr>
          <w:lang w:val="en-GB"/>
        </w:rPr>
        <w:t xml:space="preserve">ata </w:t>
      </w:r>
      <w:r w:rsidR="001204BF" w:rsidRPr="00394BB8">
        <w:rPr>
          <w:lang w:val="en-GB"/>
        </w:rPr>
        <w:t xml:space="preserve">on communities affected by </w:t>
      </w:r>
      <w:r w:rsidR="00C378F8" w:rsidRPr="00394BB8">
        <w:rPr>
          <w:lang w:val="en-GB"/>
        </w:rPr>
        <w:t xml:space="preserve">the </w:t>
      </w:r>
      <w:r w:rsidR="001C79FD" w:rsidRPr="00394BB8">
        <w:rPr>
          <w:lang w:val="en-GB"/>
        </w:rPr>
        <w:t xml:space="preserve">conflicts </w:t>
      </w:r>
      <w:r w:rsidR="000F1E61">
        <w:rPr>
          <w:lang w:val="en-GB"/>
        </w:rPr>
        <w:t>of</w:t>
      </w:r>
      <w:r w:rsidR="000F1E61" w:rsidRPr="00394BB8">
        <w:rPr>
          <w:lang w:val="en-GB"/>
        </w:rPr>
        <w:t xml:space="preserve"> </w:t>
      </w:r>
      <w:r w:rsidR="001C79FD" w:rsidRPr="00394BB8">
        <w:rPr>
          <w:lang w:val="en-GB"/>
        </w:rPr>
        <w:t xml:space="preserve">the </w:t>
      </w:r>
      <w:r w:rsidR="001204BF" w:rsidRPr="00394BB8">
        <w:rPr>
          <w:lang w:val="en-GB"/>
        </w:rPr>
        <w:t>early</w:t>
      </w:r>
      <w:r w:rsidR="00FD3BEC" w:rsidRPr="00394BB8">
        <w:rPr>
          <w:lang w:val="en-GB"/>
        </w:rPr>
        <w:t xml:space="preserve"> </w:t>
      </w:r>
      <w:r w:rsidR="001204BF" w:rsidRPr="00394BB8">
        <w:rPr>
          <w:lang w:val="en-GB"/>
        </w:rPr>
        <w:t xml:space="preserve">1990s and </w:t>
      </w:r>
      <w:r w:rsidR="00CB4DD1" w:rsidRPr="00394BB8">
        <w:rPr>
          <w:lang w:val="en-GB"/>
        </w:rPr>
        <w:t xml:space="preserve">in </w:t>
      </w:r>
      <w:r w:rsidR="001204BF" w:rsidRPr="00394BB8">
        <w:rPr>
          <w:lang w:val="en-GB"/>
        </w:rPr>
        <w:t xml:space="preserve">2008 remain </w:t>
      </w:r>
      <w:r w:rsidR="00E16FAB" w:rsidRPr="00394BB8">
        <w:rPr>
          <w:lang w:val="en-GB"/>
        </w:rPr>
        <w:t>limited</w:t>
      </w:r>
      <w:r w:rsidR="003D7A7F" w:rsidRPr="00394BB8">
        <w:rPr>
          <w:lang w:val="en-GB"/>
        </w:rPr>
        <w:t xml:space="preserve">, </w:t>
      </w:r>
      <w:r w:rsidR="001204BF" w:rsidRPr="00394BB8">
        <w:rPr>
          <w:lang w:val="en-GB"/>
        </w:rPr>
        <w:t xml:space="preserve">a challenge to </w:t>
      </w:r>
      <w:r w:rsidR="00CB4DD1" w:rsidRPr="00394BB8">
        <w:rPr>
          <w:lang w:val="en-GB"/>
        </w:rPr>
        <w:t xml:space="preserve">the </w:t>
      </w:r>
      <w:r w:rsidR="001C79FD" w:rsidRPr="00394BB8">
        <w:rPr>
          <w:lang w:val="en-GB"/>
        </w:rPr>
        <w:t>empirical elaboration of</w:t>
      </w:r>
      <w:r w:rsidR="001204BF" w:rsidRPr="00394BB8">
        <w:rPr>
          <w:lang w:val="en-GB"/>
        </w:rPr>
        <w:t xml:space="preserve"> vulnerability. </w:t>
      </w:r>
      <w:r w:rsidR="003547DC" w:rsidRPr="00394BB8">
        <w:rPr>
          <w:lang w:val="en-GB"/>
        </w:rPr>
        <w:t>The</w:t>
      </w:r>
      <w:r w:rsidR="00BA7E88" w:rsidRPr="00394BB8">
        <w:rPr>
          <w:lang w:val="en-GB"/>
        </w:rPr>
        <w:t xml:space="preserve"> conflict ha</w:t>
      </w:r>
      <w:r w:rsidR="00FD3BEC" w:rsidRPr="00394BB8">
        <w:rPr>
          <w:lang w:val="en-GB"/>
        </w:rPr>
        <w:t>s</w:t>
      </w:r>
      <w:r w:rsidR="00BA7E88" w:rsidRPr="00394BB8">
        <w:rPr>
          <w:lang w:val="en-GB"/>
        </w:rPr>
        <w:t xml:space="preserve"> </w:t>
      </w:r>
      <w:r w:rsidR="00BB1BC0" w:rsidRPr="00394BB8">
        <w:rPr>
          <w:lang w:val="en-GB"/>
        </w:rPr>
        <w:t>burden</w:t>
      </w:r>
      <w:r w:rsidR="00BA7E88" w:rsidRPr="00394BB8">
        <w:rPr>
          <w:lang w:val="en-GB"/>
        </w:rPr>
        <w:t>ed</w:t>
      </w:r>
      <w:r w:rsidR="00BB1BC0" w:rsidRPr="00394BB8">
        <w:rPr>
          <w:lang w:val="en-GB"/>
        </w:rPr>
        <w:t xml:space="preserve"> </w:t>
      </w:r>
      <w:r w:rsidR="00FD3BEC" w:rsidRPr="00394BB8">
        <w:rPr>
          <w:lang w:val="en-GB"/>
        </w:rPr>
        <w:t>Georgia</w:t>
      </w:r>
      <w:r w:rsidR="00BB1BC0" w:rsidRPr="00394BB8">
        <w:rPr>
          <w:lang w:val="en-GB"/>
        </w:rPr>
        <w:t xml:space="preserve"> with </w:t>
      </w:r>
      <w:r w:rsidR="00EF1EC3" w:rsidRPr="00394BB8">
        <w:rPr>
          <w:lang w:val="en-GB"/>
        </w:rPr>
        <w:t>basic human rights challenges</w:t>
      </w:r>
      <w:r w:rsidR="003547DC" w:rsidRPr="00394BB8">
        <w:rPr>
          <w:lang w:val="en-GB"/>
        </w:rPr>
        <w:t xml:space="preserve"> for</w:t>
      </w:r>
      <w:r w:rsidR="00EF1EC3" w:rsidRPr="00394BB8">
        <w:rPr>
          <w:lang w:val="en-GB"/>
        </w:rPr>
        <w:t xml:space="preserve"> </w:t>
      </w:r>
      <w:r w:rsidR="006E7A7F" w:rsidRPr="00394BB8">
        <w:rPr>
          <w:lang w:val="en-GB"/>
        </w:rPr>
        <w:t xml:space="preserve">those in </w:t>
      </w:r>
      <w:r w:rsidR="00BA7E88" w:rsidRPr="00394BB8">
        <w:rPr>
          <w:lang w:val="en-GB"/>
        </w:rPr>
        <w:t>conflict</w:t>
      </w:r>
      <w:r w:rsidR="00CB4DD1" w:rsidRPr="00394BB8">
        <w:rPr>
          <w:lang w:val="en-GB"/>
        </w:rPr>
        <w:t>-</w:t>
      </w:r>
      <w:r w:rsidR="00BA7E88" w:rsidRPr="00394BB8">
        <w:rPr>
          <w:lang w:val="en-GB"/>
        </w:rPr>
        <w:t>affected areas and</w:t>
      </w:r>
      <w:r w:rsidR="000F1E61">
        <w:rPr>
          <w:lang w:val="en-GB"/>
        </w:rPr>
        <w:t xml:space="preserve"> for</w:t>
      </w:r>
      <w:r w:rsidR="00BA7E88" w:rsidRPr="00394BB8">
        <w:rPr>
          <w:lang w:val="en-GB"/>
        </w:rPr>
        <w:t xml:space="preserve"> </w:t>
      </w:r>
      <w:r w:rsidR="006E7A7F" w:rsidRPr="00394BB8">
        <w:rPr>
          <w:lang w:val="en-GB"/>
        </w:rPr>
        <w:t>many of the</w:t>
      </w:r>
      <w:r w:rsidR="00AF4EFE" w:rsidRPr="00394BB8">
        <w:rPr>
          <w:lang w:val="en-GB"/>
        </w:rPr>
        <w:t xml:space="preserve"> 250,000</w:t>
      </w:r>
      <w:r w:rsidR="00BB1BC0" w:rsidRPr="00394BB8">
        <w:rPr>
          <w:lang w:val="en-GB"/>
        </w:rPr>
        <w:t xml:space="preserve"> </w:t>
      </w:r>
      <w:r w:rsidR="00CB4DD1" w:rsidRPr="00394BB8">
        <w:rPr>
          <w:lang w:val="en-GB"/>
        </w:rPr>
        <w:t>internally displaced persons</w:t>
      </w:r>
      <w:r w:rsidR="00BB1BC0" w:rsidRPr="00394BB8">
        <w:rPr>
          <w:lang w:val="en-GB"/>
        </w:rPr>
        <w:t xml:space="preserve">. </w:t>
      </w:r>
      <w:r w:rsidR="00EF1EC3" w:rsidRPr="00394BB8">
        <w:rPr>
          <w:lang w:val="en-GB"/>
        </w:rPr>
        <w:t xml:space="preserve">Despite substantial </w:t>
      </w:r>
      <w:r w:rsidR="003D7A7F" w:rsidRPr="00394BB8">
        <w:rPr>
          <w:lang w:val="en-GB"/>
        </w:rPr>
        <w:t>investment</w:t>
      </w:r>
      <w:r w:rsidR="00EF1EC3" w:rsidRPr="00394BB8">
        <w:rPr>
          <w:lang w:val="en-GB"/>
        </w:rPr>
        <w:t xml:space="preserve"> in housing, nearly 120,000 still live in collective cent</w:t>
      </w:r>
      <w:r w:rsidR="000F1E61">
        <w:rPr>
          <w:lang w:val="en-GB"/>
        </w:rPr>
        <w:t>re</w:t>
      </w:r>
      <w:r w:rsidR="00EF1EC3" w:rsidRPr="00394BB8">
        <w:rPr>
          <w:lang w:val="en-GB"/>
        </w:rPr>
        <w:t xml:space="preserve">s. </w:t>
      </w:r>
      <w:r w:rsidR="00CB4DD1" w:rsidRPr="00394BB8">
        <w:rPr>
          <w:lang w:val="en-GB"/>
        </w:rPr>
        <w:t>The conflicts have had lasting effects on women – o</w:t>
      </w:r>
      <w:r w:rsidR="00481C98" w:rsidRPr="00394BB8">
        <w:rPr>
          <w:lang w:val="en-GB"/>
        </w:rPr>
        <w:t>ften</w:t>
      </w:r>
      <w:r w:rsidR="00EF1EC3" w:rsidRPr="00394BB8">
        <w:rPr>
          <w:lang w:val="en-GB"/>
        </w:rPr>
        <w:t xml:space="preserve"> </w:t>
      </w:r>
      <w:r w:rsidR="003547DC" w:rsidRPr="00394BB8">
        <w:rPr>
          <w:lang w:val="en-GB"/>
        </w:rPr>
        <w:t>the</w:t>
      </w:r>
      <w:r w:rsidR="00E16FAB" w:rsidRPr="00394BB8">
        <w:rPr>
          <w:lang w:val="en-GB"/>
        </w:rPr>
        <w:t xml:space="preserve"> family’s</w:t>
      </w:r>
      <w:r w:rsidR="003547DC" w:rsidRPr="00394BB8">
        <w:rPr>
          <w:lang w:val="en-GB"/>
        </w:rPr>
        <w:t xml:space="preserve"> </w:t>
      </w:r>
      <w:r w:rsidR="00E16FAB" w:rsidRPr="00394BB8">
        <w:rPr>
          <w:lang w:val="en-GB"/>
        </w:rPr>
        <w:t xml:space="preserve">primary </w:t>
      </w:r>
      <w:r w:rsidR="009C0A48" w:rsidRPr="00394BB8">
        <w:rPr>
          <w:lang w:val="en-GB"/>
        </w:rPr>
        <w:t>income earner</w:t>
      </w:r>
      <w:r w:rsidR="00CB4DD1" w:rsidRPr="00394BB8">
        <w:rPr>
          <w:lang w:val="en-GB"/>
        </w:rPr>
        <w:t>s –</w:t>
      </w:r>
      <w:r w:rsidR="00543F8A" w:rsidRPr="00394BB8">
        <w:rPr>
          <w:lang w:val="en-GB"/>
        </w:rPr>
        <w:t xml:space="preserve"> </w:t>
      </w:r>
      <w:r w:rsidR="00481C98" w:rsidRPr="00394BB8">
        <w:rPr>
          <w:lang w:val="en-GB"/>
        </w:rPr>
        <w:t xml:space="preserve">who comprise more than half of </w:t>
      </w:r>
      <w:r w:rsidR="00CB4DD1" w:rsidRPr="00394BB8">
        <w:rPr>
          <w:lang w:val="en-GB"/>
        </w:rPr>
        <w:t>the internally displaced persons</w:t>
      </w:r>
      <w:r w:rsidR="000B2976" w:rsidRPr="00394BB8">
        <w:rPr>
          <w:lang w:val="en-GB"/>
        </w:rPr>
        <w:t>.</w:t>
      </w:r>
      <w:r w:rsidR="006F5C67" w:rsidRPr="00394BB8">
        <w:rPr>
          <w:lang w:val="en-GB"/>
        </w:rPr>
        <w:t xml:space="preserve"> </w:t>
      </w:r>
      <w:r w:rsidR="00E16FAB" w:rsidRPr="00394BB8">
        <w:rPr>
          <w:lang w:val="en-GB"/>
        </w:rPr>
        <w:t>Q</w:t>
      </w:r>
      <w:r w:rsidR="00095F51" w:rsidRPr="00394BB8">
        <w:rPr>
          <w:lang w:val="en-GB"/>
        </w:rPr>
        <w:t>ualitative assessments</w:t>
      </w:r>
      <w:r w:rsidR="005D5EA9" w:rsidRPr="00394BB8">
        <w:rPr>
          <w:lang w:val="en-GB"/>
        </w:rPr>
        <w:t xml:space="preserve"> </w:t>
      </w:r>
      <w:r w:rsidR="00095F51" w:rsidRPr="00394BB8">
        <w:rPr>
          <w:lang w:val="en-GB"/>
        </w:rPr>
        <w:t>reveal that h</w:t>
      </w:r>
      <w:r w:rsidR="00BB1BC0" w:rsidRPr="00394BB8">
        <w:rPr>
          <w:lang w:val="en-GB"/>
        </w:rPr>
        <w:t>ouseholds in conflict-affected areas suffer from high</w:t>
      </w:r>
      <w:r w:rsidR="00715D19" w:rsidRPr="00394BB8">
        <w:rPr>
          <w:lang w:val="en-GB"/>
        </w:rPr>
        <w:t>er</w:t>
      </w:r>
      <w:r w:rsidR="00BB1BC0" w:rsidRPr="00394BB8">
        <w:rPr>
          <w:lang w:val="en-GB"/>
        </w:rPr>
        <w:t xml:space="preserve"> level</w:t>
      </w:r>
      <w:r w:rsidR="00AF4EFE" w:rsidRPr="00394BB8">
        <w:rPr>
          <w:lang w:val="en-GB"/>
        </w:rPr>
        <w:t>s</w:t>
      </w:r>
      <w:r w:rsidR="00715D19" w:rsidRPr="00394BB8">
        <w:rPr>
          <w:lang w:val="en-GB"/>
        </w:rPr>
        <w:t xml:space="preserve"> of vulnerability</w:t>
      </w:r>
      <w:r w:rsidR="00095F51" w:rsidRPr="00394BB8">
        <w:rPr>
          <w:lang w:val="en-GB"/>
        </w:rPr>
        <w:t xml:space="preserve"> and </w:t>
      </w:r>
      <w:r w:rsidR="00715D19" w:rsidRPr="00394BB8">
        <w:rPr>
          <w:lang w:val="en-GB"/>
        </w:rPr>
        <w:t>exclusion</w:t>
      </w:r>
      <w:r w:rsidR="006E7A7F" w:rsidRPr="00394BB8">
        <w:rPr>
          <w:lang w:val="en-GB"/>
        </w:rPr>
        <w:t xml:space="preserve"> due to limited mobility, </w:t>
      </w:r>
      <w:r w:rsidR="00E26EF9" w:rsidRPr="00394BB8">
        <w:rPr>
          <w:lang w:val="en-GB"/>
        </w:rPr>
        <w:t>access to</w:t>
      </w:r>
      <w:r w:rsidR="00BB1BC0" w:rsidRPr="00394BB8">
        <w:rPr>
          <w:lang w:val="en-GB"/>
        </w:rPr>
        <w:t xml:space="preserve"> basic health and education</w:t>
      </w:r>
      <w:r w:rsidR="005F69F6" w:rsidRPr="00394BB8">
        <w:rPr>
          <w:lang w:val="en-GB"/>
        </w:rPr>
        <w:t xml:space="preserve"> services</w:t>
      </w:r>
      <w:r w:rsidR="00CB4DD1" w:rsidRPr="00394BB8">
        <w:rPr>
          <w:lang w:val="en-GB"/>
        </w:rPr>
        <w:t>,</w:t>
      </w:r>
      <w:r w:rsidR="00481C98" w:rsidRPr="00394BB8">
        <w:rPr>
          <w:lang w:val="en-GB"/>
        </w:rPr>
        <w:t xml:space="preserve"> and human rights protection</w:t>
      </w:r>
      <w:r w:rsidR="005F69F6" w:rsidRPr="00394BB8">
        <w:rPr>
          <w:lang w:val="en-GB"/>
        </w:rPr>
        <w:t xml:space="preserve">. </w:t>
      </w:r>
      <w:r w:rsidR="00AF4EFE" w:rsidRPr="00394BB8">
        <w:rPr>
          <w:lang w:val="en-GB"/>
        </w:rPr>
        <w:t>Development in these regions</w:t>
      </w:r>
      <w:r w:rsidR="0074224D" w:rsidRPr="00394BB8">
        <w:rPr>
          <w:lang w:val="en-GB"/>
        </w:rPr>
        <w:t xml:space="preserve"> </w:t>
      </w:r>
      <w:r w:rsidR="00AF4EFE" w:rsidRPr="00394BB8">
        <w:rPr>
          <w:lang w:val="en-GB"/>
        </w:rPr>
        <w:t>is</w:t>
      </w:r>
      <w:r w:rsidR="00E26EF9" w:rsidRPr="00394BB8">
        <w:rPr>
          <w:lang w:val="en-GB"/>
        </w:rPr>
        <w:t xml:space="preserve"> </w:t>
      </w:r>
      <w:r w:rsidR="00AF4EFE" w:rsidRPr="00394BB8">
        <w:rPr>
          <w:lang w:val="en-GB"/>
        </w:rPr>
        <w:t xml:space="preserve">undermined by </w:t>
      </w:r>
      <w:r w:rsidR="00634CEE" w:rsidRPr="00394BB8">
        <w:rPr>
          <w:lang w:val="en-GB"/>
        </w:rPr>
        <w:t>difficulties in</w:t>
      </w:r>
      <w:r w:rsidR="00BB1BC0" w:rsidRPr="00394BB8">
        <w:rPr>
          <w:lang w:val="en-GB"/>
        </w:rPr>
        <w:t xml:space="preserve"> dialogue </w:t>
      </w:r>
      <w:r w:rsidR="0074224D" w:rsidRPr="00394BB8">
        <w:rPr>
          <w:lang w:val="en-GB"/>
        </w:rPr>
        <w:t>and contac</w:t>
      </w:r>
      <w:r w:rsidR="00481C98" w:rsidRPr="00394BB8">
        <w:rPr>
          <w:lang w:val="en-GB"/>
        </w:rPr>
        <w:t>t, including economic relations</w:t>
      </w:r>
      <w:r w:rsidR="0074224D" w:rsidRPr="00394BB8">
        <w:rPr>
          <w:lang w:val="en-GB"/>
        </w:rPr>
        <w:t xml:space="preserve"> </w:t>
      </w:r>
      <w:r w:rsidR="00BB1BC0" w:rsidRPr="00394BB8">
        <w:rPr>
          <w:lang w:val="en-GB"/>
        </w:rPr>
        <w:t>between</w:t>
      </w:r>
      <w:r w:rsidR="000961E2" w:rsidRPr="00394BB8">
        <w:rPr>
          <w:lang w:val="en-GB"/>
        </w:rPr>
        <w:t xml:space="preserve"> communities. </w:t>
      </w:r>
      <w:r w:rsidR="00E474D4" w:rsidRPr="00394BB8">
        <w:rPr>
          <w:lang w:val="en-GB"/>
        </w:rPr>
        <w:t>Initiatives</w:t>
      </w:r>
      <w:r w:rsidR="0074224D" w:rsidRPr="00394BB8">
        <w:rPr>
          <w:lang w:val="en-GB"/>
        </w:rPr>
        <w:t xml:space="preserve"> to promote </w:t>
      </w:r>
      <w:r w:rsidR="00147C44" w:rsidRPr="00394BB8">
        <w:rPr>
          <w:lang w:val="en-GB"/>
        </w:rPr>
        <w:t>human rights</w:t>
      </w:r>
      <w:r w:rsidR="00CB4DD1" w:rsidRPr="00394BB8">
        <w:rPr>
          <w:lang w:val="en-GB"/>
        </w:rPr>
        <w:t>,</w:t>
      </w:r>
      <w:r w:rsidR="00147C44" w:rsidRPr="00394BB8">
        <w:rPr>
          <w:lang w:val="en-GB"/>
        </w:rPr>
        <w:t xml:space="preserve"> as well as </w:t>
      </w:r>
      <w:r w:rsidR="00BB1BC0" w:rsidRPr="00394BB8">
        <w:rPr>
          <w:lang w:val="en-GB"/>
        </w:rPr>
        <w:t>confidence-building</w:t>
      </w:r>
      <w:r w:rsidR="00253FB7" w:rsidRPr="00394BB8">
        <w:rPr>
          <w:lang w:val="en-GB"/>
        </w:rPr>
        <w:t xml:space="preserve"> </w:t>
      </w:r>
      <w:r w:rsidR="000D2EE4" w:rsidRPr="00394BB8">
        <w:rPr>
          <w:lang w:val="en-GB"/>
        </w:rPr>
        <w:t>and cooperation</w:t>
      </w:r>
      <w:r w:rsidR="00CB4DD1" w:rsidRPr="00394BB8">
        <w:rPr>
          <w:lang w:val="en-GB"/>
        </w:rPr>
        <w:t>,</w:t>
      </w:r>
      <w:r w:rsidR="000961E2" w:rsidRPr="00394BB8">
        <w:rPr>
          <w:lang w:val="en-GB"/>
        </w:rPr>
        <w:t xml:space="preserve"> </w:t>
      </w:r>
      <w:r w:rsidR="00E474D4" w:rsidRPr="00394BB8">
        <w:rPr>
          <w:lang w:val="en-GB"/>
        </w:rPr>
        <w:t>remain critical</w:t>
      </w:r>
      <w:r w:rsidR="003C42A0" w:rsidRPr="00394BB8">
        <w:rPr>
          <w:lang w:val="en-GB"/>
        </w:rPr>
        <w:t xml:space="preserve"> </w:t>
      </w:r>
      <w:r w:rsidR="000961E2" w:rsidRPr="00394BB8">
        <w:rPr>
          <w:lang w:val="en-GB"/>
        </w:rPr>
        <w:t xml:space="preserve">to </w:t>
      </w:r>
      <w:r w:rsidR="00E474D4" w:rsidRPr="00394BB8">
        <w:rPr>
          <w:lang w:val="en-GB"/>
        </w:rPr>
        <w:t xml:space="preserve">establishing conditions conducive </w:t>
      </w:r>
      <w:r w:rsidR="00CB4DD1" w:rsidRPr="00394BB8">
        <w:rPr>
          <w:lang w:val="en-GB"/>
        </w:rPr>
        <w:t xml:space="preserve">to </w:t>
      </w:r>
      <w:r w:rsidR="00E474D4" w:rsidRPr="00394BB8">
        <w:rPr>
          <w:lang w:val="en-GB"/>
        </w:rPr>
        <w:t xml:space="preserve">a political solution and </w:t>
      </w:r>
      <w:r w:rsidR="000961E2" w:rsidRPr="00394BB8">
        <w:rPr>
          <w:lang w:val="en-GB"/>
        </w:rPr>
        <w:t>longer-term sustainable development</w:t>
      </w:r>
      <w:r w:rsidR="00727AC8" w:rsidRPr="00394BB8">
        <w:rPr>
          <w:lang w:val="en-GB"/>
        </w:rPr>
        <w:t xml:space="preserve"> in an increasingly complex regional landscape</w:t>
      </w:r>
      <w:r w:rsidR="00E311E9" w:rsidRPr="00394BB8">
        <w:rPr>
          <w:lang w:val="en-GB"/>
        </w:rPr>
        <w:t>.</w:t>
      </w:r>
      <w:r w:rsidR="00F12888" w:rsidRPr="00394BB8">
        <w:rPr>
          <w:lang w:val="en-GB"/>
        </w:rPr>
        <w:t xml:space="preserve"> </w:t>
      </w:r>
    </w:p>
    <w:p w14:paraId="5552F6BA" w14:textId="5A086EE6" w:rsidR="001341AB" w:rsidRPr="00394BB8" w:rsidRDefault="000D2EE4" w:rsidP="0013058C">
      <w:pPr>
        <w:pStyle w:val="ListParagraph"/>
        <w:numPr>
          <w:ilvl w:val="2"/>
          <w:numId w:val="6"/>
        </w:numPr>
        <w:tabs>
          <w:tab w:val="left" w:pos="720"/>
          <w:tab w:val="num" w:pos="990"/>
          <w:tab w:val="left" w:pos="1530"/>
          <w:tab w:val="left" w:pos="2070"/>
          <w:tab w:val="left" w:pos="3360"/>
          <w:tab w:val="left" w:pos="3450"/>
          <w:tab w:val="left" w:pos="5220"/>
        </w:tabs>
        <w:autoSpaceDE w:val="0"/>
        <w:autoSpaceDN w:val="0"/>
        <w:adjustRightInd w:val="0"/>
        <w:spacing w:after="120"/>
        <w:ind w:left="720" w:firstLine="0"/>
        <w:jc w:val="both"/>
        <w:rPr>
          <w:lang w:val="en-GB"/>
        </w:rPr>
      </w:pPr>
      <w:r w:rsidRPr="00394BB8">
        <w:rPr>
          <w:b/>
          <w:i/>
          <w:lang w:val="en-GB"/>
        </w:rPr>
        <w:t>Environmental sustainability</w:t>
      </w:r>
      <w:r w:rsidR="00977150" w:rsidRPr="00394BB8">
        <w:rPr>
          <w:b/>
          <w:i/>
          <w:lang w:val="en-GB"/>
        </w:rPr>
        <w:t xml:space="preserve"> </w:t>
      </w:r>
      <w:r w:rsidR="00C85039" w:rsidRPr="00394BB8">
        <w:rPr>
          <w:b/>
          <w:i/>
          <w:lang w:val="en-GB"/>
        </w:rPr>
        <w:t xml:space="preserve">and </w:t>
      </w:r>
      <w:r w:rsidR="000F1E61">
        <w:rPr>
          <w:b/>
          <w:i/>
          <w:lang w:val="en-GB"/>
        </w:rPr>
        <w:t>‘</w:t>
      </w:r>
      <w:r w:rsidR="00837E43" w:rsidRPr="00394BB8">
        <w:rPr>
          <w:b/>
          <w:i/>
          <w:lang w:val="en-GB"/>
        </w:rPr>
        <w:t>green</w:t>
      </w:r>
      <w:r w:rsidR="000F1E61">
        <w:rPr>
          <w:b/>
          <w:i/>
          <w:lang w:val="en-GB"/>
        </w:rPr>
        <w:t>’</w:t>
      </w:r>
      <w:r w:rsidR="00837E43" w:rsidRPr="00394BB8">
        <w:rPr>
          <w:b/>
          <w:i/>
          <w:lang w:val="en-GB"/>
        </w:rPr>
        <w:t xml:space="preserve"> growth</w:t>
      </w:r>
      <w:r w:rsidRPr="00394BB8">
        <w:rPr>
          <w:b/>
          <w:i/>
          <w:lang w:val="en-GB"/>
        </w:rPr>
        <w:t>.</w:t>
      </w:r>
      <w:r w:rsidRPr="00394BB8">
        <w:rPr>
          <w:lang w:val="en-GB"/>
        </w:rPr>
        <w:t xml:space="preserve"> </w:t>
      </w:r>
      <w:r w:rsidR="005678EF" w:rsidRPr="00394BB8">
        <w:rPr>
          <w:lang w:val="en-GB"/>
        </w:rPr>
        <w:t>E</w:t>
      </w:r>
      <w:r w:rsidR="00BB1BC0" w:rsidRPr="00394BB8">
        <w:rPr>
          <w:lang w:val="en-GB"/>
        </w:rPr>
        <w:t>xcessive deregulation</w:t>
      </w:r>
      <w:r w:rsidR="00E77098" w:rsidRPr="00394BB8">
        <w:rPr>
          <w:lang w:val="en-GB"/>
        </w:rPr>
        <w:t xml:space="preserve"> and economic pressures, inherited </w:t>
      </w:r>
      <w:r w:rsidR="00BB1BC0" w:rsidRPr="00394BB8">
        <w:rPr>
          <w:lang w:val="en-GB"/>
        </w:rPr>
        <w:t xml:space="preserve">unsustainable </w:t>
      </w:r>
      <w:r w:rsidR="00E836FE" w:rsidRPr="00394BB8">
        <w:rPr>
          <w:lang w:val="en-GB"/>
        </w:rPr>
        <w:t>practices</w:t>
      </w:r>
      <w:r w:rsidR="005F69F6" w:rsidRPr="00394BB8">
        <w:rPr>
          <w:lang w:val="en-GB"/>
        </w:rPr>
        <w:t xml:space="preserve">, inadequate </w:t>
      </w:r>
      <w:r w:rsidR="00BB1BC0" w:rsidRPr="00394BB8">
        <w:rPr>
          <w:lang w:val="en-GB"/>
        </w:rPr>
        <w:t>policy and legislative frameworks and limited institutional capacities</w:t>
      </w:r>
      <w:r w:rsidR="005F69F6" w:rsidRPr="00394BB8">
        <w:rPr>
          <w:lang w:val="en-GB"/>
        </w:rPr>
        <w:t xml:space="preserve"> </w:t>
      </w:r>
      <w:r w:rsidR="00F4464E" w:rsidRPr="00394BB8">
        <w:rPr>
          <w:lang w:val="en-GB"/>
        </w:rPr>
        <w:t>at</w:t>
      </w:r>
      <w:r w:rsidR="005F69F6" w:rsidRPr="00394BB8">
        <w:rPr>
          <w:lang w:val="en-GB"/>
        </w:rPr>
        <w:t xml:space="preserve"> </w:t>
      </w:r>
      <w:r w:rsidR="004E1606" w:rsidRPr="00394BB8">
        <w:rPr>
          <w:lang w:val="en-GB"/>
        </w:rPr>
        <w:t>all</w:t>
      </w:r>
      <w:r w:rsidR="005F69F6" w:rsidRPr="00394BB8">
        <w:rPr>
          <w:lang w:val="en-GB"/>
        </w:rPr>
        <w:t xml:space="preserve"> </w:t>
      </w:r>
      <w:r w:rsidR="00F4464E" w:rsidRPr="00394BB8">
        <w:rPr>
          <w:lang w:val="en-GB"/>
        </w:rPr>
        <w:t>levels</w:t>
      </w:r>
      <w:r w:rsidR="00E77098" w:rsidRPr="00394BB8">
        <w:rPr>
          <w:lang w:val="en-GB"/>
        </w:rPr>
        <w:t xml:space="preserve"> </w:t>
      </w:r>
      <w:r w:rsidR="005678EF" w:rsidRPr="00394BB8">
        <w:rPr>
          <w:lang w:val="en-GB"/>
        </w:rPr>
        <w:t xml:space="preserve">present a complex set of challenges to environmental </w:t>
      </w:r>
      <w:r w:rsidR="00702617" w:rsidRPr="00394BB8">
        <w:rPr>
          <w:lang w:val="en-GB"/>
        </w:rPr>
        <w:lastRenderedPageBreak/>
        <w:t xml:space="preserve">protection and </w:t>
      </w:r>
      <w:r w:rsidR="00E836FE" w:rsidRPr="00394BB8">
        <w:rPr>
          <w:lang w:val="en-GB"/>
        </w:rPr>
        <w:t>susta</w:t>
      </w:r>
      <w:r w:rsidR="00C47908" w:rsidRPr="00394BB8">
        <w:rPr>
          <w:lang w:val="en-GB"/>
        </w:rPr>
        <w:t xml:space="preserve">inable use of natural resources, including </w:t>
      </w:r>
      <w:r w:rsidR="000F1E61">
        <w:rPr>
          <w:lang w:val="en-GB"/>
        </w:rPr>
        <w:t>‘</w:t>
      </w:r>
      <w:r w:rsidR="00E836FE" w:rsidRPr="00394BB8">
        <w:rPr>
          <w:lang w:val="en-GB"/>
        </w:rPr>
        <w:t>green</w:t>
      </w:r>
      <w:r w:rsidR="000F1E61">
        <w:rPr>
          <w:lang w:val="en-GB"/>
        </w:rPr>
        <w:t>’</w:t>
      </w:r>
      <w:r w:rsidR="00E836FE" w:rsidRPr="00394BB8">
        <w:rPr>
          <w:lang w:val="en-GB"/>
        </w:rPr>
        <w:t xml:space="preserve"> growth</w:t>
      </w:r>
      <w:r w:rsidR="00C440A8" w:rsidRPr="00394BB8">
        <w:rPr>
          <w:lang w:val="en-GB"/>
        </w:rPr>
        <w:t>. E</w:t>
      </w:r>
      <w:r w:rsidR="00BB1BC0" w:rsidRPr="00394BB8">
        <w:rPr>
          <w:lang w:val="en-GB"/>
        </w:rPr>
        <w:t>xposure</w:t>
      </w:r>
      <w:r w:rsidR="00E26EF9" w:rsidRPr="00394BB8">
        <w:rPr>
          <w:lang w:val="en-GB"/>
        </w:rPr>
        <w:t xml:space="preserve"> to </w:t>
      </w:r>
      <w:r w:rsidR="000B2976" w:rsidRPr="00394BB8">
        <w:rPr>
          <w:lang w:val="en-GB"/>
        </w:rPr>
        <w:t>environmental</w:t>
      </w:r>
      <w:r w:rsidR="00E26EF9" w:rsidRPr="00394BB8">
        <w:rPr>
          <w:lang w:val="en-GB"/>
        </w:rPr>
        <w:t xml:space="preserve"> </w:t>
      </w:r>
      <w:r w:rsidR="000B2976" w:rsidRPr="00394BB8">
        <w:rPr>
          <w:lang w:val="en-GB"/>
        </w:rPr>
        <w:t>hazards</w:t>
      </w:r>
      <w:r w:rsidR="00BB1BC0" w:rsidRPr="00394BB8">
        <w:rPr>
          <w:lang w:val="en-GB"/>
        </w:rPr>
        <w:t xml:space="preserve"> and </w:t>
      </w:r>
      <w:r w:rsidR="00C440A8" w:rsidRPr="00394BB8">
        <w:rPr>
          <w:lang w:val="en-GB"/>
        </w:rPr>
        <w:t xml:space="preserve">a </w:t>
      </w:r>
      <w:r w:rsidR="00BB1BC0" w:rsidRPr="00394BB8">
        <w:rPr>
          <w:lang w:val="en-GB"/>
        </w:rPr>
        <w:t xml:space="preserve">lack of evidence-based adaptation measures </w:t>
      </w:r>
      <w:r w:rsidR="00C440A8" w:rsidRPr="00394BB8">
        <w:rPr>
          <w:lang w:val="en-GB"/>
        </w:rPr>
        <w:t>to reduce</w:t>
      </w:r>
      <w:r w:rsidR="00BB1BC0" w:rsidRPr="00394BB8">
        <w:rPr>
          <w:lang w:val="en-GB"/>
        </w:rPr>
        <w:t xml:space="preserve"> </w:t>
      </w:r>
      <w:r w:rsidR="002D4B4A" w:rsidRPr="00394BB8">
        <w:rPr>
          <w:lang w:val="en-GB"/>
        </w:rPr>
        <w:t>disaster risk</w:t>
      </w:r>
      <w:r w:rsidR="00CB4DD1" w:rsidRPr="00394BB8">
        <w:rPr>
          <w:lang w:val="en-GB"/>
        </w:rPr>
        <w:t>,</w:t>
      </w:r>
      <w:r w:rsidR="002D4B4A" w:rsidRPr="00394BB8">
        <w:rPr>
          <w:lang w:val="en-GB"/>
        </w:rPr>
        <w:t xml:space="preserve"> </w:t>
      </w:r>
      <w:r w:rsidR="000F1E61">
        <w:rPr>
          <w:lang w:val="en-GB"/>
        </w:rPr>
        <w:t>combined with</w:t>
      </w:r>
      <w:r w:rsidR="00287E31" w:rsidRPr="00394BB8">
        <w:rPr>
          <w:lang w:val="en-GB"/>
        </w:rPr>
        <w:t xml:space="preserve"> </w:t>
      </w:r>
      <w:r w:rsidR="00AF4EFE" w:rsidRPr="00394BB8">
        <w:rPr>
          <w:lang w:val="en-GB"/>
        </w:rPr>
        <w:t xml:space="preserve">the </w:t>
      </w:r>
      <w:r w:rsidR="00287E31" w:rsidRPr="00394BB8">
        <w:rPr>
          <w:lang w:val="en-GB"/>
        </w:rPr>
        <w:t xml:space="preserve">impact </w:t>
      </w:r>
      <w:r w:rsidR="00BB1BC0" w:rsidRPr="00394BB8">
        <w:rPr>
          <w:lang w:val="en-GB"/>
        </w:rPr>
        <w:t>of climate change</w:t>
      </w:r>
      <w:r w:rsidR="00CB4DD1" w:rsidRPr="00394BB8">
        <w:rPr>
          <w:lang w:val="en-GB"/>
        </w:rPr>
        <w:t>,</w:t>
      </w:r>
      <w:r w:rsidR="00BB1BC0" w:rsidRPr="00394BB8">
        <w:rPr>
          <w:lang w:val="en-GB"/>
        </w:rPr>
        <w:t xml:space="preserve"> ha</w:t>
      </w:r>
      <w:r w:rsidR="00AF4EFE" w:rsidRPr="00394BB8">
        <w:rPr>
          <w:lang w:val="en-GB"/>
        </w:rPr>
        <w:t>ve</w:t>
      </w:r>
      <w:r w:rsidR="00BB1BC0" w:rsidRPr="00394BB8">
        <w:rPr>
          <w:lang w:val="en-GB"/>
        </w:rPr>
        <w:t xml:space="preserve"> </w:t>
      </w:r>
      <w:r w:rsidR="00CB4DD1" w:rsidRPr="00394BB8">
        <w:rPr>
          <w:lang w:val="en-GB"/>
        </w:rPr>
        <w:t xml:space="preserve">exposed </w:t>
      </w:r>
      <w:r w:rsidR="00BB1BC0" w:rsidRPr="00394BB8">
        <w:rPr>
          <w:lang w:val="en-GB"/>
        </w:rPr>
        <w:t>communities</w:t>
      </w:r>
      <w:r w:rsidR="00CB4DD1" w:rsidRPr="00394BB8">
        <w:rPr>
          <w:lang w:val="en-GB"/>
        </w:rPr>
        <w:t xml:space="preserve"> to significant risks</w:t>
      </w:r>
      <w:r w:rsidR="00BB1BC0" w:rsidRPr="00394BB8">
        <w:rPr>
          <w:lang w:val="en-GB"/>
        </w:rPr>
        <w:t>, especially in rural areas</w:t>
      </w:r>
      <w:r w:rsidR="00440E73" w:rsidRPr="00394BB8">
        <w:rPr>
          <w:lang w:val="en-GB"/>
        </w:rPr>
        <w:t xml:space="preserve"> and river basins</w:t>
      </w:r>
      <w:r w:rsidR="00BB1BC0" w:rsidRPr="00394BB8">
        <w:rPr>
          <w:lang w:val="en-GB"/>
        </w:rPr>
        <w:t>.</w:t>
      </w:r>
      <w:r w:rsidR="002A0D82" w:rsidRPr="00394BB8">
        <w:rPr>
          <w:lang w:val="en-GB"/>
        </w:rPr>
        <w:t xml:space="preserve"> </w:t>
      </w:r>
      <w:r w:rsidR="008B1AEE" w:rsidRPr="00394BB8">
        <w:rPr>
          <w:lang w:val="en-GB"/>
        </w:rPr>
        <w:t>Over the last 40 years</w:t>
      </w:r>
      <w:r w:rsidR="00296ED7" w:rsidRPr="00394BB8">
        <w:rPr>
          <w:lang w:val="en-GB"/>
        </w:rPr>
        <w:t>,</w:t>
      </w:r>
      <w:r w:rsidR="008B1AEE" w:rsidRPr="00394BB8">
        <w:rPr>
          <w:lang w:val="en-GB"/>
        </w:rPr>
        <w:t xml:space="preserve"> 70</w:t>
      </w:r>
      <w:r w:rsidR="00D37D7E" w:rsidRPr="00394BB8">
        <w:rPr>
          <w:lang w:val="en-GB"/>
        </w:rPr>
        <w:t xml:space="preserve"> per cent</w:t>
      </w:r>
      <w:r w:rsidR="008B1AEE" w:rsidRPr="00394BB8">
        <w:rPr>
          <w:lang w:val="en-GB"/>
        </w:rPr>
        <w:t xml:space="preserve"> of </w:t>
      </w:r>
      <w:r w:rsidR="0073043C" w:rsidRPr="00394BB8">
        <w:rPr>
          <w:lang w:val="en-GB"/>
        </w:rPr>
        <w:t>Georgia has suffer</w:t>
      </w:r>
      <w:r w:rsidR="008B1AEE" w:rsidRPr="00394BB8">
        <w:rPr>
          <w:lang w:val="en-GB"/>
        </w:rPr>
        <w:t>ed</w:t>
      </w:r>
      <w:r w:rsidR="00900E15" w:rsidRPr="00394BB8">
        <w:rPr>
          <w:lang w:val="en-GB"/>
        </w:rPr>
        <w:t xml:space="preserve"> repeated</w:t>
      </w:r>
      <w:r w:rsidR="008B1AEE" w:rsidRPr="00394BB8">
        <w:rPr>
          <w:lang w:val="en-GB"/>
        </w:rPr>
        <w:t xml:space="preserve"> hydro-meteor</w:t>
      </w:r>
      <w:r w:rsidR="00296ED7" w:rsidRPr="00394BB8">
        <w:rPr>
          <w:lang w:val="en-GB"/>
        </w:rPr>
        <w:t xml:space="preserve">ological and geological </w:t>
      </w:r>
      <w:r w:rsidR="0073043C" w:rsidRPr="00394BB8">
        <w:rPr>
          <w:lang w:val="en-GB"/>
        </w:rPr>
        <w:t>events</w:t>
      </w:r>
      <w:r w:rsidR="00CB4DD1" w:rsidRPr="00394BB8">
        <w:rPr>
          <w:lang w:val="en-GB"/>
        </w:rPr>
        <w:t>,</w:t>
      </w:r>
      <w:r w:rsidR="00262F3D" w:rsidRPr="00394BB8">
        <w:rPr>
          <w:lang w:val="en-GB"/>
        </w:rPr>
        <w:t xml:space="preserve"> with </w:t>
      </w:r>
      <w:r w:rsidR="00296ED7" w:rsidRPr="00394BB8">
        <w:rPr>
          <w:lang w:val="en-GB"/>
        </w:rPr>
        <w:t>economic losses exceeding</w:t>
      </w:r>
      <w:r w:rsidR="008B1AEE" w:rsidRPr="00394BB8">
        <w:rPr>
          <w:lang w:val="en-GB"/>
        </w:rPr>
        <w:t xml:space="preserve"> </w:t>
      </w:r>
      <w:r w:rsidR="00CB4DD1" w:rsidRPr="00394BB8">
        <w:rPr>
          <w:lang w:val="en-GB"/>
        </w:rPr>
        <w:t>$</w:t>
      </w:r>
      <w:r w:rsidR="008B1AEE" w:rsidRPr="00394BB8">
        <w:rPr>
          <w:lang w:val="en-GB"/>
        </w:rPr>
        <w:t>14 billion</w:t>
      </w:r>
      <w:r w:rsidR="008B1AEE" w:rsidRPr="00394BB8">
        <w:rPr>
          <w:rStyle w:val="FootnoteReference"/>
          <w:lang w:val="en-GB"/>
        </w:rPr>
        <w:footnoteReference w:id="2"/>
      </w:r>
      <w:r w:rsidR="00900E15" w:rsidRPr="00394BB8">
        <w:rPr>
          <w:lang w:val="en-GB"/>
        </w:rPr>
        <w:t xml:space="preserve">, while </w:t>
      </w:r>
      <w:r w:rsidR="006F51BC">
        <w:rPr>
          <w:lang w:val="en-GB"/>
        </w:rPr>
        <w:t xml:space="preserve">the country </w:t>
      </w:r>
      <w:r w:rsidR="004E1606" w:rsidRPr="00394BB8">
        <w:rPr>
          <w:lang w:val="en-GB"/>
        </w:rPr>
        <w:t xml:space="preserve">is </w:t>
      </w:r>
      <w:r w:rsidR="006F51BC">
        <w:rPr>
          <w:lang w:val="en-GB"/>
        </w:rPr>
        <w:t xml:space="preserve">particularly </w:t>
      </w:r>
      <w:r w:rsidR="004E1606" w:rsidRPr="00394BB8">
        <w:rPr>
          <w:lang w:val="en-GB"/>
        </w:rPr>
        <w:t>exposed</w:t>
      </w:r>
      <w:r w:rsidR="00B2592F" w:rsidRPr="00394BB8">
        <w:rPr>
          <w:lang w:val="en-GB"/>
        </w:rPr>
        <w:t xml:space="preserve"> to earthquakes, floods and conflict.</w:t>
      </w:r>
      <w:r w:rsidR="00B2592F" w:rsidRPr="00394BB8">
        <w:rPr>
          <w:rStyle w:val="FootnoteReference"/>
          <w:lang w:val="en-GB"/>
        </w:rPr>
        <w:footnoteReference w:id="3"/>
      </w:r>
      <w:r w:rsidR="00B2592F" w:rsidRPr="00394BB8">
        <w:rPr>
          <w:lang w:val="en-GB"/>
        </w:rPr>
        <w:t xml:space="preserve"> </w:t>
      </w:r>
      <w:r w:rsidR="00756448" w:rsidRPr="00394BB8">
        <w:rPr>
          <w:lang w:val="en-GB"/>
        </w:rPr>
        <w:t>The</w:t>
      </w:r>
      <w:r w:rsidR="005D5EA9" w:rsidRPr="00394BB8">
        <w:rPr>
          <w:lang w:val="en-GB"/>
        </w:rPr>
        <w:t xml:space="preserve"> </w:t>
      </w:r>
      <w:r w:rsidR="002A0D82" w:rsidRPr="00394BB8">
        <w:rPr>
          <w:lang w:val="en-GB"/>
        </w:rPr>
        <w:t xml:space="preserve">Government will prioritize </w:t>
      </w:r>
      <w:r w:rsidR="0056475F" w:rsidRPr="00394BB8">
        <w:rPr>
          <w:lang w:val="en-GB"/>
        </w:rPr>
        <w:t xml:space="preserve">integrating environmental and natural resource sustainability </w:t>
      </w:r>
      <w:r w:rsidR="0073043C" w:rsidRPr="00394BB8">
        <w:rPr>
          <w:lang w:val="en-GB"/>
        </w:rPr>
        <w:t xml:space="preserve">into </w:t>
      </w:r>
      <w:r w:rsidR="0056475F" w:rsidRPr="00394BB8">
        <w:rPr>
          <w:lang w:val="en-GB"/>
        </w:rPr>
        <w:t xml:space="preserve">other sectors through the </w:t>
      </w:r>
      <w:r w:rsidR="0073043C" w:rsidRPr="00394BB8">
        <w:rPr>
          <w:lang w:val="en-GB"/>
        </w:rPr>
        <w:t>s</w:t>
      </w:r>
      <w:r w:rsidR="0056475F" w:rsidRPr="00394BB8">
        <w:rPr>
          <w:lang w:val="en-GB"/>
        </w:rPr>
        <w:t xml:space="preserve">ustainable </w:t>
      </w:r>
      <w:r w:rsidR="0073043C" w:rsidRPr="00394BB8">
        <w:rPr>
          <w:lang w:val="en-GB"/>
        </w:rPr>
        <w:t>d</w:t>
      </w:r>
      <w:r w:rsidR="0056475F" w:rsidRPr="00394BB8">
        <w:rPr>
          <w:lang w:val="en-GB"/>
        </w:rPr>
        <w:t xml:space="preserve">evelopment </w:t>
      </w:r>
      <w:r w:rsidR="0073043C" w:rsidRPr="00394BB8">
        <w:rPr>
          <w:lang w:val="en-GB"/>
        </w:rPr>
        <w:t>g</w:t>
      </w:r>
      <w:r w:rsidR="0056475F" w:rsidRPr="00394BB8">
        <w:rPr>
          <w:lang w:val="en-GB"/>
        </w:rPr>
        <w:t>oals</w:t>
      </w:r>
      <w:r w:rsidR="002A0D82" w:rsidRPr="00394BB8">
        <w:rPr>
          <w:lang w:val="en-GB"/>
        </w:rPr>
        <w:t xml:space="preserve">. </w:t>
      </w:r>
    </w:p>
    <w:p w14:paraId="7436D0A3" w14:textId="17F0B0FB" w:rsidR="0073043C" w:rsidRPr="00394BB8" w:rsidRDefault="0073043C" w:rsidP="0073043C">
      <w:pPr>
        <w:pStyle w:val="ListParagraph"/>
        <w:tabs>
          <w:tab w:val="left" w:pos="720"/>
          <w:tab w:val="left" w:pos="1530"/>
          <w:tab w:val="left" w:pos="2070"/>
          <w:tab w:val="left" w:pos="3360"/>
          <w:tab w:val="left" w:pos="3450"/>
          <w:tab w:val="left" w:pos="5220"/>
        </w:tabs>
        <w:autoSpaceDE w:val="0"/>
        <w:autoSpaceDN w:val="0"/>
        <w:adjustRightInd w:val="0"/>
        <w:spacing w:after="120"/>
        <w:jc w:val="both"/>
        <w:rPr>
          <w:lang w:val="en-GB"/>
        </w:rPr>
      </w:pPr>
      <w:r w:rsidRPr="00394BB8">
        <w:rPr>
          <w:b/>
          <w:i/>
          <w:lang w:val="en-GB"/>
        </w:rPr>
        <w:t xml:space="preserve">Results and lessons </w:t>
      </w:r>
      <w:r w:rsidR="000F1E61">
        <w:rPr>
          <w:b/>
          <w:i/>
          <w:lang w:val="en-GB"/>
        </w:rPr>
        <w:t xml:space="preserve">learned </w:t>
      </w:r>
      <w:r w:rsidRPr="00394BB8">
        <w:rPr>
          <w:b/>
          <w:i/>
          <w:lang w:val="en-GB"/>
        </w:rPr>
        <w:t>from previous cooperation</w:t>
      </w:r>
    </w:p>
    <w:p w14:paraId="62577D18" w14:textId="4E1BB0C0" w:rsidR="001341AB" w:rsidRPr="00394BB8" w:rsidRDefault="00CA56E5" w:rsidP="0013058C">
      <w:pPr>
        <w:pStyle w:val="ListParagraph"/>
        <w:numPr>
          <w:ilvl w:val="2"/>
          <w:numId w:val="6"/>
        </w:numPr>
        <w:tabs>
          <w:tab w:val="left" w:pos="720"/>
          <w:tab w:val="num" w:pos="990"/>
          <w:tab w:val="left" w:pos="1530"/>
          <w:tab w:val="left" w:pos="2070"/>
          <w:tab w:val="left" w:pos="3360"/>
          <w:tab w:val="left" w:pos="3450"/>
          <w:tab w:val="left" w:pos="5220"/>
        </w:tabs>
        <w:autoSpaceDE w:val="0"/>
        <w:autoSpaceDN w:val="0"/>
        <w:adjustRightInd w:val="0"/>
        <w:spacing w:after="120"/>
        <w:ind w:left="720" w:firstLine="0"/>
        <w:jc w:val="both"/>
        <w:rPr>
          <w:lang w:val="en-GB"/>
        </w:rPr>
      </w:pPr>
      <w:r w:rsidRPr="00394BB8">
        <w:rPr>
          <w:lang w:val="en-GB"/>
        </w:rPr>
        <w:t xml:space="preserve">UNDP </w:t>
      </w:r>
      <w:r w:rsidR="0073043C" w:rsidRPr="00394BB8">
        <w:rPr>
          <w:lang w:val="en-GB"/>
        </w:rPr>
        <w:t xml:space="preserve">has </w:t>
      </w:r>
      <w:r w:rsidRPr="00394BB8">
        <w:rPr>
          <w:lang w:val="en-GB"/>
        </w:rPr>
        <w:t xml:space="preserve">supported </w:t>
      </w:r>
      <w:r w:rsidR="0073043C" w:rsidRPr="00394BB8">
        <w:rPr>
          <w:lang w:val="en-GB"/>
        </w:rPr>
        <w:t>the</w:t>
      </w:r>
      <w:r w:rsidR="006A50C2" w:rsidRPr="00394BB8">
        <w:rPr>
          <w:lang w:val="en-GB"/>
        </w:rPr>
        <w:t xml:space="preserve"> strengthening</w:t>
      </w:r>
      <w:r w:rsidR="000961E2" w:rsidRPr="00394BB8">
        <w:rPr>
          <w:lang w:val="en-GB"/>
        </w:rPr>
        <w:t xml:space="preserve"> </w:t>
      </w:r>
      <w:r w:rsidR="0073043C" w:rsidRPr="00394BB8">
        <w:rPr>
          <w:lang w:val="en-GB"/>
        </w:rPr>
        <w:t xml:space="preserve">of </w:t>
      </w:r>
      <w:r w:rsidR="006A50C2" w:rsidRPr="00394BB8">
        <w:rPr>
          <w:lang w:val="en-GB"/>
        </w:rPr>
        <w:t>governance and democracy</w:t>
      </w:r>
      <w:r w:rsidR="00BB6A4F" w:rsidRPr="00394BB8">
        <w:rPr>
          <w:lang w:val="en-GB"/>
        </w:rPr>
        <w:t xml:space="preserve"> in recent years</w:t>
      </w:r>
      <w:r w:rsidR="00404912" w:rsidRPr="00394BB8">
        <w:rPr>
          <w:lang w:val="en-GB"/>
        </w:rPr>
        <w:t>.</w:t>
      </w:r>
      <w:r w:rsidR="000A69B2" w:rsidRPr="00394BB8">
        <w:rPr>
          <w:lang w:val="en-GB"/>
        </w:rPr>
        <w:t xml:space="preserve"> </w:t>
      </w:r>
      <w:r w:rsidR="00BB6A4F" w:rsidRPr="00394BB8">
        <w:rPr>
          <w:lang w:val="en-GB"/>
        </w:rPr>
        <w:t xml:space="preserve">The </w:t>
      </w:r>
      <w:r w:rsidR="0073043C" w:rsidRPr="00394BB8">
        <w:rPr>
          <w:lang w:val="en-GB"/>
        </w:rPr>
        <w:t xml:space="preserve">evaluation of the country programme, </w:t>
      </w:r>
      <w:r w:rsidR="00BB1BC0" w:rsidRPr="00394BB8">
        <w:rPr>
          <w:lang w:val="en-GB"/>
        </w:rPr>
        <w:t>2011-2015</w:t>
      </w:r>
      <w:r w:rsidR="0073043C" w:rsidRPr="00394BB8">
        <w:rPr>
          <w:lang w:val="en-GB"/>
        </w:rPr>
        <w:t>,</w:t>
      </w:r>
      <w:r w:rsidR="00BB1BC0" w:rsidRPr="00394BB8">
        <w:rPr>
          <w:lang w:val="en-GB"/>
        </w:rPr>
        <w:t xml:space="preserve"> </w:t>
      </w:r>
      <w:r w:rsidR="00BB6A4F" w:rsidRPr="00394BB8">
        <w:rPr>
          <w:lang w:val="en-GB"/>
        </w:rPr>
        <w:t>underscored that</w:t>
      </w:r>
      <w:r w:rsidR="00BB1BC0" w:rsidRPr="00394BB8">
        <w:rPr>
          <w:lang w:val="en-GB"/>
        </w:rPr>
        <w:t xml:space="preserve"> UNDP </w:t>
      </w:r>
      <w:r w:rsidR="0073043C" w:rsidRPr="00394BB8">
        <w:rPr>
          <w:lang w:val="en-GB"/>
        </w:rPr>
        <w:t xml:space="preserve">had </w:t>
      </w:r>
      <w:r w:rsidR="00BB1BC0" w:rsidRPr="00394BB8">
        <w:rPr>
          <w:lang w:val="en-GB"/>
        </w:rPr>
        <w:t xml:space="preserve">played a </w:t>
      </w:r>
      <w:r w:rsidR="006E6613" w:rsidRPr="00394BB8">
        <w:rPr>
          <w:lang w:val="en-GB"/>
        </w:rPr>
        <w:t>key</w:t>
      </w:r>
      <w:r w:rsidR="00BB1BC0" w:rsidRPr="00394BB8">
        <w:rPr>
          <w:lang w:val="en-GB"/>
        </w:rPr>
        <w:t xml:space="preserve"> role </w:t>
      </w:r>
      <w:r w:rsidR="00BB1BC0" w:rsidRPr="00394BB8">
        <w:rPr>
          <w:rFonts w:eastAsiaTheme="minorHAnsi"/>
          <w:lang w:val="en-GB"/>
        </w:rPr>
        <w:t>in</w:t>
      </w:r>
      <w:r w:rsidR="00BB1BC0" w:rsidRPr="00394BB8">
        <w:rPr>
          <w:lang w:val="en-GB"/>
        </w:rPr>
        <w:t xml:space="preserve"> </w:t>
      </w:r>
      <w:r w:rsidR="006E6613" w:rsidRPr="00394BB8">
        <w:rPr>
          <w:lang w:val="en-GB"/>
        </w:rPr>
        <w:t>usher</w:t>
      </w:r>
      <w:r w:rsidR="0073043C" w:rsidRPr="00394BB8">
        <w:rPr>
          <w:lang w:val="en-GB"/>
        </w:rPr>
        <w:t>ing</w:t>
      </w:r>
      <w:r w:rsidR="006E6613" w:rsidRPr="00394BB8">
        <w:rPr>
          <w:lang w:val="en-GB"/>
        </w:rPr>
        <w:t xml:space="preserve"> in an era of</w:t>
      </w:r>
      <w:r w:rsidR="00BB1BC0" w:rsidRPr="00394BB8">
        <w:rPr>
          <w:lang w:val="en-GB"/>
        </w:rPr>
        <w:t xml:space="preserve"> </w:t>
      </w:r>
      <w:r w:rsidR="00C705BC" w:rsidRPr="00394BB8">
        <w:rPr>
          <w:rFonts w:eastAsiaTheme="minorHAnsi"/>
          <w:lang w:val="en-GB"/>
        </w:rPr>
        <w:t>transparent</w:t>
      </w:r>
      <w:r w:rsidR="001B7B7F" w:rsidRPr="00394BB8">
        <w:rPr>
          <w:rFonts w:eastAsiaTheme="minorHAnsi"/>
          <w:lang w:val="en-GB"/>
        </w:rPr>
        <w:t xml:space="preserve">, </w:t>
      </w:r>
      <w:r w:rsidR="00E94E3A" w:rsidRPr="00394BB8">
        <w:rPr>
          <w:rFonts w:eastAsiaTheme="minorHAnsi"/>
          <w:lang w:val="en-GB"/>
        </w:rPr>
        <w:t>pluralistic</w:t>
      </w:r>
      <w:r w:rsidR="00BB6A4F" w:rsidRPr="00394BB8">
        <w:rPr>
          <w:rFonts w:eastAsiaTheme="minorHAnsi"/>
          <w:lang w:val="en-GB"/>
        </w:rPr>
        <w:t xml:space="preserve"> </w:t>
      </w:r>
      <w:r w:rsidR="00BB1BC0" w:rsidRPr="00394BB8">
        <w:rPr>
          <w:rFonts w:eastAsiaTheme="minorHAnsi"/>
          <w:lang w:val="en-GB"/>
        </w:rPr>
        <w:t>democratic elections</w:t>
      </w:r>
      <w:r w:rsidR="00E94E3A" w:rsidRPr="00394BB8">
        <w:rPr>
          <w:rFonts w:eastAsiaTheme="minorHAnsi"/>
          <w:lang w:val="en-GB"/>
        </w:rPr>
        <w:t xml:space="preserve"> </w:t>
      </w:r>
      <w:r w:rsidR="00E94E3A" w:rsidRPr="00394BB8">
        <w:rPr>
          <w:lang w:val="en-GB"/>
        </w:rPr>
        <w:t>through support</w:t>
      </w:r>
      <w:r w:rsidR="005D5EA9" w:rsidRPr="00394BB8">
        <w:rPr>
          <w:lang w:val="en-GB"/>
        </w:rPr>
        <w:t xml:space="preserve"> </w:t>
      </w:r>
      <w:r w:rsidR="00481C98" w:rsidRPr="00394BB8">
        <w:rPr>
          <w:lang w:val="en-GB"/>
        </w:rPr>
        <w:t>to</w:t>
      </w:r>
      <w:r w:rsidR="005D5EA9" w:rsidRPr="00394BB8">
        <w:rPr>
          <w:lang w:val="en-GB"/>
        </w:rPr>
        <w:t xml:space="preserve"> </w:t>
      </w:r>
      <w:r w:rsidR="00BB1BC0" w:rsidRPr="00394BB8">
        <w:rPr>
          <w:lang w:val="en-GB"/>
        </w:rPr>
        <w:t>legal reform</w:t>
      </w:r>
      <w:r w:rsidR="008561AE" w:rsidRPr="00394BB8">
        <w:rPr>
          <w:lang w:val="en-GB"/>
        </w:rPr>
        <w:t xml:space="preserve">s and </w:t>
      </w:r>
      <w:r w:rsidR="00BB1BC0" w:rsidRPr="00394BB8">
        <w:rPr>
          <w:rFonts w:eastAsiaTheme="minorHAnsi"/>
          <w:lang w:val="en-GB"/>
        </w:rPr>
        <w:t xml:space="preserve">voter </w:t>
      </w:r>
      <w:r w:rsidR="00BB1BC0" w:rsidRPr="00394BB8">
        <w:rPr>
          <w:lang w:val="en-GB"/>
        </w:rPr>
        <w:t xml:space="preserve">education. </w:t>
      </w:r>
      <w:r w:rsidR="0073043C" w:rsidRPr="00394BB8">
        <w:rPr>
          <w:lang w:val="en-GB"/>
        </w:rPr>
        <w:t>R</w:t>
      </w:r>
      <w:r w:rsidR="00BB1BC0" w:rsidRPr="00394BB8">
        <w:rPr>
          <w:lang w:val="en-GB"/>
        </w:rPr>
        <w:t>egional development planning</w:t>
      </w:r>
      <w:r w:rsidR="001B25B5" w:rsidRPr="00394BB8">
        <w:rPr>
          <w:lang w:val="en-GB"/>
        </w:rPr>
        <w:t xml:space="preserve"> </w:t>
      </w:r>
      <w:r w:rsidR="002C6ECA" w:rsidRPr="00394BB8">
        <w:rPr>
          <w:lang w:val="en-GB"/>
        </w:rPr>
        <w:t>was introduced</w:t>
      </w:r>
      <w:r w:rsidR="00BB1BC0" w:rsidRPr="00394BB8">
        <w:rPr>
          <w:lang w:val="en-GB"/>
        </w:rPr>
        <w:t xml:space="preserve">, </w:t>
      </w:r>
      <w:r w:rsidR="002C6ECA" w:rsidRPr="00394BB8">
        <w:rPr>
          <w:lang w:val="en-GB"/>
        </w:rPr>
        <w:t xml:space="preserve">along with </w:t>
      </w:r>
      <w:r w:rsidR="00BB1BC0" w:rsidRPr="00394BB8">
        <w:rPr>
          <w:rFonts w:eastAsiaTheme="minorHAnsi"/>
          <w:lang w:val="en-GB"/>
        </w:rPr>
        <w:t>decentralization</w:t>
      </w:r>
      <w:r w:rsidR="00BB1BC0" w:rsidRPr="00394BB8">
        <w:rPr>
          <w:lang w:val="en-GB"/>
        </w:rPr>
        <w:t xml:space="preserve">, evidence-based </w:t>
      </w:r>
      <w:r w:rsidR="001B25B5" w:rsidRPr="00394BB8">
        <w:rPr>
          <w:lang w:val="en-GB"/>
        </w:rPr>
        <w:t>policymaking</w:t>
      </w:r>
      <w:r w:rsidR="00BB1BC0" w:rsidRPr="00394BB8">
        <w:rPr>
          <w:lang w:val="en-GB"/>
        </w:rPr>
        <w:t xml:space="preserve"> </w:t>
      </w:r>
      <w:r w:rsidR="001B25B5" w:rsidRPr="00394BB8">
        <w:rPr>
          <w:lang w:val="en-GB"/>
        </w:rPr>
        <w:t>and</w:t>
      </w:r>
      <w:r w:rsidR="00BB1BC0" w:rsidRPr="00394BB8">
        <w:rPr>
          <w:lang w:val="en-GB"/>
        </w:rPr>
        <w:t xml:space="preserve"> </w:t>
      </w:r>
      <w:r w:rsidR="001B25B5" w:rsidRPr="00394BB8">
        <w:rPr>
          <w:lang w:val="en-GB"/>
        </w:rPr>
        <w:t xml:space="preserve">strengthened </w:t>
      </w:r>
      <w:r w:rsidR="0073043C" w:rsidRPr="00394BB8">
        <w:rPr>
          <w:lang w:val="en-GB"/>
        </w:rPr>
        <w:t>g</w:t>
      </w:r>
      <w:r w:rsidR="00AF2139" w:rsidRPr="00394BB8">
        <w:rPr>
          <w:lang w:val="en-GB"/>
        </w:rPr>
        <w:t>overnment</w:t>
      </w:r>
      <w:r w:rsidR="0073043C" w:rsidRPr="00394BB8">
        <w:rPr>
          <w:lang w:val="en-GB"/>
        </w:rPr>
        <w:t>-</w:t>
      </w:r>
      <w:r w:rsidR="0056475F" w:rsidRPr="00394BB8">
        <w:rPr>
          <w:lang w:val="en-GB"/>
        </w:rPr>
        <w:t xml:space="preserve">civil society </w:t>
      </w:r>
      <w:r w:rsidR="003D7A7F" w:rsidRPr="00394BB8">
        <w:rPr>
          <w:lang w:val="en-GB"/>
        </w:rPr>
        <w:t>engagement</w:t>
      </w:r>
      <w:r w:rsidR="00BB1BC0" w:rsidRPr="00394BB8">
        <w:rPr>
          <w:lang w:val="en-GB"/>
        </w:rPr>
        <w:t xml:space="preserve">. </w:t>
      </w:r>
      <w:r w:rsidR="000B593D" w:rsidRPr="00394BB8">
        <w:rPr>
          <w:lang w:val="en-GB"/>
        </w:rPr>
        <w:t>The</w:t>
      </w:r>
      <w:r w:rsidR="00026914" w:rsidRPr="00394BB8">
        <w:rPr>
          <w:lang w:val="en-GB"/>
        </w:rPr>
        <w:t xml:space="preserve"> democratic</w:t>
      </w:r>
      <w:r w:rsidR="000B593D" w:rsidRPr="00394BB8">
        <w:rPr>
          <w:lang w:val="en-GB"/>
        </w:rPr>
        <w:t xml:space="preserve"> reform agenda</w:t>
      </w:r>
      <w:r w:rsidR="000F1E61">
        <w:rPr>
          <w:lang w:val="en-GB"/>
        </w:rPr>
        <w:t xml:space="preserve"> </w:t>
      </w:r>
      <w:r w:rsidR="00026914" w:rsidRPr="00394BB8">
        <w:rPr>
          <w:lang w:val="en-GB"/>
        </w:rPr>
        <w:t xml:space="preserve">remains a work in progress, </w:t>
      </w:r>
      <w:r w:rsidR="000F1E61" w:rsidRPr="00394BB8">
        <w:rPr>
          <w:lang w:val="en-GB"/>
        </w:rPr>
        <w:t xml:space="preserve">however, </w:t>
      </w:r>
      <w:r w:rsidR="00140E86" w:rsidRPr="00394BB8">
        <w:rPr>
          <w:lang w:val="en-GB"/>
        </w:rPr>
        <w:t>many</w:t>
      </w:r>
      <w:r w:rsidR="00026914" w:rsidRPr="00394BB8">
        <w:rPr>
          <w:lang w:val="en-GB"/>
        </w:rPr>
        <w:t xml:space="preserve"> reforms </w:t>
      </w:r>
      <w:r w:rsidR="000F1E61">
        <w:rPr>
          <w:lang w:val="en-GB"/>
        </w:rPr>
        <w:t xml:space="preserve">– </w:t>
      </w:r>
      <w:r w:rsidR="000F1E61" w:rsidRPr="00394BB8">
        <w:rPr>
          <w:lang w:val="en-GB"/>
        </w:rPr>
        <w:t>including a fully independent and strong judicial system</w:t>
      </w:r>
      <w:r w:rsidR="000F1E61">
        <w:rPr>
          <w:lang w:val="en-GB"/>
        </w:rPr>
        <w:t xml:space="preserve"> – </w:t>
      </w:r>
      <w:r w:rsidR="0073043C" w:rsidRPr="00394BB8">
        <w:rPr>
          <w:lang w:val="en-GB"/>
        </w:rPr>
        <w:t xml:space="preserve">having yet </w:t>
      </w:r>
      <w:r w:rsidR="00026914" w:rsidRPr="00394BB8">
        <w:rPr>
          <w:lang w:val="en-GB"/>
        </w:rPr>
        <w:t xml:space="preserve">to meet </w:t>
      </w:r>
      <w:r w:rsidR="0073043C" w:rsidRPr="00394BB8">
        <w:rPr>
          <w:lang w:val="en-GB"/>
        </w:rPr>
        <w:t>association agreement</w:t>
      </w:r>
      <w:r w:rsidR="00026914" w:rsidRPr="00394BB8">
        <w:rPr>
          <w:lang w:val="en-GB"/>
        </w:rPr>
        <w:t xml:space="preserve"> </w:t>
      </w:r>
      <w:r w:rsidR="00727AC8" w:rsidRPr="00394BB8">
        <w:rPr>
          <w:lang w:val="en-GB"/>
        </w:rPr>
        <w:t xml:space="preserve">and </w:t>
      </w:r>
      <w:r w:rsidR="00C7095B" w:rsidRPr="00394BB8">
        <w:rPr>
          <w:lang w:val="en-GB"/>
        </w:rPr>
        <w:t xml:space="preserve">other </w:t>
      </w:r>
      <w:r w:rsidR="00727AC8" w:rsidRPr="00394BB8">
        <w:rPr>
          <w:lang w:val="en-GB"/>
        </w:rPr>
        <w:t xml:space="preserve">international </w:t>
      </w:r>
      <w:r w:rsidR="00026914" w:rsidRPr="00394BB8">
        <w:rPr>
          <w:lang w:val="en-GB"/>
        </w:rPr>
        <w:t>obligations</w:t>
      </w:r>
      <w:r w:rsidR="006F51BC">
        <w:rPr>
          <w:lang w:val="en-GB"/>
        </w:rPr>
        <w:t>.</w:t>
      </w:r>
      <w:r w:rsidR="00A97AF6">
        <w:rPr>
          <w:lang w:val="en-GB"/>
        </w:rPr>
        <w:t xml:space="preserve"> UNDP should therefore remain actively engaged.</w:t>
      </w:r>
    </w:p>
    <w:p w14:paraId="7383CA7E" w14:textId="14F97FE8" w:rsidR="001341AB" w:rsidRPr="00394BB8" w:rsidRDefault="009574BE" w:rsidP="001A2475">
      <w:pPr>
        <w:pStyle w:val="ListParagraph"/>
        <w:numPr>
          <w:ilvl w:val="2"/>
          <w:numId w:val="6"/>
        </w:numPr>
        <w:tabs>
          <w:tab w:val="clear" w:pos="1422"/>
          <w:tab w:val="left" w:pos="720"/>
          <w:tab w:val="left" w:pos="990"/>
          <w:tab w:val="num" w:pos="1080"/>
          <w:tab w:val="left" w:pos="1530"/>
          <w:tab w:val="left" w:pos="2070"/>
          <w:tab w:val="left" w:pos="3360"/>
          <w:tab w:val="left" w:pos="3450"/>
          <w:tab w:val="left" w:pos="5220"/>
        </w:tabs>
        <w:autoSpaceDE w:val="0"/>
        <w:autoSpaceDN w:val="0"/>
        <w:adjustRightInd w:val="0"/>
        <w:spacing w:after="120"/>
        <w:ind w:left="720" w:firstLine="0"/>
        <w:jc w:val="both"/>
        <w:rPr>
          <w:lang w:val="en-GB"/>
        </w:rPr>
      </w:pPr>
      <w:r w:rsidRPr="00394BB8">
        <w:rPr>
          <w:lang w:val="en-GB"/>
        </w:rPr>
        <w:t>To respond to</w:t>
      </w:r>
      <w:r w:rsidR="00F6322A" w:rsidRPr="00394BB8">
        <w:rPr>
          <w:lang w:val="en-GB"/>
        </w:rPr>
        <w:t xml:space="preserve"> </w:t>
      </w:r>
      <w:r w:rsidR="00AD029D" w:rsidRPr="00394BB8">
        <w:rPr>
          <w:lang w:val="en-GB"/>
        </w:rPr>
        <w:t>labo</w:t>
      </w:r>
      <w:r w:rsidR="000F1E61">
        <w:rPr>
          <w:lang w:val="en-GB"/>
        </w:rPr>
        <w:t>u</w:t>
      </w:r>
      <w:r w:rsidR="00AD029D" w:rsidRPr="00394BB8">
        <w:rPr>
          <w:lang w:val="en-GB"/>
        </w:rPr>
        <w:t xml:space="preserve">r market </w:t>
      </w:r>
      <w:r w:rsidR="00F20AB1" w:rsidRPr="00394BB8">
        <w:rPr>
          <w:lang w:val="en-GB"/>
        </w:rPr>
        <w:t>challenges</w:t>
      </w:r>
      <w:r w:rsidRPr="00394BB8">
        <w:rPr>
          <w:lang w:val="en-GB"/>
        </w:rPr>
        <w:t>,</w:t>
      </w:r>
      <w:r w:rsidR="00F20AB1" w:rsidRPr="00394BB8">
        <w:rPr>
          <w:lang w:val="en-GB"/>
        </w:rPr>
        <w:t xml:space="preserve"> including</w:t>
      </w:r>
      <w:r w:rsidR="0073043C" w:rsidRPr="00394BB8">
        <w:rPr>
          <w:lang w:val="en-GB"/>
        </w:rPr>
        <w:t xml:space="preserve"> an uncompetitive labour force and</w:t>
      </w:r>
      <w:r w:rsidR="00F20AB1" w:rsidRPr="00394BB8">
        <w:rPr>
          <w:lang w:val="en-GB"/>
        </w:rPr>
        <w:t xml:space="preserve"> </w:t>
      </w:r>
      <w:r w:rsidRPr="00394BB8">
        <w:rPr>
          <w:lang w:val="en-GB"/>
        </w:rPr>
        <w:t xml:space="preserve">a </w:t>
      </w:r>
      <w:r w:rsidR="00AD029D" w:rsidRPr="00394BB8">
        <w:rPr>
          <w:lang w:val="en-GB"/>
        </w:rPr>
        <w:t xml:space="preserve">mismatch </w:t>
      </w:r>
      <w:r w:rsidRPr="00394BB8">
        <w:rPr>
          <w:lang w:val="en-GB"/>
        </w:rPr>
        <w:t>between suppl</w:t>
      </w:r>
      <w:r w:rsidR="000C261D" w:rsidRPr="00394BB8">
        <w:rPr>
          <w:lang w:val="en-GB"/>
        </w:rPr>
        <w:t>y and market demand for skills</w:t>
      </w:r>
      <w:r w:rsidR="00AD029D" w:rsidRPr="00394BB8">
        <w:rPr>
          <w:lang w:val="en-GB"/>
        </w:rPr>
        <w:t xml:space="preserve">, UNDP helped </w:t>
      </w:r>
      <w:r w:rsidR="001449ED" w:rsidRPr="00394BB8">
        <w:rPr>
          <w:lang w:val="en-GB"/>
        </w:rPr>
        <w:t>place</w:t>
      </w:r>
      <w:r w:rsidR="002C6ECA" w:rsidRPr="00394BB8">
        <w:rPr>
          <w:lang w:val="en-GB"/>
        </w:rPr>
        <w:t xml:space="preserve"> long-neglected</w:t>
      </w:r>
      <w:r w:rsidR="00AD029D" w:rsidRPr="00394BB8">
        <w:rPr>
          <w:lang w:val="en-GB"/>
        </w:rPr>
        <w:t xml:space="preserve"> </w:t>
      </w:r>
      <w:r w:rsidR="00F20AB1" w:rsidRPr="00394BB8">
        <w:rPr>
          <w:lang w:val="en-GB"/>
        </w:rPr>
        <w:t>v</w:t>
      </w:r>
      <w:r w:rsidR="00AD029D" w:rsidRPr="00394BB8">
        <w:rPr>
          <w:lang w:val="en-GB"/>
        </w:rPr>
        <w:t xml:space="preserve">ocational </w:t>
      </w:r>
      <w:r w:rsidR="00F20AB1" w:rsidRPr="00394BB8">
        <w:rPr>
          <w:lang w:val="en-GB"/>
        </w:rPr>
        <w:t>e</w:t>
      </w:r>
      <w:r w:rsidR="00AD029D" w:rsidRPr="00394BB8">
        <w:rPr>
          <w:lang w:val="en-GB"/>
        </w:rPr>
        <w:t>ducation</w:t>
      </w:r>
      <w:r w:rsidR="0087137B" w:rsidRPr="00394BB8">
        <w:rPr>
          <w:lang w:val="en-GB"/>
        </w:rPr>
        <w:t xml:space="preserve"> </w:t>
      </w:r>
      <w:r w:rsidR="00AD029D" w:rsidRPr="00394BB8">
        <w:rPr>
          <w:lang w:val="en-GB"/>
        </w:rPr>
        <w:t xml:space="preserve">as </w:t>
      </w:r>
      <w:r w:rsidR="0087137B" w:rsidRPr="00394BB8">
        <w:rPr>
          <w:lang w:val="en-GB"/>
        </w:rPr>
        <w:t>a priority</w:t>
      </w:r>
      <w:r w:rsidR="00AD029D" w:rsidRPr="00394BB8">
        <w:rPr>
          <w:lang w:val="en-GB"/>
        </w:rPr>
        <w:t xml:space="preserve"> </w:t>
      </w:r>
      <w:r w:rsidR="0087137B" w:rsidRPr="00394BB8">
        <w:rPr>
          <w:lang w:val="en-GB"/>
        </w:rPr>
        <w:t xml:space="preserve">in the economic </w:t>
      </w:r>
      <w:r w:rsidR="00AD029D" w:rsidRPr="00394BB8">
        <w:rPr>
          <w:lang w:val="en-GB"/>
        </w:rPr>
        <w:t>policy agenda</w:t>
      </w:r>
      <w:r w:rsidR="002C6ECA" w:rsidRPr="00394BB8">
        <w:rPr>
          <w:lang w:val="en-GB"/>
        </w:rPr>
        <w:t xml:space="preserve">. </w:t>
      </w:r>
    </w:p>
    <w:p w14:paraId="4F45166F" w14:textId="77D0AB86" w:rsidR="001341AB" w:rsidRPr="00394BB8" w:rsidRDefault="00AD029D" w:rsidP="001A2475">
      <w:pPr>
        <w:pStyle w:val="ListParagraph"/>
        <w:numPr>
          <w:ilvl w:val="2"/>
          <w:numId w:val="6"/>
        </w:numPr>
        <w:tabs>
          <w:tab w:val="left" w:pos="720"/>
          <w:tab w:val="num" w:pos="990"/>
          <w:tab w:val="left" w:pos="1530"/>
          <w:tab w:val="left" w:pos="2070"/>
          <w:tab w:val="left" w:pos="3360"/>
          <w:tab w:val="left" w:pos="3450"/>
          <w:tab w:val="left" w:pos="5220"/>
        </w:tabs>
        <w:autoSpaceDE w:val="0"/>
        <w:autoSpaceDN w:val="0"/>
        <w:adjustRightInd w:val="0"/>
        <w:spacing w:after="120"/>
        <w:ind w:left="720" w:firstLine="0"/>
        <w:jc w:val="both"/>
        <w:rPr>
          <w:lang w:val="en-GB"/>
        </w:rPr>
      </w:pPr>
      <w:r w:rsidRPr="00394BB8">
        <w:rPr>
          <w:lang w:val="en-GB"/>
        </w:rPr>
        <w:t>UNDP play</w:t>
      </w:r>
      <w:r w:rsidR="00705DBA" w:rsidRPr="00394BB8">
        <w:rPr>
          <w:lang w:val="en-GB"/>
        </w:rPr>
        <w:t>s</w:t>
      </w:r>
      <w:r w:rsidRPr="00394BB8">
        <w:rPr>
          <w:lang w:val="en-GB"/>
        </w:rPr>
        <w:t xml:space="preserve"> a </w:t>
      </w:r>
      <w:r w:rsidR="000F1E61" w:rsidRPr="00394BB8">
        <w:rPr>
          <w:lang w:val="en-GB"/>
        </w:rPr>
        <w:t>c</w:t>
      </w:r>
      <w:r w:rsidR="000F1E61">
        <w:rPr>
          <w:lang w:val="en-GB"/>
        </w:rPr>
        <w:t>ruci</w:t>
      </w:r>
      <w:r w:rsidR="000F1E61" w:rsidRPr="00394BB8">
        <w:rPr>
          <w:lang w:val="en-GB"/>
        </w:rPr>
        <w:t xml:space="preserve">al </w:t>
      </w:r>
      <w:r w:rsidRPr="00394BB8">
        <w:rPr>
          <w:lang w:val="en-GB"/>
        </w:rPr>
        <w:t xml:space="preserve">role in </w:t>
      </w:r>
      <w:r w:rsidR="00B5195B" w:rsidRPr="00394BB8">
        <w:rPr>
          <w:lang w:val="en-GB"/>
        </w:rPr>
        <w:t xml:space="preserve">helping </w:t>
      </w:r>
      <w:r w:rsidR="00705DBA" w:rsidRPr="00394BB8">
        <w:rPr>
          <w:lang w:val="en-GB"/>
        </w:rPr>
        <w:t xml:space="preserve">the </w:t>
      </w:r>
      <w:r w:rsidR="00B5195B" w:rsidRPr="00394BB8">
        <w:rPr>
          <w:lang w:val="en-GB"/>
        </w:rPr>
        <w:t>Government</w:t>
      </w:r>
      <w:r w:rsidRPr="00394BB8">
        <w:rPr>
          <w:lang w:val="en-GB"/>
        </w:rPr>
        <w:t xml:space="preserve"> </w:t>
      </w:r>
      <w:r w:rsidR="00B5195B" w:rsidRPr="00394BB8">
        <w:rPr>
          <w:lang w:val="en-GB"/>
        </w:rPr>
        <w:t>meet</w:t>
      </w:r>
      <w:r w:rsidRPr="00394BB8">
        <w:rPr>
          <w:lang w:val="en-GB"/>
        </w:rPr>
        <w:t xml:space="preserve"> </w:t>
      </w:r>
      <w:r w:rsidR="00705DBA" w:rsidRPr="00394BB8">
        <w:rPr>
          <w:lang w:val="en-GB"/>
        </w:rPr>
        <w:t xml:space="preserve">its </w:t>
      </w:r>
      <w:r w:rsidRPr="00394BB8">
        <w:rPr>
          <w:lang w:val="en-GB"/>
        </w:rPr>
        <w:t xml:space="preserve">obligations </w:t>
      </w:r>
      <w:r w:rsidR="00B5195B" w:rsidRPr="00394BB8">
        <w:rPr>
          <w:lang w:val="en-GB"/>
        </w:rPr>
        <w:t>for</w:t>
      </w:r>
      <w:r w:rsidR="00D47DA6" w:rsidRPr="00394BB8">
        <w:rPr>
          <w:lang w:val="en-GB"/>
        </w:rPr>
        <w:t xml:space="preserve"> e</w:t>
      </w:r>
      <w:r w:rsidRPr="00394BB8">
        <w:rPr>
          <w:lang w:val="en-GB"/>
        </w:rPr>
        <w:t xml:space="preserve">nvironmental </w:t>
      </w:r>
      <w:r w:rsidR="00B5195B" w:rsidRPr="00394BB8">
        <w:rPr>
          <w:lang w:val="en-GB"/>
        </w:rPr>
        <w:t>protection</w:t>
      </w:r>
      <w:r w:rsidR="00917E6E" w:rsidRPr="00394BB8">
        <w:rPr>
          <w:lang w:val="en-GB"/>
        </w:rPr>
        <w:t xml:space="preserve">, </w:t>
      </w:r>
      <w:r w:rsidR="00705DBA" w:rsidRPr="00394BB8">
        <w:rPr>
          <w:lang w:val="en-GB"/>
        </w:rPr>
        <w:t xml:space="preserve">providing </w:t>
      </w:r>
      <w:r w:rsidR="00B5195B" w:rsidRPr="00394BB8">
        <w:rPr>
          <w:lang w:val="en-GB"/>
        </w:rPr>
        <w:t>technical and a</w:t>
      </w:r>
      <w:r w:rsidRPr="00394BB8">
        <w:rPr>
          <w:lang w:val="en-GB"/>
        </w:rPr>
        <w:t xml:space="preserve">dvisory </w:t>
      </w:r>
      <w:r w:rsidR="00D47DA6" w:rsidRPr="00394BB8">
        <w:rPr>
          <w:lang w:val="en-GB"/>
        </w:rPr>
        <w:t>support</w:t>
      </w:r>
      <w:r w:rsidR="00F20AB1" w:rsidRPr="00394BB8">
        <w:rPr>
          <w:lang w:val="en-GB"/>
        </w:rPr>
        <w:t xml:space="preserve"> </w:t>
      </w:r>
      <w:r w:rsidR="00B5195B" w:rsidRPr="00394BB8">
        <w:rPr>
          <w:lang w:val="en-GB"/>
        </w:rPr>
        <w:t xml:space="preserve">for </w:t>
      </w:r>
      <w:r w:rsidR="000C261D" w:rsidRPr="00394BB8">
        <w:rPr>
          <w:lang w:val="en-GB"/>
        </w:rPr>
        <w:t xml:space="preserve">biodiversity </w:t>
      </w:r>
      <w:r w:rsidRPr="00394BB8">
        <w:rPr>
          <w:lang w:val="en-GB"/>
        </w:rPr>
        <w:t xml:space="preserve">conservation, sustainable use and </w:t>
      </w:r>
      <w:r w:rsidR="00D81404" w:rsidRPr="00394BB8">
        <w:rPr>
          <w:lang w:val="en-GB"/>
        </w:rPr>
        <w:t>m</w:t>
      </w:r>
      <w:r w:rsidRPr="00394BB8">
        <w:rPr>
          <w:lang w:val="en-GB"/>
        </w:rPr>
        <w:t>anagement of natural resources</w:t>
      </w:r>
      <w:r w:rsidR="0027700D" w:rsidRPr="00394BB8">
        <w:rPr>
          <w:lang w:val="en-GB"/>
        </w:rPr>
        <w:t xml:space="preserve">, </w:t>
      </w:r>
      <w:r w:rsidRPr="00394BB8">
        <w:rPr>
          <w:lang w:val="en-GB"/>
        </w:rPr>
        <w:t>reduction of hazardous chemical waste, climate change</w:t>
      </w:r>
      <w:r w:rsidR="009F6A1A">
        <w:rPr>
          <w:lang w:val="en-GB"/>
        </w:rPr>
        <w:t>-</w:t>
      </w:r>
      <w:r w:rsidRPr="00394BB8">
        <w:rPr>
          <w:lang w:val="en-GB"/>
        </w:rPr>
        <w:t>related risk</w:t>
      </w:r>
      <w:r w:rsidR="009270C0" w:rsidRPr="00394BB8">
        <w:rPr>
          <w:lang w:val="en-GB"/>
        </w:rPr>
        <w:t>s</w:t>
      </w:r>
      <w:r w:rsidR="00705DBA" w:rsidRPr="00394BB8">
        <w:rPr>
          <w:lang w:val="en-GB"/>
        </w:rPr>
        <w:t>,</w:t>
      </w:r>
      <w:r w:rsidR="009270C0" w:rsidRPr="00394BB8">
        <w:rPr>
          <w:lang w:val="en-GB"/>
        </w:rPr>
        <w:t xml:space="preserve"> and other thematic areas</w:t>
      </w:r>
      <w:r w:rsidR="009805AF" w:rsidRPr="00394BB8">
        <w:rPr>
          <w:lang w:val="en-GB"/>
        </w:rPr>
        <w:t xml:space="preserve">, including support to </w:t>
      </w:r>
      <w:r w:rsidR="00705DBA" w:rsidRPr="00394BB8">
        <w:rPr>
          <w:lang w:val="en-GB"/>
        </w:rPr>
        <w:t>n</w:t>
      </w:r>
      <w:r w:rsidR="00B5195B" w:rsidRPr="00394BB8">
        <w:rPr>
          <w:lang w:val="en-GB"/>
        </w:rPr>
        <w:t xml:space="preserve">ational </w:t>
      </w:r>
      <w:r w:rsidR="00705DBA" w:rsidRPr="00394BB8">
        <w:rPr>
          <w:lang w:val="en-GB"/>
        </w:rPr>
        <w:t>p</w:t>
      </w:r>
      <w:r w:rsidR="00B5195B" w:rsidRPr="00394BB8">
        <w:rPr>
          <w:lang w:val="en-GB"/>
        </w:rPr>
        <w:t>ark</w:t>
      </w:r>
      <w:r w:rsidR="003F796F" w:rsidRPr="00394BB8">
        <w:rPr>
          <w:lang w:val="en-GB"/>
        </w:rPr>
        <w:t>s</w:t>
      </w:r>
      <w:r w:rsidR="00B5195B" w:rsidRPr="00394BB8">
        <w:rPr>
          <w:lang w:val="en-GB"/>
        </w:rPr>
        <w:t>.</w:t>
      </w:r>
    </w:p>
    <w:p w14:paraId="26162E2F" w14:textId="3B5E4778" w:rsidR="00BC20D0" w:rsidRPr="00394BB8" w:rsidRDefault="003F796F" w:rsidP="0073043C">
      <w:pPr>
        <w:pStyle w:val="ListParagraph"/>
        <w:numPr>
          <w:ilvl w:val="2"/>
          <w:numId w:val="6"/>
        </w:numPr>
        <w:tabs>
          <w:tab w:val="left" w:pos="720"/>
          <w:tab w:val="num" w:pos="1080"/>
          <w:tab w:val="left" w:pos="1530"/>
          <w:tab w:val="left" w:pos="2070"/>
          <w:tab w:val="left" w:pos="3360"/>
          <w:tab w:val="left" w:pos="3450"/>
          <w:tab w:val="left" w:pos="5220"/>
        </w:tabs>
        <w:autoSpaceDE w:val="0"/>
        <w:autoSpaceDN w:val="0"/>
        <w:adjustRightInd w:val="0"/>
        <w:spacing w:after="120"/>
        <w:ind w:left="720" w:firstLine="0"/>
        <w:jc w:val="both"/>
        <w:rPr>
          <w:lang w:val="en-GB"/>
        </w:rPr>
      </w:pPr>
      <w:r w:rsidRPr="00394BB8">
        <w:rPr>
          <w:lang w:val="en-GB"/>
        </w:rPr>
        <w:t>A</w:t>
      </w:r>
      <w:r w:rsidR="00AD029D" w:rsidRPr="00394BB8">
        <w:rPr>
          <w:lang w:val="en-GB"/>
        </w:rPr>
        <w:t xml:space="preserve"> leader in confidence</w:t>
      </w:r>
      <w:r w:rsidR="00705DBA" w:rsidRPr="00394BB8">
        <w:rPr>
          <w:lang w:val="en-GB"/>
        </w:rPr>
        <w:t>-</w:t>
      </w:r>
      <w:r w:rsidR="00AD029D" w:rsidRPr="00394BB8">
        <w:rPr>
          <w:lang w:val="en-GB"/>
        </w:rPr>
        <w:t>building initiatives</w:t>
      </w:r>
      <w:r w:rsidR="000C5BD3" w:rsidRPr="00394BB8">
        <w:rPr>
          <w:lang w:val="en-GB"/>
        </w:rPr>
        <w:t xml:space="preserve">, </w:t>
      </w:r>
      <w:r w:rsidR="000C261D" w:rsidRPr="00394BB8">
        <w:rPr>
          <w:lang w:val="en-GB"/>
        </w:rPr>
        <w:t>including</w:t>
      </w:r>
      <w:r w:rsidR="009E0CDB" w:rsidRPr="00394BB8">
        <w:rPr>
          <w:lang w:val="en-GB"/>
        </w:rPr>
        <w:t xml:space="preserve"> the flagship </w:t>
      </w:r>
      <w:r w:rsidR="00705DBA" w:rsidRPr="00394BB8">
        <w:rPr>
          <w:lang w:val="en-GB"/>
        </w:rPr>
        <w:t>‘</w:t>
      </w:r>
      <w:r w:rsidR="009F6A1A">
        <w:rPr>
          <w:lang w:val="en-GB"/>
        </w:rPr>
        <w:t>c</w:t>
      </w:r>
      <w:r w:rsidR="009C1844" w:rsidRPr="00394BB8">
        <w:rPr>
          <w:lang w:val="en-GB"/>
        </w:rPr>
        <w:t>onfidence</w:t>
      </w:r>
      <w:r w:rsidR="00705DBA" w:rsidRPr="00394BB8">
        <w:rPr>
          <w:lang w:val="en-GB"/>
        </w:rPr>
        <w:t>-</w:t>
      </w:r>
      <w:r w:rsidR="009F6A1A">
        <w:rPr>
          <w:lang w:val="en-GB"/>
        </w:rPr>
        <w:t>b</w:t>
      </w:r>
      <w:r w:rsidR="009C1844" w:rsidRPr="00394BB8">
        <w:rPr>
          <w:lang w:val="en-GB"/>
        </w:rPr>
        <w:t xml:space="preserve">uilding </w:t>
      </w:r>
      <w:r w:rsidR="009F6A1A">
        <w:rPr>
          <w:lang w:val="en-GB"/>
        </w:rPr>
        <w:t>e</w:t>
      </w:r>
      <w:r w:rsidR="009C1844" w:rsidRPr="00394BB8">
        <w:rPr>
          <w:lang w:val="en-GB"/>
        </w:rPr>
        <w:t xml:space="preserve">arly </w:t>
      </w:r>
      <w:r w:rsidR="009F6A1A">
        <w:rPr>
          <w:lang w:val="en-GB"/>
        </w:rPr>
        <w:t>r</w:t>
      </w:r>
      <w:r w:rsidR="009C1844" w:rsidRPr="00394BB8">
        <w:rPr>
          <w:lang w:val="en-GB"/>
        </w:rPr>
        <w:t xml:space="preserve">esponse </w:t>
      </w:r>
      <w:r w:rsidR="009F6A1A">
        <w:rPr>
          <w:lang w:val="en-GB"/>
        </w:rPr>
        <w:t>m</w:t>
      </w:r>
      <w:r w:rsidR="009C1844" w:rsidRPr="00394BB8">
        <w:rPr>
          <w:lang w:val="en-GB"/>
        </w:rPr>
        <w:t>echanism</w:t>
      </w:r>
      <w:r w:rsidR="00705DBA" w:rsidRPr="00394BB8">
        <w:rPr>
          <w:lang w:val="en-GB"/>
        </w:rPr>
        <w:t>’</w:t>
      </w:r>
      <w:r w:rsidR="009E0CDB" w:rsidRPr="00394BB8">
        <w:rPr>
          <w:lang w:val="en-GB"/>
        </w:rPr>
        <w:t xml:space="preserve">, </w:t>
      </w:r>
      <w:r w:rsidR="000C5BD3" w:rsidRPr="00394BB8">
        <w:rPr>
          <w:lang w:val="en-GB"/>
        </w:rPr>
        <w:t>UNDP efforts</w:t>
      </w:r>
      <w:r w:rsidR="00AD029D" w:rsidRPr="00394BB8">
        <w:rPr>
          <w:lang w:val="en-GB"/>
        </w:rPr>
        <w:t xml:space="preserve"> served as a critical anchor</w:t>
      </w:r>
      <w:r w:rsidR="00F965C2" w:rsidRPr="00394BB8">
        <w:rPr>
          <w:lang w:val="en-GB"/>
        </w:rPr>
        <w:t xml:space="preserve"> in a turbulent regional environment</w:t>
      </w:r>
      <w:r w:rsidR="00AD029D" w:rsidRPr="00394BB8">
        <w:rPr>
          <w:lang w:val="en-GB"/>
        </w:rPr>
        <w:t xml:space="preserve"> to protect space for future transformational change in </w:t>
      </w:r>
      <w:r w:rsidR="00705DBA" w:rsidRPr="00394BB8">
        <w:rPr>
          <w:lang w:val="en-GB"/>
        </w:rPr>
        <w:t xml:space="preserve">the relationship between </w:t>
      </w:r>
      <w:r w:rsidR="00AD029D" w:rsidRPr="00394BB8">
        <w:rPr>
          <w:lang w:val="en-GB"/>
        </w:rPr>
        <w:t>Georgia</w:t>
      </w:r>
      <w:r w:rsidR="00705DBA" w:rsidRPr="00394BB8">
        <w:rPr>
          <w:lang w:val="en-GB"/>
        </w:rPr>
        <w:t xml:space="preserve"> and </w:t>
      </w:r>
      <w:r w:rsidR="00E45C97" w:rsidRPr="00394BB8">
        <w:rPr>
          <w:lang w:val="en-GB"/>
        </w:rPr>
        <w:t>de facto authorities</w:t>
      </w:r>
      <w:r w:rsidR="006F51BC">
        <w:rPr>
          <w:lang w:val="en-GB"/>
        </w:rPr>
        <w:t xml:space="preserve">, as well as among </w:t>
      </w:r>
      <w:r w:rsidR="00E45C97" w:rsidRPr="00394BB8">
        <w:rPr>
          <w:lang w:val="en-GB"/>
        </w:rPr>
        <w:t xml:space="preserve">local communities in </w:t>
      </w:r>
      <w:r w:rsidR="000C261D" w:rsidRPr="00394BB8">
        <w:rPr>
          <w:lang w:val="en-GB"/>
        </w:rPr>
        <w:t>conflict-</w:t>
      </w:r>
      <w:r w:rsidR="00C378F8" w:rsidRPr="00394BB8">
        <w:rPr>
          <w:lang w:val="en-GB"/>
        </w:rPr>
        <w:t>affected</w:t>
      </w:r>
      <w:r w:rsidR="00E45C97" w:rsidRPr="00394BB8">
        <w:rPr>
          <w:lang w:val="en-GB"/>
        </w:rPr>
        <w:t xml:space="preserve"> regions</w:t>
      </w:r>
      <w:r w:rsidR="00AD029D" w:rsidRPr="00394BB8">
        <w:rPr>
          <w:lang w:val="en-GB"/>
        </w:rPr>
        <w:t xml:space="preserve">. </w:t>
      </w:r>
    </w:p>
    <w:p w14:paraId="111CE9DA" w14:textId="72D05803" w:rsidR="00BC20D0" w:rsidRPr="00394BB8" w:rsidRDefault="003E461B" w:rsidP="0073043C">
      <w:pPr>
        <w:pStyle w:val="ListParagraph"/>
        <w:numPr>
          <w:ilvl w:val="2"/>
          <w:numId w:val="6"/>
        </w:numPr>
        <w:tabs>
          <w:tab w:val="left" w:pos="720"/>
          <w:tab w:val="num" w:pos="1080"/>
          <w:tab w:val="left" w:pos="1530"/>
          <w:tab w:val="left" w:pos="2070"/>
          <w:tab w:val="left" w:pos="3360"/>
          <w:tab w:val="left" w:pos="3450"/>
          <w:tab w:val="left" w:pos="5220"/>
        </w:tabs>
        <w:autoSpaceDE w:val="0"/>
        <w:autoSpaceDN w:val="0"/>
        <w:adjustRightInd w:val="0"/>
        <w:spacing w:after="120"/>
        <w:ind w:left="720" w:firstLine="0"/>
        <w:jc w:val="both"/>
        <w:rPr>
          <w:lang w:val="en-GB"/>
        </w:rPr>
      </w:pPr>
      <w:r w:rsidRPr="00394BB8">
        <w:rPr>
          <w:lang w:val="en-GB"/>
        </w:rPr>
        <w:t xml:space="preserve">Despite </w:t>
      </w:r>
      <w:r w:rsidR="00705DBA" w:rsidRPr="00394BB8">
        <w:rPr>
          <w:lang w:val="en-GB"/>
        </w:rPr>
        <w:t xml:space="preserve">positive </w:t>
      </w:r>
      <w:r w:rsidR="00582EA1" w:rsidRPr="00394BB8">
        <w:rPr>
          <w:lang w:val="en-GB"/>
        </w:rPr>
        <w:t>results</w:t>
      </w:r>
      <w:r w:rsidRPr="00394BB8">
        <w:rPr>
          <w:lang w:val="en-GB"/>
        </w:rPr>
        <w:t xml:space="preserve">, </w:t>
      </w:r>
      <w:r w:rsidR="00C45A93" w:rsidRPr="00394BB8">
        <w:rPr>
          <w:lang w:val="en-GB"/>
        </w:rPr>
        <w:t xml:space="preserve">review of </w:t>
      </w:r>
      <w:r w:rsidR="0027700D" w:rsidRPr="00394BB8">
        <w:rPr>
          <w:lang w:val="en-GB"/>
        </w:rPr>
        <w:t xml:space="preserve">the </w:t>
      </w:r>
      <w:r w:rsidR="00C45A93" w:rsidRPr="00394BB8">
        <w:rPr>
          <w:lang w:val="en-GB"/>
        </w:rPr>
        <w:t>2011-2015</w:t>
      </w:r>
      <w:r w:rsidRPr="00394BB8">
        <w:rPr>
          <w:lang w:val="en-GB"/>
        </w:rPr>
        <w:t xml:space="preserve"> </w:t>
      </w:r>
      <w:r w:rsidR="00C45A93" w:rsidRPr="00394BB8">
        <w:rPr>
          <w:lang w:val="en-GB"/>
        </w:rPr>
        <w:t xml:space="preserve">programme </w:t>
      </w:r>
      <w:r w:rsidR="00582EA1" w:rsidRPr="00394BB8">
        <w:rPr>
          <w:lang w:val="en-GB"/>
        </w:rPr>
        <w:t>identified opportunities</w:t>
      </w:r>
      <w:r w:rsidRPr="00394BB8">
        <w:rPr>
          <w:lang w:val="en-GB"/>
        </w:rPr>
        <w:t xml:space="preserve"> </w:t>
      </w:r>
      <w:r w:rsidR="00582EA1" w:rsidRPr="00394BB8">
        <w:rPr>
          <w:lang w:val="en-GB"/>
        </w:rPr>
        <w:t>for</w:t>
      </w:r>
      <w:r w:rsidRPr="00394BB8">
        <w:rPr>
          <w:lang w:val="en-GB"/>
        </w:rPr>
        <w:t xml:space="preserve"> </w:t>
      </w:r>
      <w:r w:rsidR="009F6A1A">
        <w:rPr>
          <w:lang w:val="en-GB"/>
        </w:rPr>
        <w:t>a sharper</w:t>
      </w:r>
      <w:r w:rsidR="009F6A1A" w:rsidRPr="00394BB8">
        <w:rPr>
          <w:lang w:val="en-GB"/>
        </w:rPr>
        <w:t xml:space="preserve"> </w:t>
      </w:r>
      <w:r w:rsidR="00C45A93" w:rsidRPr="00394BB8">
        <w:rPr>
          <w:lang w:val="en-GB"/>
        </w:rPr>
        <w:t xml:space="preserve">focus </w:t>
      </w:r>
      <w:r w:rsidR="009F6A1A">
        <w:rPr>
          <w:lang w:val="en-GB"/>
        </w:rPr>
        <w:t>o</w:t>
      </w:r>
      <w:r w:rsidR="00314886" w:rsidRPr="00394BB8">
        <w:rPr>
          <w:lang w:val="en-GB"/>
        </w:rPr>
        <w:t xml:space="preserve">n design, including </w:t>
      </w:r>
      <w:r w:rsidR="0052435E" w:rsidRPr="00394BB8">
        <w:rPr>
          <w:lang w:val="en-GB"/>
        </w:rPr>
        <w:t xml:space="preserve">scalability of </w:t>
      </w:r>
      <w:r w:rsidR="003A0F18" w:rsidRPr="00394BB8">
        <w:rPr>
          <w:lang w:val="en-GB"/>
        </w:rPr>
        <w:t>interventions</w:t>
      </w:r>
      <w:r w:rsidR="0052435E" w:rsidRPr="00394BB8">
        <w:rPr>
          <w:lang w:val="en-GB"/>
        </w:rPr>
        <w:t xml:space="preserve"> as a </w:t>
      </w:r>
      <w:r w:rsidR="00314886" w:rsidRPr="00394BB8">
        <w:rPr>
          <w:lang w:val="en-GB"/>
        </w:rPr>
        <w:t>condition</w:t>
      </w:r>
      <w:r w:rsidR="0052435E" w:rsidRPr="00394BB8">
        <w:rPr>
          <w:lang w:val="en-GB"/>
        </w:rPr>
        <w:t xml:space="preserve"> </w:t>
      </w:r>
      <w:r w:rsidR="00314886" w:rsidRPr="00394BB8">
        <w:rPr>
          <w:lang w:val="en-GB"/>
        </w:rPr>
        <w:t xml:space="preserve">for </w:t>
      </w:r>
      <w:r w:rsidR="00B8021C" w:rsidRPr="00394BB8">
        <w:rPr>
          <w:lang w:val="en-GB"/>
        </w:rPr>
        <w:t>change</w:t>
      </w:r>
      <w:r w:rsidR="0052435E" w:rsidRPr="00394BB8">
        <w:rPr>
          <w:lang w:val="en-GB"/>
        </w:rPr>
        <w:t xml:space="preserve">. </w:t>
      </w:r>
      <w:r w:rsidR="00023227" w:rsidRPr="00394BB8">
        <w:rPr>
          <w:lang w:val="en-GB"/>
        </w:rPr>
        <w:t>Facing complex challenges in Georgia</w:t>
      </w:r>
      <w:r w:rsidR="00705DBA" w:rsidRPr="00394BB8">
        <w:rPr>
          <w:lang w:val="en-GB"/>
        </w:rPr>
        <w:t>,</w:t>
      </w:r>
      <w:r w:rsidR="00023227" w:rsidRPr="00394BB8">
        <w:rPr>
          <w:lang w:val="en-GB"/>
        </w:rPr>
        <w:t xml:space="preserve"> with declining development resources and a multiplicity of actors, </w:t>
      </w:r>
      <w:r w:rsidR="00CA56E5" w:rsidRPr="00394BB8">
        <w:rPr>
          <w:lang w:val="en-GB"/>
        </w:rPr>
        <w:t xml:space="preserve">experience has demonstrated </w:t>
      </w:r>
      <w:r w:rsidR="00705DBA" w:rsidRPr="00394BB8">
        <w:rPr>
          <w:lang w:val="en-GB"/>
        </w:rPr>
        <w:t xml:space="preserve">that </w:t>
      </w:r>
      <w:r w:rsidR="00023227" w:rsidRPr="00394BB8">
        <w:rPr>
          <w:lang w:val="en-GB"/>
        </w:rPr>
        <w:t xml:space="preserve">UNDP </w:t>
      </w:r>
      <w:r w:rsidR="00CA56E5" w:rsidRPr="00394BB8">
        <w:rPr>
          <w:lang w:val="en-GB"/>
        </w:rPr>
        <w:t>achieves</w:t>
      </w:r>
      <w:r w:rsidR="00866F28">
        <w:rPr>
          <w:lang w:val="en-GB"/>
        </w:rPr>
        <w:t xml:space="preserve"> </w:t>
      </w:r>
      <w:r w:rsidR="00CA56E5" w:rsidRPr="00394BB8">
        <w:rPr>
          <w:lang w:val="en-GB"/>
        </w:rPr>
        <w:t>greate</w:t>
      </w:r>
      <w:r w:rsidR="009F6A1A">
        <w:rPr>
          <w:lang w:val="en-GB"/>
        </w:rPr>
        <w:t>r</w:t>
      </w:r>
      <w:r w:rsidR="00023227" w:rsidRPr="00394BB8">
        <w:rPr>
          <w:lang w:val="en-GB"/>
        </w:rPr>
        <w:t xml:space="preserve"> </w:t>
      </w:r>
      <w:r w:rsidR="00CA56E5" w:rsidRPr="00394BB8">
        <w:rPr>
          <w:lang w:val="en-GB"/>
        </w:rPr>
        <w:t>impact</w:t>
      </w:r>
      <w:r w:rsidR="00023227" w:rsidRPr="00394BB8">
        <w:rPr>
          <w:lang w:val="en-GB"/>
        </w:rPr>
        <w:t xml:space="preserve"> </w:t>
      </w:r>
      <w:r w:rsidR="00CA56E5" w:rsidRPr="00394BB8">
        <w:rPr>
          <w:lang w:val="en-GB"/>
        </w:rPr>
        <w:t>through robust partnerships</w:t>
      </w:r>
      <w:r w:rsidR="00023227" w:rsidRPr="00394BB8">
        <w:rPr>
          <w:lang w:val="en-GB"/>
        </w:rPr>
        <w:t>.</w:t>
      </w:r>
    </w:p>
    <w:p w14:paraId="0AAFC78D" w14:textId="37124E82" w:rsidR="00BC20D0" w:rsidRPr="00394BB8" w:rsidRDefault="0052435E" w:rsidP="0073043C">
      <w:pPr>
        <w:pStyle w:val="ListParagraph"/>
        <w:numPr>
          <w:ilvl w:val="2"/>
          <w:numId w:val="6"/>
        </w:numPr>
        <w:tabs>
          <w:tab w:val="left" w:pos="720"/>
          <w:tab w:val="num" w:pos="1080"/>
          <w:tab w:val="left" w:pos="1530"/>
          <w:tab w:val="left" w:pos="2070"/>
          <w:tab w:val="left" w:pos="3360"/>
          <w:tab w:val="left" w:pos="3450"/>
          <w:tab w:val="left" w:pos="5220"/>
        </w:tabs>
        <w:autoSpaceDE w:val="0"/>
        <w:autoSpaceDN w:val="0"/>
        <w:adjustRightInd w:val="0"/>
        <w:spacing w:after="120"/>
        <w:ind w:left="720" w:firstLine="0"/>
        <w:jc w:val="both"/>
        <w:rPr>
          <w:lang w:val="en-GB"/>
        </w:rPr>
      </w:pPr>
      <w:r w:rsidRPr="00394BB8">
        <w:rPr>
          <w:lang w:val="en-GB"/>
        </w:rPr>
        <w:t xml:space="preserve">UNDP supported </w:t>
      </w:r>
      <w:r w:rsidR="00B8021C" w:rsidRPr="00394BB8">
        <w:rPr>
          <w:lang w:val="en-GB"/>
        </w:rPr>
        <w:t xml:space="preserve">successful </w:t>
      </w:r>
      <w:r w:rsidR="003E461B" w:rsidRPr="00394BB8">
        <w:rPr>
          <w:lang w:val="en-GB"/>
        </w:rPr>
        <w:t xml:space="preserve">employment </w:t>
      </w:r>
      <w:r w:rsidR="00B8021C" w:rsidRPr="00394BB8">
        <w:rPr>
          <w:lang w:val="en-GB"/>
        </w:rPr>
        <w:t xml:space="preserve">initiatives </w:t>
      </w:r>
      <w:r w:rsidR="003E461B" w:rsidRPr="00394BB8">
        <w:rPr>
          <w:lang w:val="en-GB"/>
        </w:rPr>
        <w:t>and social service</w:t>
      </w:r>
      <w:r w:rsidR="00C45A93" w:rsidRPr="00394BB8">
        <w:rPr>
          <w:lang w:val="en-GB"/>
        </w:rPr>
        <w:t>s</w:t>
      </w:r>
      <w:r w:rsidR="00B8021C" w:rsidRPr="00394BB8">
        <w:rPr>
          <w:lang w:val="en-GB"/>
        </w:rPr>
        <w:t xml:space="preserve"> </w:t>
      </w:r>
      <w:r w:rsidR="003E461B" w:rsidRPr="00394BB8">
        <w:rPr>
          <w:lang w:val="en-GB"/>
        </w:rPr>
        <w:t xml:space="preserve">for </w:t>
      </w:r>
      <w:r w:rsidR="00705DBA" w:rsidRPr="00394BB8">
        <w:rPr>
          <w:lang w:val="en-GB"/>
        </w:rPr>
        <w:t>internally displaced pe</w:t>
      </w:r>
      <w:r w:rsidR="00D81404" w:rsidRPr="00394BB8">
        <w:rPr>
          <w:lang w:val="en-GB"/>
        </w:rPr>
        <w:t>rsons</w:t>
      </w:r>
      <w:r w:rsidR="00705DBA" w:rsidRPr="00394BB8">
        <w:rPr>
          <w:lang w:val="en-GB"/>
        </w:rPr>
        <w:t xml:space="preserve"> </w:t>
      </w:r>
      <w:r w:rsidR="00314886" w:rsidRPr="00394BB8">
        <w:rPr>
          <w:lang w:val="en-GB"/>
        </w:rPr>
        <w:t xml:space="preserve">which were not </w:t>
      </w:r>
      <w:r w:rsidR="003F796F" w:rsidRPr="00394BB8">
        <w:rPr>
          <w:lang w:val="en-GB"/>
        </w:rPr>
        <w:t xml:space="preserve">always </w:t>
      </w:r>
      <w:r w:rsidR="00F965C2" w:rsidRPr="00394BB8">
        <w:rPr>
          <w:lang w:val="en-GB"/>
        </w:rPr>
        <w:t>taken up</w:t>
      </w:r>
      <w:r w:rsidR="003E461B" w:rsidRPr="00394BB8">
        <w:rPr>
          <w:lang w:val="en-GB"/>
        </w:rPr>
        <w:t xml:space="preserve"> </w:t>
      </w:r>
      <w:r w:rsidR="000D7B6F" w:rsidRPr="00394BB8">
        <w:rPr>
          <w:lang w:val="en-GB"/>
        </w:rPr>
        <w:t>nationally</w:t>
      </w:r>
      <w:r w:rsidR="003E461B" w:rsidRPr="00394BB8">
        <w:rPr>
          <w:lang w:val="en-GB"/>
        </w:rPr>
        <w:t xml:space="preserve"> </w:t>
      </w:r>
      <w:r w:rsidR="00314886" w:rsidRPr="00394BB8">
        <w:rPr>
          <w:lang w:val="en-GB"/>
        </w:rPr>
        <w:t xml:space="preserve">for </w:t>
      </w:r>
      <w:r w:rsidR="00AF51CF" w:rsidRPr="00394BB8">
        <w:rPr>
          <w:lang w:val="en-GB"/>
        </w:rPr>
        <w:t>sys</w:t>
      </w:r>
      <w:r w:rsidR="00314886" w:rsidRPr="00394BB8">
        <w:rPr>
          <w:lang w:val="en-GB"/>
        </w:rPr>
        <w:t>temic impact. Me</w:t>
      </w:r>
      <w:r w:rsidR="00AF51CF" w:rsidRPr="00394BB8">
        <w:rPr>
          <w:lang w:val="en-GB"/>
        </w:rPr>
        <w:t>aningful e</w:t>
      </w:r>
      <w:r w:rsidR="003E461B" w:rsidRPr="00394BB8">
        <w:rPr>
          <w:lang w:val="en-GB"/>
        </w:rPr>
        <w:t>ngagement of civil society</w:t>
      </w:r>
      <w:r w:rsidR="00A70E16" w:rsidRPr="00394BB8">
        <w:rPr>
          <w:lang w:val="en-GB"/>
        </w:rPr>
        <w:t xml:space="preserve"> </w:t>
      </w:r>
      <w:r w:rsidR="00314886" w:rsidRPr="00394BB8">
        <w:rPr>
          <w:lang w:val="en-GB"/>
        </w:rPr>
        <w:t>in policy</w:t>
      </w:r>
      <w:r w:rsidR="00705DBA" w:rsidRPr="00394BB8">
        <w:rPr>
          <w:lang w:val="en-GB"/>
        </w:rPr>
        <w:t>-</w:t>
      </w:r>
      <w:r w:rsidR="00314886" w:rsidRPr="00394BB8">
        <w:rPr>
          <w:lang w:val="en-GB"/>
        </w:rPr>
        <w:t xml:space="preserve"> and decision-making remains another </w:t>
      </w:r>
      <w:r w:rsidR="00D677DA" w:rsidRPr="00394BB8">
        <w:rPr>
          <w:lang w:val="en-GB"/>
        </w:rPr>
        <w:t>challenge</w:t>
      </w:r>
      <w:r w:rsidR="00314886" w:rsidRPr="00394BB8">
        <w:rPr>
          <w:lang w:val="en-GB"/>
        </w:rPr>
        <w:t xml:space="preserve">, </w:t>
      </w:r>
      <w:r w:rsidR="001D7BC7" w:rsidRPr="00394BB8">
        <w:rPr>
          <w:lang w:val="en-GB"/>
        </w:rPr>
        <w:t>especially in peacebuilding work</w:t>
      </w:r>
      <w:r w:rsidR="00AF51CF" w:rsidRPr="00394BB8">
        <w:rPr>
          <w:lang w:val="en-GB"/>
        </w:rPr>
        <w:t xml:space="preserve">. </w:t>
      </w:r>
      <w:r w:rsidR="005D5EA9" w:rsidRPr="00394BB8">
        <w:rPr>
          <w:lang w:val="en-GB"/>
        </w:rPr>
        <w:t>W</w:t>
      </w:r>
      <w:r w:rsidR="00314886" w:rsidRPr="00394BB8">
        <w:rPr>
          <w:lang w:val="en-GB"/>
        </w:rPr>
        <w:t>hile public sector</w:t>
      </w:r>
      <w:r w:rsidR="00AF51CF" w:rsidRPr="00394BB8">
        <w:rPr>
          <w:lang w:val="en-GB"/>
        </w:rPr>
        <w:t xml:space="preserve"> c</w:t>
      </w:r>
      <w:r w:rsidR="003E461B" w:rsidRPr="00394BB8">
        <w:rPr>
          <w:lang w:val="en-GB"/>
        </w:rPr>
        <w:t>apacity development</w:t>
      </w:r>
      <w:r w:rsidR="007D105E" w:rsidRPr="00394BB8">
        <w:rPr>
          <w:lang w:val="en-GB"/>
        </w:rPr>
        <w:t xml:space="preserve"> </w:t>
      </w:r>
      <w:r w:rsidR="00D677DA" w:rsidRPr="00394BB8">
        <w:rPr>
          <w:lang w:val="en-GB"/>
        </w:rPr>
        <w:t>has</w:t>
      </w:r>
      <w:r w:rsidR="00314886" w:rsidRPr="00394BB8">
        <w:rPr>
          <w:lang w:val="en-GB"/>
        </w:rPr>
        <w:t xml:space="preserve"> </w:t>
      </w:r>
      <w:r w:rsidR="00515733" w:rsidRPr="00394BB8">
        <w:rPr>
          <w:lang w:val="en-GB"/>
        </w:rPr>
        <w:t>delivered</w:t>
      </w:r>
      <w:r w:rsidR="00314886" w:rsidRPr="00394BB8">
        <w:rPr>
          <w:lang w:val="en-GB"/>
        </w:rPr>
        <w:t xml:space="preserve"> results</w:t>
      </w:r>
      <w:r w:rsidR="007D105E" w:rsidRPr="00394BB8">
        <w:rPr>
          <w:lang w:val="en-GB"/>
        </w:rPr>
        <w:t xml:space="preserve">, </w:t>
      </w:r>
      <w:r w:rsidR="0027700D" w:rsidRPr="00394BB8">
        <w:rPr>
          <w:lang w:val="en-GB"/>
        </w:rPr>
        <w:t xml:space="preserve">full </w:t>
      </w:r>
      <w:r w:rsidR="003E461B" w:rsidRPr="00394BB8">
        <w:rPr>
          <w:lang w:val="en-GB"/>
        </w:rPr>
        <w:t xml:space="preserve">public administration reform </w:t>
      </w:r>
      <w:r w:rsidR="000D7B6F" w:rsidRPr="00394BB8">
        <w:rPr>
          <w:lang w:val="en-GB"/>
        </w:rPr>
        <w:t>awaits</w:t>
      </w:r>
      <w:r w:rsidR="003E461B" w:rsidRPr="00394BB8">
        <w:rPr>
          <w:lang w:val="en-GB"/>
        </w:rPr>
        <w:t>.</w:t>
      </w:r>
      <w:r w:rsidR="00702617" w:rsidRPr="00394BB8">
        <w:rPr>
          <w:lang w:val="en-GB"/>
        </w:rPr>
        <w:t xml:space="preserve"> </w:t>
      </w:r>
      <w:r w:rsidR="00FC6723" w:rsidRPr="00394BB8">
        <w:rPr>
          <w:lang w:val="en-GB"/>
        </w:rPr>
        <w:t xml:space="preserve">UNDP </w:t>
      </w:r>
      <w:r w:rsidR="00705DBA" w:rsidRPr="00394BB8">
        <w:rPr>
          <w:lang w:val="en-GB"/>
        </w:rPr>
        <w:t xml:space="preserve">will </w:t>
      </w:r>
      <w:r w:rsidR="00FC6723" w:rsidRPr="00394BB8">
        <w:rPr>
          <w:lang w:val="en-GB"/>
        </w:rPr>
        <w:t xml:space="preserve">continue </w:t>
      </w:r>
      <w:r w:rsidR="00732C4D" w:rsidRPr="00394BB8">
        <w:rPr>
          <w:lang w:val="en-GB"/>
        </w:rPr>
        <w:t>to focus on</w:t>
      </w:r>
      <w:r w:rsidR="00FC6723" w:rsidRPr="00394BB8">
        <w:rPr>
          <w:lang w:val="en-GB"/>
        </w:rPr>
        <w:t xml:space="preserve"> democr</w:t>
      </w:r>
      <w:r w:rsidR="00D677DA" w:rsidRPr="00394BB8">
        <w:rPr>
          <w:lang w:val="en-GB"/>
        </w:rPr>
        <w:t xml:space="preserve">atic balance and </w:t>
      </w:r>
      <w:r w:rsidR="00732C4D" w:rsidRPr="00394BB8">
        <w:rPr>
          <w:lang w:val="en-GB"/>
        </w:rPr>
        <w:t>public</w:t>
      </w:r>
      <w:r w:rsidR="00705DBA" w:rsidRPr="00394BB8">
        <w:rPr>
          <w:lang w:val="en-GB"/>
        </w:rPr>
        <w:t>-</w:t>
      </w:r>
      <w:r w:rsidR="00732C4D" w:rsidRPr="00394BB8">
        <w:rPr>
          <w:lang w:val="en-GB"/>
        </w:rPr>
        <w:t>sector</w:t>
      </w:r>
      <w:r w:rsidR="005E7AC4" w:rsidRPr="00394BB8">
        <w:rPr>
          <w:lang w:val="en-GB"/>
        </w:rPr>
        <w:t xml:space="preserve"> </w:t>
      </w:r>
      <w:r w:rsidR="00FC6723" w:rsidRPr="00394BB8">
        <w:rPr>
          <w:lang w:val="en-GB"/>
        </w:rPr>
        <w:t xml:space="preserve">skills development </w:t>
      </w:r>
      <w:r w:rsidR="00732C4D" w:rsidRPr="00394BB8">
        <w:rPr>
          <w:lang w:val="en-GB"/>
        </w:rPr>
        <w:t>across</w:t>
      </w:r>
      <w:r w:rsidR="00FC6723" w:rsidRPr="00394BB8">
        <w:rPr>
          <w:lang w:val="en-GB"/>
        </w:rPr>
        <w:t xml:space="preserve"> government. </w:t>
      </w:r>
      <w:r w:rsidR="00CE4B5B" w:rsidRPr="00394BB8">
        <w:rPr>
          <w:lang w:val="en-GB"/>
        </w:rPr>
        <w:t>At the same time</w:t>
      </w:r>
      <w:r w:rsidR="00D677DA" w:rsidRPr="00394BB8">
        <w:rPr>
          <w:lang w:val="en-GB"/>
        </w:rPr>
        <w:t>,</w:t>
      </w:r>
      <w:r w:rsidR="00CE4B5B" w:rsidRPr="00394BB8">
        <w:rPr>
          <w:lang w:val="en-GB"/>
        </w:rPr>
        <w:t xml:space="preserve"> more investments are essential fo</w:t>
      </w:r>
      <w:r w:rsidR="009033DB" w:rsidRPr="00394BB8">
        <w:rPr>
          <w:lang w:val="en-GB"/>
        </w:rPr>
        <w:t>r building capacities in gender</w:t>
      </w:r>
      <w:r w:rsidR="00705DBA" w:rsidRPr="00394BB8">
        <w:rPr>
          <w:lang w:val="en-GB"/>
        </w:rPr>
        <w:t>-</w:t>
      </w:r>
      <w:r w:rsidR="00CE4B5B" w:rsidRPr="00394BB8">
        <w:rPr>
          <w:lang w:val="en-GB"/>
        </w:rPr>
        <w:t xml:space="preserve"> an</w:t>
      </w:r>
      <w:r w:rsidR="00740AB2" w:rsidRPr="00394BB8">
        <w:rPr>
          <w:lang w:val="en-GB"/>
        </w:rPr>
        <w:t>d evidence-based policymaking.</w:t>
      </w:r>
    </w:p>
    <w:p w14:paraId="05E7112E" w14:textId="356FDC34" w:rsidR="00FF1751" w:rsidRPr="00394BB8" w:rsidRDefault="00404A51" w:rsidP="0073043C">
      <w:pPr>
        <w:pStyle w:val="ListParagraph"/>
        <w:numPr>
          <w:ilvl w:val="2"/>
          <w:numId w:val="6"/>
        </w:numPr>
        <w:tabs>
          <w:tab w:val="left" w:pos="720"/>
          <w:tab w:val="num" w:pos="1080"/>
          <w:tab w:val="left" w:pos="1530"/>
          <w:tab w:val="left" w:pos="2070"/>
          <w:tab w:val="left" w:pos="3360"/>
          <w:tab w:val="left" w:pos="3450"/>
          <w:tab w:val="left" w:pos="5220"/>
        </w:tabs>
        <w:autoSpaceDE w:val="0"/>
        <w:autoSpaceDN w:val="0"/>
        <w:adjustRightInd w:val="0"/>
        <w:spacing w:after="240"/>
        <w:ind w:left="720" w:firstLine="0"/>
        <w:contextualSpacing/>
        <w:jc w:val="both"/>
        <w:rPr>
          <w:lang w:val="en-GB"/>
        </w:rPr>
      </w:pPr>
      <w:r w:rsidRPr="00394BB8">
        <w:rPr>
          <w:b/>
          <w:i/>
          <w:lang w:val="en-GB"/>
        </w:rPr>
        <w:t xml:space="preserve">Renewed </w:t>
      </w:r>
      <w:r w:rsidR="003E461B" w:rsidRPr="00394BB8">
        <w:rPr>
          <w:b/>
          <w:i/>
          <w:lang w:val="en-GB"/>
        </w:rPr>
        <w:t>vision and alignment.</w:t>
      </w:r>
      <w:r w:rsidR="00515733" w:rsidRPr="00394BB8">
        <w:rPr>
          <w:b/>
          <w:lang w:val="en-GB"/>
        </w:rPr>
        <w:t xml:space="preserve"> </w:t>
      </w:r>
      <w:r w:rsidR="00241763" w:rsidRPr="00394BB8">
        <w:rPr>
          <w:lang w:val="en-GB"/>
        </w:rPr>
        <w:t>This</w:t>
      </w:r>
      <w:r w:rsidR="003E461B" w:rsidRPr="00394BB8">
        <w:rPr>
          <w:lang w:val="en-GB"/>
        </w:rPr>
        <w:t xml:space="preserve"> </w:t>
      </w:r>
      <w:r w:rsidR="007D5026" w:rsidRPr="00394BB8">
        <w:rPr>
          <w:lang w:val="en-GB"/>
        </w:rPr>
        <w:t xml:space="preserve">draft </w:t>
      </w:r>
      <w:r w:rsidR="00705DBA" w:rsidRPr="00394BB8">
        <w:rPr>
          <w:lang w:val="en-GB"/>
        </w:rPr>
        <w:t xml:space="preserve">country programme document </w:t>
      </w:r>
      <w:r w:rsidR="003E461B" w:rsidRPr="00394BB8">
        <w:rPr>
          <w:lang w:val="en-GB"/>
        </w:rPr>
        <w:t xml:space="preserve">is aligned </w:t>
      </w:r>
      <w:r w:rsidR="00296BB7" w:rsidRPr="00394BB8">
        <w:rPr>
          <w:lang w:val="en-GB"/>
        </w:rPr>
        <w:t>with</w:t>
      </w:r>
      <w:r w:rsidR="003E461B" w:rsidRPr="00394BB8">
        <w:rPr>
          <w:lang w:val="en-GB"/>
        </w:rPr>
        <w:t xml:space="preserve"> national priorities for 2016-2020</w:t>
      </w:r>
      <w:r w:rsidR="00DF03E1" w:rsidRPr="00394BB8">
        <w:rPr>
          <w:lang w:val="en-GB"/>
        </w:rPr>
        <w:t xml:space="preserve"> as well as </w:t>
      </w:r>
      <w:r w:rsidR="00705DBA" w:rsidRPr="00394BB8">
        <w:rPr>
          <w:lang w:val="en-GB"/>
        </w:rPr>
        <w:t>with the UNDP s</w:t>
      </w:r>
      <w:r w:rsidR="003E461B" w:rsidRPr="00394BB8">
        <w:rPr>
          <w:lang w:val="en-GB"/>
        </w:rPr>
        <w:t xml:space="preserve">trategic </w:t>
      </w:r>
      <w:r w:rsidR="00705DBA" w:rsidRPr="00394BB8">
        <w:rPr>
          <w:lang w:val="en-GB"/>
        </w:rPr>
        <w:t>p</w:t>
      </w:r>
      <w:r w:rsidR="0087219F" w:rsidRPr="00394BB8">
        <w:rPr>
          <w:lang w:val="en-GB"/>
        </w:rPr>
        <w:t>lan</w:t>
      </w:r>
      <w:r w:rsidR="00705DBA" w:rsidRPr="00394BB8">
        <w:rPr>
          <w:lang w:val="en-GB"/>
        </w:rPr>
        <w:t>,</w:t>
      </w:r>
      <w:r w:rsidR="003E461B" w:rsidRPr="00394BB8">
        <w:rPr>
          <w:lang w:val="en-GB"/>
        </w:rPr>
        <w:t xml:space="preserve"> 2014-2017, </w:t>
      </w:r>
      <w:r w:rsidR="009F6A1A">
        <w:rPr>
          <w:lang w:val="en-GB"/>
        </w:rPr>
        <w:t>the United </w:t>
      </w:r>
      <w:r w:rsidR="00705DBA" w:rsidRPr="00394BB8">
        <w:rPr>
          <w:lang w:val="en-GB"/>
        </w:rPr>
        <w:t xml:space="preserve">Nations </w:t>
      </w:r>
      <w:r w:rsidR="00F6655A" w:rsidRPr="00394BB8">
        <w:rPr>
          <w:lang w:val="en-GB"/>
        </w:rPr>
        <w:t>Partnership for Sustainable Development</w:t>
      </w:r>
      <w:r w:rsidR="00705DBA" w:rsidRPr="00394BB8">
        <w:rPr>
          <w:lang w:val="en-GB"/>
        </w:rPr>
        <w:t>,</w:t>
      </w:r>
      <w:r w:rsidR="003E461B" w:rsidRPr="00394BB8">
        <w:rPr>
          <w:lang w:val="en-GB"/>
        </w:rPr>
        <w:t xml:space="preserve"> 2016-2020</w:t>
      </w:r>
      <w:r w:rsidR="00705DBA" w:rsidRPr="00394BB8">
        <w:rPr>
          <w:lang w:val="en-GB"/>
        </w:rPr>
        <w:t>,</w:t>
      </w:r>
      <w:r w:rsidR="0096563B" w:rsidRPr="00394BB8">
        <w:rPr>
          <w:lang w:val="en-GB"/>
        </w:rPr>
        <w:t xml:space="preserve"> and </w:t>
      </w:r>
      <w:r w:rsidR="00C01962" w:rsidRPr="00394BB8">
        <w:rPr>
          <w:lang w:val="en-GB"/>
        </w:rPr>
        <w:t xml:space="preserve">the </w:t>
      </w:r>
      <w:r w:rsidR="003E461B" w:rsidRPr="00394BB8">
        <w:rPr>
          <w:lang w:val="en-GB"/>
        </w:rPr>
        <w:t>comparative advantage</w:t>
      </w:r>
      <w:r w:rsidR="00241763" w:rsidRPr="00394BB8">
        <w:rPr>
          <w:lang w:val="en-GB"/>
        </w:rPr>
        <w:t xml:space="preserve">s </w:t>
      </w:r>
      <w:r w:rsidR="003E461B" w:rsidRPr="00394BB8">
        <w:rPr>
          <w:lang w:val="en-GB"/>
        </w:rPr>
        <w:t xml:space="preserve">of UNDP. </w:t>
      </w:r>
      <w:r w:rsidR="00515733" w:rsidRPr="00394BB8">
        <w:rPr>
          <w:lang w:val="en-GB"/>
        </w:rPr>
        <w:t xml:space="preserve">National strategies reflected include </w:t>
      </w:r>
      <w:r w:rsidR="00705DBA" w:rsidRPr="00394BB8">
        <w:rPr>
          <w:lang w:val="en-GB"/>
        </w:rPr>
        <w:t>the Georgia s</w:t>
      </w:r>
      <w:r w:rsidR="00515733" w:rsidRPr="00394BB8">
        <w:rPr>
          <w:lang w:val="en-GB"/>
        </w:rPr>
        <w:t>ocio-</w:t>
      </w:r>
      <w:r w:rsidR="00705DBA" w:rsidRPr="00394BB8">
        <w:rPr>
          <w:lang w:val="en-GB"/>
        </w:rPr>
        <w:t>e</w:t>
      </w:r>
      <w:r w:rsidR="00515733" w:rsidRPr="00394BB8">
        <w:rPr>
          <w:lang w:val="en-GB"/>
        </w:rPr>
        <w:t xml:space="preserve">conomic </w:t>
      </w:r>
      <w:r w:rsidR="00705DBA" w:rsidRPr="00394BB8">
        <w:rPr>
          <w:lang w:val="en-GB"/>
        </w:rPr>
        <w:t>d</w:t>
      </w:r>
      <w:r w:rsidR="00515733" w:rsidRPr="00394BB8">
        <w:rPr>
          <w:lang w:val="en-GB"/>
        </w:rPr>
        <w:t xml:space="preserve">evelopment </w:t>
      </w:r>
      <w:r w:rsidR="00705DBA" w:rsidRPr="00394BB8">
        <w:rPr>
          <w:lang w:val="en-GB"/>
        </w:rPr>
        <w:t>p</w:t>
      </w:r>
      <w:r w:rsidR="0087219F" w:rsidRPr="00394BB8">
        <w:rPr>
          <w:lang w:val="en-GB"/>
        </w:rPr>
        <w:t>lan</w:t>
      </w:r>
      <w:r w:rsidR="00705DBA" w:rsidRPr="00394BB8">
        <w:rPr>
          <w:lang w:val="en-GB"/>
        </w:rPr>
        <w:t>,</w:t>
      </w:r>
      <w:r w:rsidR="006D5CC0" w:rsidRPr="00394BB8">
        <w:rPr>
          <w:lang w:val="en-GB"/>
        </w:rPr>
        <w:t xml:space="preserve"> 2020</w:t>
      </w:r>
      <w:r w:rsidR="00515733" w:rsidRPr="00394BB8">
        <w:rPr>
          <w:lang w:val="en-GB"/>
        </w:rPr>
        <w:t xml:space="preserve">, </w:t>
      </w:r>
      <w:r w:rsidR="0087219F" w:rsidRPr="00394BB8">
        <w:rPr>
          <w:lang w:val="en-GB"/>
        </w:rPr>
        <w:t>the</w:t>
      </w:r>
      <w:r w:rsidR="00515733" w:rsidRPr="00394BB8">
        <w:rPr>
          <w:lang w:val="en-GB"/>
        </w:rPr>
        <w:t xml:space="preserve"> </w:t>
      </w:r>
      <w:r w:rsidR="00705DBA" w:rsidRPr="00394BB8">
        <w:rPr>
          <w:lang w:val="en-GB"/>
        </w:rPr>
        <w:t>g</w:t>
      </w:r>
      <w:r w:rsidR="00515733" w:rsidRPr="00394BB8">
        <w:rPr>
          <w:lang w:val="en-GB"/>
        </w:rPr>
        <w:t xml:space="preserve">overnmental </w:t>
      </w:r>
      <w:r w:rsidR="00705DBA" w:rsidRPr="00394BB8">
        <w:rPr>
          <w:lang w:val="en-GB"/>
        </w:rPr>
        <w:t>p</w:t>
      </w:r>
      <w:r w:rsidR="00515733" w:rsidRPr="00394BB8">
        <w:rPr>
          <w:lang w:val="en-GB"/>
        </w:rPr>
        <w:t xml:space="preserve">rogramme, </w:t>
      </w:r>
      <w:r w:rsidR="00705DBA" w:rsidRPr="00394BB8">
        <w:rPr>
          <w:lang w:val="en-GB"/>
        </w:rPr>
        <w:t xml:space="preserve">2014, </w:t>
      </w:r>
      <w:r w:rsidR="00515733" w:rsidRPr="00394BB8">
        <w:rPr>
          <w:lang w:val="en-GB"/>
        </w:rPr>
        <w:t xml:space="preserve">and the </w:t>
      </w:r>
      <w:r w:rsidR="00705DBA" w:rsidRPr="00394BB8">
        <w:rPr>
          <w:lang w:val="en-GB"/>
        </w:rPr>
        <w:t>n</w:t>
      </w:r>
      <w:r w:rsidR="00515733" w:rsidRPr="00394BB8">
        <w:rPr>
          <w:lang w:val="en-GB"/>
        </w:rPr>
        <w:t xml:space="preserve">ational </w:t>
      </w:r>
      <w:r w:rsidR="00705DBA" w:rsidRPr="00394BB8">
        <w:rPr>
          <w:lang w:val="en-GB"/>
        </w:rPr>
        <w:t>h</w:t>
      </w:r>
      <w:r w:rsidR="00515733" w:rsidRPr="00394BB8">
        <w:rPr>
          <w:lang w:val="en-GB"/>
        </w:rPr>
        <w:t xml:space="preserve">uman </w:t>
      </w:r>
      <w:r w:rsidR="00705DBA" w:rsidRPr="00394BB8">
        <w:rPr>
          <w:lang w:val="en-GB"/>
        </w:rPr>
        <w:t>r</w:t>
      </w:r>
      <w:r w:rsidR="00515733" w:rsidRPr="00394BB8">
        <w:rPr>
          <w:lang w:val="en-GB"/>
        </w:rPr>
        <w:t xml:space="preserve">ights </w:t>
      </w:r>
      <w:r w:rsidR="00705DBA" w:rsidRPr="00394BB8">
        <w:rPr>
          <w:lang w:val="en-GB"/>
        </w:rPr>
        <w:t>s</w:t>
      </w:r>
      <w:r w:rsidR="00515733" w:rsidRPr="00394BB8">
        <w:rPr>
          <w:lang w:val="en-GB"/>
        </w:rPr>
        <w:t xml:space="preserve">trategy and </w:t>
      </w:r>
      <w:r w:rsidR="00705DBA" w:rsidRPr="00394BB8">
        <w:rPr>
          <w:lang w:val="en-GB"/>
        </w:rPr>
        <w:t>a</w:t>
      </w:r>
      <w:r w:rsidR="00515733" w:rsidRPr="00394BB8">
        <w:rPr>
          <w:lang w:val="en-GB"/>
        </w:rPr>
        <w:t xml:space="preserve">ction </w:t>
      </w:r>
      <w:r w:rsidR="00705DBA" w:rsidRPr="00394BB8">
        <w:rPr>
          <w:lang w:val="en-GB"/>
        </w:rPr>
        <w:t>p</w:t>
      </w:r>
      <w:r w:rsidR="00515733" w:rsidRPr="00394BB8">
        <w:rPr>
          <w:lang w:val="en-GB"/>
        </w:rPr>
        <w:t>lan.</w:t>
      </w:r>
      <w:r w:rsidR="00F169FE" w:rsidRPr="00394BB8">
        <w:rPr>
          <w:lang w:val="en-GB"/>
        </w:rPr>
        <w:t xml:space="preserve"> </w:t>
      </w:r>
      <w:r w:rsidR="007D5026" w:rsidRPr="00394BB8">
        <w:rPr>
          <w:lang w:val="en-GB"/>
        </w:rPr>
        <w:t>The draft country programme document</w:t>
      </w:r>
      <w:r w:rsidR="00802768" w:rsidRPr="00394BB8">
        <w:rPr>
          <w:lang w:val="en-GB"/>
        </w:rPr>
        <w:t xml:space="preserve"> </w:t>
      </w:r>
      <w:r w:rsidR="006D5CC0" w:rsidRPr="00394BB8">
        <w:rPr>
          <w:lang w:val="en-GB"/>
        </w:rPr>
        <w:t xml:space="preserve">was </w:t>
      </w:r>
      <w:r w:rsidR="0096563B" w:rsidRPr="00394BB8">
        <w:rPr>
          <w:lang w:val="en-GB"/>
        </w:rPr>
        <w:t xml:space="preserve">informed by in-depth </w:t>
      </w:r>
      <w:r w:rsidR="00B513B8" w:rsidRPr="00394BB8">
        <w:rPr>
          <w:lang w:val="en-GB"/>
        </w:rPr>
        <w:t xml:space="preserve">participatory </w:t>
      </w:r>
      <w:r w:rsidR="00FF1751" w:rsidRPr="00394BB8">
        <w:rPr>
          <w:lang w:val="en-GB"/>
        </w:rPr>
        <w:t xml:space="preserve">analysis of the country </w:t>
      </w:r>
      <w:r w:rsidR="001B6D90" w:rsidRPr="00394BB8">
        <w:rPr>
          <w:lang w:val="en-GB"/>
        </w:rPr>
        <w:t xml:space="preserve">context, </w:t>
      </w:r>
      <w:r w:rsidR="00B513B8" w:rsidRPr="00394BB8">
        <w:rPr>
          <w:lang w:val="en-GB"/>
        </w:rPr>
        <w:t xml:space="preserve">including regional </w:t>
      </w:r>
      <w:r w:rsidR="007D5026" w:rsidRPr="00394BB8">
        <w:rPr>
          <w:lang w:val="en-GB"/>
        </w:rPr>
        <w:t>p</w:t>
      </w:r>
      <w:r w:rsidR="006D2A84" w:rsidRPr="00394BB8">
        <w:rPr>
          <w:lang w:val="en-GB"/>
        </w:rPr>
        <w:t xml:space="preserve">ost-2015 </w:t>
      </w:r>
      <w:r w:rsidR="00B513B8" w:rsidRPr="00394BB8">
        <w:rPr>
          <w:lang w:val="en-GB"/>
        </w:rPr>
        <w:t xml:space="preserve">consultations and </w:t>
      </w:r>
      <w:r w:rsidR="005E40C8" w:rsidRPr="00394BB8">
        <w:rPr>
          <w:lang w:val="en-GB"/>
        </w:rPr>
        <w:t xml:space="preserve">the </w:t>
      </w:r>
      <w:r w:rsidR="005E40C8" w:rsidRPr="00394BB8">
        <w:rPr>
          <w:i/>
          <w:lang w:val="en-GB"/>
        </w:rPr>
        <w:t>World We Want</w:t>
      </w:r>
      <w:r w:rsidR="005E40C8" w:rsidRPr="00394BB8">
        <w:rPr>
          <w:lang w:val="en-GB"/>
        </w:rPr>
        <w:t xml:space="preserve"> report</w:t>
      </w:r>
      <w:r w:rsidR="007D5026" w:rsidRPr="00394BB8">
        <w:rPr>
          <w:lang w:val="en-GB"/>
        </w:rPr>
        <w:t>,</w:t>
      </w:r>
      <w:r w:rsidR="005E40C8" w:rsidRPr="00394BB8">
        <w:rPr>
          <w:lang w:val="en-GB"/>
        </w:rPr>
        <w:t xml:space="preserve"> </w:t>
      </w:r>
      <w:r w:rsidR="00241763" w:rsidRPr="00394BB8">
        <w:rPr>
          <w:lang w:val="en-GB"/>
        </w:rPr>
        <w:t>capturing</w:t>
      </w:r>
      <w:r w:rsidR="00722872" w:rsidRPr="00394BB8">
        <w:rPr>
          <w:lang w:val="en-GB"/>
        </w:rPr>
        <w:t xml:space="preserve"> </w:t>
      </w:r>
      <w:r w:rsidR="005E40C8" w:rsidRPr="00394BB8">
        <w:rPr>
          <w:lang w:val="en-GB"/>
        </w:rPr>
        <w:t>crowd</w:t>
      </w:r>
      <w:r w:rsidR="007D5026" w:rsidRPr="00394BB8">
        <w:rPr>
          <w:lang w:val="en-GB"/>
        </w:rPr>
        <w:t>-</w:t>
      </w:r>
      <w:r w:rsidR="005E40C8" w:rsidRPr="00394BB8">
        <w:rPr>
          <w:lang w:val="en-GB"/>
        </w:rPr>
        <w:t xml:space="preserve">sourced feedback from </w:t>
      </w:r>
      <w:r w:rsidR="006628F2" w:rsidRPr="00394BB8">
        <w:rPr>
          <w:lang w:val="en-GB"/>
        </w:rPr>
        <w:t xml:space="preserve">over </w:t>
      </w:r>
      <w:r w:rsidR="00702617" w:rsidRPr="00394BB8">
        <w:rPr>
          <w:lang w:val="en-GB"/>
        </w:rPr>
        <w:t xml:space="preserve">10,000 </w:t>
      </w:r>
      <w:r w:rsidR="005E40C8" w:rsidRPr="00394BB8">
        <w:rPr>
          <w:lang w:val="en-GB"/>
        </w:rPr>
        <w:t xml:space="preserve">Georgians, </w:t>
      </w:r>
      <w:r w:rsidR="00B513B8" w:rsidRPr="00394BB8">
        <w:rPr>
          <w:lang w:val="en-GB"/>
        </w:rPr>
        <w:t xml:space="preserve">as well as </w:t>
      </w:r>
      <w:r w:rsidR="007D5026" w:rsidRPr="00394BB8">
        <w:rPr>
          <w:lang w:val="en-GB"/>
        </w:rPr>
        <w:t xml:space="preserve">an </w:t>
      </w:r>
      <w:r w:rsidR="00B513B8" w:rsidRPr="00394BB8">
        <w:rPr>
          <w:lang w:val="en-GB"/>
        </w:rPr>
        <w:t xml:space="preserve">independent </w:t>
      </w:r>
      <w:r w:rsidR="001B6D90" w:rsidRPr="00394BB8">
        <w:rPr>
          <w:lang w:val="en-GB"/>
        </w:rPr>
        <w:t>review of</w:t>
      </w:r>
      <w:r w:rsidR="00B513B8" w:rsidRPr="00394BB8">
        <w:rPr>
          <w:lang w:val="en-GB"/>
        </w:rPr>
        <w:t xml:space="preserve"> the previous </w:t>
      </w:r>
      <w:r w:rsidR="007D5026" w:rsidRPr="00394BB8">
        <w:rPr>
          <w:lang w:val="en-GB"/>
        </w:rPr>
        <w:t>c</w:t>
      </w:r>
      <w:r w:rsidR="00B513B8" w:rsidRPr="00394BB8">
        <w:rPr>
          <w:lang w:val="en-GB"/>
        </w:rPr>
        <w:t xml:space="preserve">ountry </w:t>
      </w:r>
      <w:r w:rsidR="007D5026" w:rsidRPr="00394BB8">
        <w:rPr>
          <w:lang w:val="en-GB"/>
        </w:rPr>
        <w:t>p</w:t>
      </w:r>
      <w:r w:rsidR="00B513B8" w:rsidRPr="00394BB8">
        <w:rPr>
          <w:lang w:val="en-GB"/>
        </w:rPr>
        <w:t>rogramme</w:t>
      </w:r>
      <w:r w:rsidR="00DF03E1" w:rsidRPr="00394BB8">
        <w:rPr>
          <w:lang w:val="en-GB"/>
        </w:rPr>
        <w:t xml:space="preserve">. </w:t>
      </w:r>
      <w:r w:rsidR="0096563B" w:rsidRPr="00394BB8">
        <w:rPr>
          <w:lang w:val="en-GB"/>
        </w:rPr>
        <w:t xml:space="preserve">UNDP has </w:t>
      </w:r>
      <w:r w:rsidR="009F6A1A" w:rsidRPr="00394BB8">
        <w:rPr>
          <w:lang w:val="en-GB"/>
        </w:rPr>
        <w:t>en</w:t>
      </w:r>
      <w:r w:rsidR="009F6A1A">
        <w:rPr>
          <w:lang w:val="en-GB"/>
        </w:rPr>
        <w:t>gaged in</w:t>
      </w:r>
      <w:r w:rsidR="009F6A1A" w:rsidRPr="00394BB8">
        <w:rPr>
          <w:lang w:val="en-GB"/>
        </w:rPr>
        <w:t xml:space="preserve"> </w:t>
      </w:r>
      <w:r w:rsidR="0096563B" w:rsidRPr="00394BB8">
        <w:rPr>
          <w:lang w:val="en-GB"/>
        </w:rPr>
        <w:t xml:space="preserve">extensive consultation with </w:t>
      </w:r>
      <w:r w:rsidR="0096563B" w:rsidRPr="00394BB8">
        <w:rPr>
          <w:lang w:val="en-GB"/>
        </w:rPr>
        <w:lastRenderedPageBreak/>
        <w:t xml:space="preserve">government, </w:t>
      </w:r>
      <w:r w:rsidR="001B6D90" w:rsidRPr="00394BB8">
        <w:rPr>
          <w:lang w:val="en-GB"/>
        </w:rPr>
        <w:t>civil society</w:t>
      </w:r>
      <w:r w:rsidR="00A77D66" w:rsidRPr="00394BB8">
        <w:rPr>
          <w:lang w:val="en-GB"/>
        </w:rPr>
        <w:t>, academia</w:t>
      </w:r>
      <w:r w:rsidR="007D5026" w:rsidRPr="00394BB8">
        <w:rPr>
          <w:lang w:val="en-GB"/>
        </w:rPr>
        <w:t>,</w:t>
      </w:r>
      <w:r w:rsidR="00A77D66" w:rsidRPr="00394BB8">
        <w:rPr>
          <w:lang w:val="en-GB"/>
        </w:rPr>
        <w:t xml:space="preserve"> </w:t>
      </w:r>
      <w:r w:rsidR="007D5026" w:rsidRPr="00394BB8">
        <w:rPr>
          <w:lang w:val="en-GB"/>
        </w:rPr>
        <w:t>the United Nations system,</w:t>
      </w:r>
      <w:r w:rsidR="00A77D66" w:rsidRPr="00394BB8">
        <w:rPr>
          <w:lang w:val="en-GB"/>
        </w:rPr>
        <w:t xml:space="preserve"> and other international </w:t>
      </w:r>
      <w:r w:rsidR="006D5CC0" w:rsidRPr="00394BB8">
        <w:rPr>
          <w:lang w:val="en-GB"/>
        </w:rPr>
        <w:t>organizations</w:t>
      </w:r>
      <w:r w:rsidR="00A77D66" w:rsidRPr="00394BB8">
        <w:rPr>
          <w:lang w:val="en-GB"/>
        </w:rPr>
        <w:t>.</w:t>
      </w:r>
    </w:p>
    <w:p w14:paraId="433FCE29" w14:textId="3C43D6D9" w:rsidR="004820B0" w:rsidRPr="00394BB8" w:rsidRDefault="004820B0" w:rsidP="009F6A1A">
      <w:pPr>
        <w:pStyle w:val="Heading2"/>
        <w:tabs>
          <w:tab w:val="num" w:pos="1080"/>
        </w:tabs>
        <w:spacing w:after="120"/>
        <w:ind w:left="720" w:hanging="540"/>
        <w:jc w:val="both"/>
        <w:rPr>
          <w:rFonts w:ascii="Times New Roman" w:hAnsi="Times New Roman"/>
          <w:spacing w:val="-3"/>
          <w:szCs w:val="28"/>
          <w:lang w:val="en-GB"/>
        </w:rPr>
      </w:pPr>
      <w:r w:rsidRPr="00394BB8">
        <w:rPr>
          <w:rFonts w:ascii="Times New Roman" w:hAnsi="Times New Roman"/>
          <w:bCs/>
          <w:szCs w:val="28"/>
          <w:lang w:val="en-GB"/>
        </w:rPr>
        <w:t>II.</w:t>
      </w:r>
      <w:r w:rsidR="00D11AF4" w:rsidRPr="00394BB8">
        <w:rPr>
          <w:rFonts w:ascii="Times New Roman" w:hAnsi="Times New Roman"/>
          <w:bCs/>
          <w:szCs w:val="28"/>
          <w:lang w:val="en-GB"/>
        </w:rPr>
        <w:tab/>
      </w:r>
      <w:r w:rsidR="00677F8A" w:rsidRPr="00394BB8">
        <w:rPr>
          <w:rFonts w:ascii="Times New Roman" w:hAnsi="Times New Roman"/>
          <w:bCs/>
          <w:szCs w:val="28"/>
          <w:lang w:val="en-GB"/>
        </w:rPr>
        <w:t xml:space="preserve">Programme </w:t>
      </w:r>
      <w:r w:rsidR="00D11AF4" w:rsidRPr="00394BB8">
        <w:rPr>
          <w:rFonts w:ascii="Times New Roman" w:hAnsi="Times New Roman"/>
          <w:bCs/>
          <w:szCs w:val="28"/>
          <w:lang w:val="en-GB"/>
        </w:rPr>
        <w:t>p</w:t>
      </w:r>
      <w:r w:rsidR="00677F8A" w:rsidRPr="00394BB8">
        <w:rPr>
          <w:rFonts w:ascii="Times New Roman" w:hAnsi="Times New Roman"/>
          <w:bCs/>
          <w:szCs w:val="28"/>
          <w:lang w:val="en-GB"/>
        </w:rPr>
        <w:t>riorities</w:t>
      </w:r>
      <w:r w:rsidR="00055E32" w:rsidRPr="00394BB8">
        <w:rPr>
          <w:rFonts w:ascii="Times New Roman" w:hAnsi="Times New Roman"/>
          <w:bCs/>
          <w:szCs w:val="28"/>
          <w:lang w:val="en-GB"/>
        </w:rPr>
        <w:t xml:space="preserve"> </w:t>
      </w:r>
      <w:r w:rsidR="004736BE" w:rsidRPr="00394BB8">
        <w:rPr>
          <w:rFonts w:ascii="Times New Roman" w:hAnsi="Times New Roman"/>
          <w:bCs/>
          <w:szCs w:val="28"/>
          <w:lang w:val="en-GB"/>
        </w:rPr>
        <w:t xml:space="preserve">and </w:t>
      </w:r>
      <w:r w:rsidR="00D11AF4" w:rsidRPr="00394BB8">
        <w:rPr>
          <w:rFonts w:ascii="Times New Roman" w:hAnsi="Times New Roman"/>
          <w:bCs/>
          <w:szCs w:val="28"/>
          <w:lang w:val="en-GB"/>
        </w:rPr>
        <w:t>p</w:t>
      </w:r>
      <w:r w:rsidR="002B6341" w:rsidRPr="00394BB8">
        <w:rPr>
          <w:rFonts w:ascii="Times New Roman" w:hAnsi="Times New Roman"/>
          <w:bCs/>
          <w:szCs w:val="28"/>
          <w:lang w:val="en-GB"/>
        </w:rPr>
        <w:t>artnerships</w:t>
      </w:r>
    </w:p>
    <w:p w14:paraId="4885452B" w14:textId="1F9CAF4E" w:rsidR="00B33720" w:rsidRPr="00394BB8" w:rsidRDefault="00F169FE" w:rsidP="0073043C">
      <w:pPr>
        <w:pStyle w:val="ListParagraph"/>
        <w:numPr>
          <w:ilvl w:val="2"/>
          <w:numId w:val="6"/>
        </w:numPr>
        <w:tabs>
          <w:tab w:val="num" w:pos="1080"/>
        </w:tabs>
        <w:autoSpaceDE w:val="0"/>
        <w:autoSpaceDN w:val="0"/>
        <w:adjustRightInd w:val="0"/>
        <w:spacing w:after="120"/>
        <w:ind w:left="720" w:firstLine="0"/>
        <w:jc w:val="both"/>
        <w:rPr>
          <w:lang w:val="en-GB"/>
        </w:rPr>
      </w:pPr>
      <w:r w:rsidRPr="00394BB8">
        <w:rPr>
          <w:lang w:val="en-GB"/>
        </w:rPr>
        <w:t>Th</w:t>
      </w:r>
      <w:r w:rsidR="007D5026" w:rsidRPr="00394BB8">
        <w:rPr>
          <w:lang w:val="en-GB"/>
        </w:rPr>
        <w:t>e new country</w:t>
      </w:r>
      <w:r w:rsidRPr="00394BB8">
        <w:rPr>
          <w:lang w:val="en-GB"/>
        </w:rPr>
        <w:t xml:space="preserve"> </w:t>
      </w:r>
      <w:r w:rsidR="007D5026" w:rsidRPr="00394BB8">
        <w:rPr>
          <w:lang w:val="en-GB"/>
        </w:rPr>
        <w:t xml:space="preserve">programme </w:t>
      </w:r>
      <w:r w:rsidRPr="00394BB8">
        <w:rPr>
          <w:lang w:val="en-GB"/>
        </w:rPr>
        <w:t xml:space="preserve">reflects a theory of change </w:t>
      </w:r>
      <w:r w:rsidR="002E0E85" w:rsidRPr="00394BB8">
        <w:rPr>
          <w:lang w:val="en-GB"/>
        </w:rPr>
        <w:t xml:space="preserve">that views </w:t>
      </w:r>
      <w:r w:rsidR="007D5026" w:rsidRPr="00394BB8">
        <w:rPr>
          <w:lang w:val="en-GB"/>
        </w:rPr>
        <w:t xml:space="preserve">the </w:t>
      </w:r>
      <w:r w:rsidR="00B76969" w:rsidRPr="00394BB8">
        <w:rPr>
          <w:lang w:val="en-GB"/>
        </w:rPr>
        <w:t>sustainable</w:t>
      </w:r>
      <w:r w:rsidRPr="00394BB8">
        <w:rPr>
          <w:lang w:val="en-GB"/>
        </w:rPr>
        <w:t xml:space="preserve"> human and economic development </w:t>
      </w:r>
      <w:r w:rsidR="007D5026" w:rsidRPr="00394BB8">
        <w:rPr>
          <w:lang w:val="en-GB"/>
        </w:rPr>
        <w:t xml:space="preserve">of Georgia </w:t>
      </w:r>
      <w:r w:rsidRPr="00394BB8">
        <w:rPr>
          <w:lang w:val="en-GB"/>
        </w:rPr>
        <w:t xml:space="preserve">as a </w:t>
      </w:r>
      <w:r w:rsidR="007D5026" w:rsidRPr="00394BB8">
        <w:rPr>
          <w:lang w:val="en-GB"/>
        </w:rPr>
        <w:t xml:space="preserve">reflection </w:t>
      </w:r>
      <w:r w:rsidRPr="00394BB8">
        <w:rPr>
          <w:lang w:val="en-GB"/>
        </w:rPr>
        <w:t>of the degree to which people are empowered to participate in pluralistic decision-making through strong institutions, balanc</w:t>
      </w:r>
      <w:r w:rsidR="00B76969" w:rsidRPr="00394BB8">
        <w:rPr>
          <w:lang w:val="en-GB"/>
        </w:rPr>
        <w:t>e of power</w:t>
      </w:r>
      <w:r w:rsidR="007D5026" w:rsidRPr="00394BB8">
        <w:rPr>
          <w:lang w:val="en-GB"/>
        </w:rPr>
        <w:t>,</w:t>
      </w:r>
      <w:r w:rsidR="00B76969" w:rsidRPr="00394BB8">
        <w:rPr>
          <w:lang w:val="en-GB"/>
        </w:rPr>
        <w:t xml:space="preserve"> and the rule of law,</w:t>
      </w:r>
      <w:r w:rsidRPr="00394BB8">
        <w:rPr>
          <w:lang w:val="en-GB"/>
        </w:rPr>
        <w:t xml:space="preserve"> free from discrimination</w:t>
      </w:r>
      <w:r w:rsidR="007D5026" w:rsidRPr="00394BB8">
        <w:rPr>
          <w:lang w:val="en-GB"/>
        </w:rPr>
        <w:t xml:space="preserve"> and</w:t>
      </w:r>
      <w:r w:rsidRPr="00394BB8">
        <w:rPr>
          <w:lang w:val="en-GB"/>
        </w:rPr>
        <w:t xml:space="preserve"> </w:t>
      </w:r>
      <w:r w:rsidR="00B76969" w:rsidRPr="00394BB8">
        <w:rPr>
          <w:lang w:val="en-GB"/>
        </w:rPr>
        <w:t>with</w:t>
      </w:r>
      <w:r w:rsidRPr="00394BB8">
        <w:rPr>
          <w:lang w:val="en-GB"/>
        </w:rPr>
        <w:t xml:space="preserve"> equal opportunity to contribute to</w:t>
      </w:r>
      <w:r w:rsidR="005B521D" w:rsidRPr="00394BB8">
        <w:rPr>
          <w:lang w:val="en-GB"/>
        </w:rPr>
        <w:t>,</w:t>
      </w:r>
      <w:r w:rsidRPr="00394BB8">
        <w:rPr>
          <w:lang w:val="en-GB"/>
        </w:rPr>
        <w:t xml:space="preserve"> and share in</w:t>
      </w:r>
      <w:r w:rsidR="005B521D" w:rsidRPr="00394BB8">
        <w:rPr>
          <w:lang w:val="en-GB"/>
        </w:rPr>
        <w:t>,</w:t>
      </w:r>
      <w:r w:rsidRPr="00394BB8">
        <w:rPr>
          <w:lang w:val="en-GB"/>
        </w:rPr>
        <w:t xml:space="preserve"> </w:t>
      </w:r>
      <w:r w:rsidR="005B521D" w:rsidRPr="00394BB8">
        <w:rPr>
          <w:lang w:val="en-GB"/>
        </w:rPr>
        <w:t xml:space="preserve">sustainable </w:t>
      </w:r>
      <w:r w:rsidRPr="00394BB8">
        <w:rPr>
          <w:lang w:val="en-GB"/>
        </w:rPr>
        <w:t>economic growth</w:t>
      </w:r>
      <w:r w:rsidR="00B76969" w:rsidRPr="00394BB8">
        <w:rPr>
          <w:lang w:val="en-GB"/>
        </w:rPr>
        <w:t>.</w:t>
      </w:r>
    </w:p>
    <w:p w14:paraId="779D132B" w14:textId="68C91A70" w:rsidR="00B33720" w:rsidRPr="00394BB8" w:rsidRDefault="00020E42" w:rsidP="0073043C">
      <w:pPr>
        <w:pStyle w:val="ListParagraph"/>
        <w:numPr>
          <w:ilvl w:val="2"/>
          <w:numId w:val="6"/>
        </w:numPr>
        <w:tabs>
          <w:tab w:val="num" w:pos="1080"/>
        </w:tabs>
        <w:autoSpaceDE w:val="0"/>
        <w:autoSpaceDN w:val="0"/>
        <w:adjustRightInd w:val="0"/>
        <w:spacing w:after="120"/>
        <w:ind w:left="720" w:firstLine="0"/>
        <w:jc w:val="both"/>
        <w:rPr>
          <w:lang w:val="en-GB"/>
        </w:rPr>
      </w:pPr>
      <w:r w:rsidRPr="00394BB8">
        <w:rPr>
          <w:lang w:val="en-GB"/>
        </w:rPr>
        <w:t>UNDP seeks to</w:t>
      </w:r>
      <w:r w:rsidR="00F169FE" w:rsidRPr="00394BB8">
        <w:rPr>
          <w:lang w:val="en-GB"/>
        </w:rPr>
        <w:t xml:space="preserve"> build on </w:t>
      </w:r>
      <w:r w:rsidR="007D5026" w:rsidRPr="00394BB8">
        <w:rPr>
          <w:lang w:val="en-GB"/>
        </w:rPr>
        <w:t xml:space="preserve">the </w:t>
      </w:r>
      <w:r w:rsidR="00F169FE" w:rsidRPr="00394BB8">
        <w:rPr>
          <w:lang w:val="en-GB"/>
        </w:rPr>
        <w:t>comparative advantages</w:t>
      </w:r>
      <w:r w:rsidR="007D5026" w:rsidRPr="00394BB8">
        <w:rPr>
          <w:lang w:val="en-GB"/>
        </w:rPr>
        <w:t xml:space="preserve"> of Georgia</w:t>
      </w:r>
      <w:r w:rsidR="00F169FE" w:rsidRPr="00394BB8">
        <w:rPr>
          <w:lang w:val="en-GB"/>
        </w:rPr>
        <w:t xml:space="preserve">, recognizing </w:t>
      </w:r>
      <w:r w:rsidR="007D5026" w:rsidRPr="00394BB8">
        <w:rPr>
          <w:lang w:val="en-GB"/>
        </w:rPr>
        <w:t xml:space="preserve">that </w:t>
      </w:r>
      <w:r w:rsidR="00F169FE" w:rsidRPr="00394BB8">
        <w:rPr>
          <w:lang w:val="en-GB"/>
        </w:rPr>
        <w:t>the princip</w:t>
      </w:r>
      <w:r w:rsidR="007D5026" w:rsidRPr="00394BB8">
        <w:rPr>
          <w:lang w:val="en-GB"/>
        </w:rPr>
        <w:t>a</w:t>
      </w:r>
      <w:r w:rsidR="00F169FE" w:rsidRPr="00394BB8">
        <w:rPr>
          <w:lang w:val="en-GB"/>
        </w:rPr>
        <w:t xml:space="preserve">l challenge at hand is less a matter of </w:t>
      </w:r>
      <w:r w:rsidR="007D5026" w:rsidRPr="00394BB8">
        <w:rPr>
          <w:lang w:val="en-GB"/>
        </w:rPr>
        <w:t xml:space="preserve">finding </w:t>
      </w:r>
      <w:r w:rsidR="00F169FE" w:rsidRPr="00394BB8">
        <w:rPr>
          <w:lang w:val="en-GB"/>
        </w:rPr>
        <w:t>new directions, than the need to stay the course and follow through with</w:t>
      </w:r>
      <w:r w:rsidR="00D21909" w:rsidRPr="00394BB8">
        <w:rPr>
          <w:lang w:val="en-GB"/>
        </w:rPr>
        <w:t xml:space="preserve"> ambitious</w:t>
      </w:r>
      <w:r w:rsidR="00EC3406" w:rsidRPr="00394BB8">
        <w:rPr>
          <w:lang w:val="en-GB"/>
        </w:rPr>
        <w:t xml:space="preserve"> reforms and commitments </w:t>
      </w:r>
      <w:r w:rsidR="00F169FE" w:rsidRPr="00394BB8">
        <w:rPr>
          <w:lang w:val="en-GB"/>
        </w:rPr>
        <w:t xml:space="preserve">already made </w:t>
      </w:r>
      <w:r w:rsidR="00EC3406" w:rsidRPr="00394BB8">
        <w:rPr>
          <w:lang w:val="en-GB"/>
        </w:rPr>
        <w:t xml:space="preserve">in the face </w:t>
      </w:r>
      <w:r w:rsidR="00F169FE" w:rsidRPr="00394BB8">
        <w:rPr>
          <w:lang w:val="en-GB"/>
        </w:rPr>
        <w:t>of potentially destabilizing forces.</w:t>
      </w:r>
      <w:r w:rsidR="00B33720" w:rsidRPr="00394BB8">
        <w:rPr>
          <w:lang w:val="en-GB"/>
        </w:rPr>
        <w:t xml:space="preserve"> </w:t>
      </w:r>
    </w:p>
    <w:p w14:paraId="25FCD89E" w14:textId="711AA8E9" w:rsidR="00B33720" w:rsidRPr="00394BB8" w:rsidRDefault="00F169FE" w:rsidP="0073043C">
      <w:pPr>
        <w:pStyle w:val="ListParagraph"/>
        <w:numPr>
          <w:ilvl w:val="2"/>
          <w:numId w:val="6"/>
        </w:numPr>
        <w:shd w:val="clear" w:color="auto" w:fill="FFFFFF" w:themeFill="background1"/>
        <w:tabs>
          <w:tab w:val="num" w:pos="1080"/>
        </w:tabs>
        <w:autoSpaceDE w:val="0"/>
        <w:autoSpaceDN w:val="0"/>
        <w:adjustRightInd w:val="0"/>
        <w:spacing w:after="120"/>
        <w:ind w:left="720" w:firstLine="0"/>
        <w:jc w:val="both"/>
        <w:rPr>
          <w:lang w:val="en-GB"/>
        </w:rPr>
      </w:pPr>
      <w:r w:rsidRPr="00394BB8">
        <w:rPr>
          <w:lang w:val="en-GB"/>
        </w:rPr>
        <w:t xml:space="preserve">UNDP will continue to leverage its comparative advantage </w:t>
      </w:r>
      <w:r w:rsidR="00D174E1" w:rsidRPr="00394BB8">
        <w:rPr>
          <w:lang w:val="en-GB"/>
        </w:rPr>
        <w:t xml:space="preserve">around this objective </w:t>
      </w:r>
      <w:r w:rsidRPr="00394BB8">
        <w:rPr>
          <w:lang w:val="en-GB"/>
        </w:rPr>
        <w:t xml:space="preserve">as a trusted, </w:t>
      </w:r>
      <w:r w:rsidR="00C85A25" w:rsidRPr="00394BB8">
        <w:rPr>
          <w:lang w:val="en-GB"/>
        </w:rPr>
        <w:t xml:space="preserve">impartial </w:t>
      </w:r>
      <w:r w:rsidRPr="00394BB8">
        <w:rPr>
          <w:lang w:val="en-GB"/>
        </w:rPr>
        <w:t>convener</w:t>
      </w:r>
      <w:r w:rsidR="00790D07" w:rsidRPr="00394BB8">
        <w:rPr>
          <w:lang w:val="en-GB"/>
        </w:rPr>
        <w:t xml:space="preserve"> and innovator</w:t>
      </w:r>
      <w:r w:rsidRPr="00394BB8">
        <w:rPr>
          <w:lang w:val="en-GB"/>
        </w:rPr>
        <w:t xml:space="preserve">, helping </w:t>
      </w:r>
      <w:r w:rsidR="00C85A25" w:rsidRPr="00394BB8">
        <w:rPr>
          <w:lang w:val="en-GB"/>
        </w:rPr>
        <w:t xml:space="preserve">to </w:t>
      </w:r>
      <w:r w:rsidRPr="00394BB8">
        <w:rPr>
          <w:lang w:val="en-GB"/>
        </w:rPr>
        <w:t xml:space="preserve">bring civil society and government </w:t>
      </w:r>
      <w:r w:rsidR="007D5026" w:rsidRPr="00394BB8">
        <w:rPr>
          <w:lang w:val="en-GB"/>
        </w:rPr>
        <w:t xml:space="preserve">together </w:t>
      </w:r>
      <w:r w:rsidR="009F6A1A">
        <w:rPr>
          <w:lang w:val="en-GB"/>
        </w:rPr>
        <w:t>for</w:t>
      </w:r>
      <w:r w:rsidR="009F6A1A" w:rsidRPr="00394BB8">
        <w:rPr>
          <w:lang w:val="en-GB"/>
        </w:rPr>
        <w:t xml:space="preserve"> </w:t>
      </w:r>
      <w:r w:rsidRPr="00394BB8">
        <w:rPr>
          <w:lang w:val="en-GB"/>
        </w:rPr>
        <w:t xml:space="preserve">issues-based </w:t>
      </w:r>
      <w:r w:rsidR="00020E42" w:rsidRPr="00394BB8">
        <w:rPr>
          <w:lang w:val="en-GB"/>
        </w:rPr>
        <w:t>dialogue and action</w:t>
      </w:r>
      <w:r w:rsidRPr="00394BB8">
        <w:rPr>
          <w:lang w:val="en-GB"/>
        </w:rPr>
        <w:t>. UNDP will seek to promote greater joint U</w:t>
      </w:r>
      <w:r w:rsidR="007D5026" w:rsidRPr="00394BB8">
        <w:rPr>
          <w:lang w:val="en-GB"/>
        </w:rPr>
        <w:t>nited Nations</w:t>
      </w:r>
      <w:r w:rsidRPr="00394BB8">
        <w:rPr>
          <w:lang w:val="en-GB"/>
        </w:rPr>
        <w:t xml:space="preserve"> programming for critical mass </w:t>
      </w:r>
      <w:r w:rsidR="00A5371E" w:rsidRPr="00394BB8">
        <w:rPr>
          <w:lang w:val="en-GB"/>
        </w:rPr>
        <w:t>and impact</w:t>
      </w:r>
      <w:r w:rsidRPr="00394BB8">
        <w:rPr>
          <w:lang w:val="en-GB"/>
        </w:rPr>
        <w:t>.</w:t>
      </w:r>
      <w:r w:rsidR="004321F0" w:rsidRPr="00394BB8">
        <w:rPr>
          <w:lang w:val="en-GB"/>
        </w:rPr>
        <w:t xml:space="preserve"> </w:t>
      </w:r>
    </w:p>
    <w:p w14:paraId="7AE4E166" w14:textId="457F4786" w:rsidR="00D7027D" w:rsidRPr="00394BB8" w:rsidRDefault="00216977" w:rsidP="0073043C">
      <w:pPr>
        <w:pStyle w:val="ListParagraph"/>
        <w:numPr>
          <w:ilvl w:val="2"/>
          <w:numId w:val="6"/>
        </w:numPr>
        <w:shd w:val="clear" w:color="auto" w:fill="FFFFFF" w:themeFill="background1"/>
        <w:tabs>
          <w:tab w:val="num" w:pos="1080"/>
        </w:tabs>
        <w:autoSpaceDE w:val="0"/>
        <w:autoSpaceDN w:val="0"/>
        <w:adjustRightInd w:val="0"/>
        <w:spacing w:after="120"/>
        <w:ind w:left="720" w:firstLine="0"/>
        <w:jc w:val="both"/>
        <w:rPr>
          <w:lang w:val="en-GB"/>
        </w:rPr>
      </w:pPr>
      <w:r w:rsidRPr="00394BB8">
        <w:rPr>
          <w:lang w:val="en-GB"/>
        </w:rPr>
        <w:t>Taking the</w:t>
      </w:r>
      <w:r w:rsidR="00533687" w:rsidRPr="00394BB8">
        <w:rPr>
          <w:lang w:val="en-GB"/>
        </w:rPr>
        <w:t xml:space="preserve"> analysis of the country context, lessons from previous cooperation and </w:t>
      </w:r>
      <w:r w:rsidR="00B45F59" w:rsidRPr="00394BB8">
        <w:rPr>
          <w:lang w:val="en-GB"/>
        </w:rPr>
        <w:t>the</w:t>
      </w:r>
      <w:r w:rsidR="00533687" w:rsidRPr="00394BB8">
        <w:rPr>
          <w:lang w:val="en-GB"/>
        </w:rPr>
        <w:t xml:space="preserve"> national consultation process outlined above, the country programme</w:t>
      </w:r>
      <w:r w:rsidR="007D5026" w:rsidRPr="00394BB8">
        <w:rPr>
          <w:lang w:val="en-GB"/>
        </w:rPr>
        <w:t>, 2016-2020,</w:t>
      </w:r>
      <w:r w:rsidR="00533687" w:rsidRPr="00394BB8">
        <w:rPr>
          <w:lang w:val="en-GB"/>
        </w:rPr>
        <w:t xml:space="preserve"> will focus on</w:t>
      </w:r>
      <w:r w:rsidRPr="00394BB8">
        <w:rPr>
          <w:lang w:val="en-GB"/>
        </w:rPr>
        <w:t xml:space="preserve"> the following</w:t>
      </w:r>
      <w:r w:rsidR="00533687" w:rsidRPr="00394BB8">
        <w:rPr>
          <w:lang w:val="en-GB"/>
        </w:rPr>
        <w:t xml:space="preserve"> priority directions</w:t>
      </w:r>
      <w:r w:rsidR="00D757C7" w:rsidRPr="00394BB8">
        <w:rPr>
          <w:lang w:val="en-GB"/>
        </w:rPr>
        <w:t xml:space="preserve">: (a) </w:t>
      </w:r>
      <w:r w:rsidR="007D5026" w:rsidRPr="00394BB8">
        <w:rPr>
          <w:lang w:val="en-GB"/>
        </w:rPr>
        <w:t>d</w:t>
      </w:r>
      <w:r w:rsidR="00D757C7" w:rsidRPr="00394BB8">
        <w:rPr>
          <w:lang w:val="en-GB"/>
        </w:rPr>
        <w:t xml:space="preserve">emocratic </w:t>
      </w:r>
      <w:r w:rsidR="007D5026" w:rsidRPr="00394BB8">
        <w:rPr>
          <w:lang w:val="en-GB"/>
        </w:rPr>
        <w:t>g</w:t>
      </w:r>
      <w:r w:rsidR="00D757C7" w:rsidRPr="00394BB8">
        <w:rPr>
          <w:lang w:val="en-GB"/>
        </w:rPr>
        <w:t>overnance</w:t>
      </w:r>
      <w:r w:rsidR="007D5026" w:rsidRPr="00394BB8">
        <w:rPr>
          <w:lang w:val="en-GB"/>
        </w:rPr>
        <w:t>;</w:t>
      </w:r>
      <w:r w:rsidR="00D757C7" w:rsidRPr="00394BB8">
        <w:rPr>
          <w:lang w:val="en-GB"/>
        </w:rPr>
        <w:t xml:space="preserve"> (b) </w:t>
      </w:r>
      <w:r w:rsidR="007D5026" w:rsidRPr="00394BB8">
        <w:rPr>
          <w:lang w:val="en-GB"/>
        </w:rPr>
        <w:t>j</w:t>
      </w:r>
      <w:r w:rsidR="00D757C7" w:rsidRPr="00394BB8">
        <w:rPr>
          <w:lang w:val="en-GB"/>
        </w:rPr>
        <w:t xml:space="preserve">obs and </w:t>
      </w:r>
      <w:r w:rsidR="007D5026" w:rsidRPr="00394BB8">
        <w:rPr>
          <w:lang w:val="en-GB"/>
        </w:rPr>
        <w:t>l</w:t>
      </w:r>
      <w:r w:rsidR="00533687" w:rsidRPr="00394BB8">
        <w:rPr>
          <w:lang w:val="en-GB"/>
        </w:rPr>
        <w:t>ivelihood</w:t>
      </w:r>
      <w:r w:rsidR="00D757C7" w:rsidRPr="00394BB8">
        <w:rPr>
          <w:lang w:val="en-GB"/>
        </w:rPr>
        <w:t>s</w:t>
      </w:r>
      <w:r w:rsidR="007D5026" w:rsidRPr="00394BB8">
        <w:rPr>
          <w:lang w:val="en-GB"/>
        </w:rPr>
        <w:t>;</w:t>
      </w:r>
      <w:r w:rsidR="00D757C7" w:rsidRPr="00394BB8">
        <w:rPr>
          <w:lang w:val="en-GB"/>
        </w:rPr>
        <w:t xml:space="preserve"> (c) </w:t>
      </w:r>
      <w:r w:rsidR="007D5026" w:rsidRPr="00394BB8">
        <w:rPr>
          <w:lang w:val="en-GB"/>
        </w:rPr>
        <w:t>h</w:t>
      </w:r>
      <w:r w:rsidR="00D757C7" w:rsidRPr="00394BB8">
        <w:rPr>
          <w:lang w:val="en-GB"/>
        </w:rPr>
        <w:t xml:space="preserve">uman </w:t>
      </w:r>
      <w:r w:rsidR="007D5026" w:rsidRPr="00394BB8">
        <w:rPr>
          <w:lang w:val="en-GB"/>
        </w:rPr>
        <w:t>s</w:t>
      </w:r>
      <w:r w:rsidR="00D757C7" w:rsidRPr="00394BB8">
        <w:rPr>
          <w:lang w:val="en-GB"/>
        </w:rPr>
        <w:t xml:space="preserve">ecurity and </w:t>
      </w:r>
      <w:r w:rsidR="007D5026" w:rsidRPr="00394BB8">
        <w:rPr>
          <w:lang w:val="en-GB"/>
        </w:rPr>
        <w:t>c</w:t>
      </w:r>
      <w:r w:rsidR="00D757C7" w:rsidRPr="00394BB8">
        <w:rPr>
          <w:lang w:val="en-GB"/>
        </w:rPr>
        <w:t xml:space="preserve">ommunity </w:t>
      </w:r>
      <w:r w:rsidR="007D5026" w:rsidRPr="00394BB8">
        <w:rPr>
          <w:lang w:val="en-GB"/>
        </w:rPr>
        <w:t>r</w:t>
      </w:r>
      <w:r w:rsidR="00533687" w:rsidRPr="00394BB8">
        <w:rPr>
          <w:lang w:val="en-GB"/>
        </w:rPr>
        <w:t>esilience</w:t>
      </w:r>
      <w:r w:rsidR="007D5026" w:rsidRPr="00394BB8">
        <w:rPr>
          <w:lang w:val="en-GB"/>
        </w:rPr>
        <w:t>;</w:t>
      </w:r>
      <w:r w:rsidR="00533687" w:rsidRPr="00394BB8">
        <w:rPr>
          <w:lang w:val="en-GB"/>
        </w:rPr>
        <w:t xml:space="preserve"> and (d) </w:t>
      </w:r>
      <w:r w:rsidR="007D5026" w:rsidRPr="00394BB8">
        <w:rPr>
          <w:lang w:val="en-GB"/>
        </w:rPr>
        <w:t>d</w:t>
      </w:r>
      <w:r w:rsidR="00D757C7" w:rsidRPr="00394BB8">
        <w:rPr>
          <w:lang w:val="en-GB"/>
        </w:rPr>
        <w:t xml:space="preserve">isaster </w:t>
      </w:r>
      <w:r w:rsidR="007D5026" w:rsidRPr="00394BB8">
        <w:rPr>
          <w:lang w:val="en-GB"/>
        </w:rPr>
        <w:t>r</w:t>
      </w:r>
      <w:r w:rsidR="00D757C7" w:rsidRPr="00394BB8">
        <w:rPr>
          <w:lang w:val="en-GB"/>
        </w:rPr>
        <w:t xml:space="preserve">isk </w:t>
      </w:r>
      <w:r w:rsidR="007D5026" w:rsidRPr="00394BB8">
        <w:rPr>
          <w:lang w:val="en-GB"/>
        </w:rPr>
        <w:t>r</w:t>
      </w:r>
      <w:r w:rsidR="00D757C7" w:rsidRPr="00394BB8">
        <w:rPr>
          <w:lang w:val="en-GB"/>
        </w:rPr>
        <w:t xml:space="preserve">eduction and </w:t>
      </w:r>
      <w:r w:rsidR="007D5026" w:rsidRPr="00394BB8">
        <w:rPr>
          <w:lang w:val="en-GB"/>
        </w:rPr>
        <w:t>e</w:t>
      </w:r>
      <w:r w:rsidR="00533687" w:rsidRPr="00394BB8">
        <w:rPr>
          <w:lang w:val="en-GB"/>
        </w:rPr>
        <w:t>nvironmen</w:t>
      </w:r>
      <w:r w:rsidR="00D757C7" w:rsidRPr="00394BB8">
        <w:rPr>
          <w:lang w:val="en-GB"/>
        </w:rPr>
        <w:t xml:space="preserve">tal </w:t>
      </w:r>
      <w:r w:rsidR="007D5026" w:rsidRPr="00394BB8">
        <w:rPr>
          <w:lang w:val="en-GB"/>
        </w:rPr>
        <w:t>p</w:t>
      </w:r>
      <w:r w:rsidR="00D757C7" w:rsidRPr="00394BB8">
        <w:rPr>
          <w:lang w:val="en-GB"/>
        </w:rPr>
        <w:t>rotection</w:t>
      </w:r>
      <w:r w:rsidR="00D7027D" w:rsidRPr="00394BB8">
        <w:rPr>
          <w:lang w:val="en-GB"/>
        </w:rPr>
        <w:t>.</w:t>
      </w:r>
      <w:r w:rsidR="00D7027D" w:rsidRPr="00394BB8">
        <w:rPr>
          <w:b/>
          <w:lang w:val="en-GB"/>
        </w:rPr>
        <w:t xml:space="preserve"> </w:t>
      </w:r>
    </w:p>
    <w:p w14:paraId="2FCC53C9" w14:textId="7CB72C5B" w:rsidR="00D7027D" w:rsidRPr="00394BB8" w:rsidRDefault="00BF5A49" w:rsidP="0073043C">
      <w:pPr>
        <w:pStyle w:val="ListParagraph"/>
        <w:numPr>
          <w:ilvl w:val="2"/>
          <w:numId w:val="6"/>
        </w:numPr>
        <w:shd w:val="clear" w:color="auto" w:fill="FFFFFF" w:themeFill="background1"/>
        <w:tabs>
          <w:tab w:val="num" w:pos="1080"/>
          <w:tab w:val="left" w:pos="1530"/>
        </w:tabs>
        <w:autoSpaceDE w:val="0"/>
        <w:autoSpaceDN w:val="0"/>
        <w:adjustRightInd w:val="0"/>
        <w:spacing w:after="120"/>
        <w:ind w:left="720" w:firstLine="0"/>
        <w:jc w:val="both"/>
        <w:rPr>
          <w:lang w:val="en-GB"/>
        </w:rPr>
      </w:pPr>
      <w:r w:rsidRPr="00394BB8">
        <w:rPr>
          <w:i/>
          <w:lang w:val="en-GB"/>
        </w:rPr>
        <w:t>The first programme priority</w:t>
      </w:r>
      <w:r w:rsidRPr="00394BB8">
        <w:rPr>
          <w:b/>
          <w:lang w:val="en-GB"/>
        </w:rPr>
        <w:t xml:space="preserve"> </w:t>
      </w:r>
      <w:r w:rsidR="0057639A" w:rsidRPr="00394BB8">
        <w:rPr>
          <w:lang w:val="en-GB"/>
        </w:rPr>
        <w:t xml:space="preserve">seeks to contribute to </w:t>
      </w:r>
      <w:r w:rsidR="001C4C1A">
        <w:rPr>
          <w:lang w:val="en-GB"/>
        </w:rPr>
        <w:t xml:space="preserve">United </w:t>
      </w:r>
      <w:r w:rsidR="00866F28" w:rsidRPr="00394BB8">
        <w:rPr>
          <w:lang w:val="en-GB"/>
        </w:rPr>
        <w:t>Nations Partnership for Sustainable Development</w:t>
      </w:r>
      <w:r w:rsidR="00866F28">
        <w:rPr>
          <w:lang w:val="en-GB"/>
        </w:rPr>
        <w:t xml:space="preserve"> </w:t>
      </w:r>
      <w:r w:rsidR="0057639A" w:rsidRPr="00394BB8">
        <w:rPr>
          <w:lang w:val="en-GB"/>
        </w:rPr>
        <w:t xml:space="preserve"> outcome</w:t>
      </w:r>
      <w:r w:rsidR="000D223B" w:rsidRPr="00394BB8">
        <w:rPr>
          <w:lang w:val="en-GB"/>
        </w:rPr>
        <w:t xml:space="preserve"> 1</w:t>
      </w:r>
      <w:r w:rsidR="007D5026" w:rsidRPr="00394BB8">
        <w:rPr>
          <w:lang w:val="en-GB"/>
        </w:rPr>
        <w:t>,</w:t>
      </w:r>
      <w:r w:rsidR="0057639A" w:rsidRPr="00394BB8">
        <w:rPr>
          <w:lang w:val="en-GB"/>
        </w:rPr>
        <w:t xml:space="preserve"> “</w:t>
      </w:r>
      <w:r w:rsidR="003531E0" w:rsidRPr="00394BB8">
        <w:rPr>
          <w:lang w:val="en-GB"/>
        </w:rPr>
        <w:t xml:space="preserve">By 2020 </w:t>
      </w:r>
      <w:r w:rsidR="0057639A" w:rsidRPr="00394BB8">
        <w:rPr>
          <w:lang w:val="en-GB"/>
        </w:rPr>
        <w:t>expectations of citizens of Georgi</w:t>
      </w:r>
      <w:r w:rsidR="00AC1288" w:rsidRPr="00394BB8">
        <w:rPr>
          <w:lang w:val="en-GB"/>
        </w:rPr>
        <w:t>a</w:t>
      </w:r>
      <w:r w:rsidR="0057639A" w:rsidRPr="00394BB8">
        <w:rPr>
          <w:lang w:val="en-GB"/>
        </w:rPr>
        <w:t xml:space="preserve"> for voice, rule of law, public sector reforms, and accountability are met by stronger systems of democratic governance at all level</w:t>
      </w:r>
      <w:r w:rsidR="007D5026" w:rsidRPr="00394BB8">
        <w:rPr>
          <w:lang w:val="en-GB"/>
        </w:rPr>
        <w:t>s”,</w:t>
      </w:r>
      <w:r w:rsidR="00AC1288" w:rsidRPr="00394BB8">
        <w:rPr>
          <w:i/>
          <w:lang w:val="en-GB"/>
        </w:rPr>
        <w:t xml:space="preserve"> </w:t>
      </w:r>
      <w:r w:rsidR="0057639A" w:rsidRPr="00394BB8">
        <w:rPr>
          <w:lang w:val="en-GB"/>
        </w:rPr>
        <w:t xml:space="preserve">and </w:t>
      </w:r>
      <w:r w:rsidR="00710C1D" w:rsidRPr="00394BB8">
        <w:rPr>
          <w:lang w:val="en-GB"/>
        </w:rPr>
        <w:t xml:space="preserve">to </w:t>
      </w:r>
      <w:r w:rsidR="007D5026" w:rsidRPr="00394BB8">
        <w:rPr>
          <w:lang w:val="en-GB"/>
        </w:rPr>
        <w:t>s</w:t>
      </w:r>
      <w:r w:rsidR="00710C1D" w:rsidRPr="00394BB8">
        <w:rPr>
          <w:lang w:val="en-GB"/>
        </w:rPr>
        <w:t xml:space="preserve">trategic </w:t>
      </w:r>
      <w:r w:rsidR="007D5026" w:rsidRPr="00394BB8">
        <w:rPr>
          <w:lang w:val="en-GB"/>
        </w:rPr>
        <w:t>p</w:t>
      </w:r>
      <w:r w:rsidR="00710C1D" w:rsidRPr="00394BB8">
        <w:rPr>
          <w:lang w:val="en-GB"/>
        </w:rPr>
        <w:t xml:space="preserve">lan </w:t>
      </w:r>
      <w:r w:rsidR="007D5026" w:rsidRPr="00394BB8">
        <w:rPr>
          <w:lang w:val="en-GB"/>
        </w:rPr>
        <w:t>o</w:t>
      </w:r>
      <w:r w:rsidR="00710C1D" w:rsidRPr="00394BB8">
        <w:rPr>
          <w:lang w:val="en-GB"/>
        </w:rPr>
        <w:t>utcome 2</w:t>
      </w:r>
      <w:r w:rsidR="0057639A" w:rsidRPr="00394BB8">
        <w:rPr>
          <w:lang w:val="en-GB"/>
        </w:rPr>
        <w:t xml:space="preserve">. </w:t>
      </w:r>
    </w:p>
    <w:p w14:paraId="44AF425E" w14:textId="03EC9CC9" w:rsidR="00D7027D" w:rsidRPr="00394BB8" w:rsidRDefault="007B4C31" w:rsidP="0073043C">
      <w:pPr>
        <w:pStyle w:val="ListParagraph"/>
        <w:numPr>
          <w:ilvl w:val="2"/>
          <w:numId w:val="6"/>
        </w:numPr>
        <w:shd w:val="clear" w:color="auto" w:fill="FFFFFF" w:themeFill="background1"/>
        <w:tabs>
          <w:tab w:val="num" w:pos="1080"/>
          <w:tab w:val="left" w:pos="1530"/>
        </w:tabs>
        <w:autoSpaceDE w:val="0"/>
        <w:autoSpaceDN w:val="0"/>
        <w:adjustRightInd w:val="0"/>
        <w:spacing w:after="120"/>
        <w:ind w:left="720" w:firstLine="0"/>
        <w:jc w:val="both"/>
        <w:rPr>
          <w:lang w:val="en-GB"/>
        </w:rPr>
      </w:pPr>
      <w:r w:rsidRPr="00394BB8">
        <w:rPr>
          <w:lang w:val="en-GB"/>
        </w:rPr>
        <w:t xml:space="preserve">UNDP will </w:t>
      </w:r>
      <w:r w:rsidR="003B3E1D" w:rsidRPr="00394BB8">
        <w:rPr>
          <w:lang w:val="en-GB"/>
        </w:rPr>
        <w:t>continue to provide targeted</w:t>
      </w:r>
      <w:r w:rsidRPr="00394BB8">
        <w:rPr>
          <w:lang w:val="en-GB"/>
        </w:rPr>
        <w:t xml:space="preserve"> </w:t>
      </w:r>
      <w:r w:rsidR="00C705BC" w:rsidRPr="00394BB8">
        <w:rPr>
          <w:lang w:val="en-GB"/>
        </w:rPr>
        <w:t xml:space="preserve">assistance for </w:t>
      </w:r>
      <w:r w:rsidR="00E13806" w:rsidRPr="00394BB8">
        <w:rPr>
          <w:lang w:val="en-GB"/>
        </w:rPr>
        <w:t>citizen engagement in</w:t>
      </w:r>
      <w:r w:rsidR="00C705BC" w:rsidRPr="00394BB8">
        <w:rPr>
          <w:lang w:val="en-GB"/>
        </w:rPr>
        <w:t xml:space="preserve"> </w:t>
      </w:r>
      <w:r w:rsidR="00E97617" w:rsidRPr="00394BB8">
        <w:rPr>
          <w:lang w:val="en-GB"/>
        </w:rPr>
        <w:t xml:space="preserve">election processes, </w:t>
      </w:r>
      <w:r w:rsidR="00572D77" w:rsidRPr="00394BB8">
        <w:rPr>
          <w:lang w:val="en-GB"/>
        </w:rPr>
        <w:t xml:space="preserve">and </w:t>
      </w:r>
      <w:r w:rsidR="009F6A1A">
        <w:rPr>
          <w:lang w:val="en-GB"/>
        </w:rPr>
        <w:t xml:space="preserve">for </w:t>
      </w:r>
      <w:r w:rsidR="003B3E1D" w:rsidRPr="00394BB8">
        <w:rPr>
          <w:lang w:val="en-GB"/>
        </w:rPr>
        <w:t>strengthening</w:t>
      </w:r>
      <w:r w:rsidR="00572D77" w:rsidRPr="00394BB8">
        <w:rPr>
          <w:lang w:val="en-GB"/>
        </w:rPr>
        <w:t xml:space="preserve"> </w:t>
      </w:r>
      <w:r w:rsidRPr="00394BB8">
        <w:rPr>
          <w:lang w:val="en-GB"/>
        </w:rPr>
        <w:t xml:space="preserve">checks and balances between </w:t>
      </w:r>
      <w:r w:rsidR="003531E0" w:rsidRPr="00394BB8">
        <w:rPr>
          <w:lang w:val="en-GB"/>
        </w:rPr>
        <w:t xml:space="preserve">the </w:t>
      </w:r>
      <w:r w:rsidRPr="00394BB8">
        <w:rPr>
          <w:lang w:val="en-GB"/>
        </w:rPr>
        <w:t xml:space="preserve">legislative, executive and </w:t>
      </w:r>
      <w:r w:rsidR="003531E0" w:rsidRPr="00394BB8">
        <w:rPr>
          <w:lang w:val="en-GB"/>
        </w:rPr>
        <w:t>judicial</w:t>
      </w:r>
      <w:r w:rsidR="00113397" w:rsidRPr="00394BB8">
        <w:rPr>
          <w:lang w:val="en-GB"/>
        </w:rPr>
        <w:t xml:space="preserve"> </w:t>
      </w:r>
      <w:r w:rsidR="0069708A" w:rsidRPr="00394BB8">
        <w:rPr>
          <w:lang w:val="en-GB"/>
        </w:rPr>
        <w:t xml:space="preserve">branches. </w:t>
      </w:r>
      <w:r w:rsidR="00572D77" w:rsidRPr="00394BB8">
        <w:rPr>
          <w:lang w:val="en-GB"/>
        </w:rPr>
        <w:t>D</w:t>
      </w:r>
      <w:r w:rsidR="0069708A" w:rsidRPr="00394BB8">
        <w:rPr>
          <w:lang w:val="en-GB"/>
        </w:rPr>
        <w:t>emocratic balance require</w:t>
      </w:r>
      <w:r w:rsidR="00572D77" w:rsidRPr="00394BB8">
        <w:rPr>
          <w:lang w:val="en-GB"/>
        </w:rPr>
        <w:t>s</w:t>
      </w:r>
      <w:r w:rsidR="0069708A" w:rsidRPr="00394BB8">
        <w:rPr>
          <w:lang w:val="en-GB"/>
        </w:rPr>
        <w:t xml:space="preserve"> a shift from </w:t>
      </w:r>
      <w:r w:rsidR="00572D77" w:rsidRPr="00394BB8">
        <w:rPr>
          <w:lang w:val="en-GB"/>
        </w:rPr>
        <w:t xml:space="preserve">the </w:t>
      </w:r>
      <w:r w:rsidR="0069708A" w:rsidRPr="00394BB8">
        <w:rPr>
          <w:lang w:val="en-GB"/>
        </w:rPr>
        <w:t>centralizati</w:t>
      </w:r>
      <w:r w:rsidR="00572D77" w:rsidRPr="00394BB8">
        <w:rPr>
          <w:lang w:val="en-GB"/>
        </w:rPr>
        <w:t xml:space="preserve">on of power to </w:t>
      </w:r>
      <w:r w:rsidR="0069708A" w:rsidRPr="00394BB8">
        <w:rPr>
          <w:lang w:val="en-GB"/>
        </w:rPr>
        <w:t>skills d</w:t>
      </w:r>
      <w:r w:rsidR="00572D77" w:rsidRPr="00394BB8">
        <w:rPr>
          <w:lang w:val="en-GB"/>
        </w:rPr>
        <w:t xml:space="preserve">evelopment </w:t>
      </w:r>
      <w:r w:rsidR="006E6D94" w:rsidRPr="00394BB8">
        <w:rPr>
          <w:lang w:val="en-GB"/>
        </w:rPr>
        <w:t xml:space="preserve">and capacity </w:t>
      </w:r>
      <w:r w:rsidR="0069708A" w:rsidRPr="00394BB8">
        <w:rPr>
          <w:lang w:val="en-GB"/>
        </w:rPr>
        <w:t xml:space="preserve">within all branches of government. </w:t>
      </w:r>
      <w:r w:rsidR="004622D4" w:rsidRPr="00394BB8">
        <w:rPr>
          <w:lang w:val="en-GB"/>
        </w:rPr>
        <w:t xml:space="preserve">This includes </w:t>
      </w:r>
      <w:r w:rsidR="006278BF" w:rsidRPr="00394BB8">
        <w:rPr>
          <w:lang w:val="en-GB"/>
        </w:rPr>
        <w:t xml:space="preserve">strengthening </w:t>
      </w:r>
      <w:r w:rsidR="007D5026" w:rsidRPr="00394BB8">
        <w:rPr>
          <w:lang w:val="en-GB"/>
        </w:rPr>
        <w:t>p</w:t>
      </w:r>
      <w:r w:rsidR="0000085C" w:rsidRPr="00394BB8">
        <w:rPr>
          <w:lang w:val="en-GB"/>
        </w:rPr>
        <w:t>arliament and its committees</w:t>
      </w:r>
      <w:r w:rsidR="007D5026" w:rsidRPr="00394BB8">
        <w:rPr>
          <w:lang w:val="en-GB"/>
        </w:rPr>
        <w:t>,</w:t>
      </w:r>
      <w:r w:rsidR="0000085C" w:rsidRPr="00394BB8">
        <w:rPr>
          <w:lang w:val="en-GB"/>
        </w:rPr>
        <w:t xml:space="preserve"> </w:t>
      </w:r>
      <w:r w:rsidR="00E13806" w:rsidRPr="00394BB8">
        <w:rPr>
          <w:lang w:val="en-GB"/>
        </w:rPr>
        <w:t>as well as support</w:t>
      </w:r>
      <w:r w:rsidR="007D5026" w:rsidRPr="00394BB8">
        <w:rPr>
          <w:lang w:val="en-GB"/>
        </w:rPr>
        <w:t>ing</w:t>
      </w:r>
      <w:r w:rsidR="004622D4" w:rsidRPr="00394BB8">
        <w:rPr>
          <w:lang w:val="en-GB"/>
        </w:rPr>
        <w:t xml:space="preserve"> institutional mechanisms for gender equality</w:t>
      </w:r>
      <w:r w:rsidR="00E13806" w:rsidRPr="00394BB8">
        <w:rPr>
          <w:lang w:val="en-GB"/>
        </w:rPr>
        <w:t>, including the Gender Equality Council.</w:t>
      </w:r>
      <w:r w:rsidR="006278BF" w:rsidRPr="00394BB8">
        <w:rPr>
          <w:lang w:val="en-GB"/>
        </w:rPr>
        <w:t xml:space="preserve"> E</w:t>
      </w:r>
      <w:r w:rsidR="004622D4" w:rsidRPr="00394BB8">
        <w:rPr>
          <w:lang w:val="en-GB"/>
        </w:rPr>
        <w:t xml:space="preserve">mphasis will be placed on women’s empowerment at national and local levels through </w:t>
      </w:r>
      <w:r w:rsidR="00C43F90" w:rsidRPr="00394BB8">
        <w:rPr>
          <w:lang w:val="en-GB"/>
        </w:rPr>
        <w:t>policy measures to</w:t>
      </w:r>
      <w:r w:rsidR="004622D4" w:rsidRPr="00394BB8">
        <w:rPr>
          <w:lang w:val="en-GB"/>
        </w:rPr>
        <w:t xml:space="preserve"> </w:t>
      </w:r>
      <w:r w:rsidR="00C43F90" w:rsidRPr="00394BB8">
        <w:rPr>
          <w:lang w:val="en-GB"/>
        </w:rPr>
        <w:t xml:space="preserve">increase </w:t>
      </w:r>
      <w:r w:rsidR="004622D4" w:rsidRPr="00394BB8">
        <w:rPr>
          <w:lang w:val="en-GB"/>
        </w:rPr>
        <w:t>number</w:t>
      </w:r>
      <w:r w:rsidR="003F796F" w:rsidRPr="00394BB8">
        <w:rPr>
          <w:lang w:val="en-GB"/>
        </w:rPr>
        <w:t>s</w:t>
      </w:r>
      <w:r w:rsidR="004622D4" w:rsidRPr="00394BB8">
        <w:rPr>
          <w:lang w:val="en-GB"/>
        </w:rPr>
        <w:t xml:space="preserve"> of women candidates</w:t>
      </w:r>
      <w:r w:rsidR="00340B29" w:rsidRPr="00394BB8">
        <w:rPr>
          <w:lang w:val="en-GB"/>
        </w:rPr>
        <w:t xml:space="preserve"> and office</w:t>
      </w:r>
      <w:r w:rsidR="007D5026" w:rsidRPr="00394BB8">
        <w:rPr>
          <w:lang w:val="en-GB"/>
        </w:rPr>
        <w:t>-</w:t>
      </w:r>
      <w:r w:rsidR="00340B29" w:rsidRPr="00394BB8">
        <w:rPr>
          <w:lang w:val="en-GB"/>
        </w:rPr>
        <w:t>holders</w:t>
      </w:r>
      <w:r w:rsidR="00CA56E5" w:rsidRPr="00394BB8">
        <w:rPr>
          <w:lang w:val="en-GB"/>
        </w:rPr>
        <w:t>, while U</w:t>
      </w:r>
      <w:r w:rsidR="007D5026" w:rsidRPr="00394BB8">
        <w:rPr>
          <w:lang w:val="en-GB"/>
        </w:rPr>
        <w:t>nited Nations</w:t>
      </w:r>
      <w:r w:rsidR="00CA56E5" w:rsidRPr="00394BB8">
        <w:rPr>
          <w:lang w:val="en-GB"/>
        </w:rPr>
        <w:t xml:space="preserve"> joint programming will address </w:t>
      </w:r>
      <w:r w:rsidR="007D5026" w:rsidRPr="00394BB8">
        <w:rPr>
          <w:lang w:val="en-GB"/>
        </w:rPr>
        <w:t>gende</w:t>
      </w:r>
      <w:r w:rsidR="00D81404" w:rsidRPr="00394BB8">
        <w:rPr>
          <w:lang w:val="en-GB"/>
        </w:rPr>
        <w:t>r</w:t>
      </w:r>
      <w:r w:rsidR="007D5026" w:rsidRPr="00394BB8">
        <w:rPr>
          <w:lang w:val="en-GB"/>
        </w:rPr>
        <w:t xml:space="preserve">-based violence </w:t>
      </w:r>
      <w:r w:rsidR="00DA53A3" w:rsidRPr="00394BB8">
        <w:rPr>
          <w:lang w:val="en-GB"/>
        </w:rPr>
        <w:t>and related issues</w:t>
      </w:r>
      <w:r w:rsidR="004622D4" w:rsidRPr="00394BB8">
        <w:rPr>
          <w:lang w:val="en-GB"/>
        </w:rPr>
        <w:t xml:space="preserve">. </w:t>
      </w:r>
      <w:r w:rsidR="009C1B5E" w:rsidRPr="00394BB8">
        <w:rPr>
          <w:lang w:val="en-GB"/>
        </w:rPr>
        <w:t xml:space="preserve">Focus on decentralized </w:t>
      </w:r>
      <w:r w:rsidR="00B14C62" w:rsidRPr="00394BB8">
        <w:rPr>
          <w:lang w:val="en-GB"/>
        </w:rPr>
        <w:t xml:space="preserve">governance will lead </w:t>
      </w:r>
      <w:r w:rsidR="006E6D94" w:rsidRPr="00394BB8">
        <w:rPr>
          <w:lang w:val="en-GB"/>
        </w:rPr>
        <w:t>to results-oriented</w:t>
      </w:r>
      <w:r w:rsidR="00D81404" w:rsidRPr="00394BB8">
        <w:rPr>
          <w:lang w:val="en-GB"/>
        </w:rPr>
        <w:t>,</w:t>
      </w:r>
      <w:r w:rsidR="006E6D94" w:rsidRPr="00394BB8">
        <w:rPr>
          <w:lang w:val="en-GB"/>
        </w:rPr>
        <w:t xml:space="preserve"> locally-</w:t>
      </w:r>
      <w:r w:rsidR="00B14C62" w:rsidRPr="00394BB8">
        <w:rPr>
          <w:lang w:val="en-GB"/>
        </w:rPr>
        <w:t xml:space="preserve">led processes </w:t>
      </w:r>
      <w:r w:rsidR="00C233B8" w:rsidRPr="00394BB8">
        <w:rPr>
          <w:lang w:val="en-GB"/>
        </w:rPr>
        <w:t>through</w:t>
      </w:r>
      <w:r w:rsidR="00B14C62" w:rsidRPr="00394BB8">
        <w:rPr>
          <w:lang w:val="en-GB"/>
        </w:rPr>
        <w:t xml:space="preserve"> innovative </w:t>
      </w:r>
      <w:r w:rsidR="00C233B8" w:rsidRPr="00394BB8">
        <w:rPr>
          <w:lang w:val="en-GB"/>
        </w:rPr>
        <w:t>platforms</w:t>
      </w:r>
      <w:r w:rsidR="006E6D94" w:rsidRPr="00394BB8">
        <w:rPr>
          <w:lang w:val="en-GB"/>
        </w:rPr>
        <w:t xml:space="preserve"> for citizen</w:t>
      </w:r>
      <w:r w:rsidR="00D81404" w:rsidRPr="00394BB8">
        <w:rPr>
          <w:lang w:val="en-GB"/>
        </w:rPr>
        <w:t>/</w:t>
      </w:r>
      <w:r w:rsidR="00B14C62" w:rsidRPr="00394BB8">
        <w:rPr>
          <w:lang w:val="en-GB"/>
        </w:rPr>
        <w:t>decision</w:t>
      </w:r>
      <w:r w:rsidR="00D81404" w:rsidRPr="00394BB8">
        <w:rPr>
          <w:lang w:val="en-GB"/>
        </w:rPr>
        <w:t>-</w:t>
      </w:r>
      <w:r w:rsidR="00B14C62" w:rsidRPr="00394BB8">
        <w:rPr>
          <w:lang w:val="en-GB"/>
        </w:rPr>
        <w:t>maker interaction</w:t>
      </w:r>
      <w:r w:rsidR="001B1127" w:rsidRPr="00394BB8">
        <w:rPr>
          <w:lang w:val="en-GB"/>
        </w:rPr>
        <w:t>, including participatory planning</w:t>
      </w:r>
      <w:r w:rsidR="00B14C62" w:rsidRPr="00394BB8">
        <w:rPr>
          <w:lang w:val="en-GB"/>
        </w:rPr>
        <w:t xml:space="preserve">. </w:t>
      </w:r>
      <w:r w:rsidR="003531E0" w:rsidRPr="00394BB8">
        <w:rPr>
          <w:lang w:val="en-GB"/>
        </w:rPr>
        <w:t>F</w:t>
      </w:r>
      <w:r w:rsidR="009C1B5E" w:rsidRPr="00394BB8">
        <w:rPr>
          <w:lang w:val="en-GB"/>
        </w:rPr>
        <w:t>iscal decentralization</w:t>
      </w:r>
      <w:r w:rsidR="003531E0" w:rsidRPr="00394BB8">
        <w:rPr>
          <w:lang w:val="en-GB"/>
        </w:rPr>
        <w:t xml:space="preserve"> will maximize the effectiveness of local governance</w:t>
      </w:r>
      <w:r w:rsidR="005E02A4" w:rsidRPr="00394BB8">
        <w:rPr>
          <w:lang w:val="en-GB"/>
        </w:rPr>
        <w:t>, transparency</w:t>
      </w:r>
      <w:r w:rsidR="003531E0" w:rsidRPr="00394BB8">
        <w:rPr>
          <w:lang w:val="en-GB"/>
        </w:rPr>
        <w:t xml:space="preserve"> and accountability</w:t>
      </w:r>
      <w:r w:rsidR="0000085C" w:rsidRPr="00394BB8">
        <w:rPr>
          <w:lang w:val="en-GB"/>
        </w:rPr>
        <w:t xml:space="preserve">, </w:t>
      </w:r>
      <w:r w:rsidR="00C233B8" w:rsidRPr="00394BB8">
        <w:rPr>
          <w:lang w:val="en-GB"/>
        </w:rPr>
        <w:t>with</w:t>
      </w:r>
      <w:r w:rsidR="0000085C" w:rsidRPr="00394BB8">
        <w:rPr>
          <w:lang w:val="en-GB"/>
        </w:rPr>
        <w:t xml:space="preserve"> links between municipal budgets and regional development planning</w:t>
      </w:r>
      <w:r w:rsidR="009C1B5E" w:rsidRPr="00394BB8">
        <w:rPr>
          <w:lang w:val="en-GB"/>
        </w:rPr>
        <w:t xml:space="preserve">. </w:t>
      </w:r>
      <w:r w:rsidRPr="00394BB8">
        <w:rPr>
          <w:lang w:val="en-GB"/>
        </w:rPr>
        <w:t>UNDP will focus on capacity</w:t>
      </w:r>
      <w:r w:rsidR="009F6A1A">
        <w:rPr>
          <w:lang w:val="en-GB"/>
        </w:rPr>
        <w:t>-</w:t>
      </w:r>
      <w:r w:rsidRPr="00394BB8">
        <w:rPr>
          <w:lang w:val="en-GB"/>
        </w:rPr>
        <w:t xml:space="preserve">building of </w:t>
      </w:r>
      <w:r w:rsidR="000A0A2C" w:rsidRPr="00394BB8">
        <w:rPr>
          <w:lang w:val="en-GB"/>
        </w:rPr>
        <w:t>central and local</w:t>
      </w:r>
      <w:r w:rsidRPr="00394BB8">
        <w:rPr>
          <w:lang w:val="en-GB"/>
        </w:rPr>
        <w:t xml:space="preserve"> government</w:t>
      </w:r>
      <w:r w:rsidR="000A0A2C" w:rsidRPr="00394BB8">
        <w:rPr>
          <w:lang w:val="en-GB"/>
        </w:rPr>
        <w:t>s</w:t>
      </w:r>
      <w:r w:rsidRPr="00394BB8">
        <w:rPr>
          <w:lang w:val="en-GB"/>
        </w:rPr>
        <w:t xml:space="preserve"> in </w:t>
      </w:r>
      <w:r w:rsidR="006E6D94" w:rsidRPr="00394BB8">
        <w:rPr>
          <w:lang w:val="en-GB"/>
        </w:rPr>
        <w:t xml:space="preserve">participatory, </w:t>
      </w:r>
      <w:r w:rsidR="006B7D18" w:rsidRPr="00394BB8">
        <w:rPr>
          <w:lang w:val="en-GB"/>
        </w:rPr>
        <w:t xml:space="preserve">evidence-based </w:t>
      </w:r>
      <w:r w:rsidR="006E6D94" w:rsidRPr="00394BB8">
        <w:rPr>
          <w:lang w:val="en-GB"/>
        </w:rPr>
        <w:t>policy design</w:t>
      </w:r>
      <w:r w:rsidRPr="00394BB8">
        <w:rPr>
          <w:lang w:val="en-GB"/>
        </w:rPr>
        <w:t xml:space="preserve">, including </w:t>
      </w:r>
      <w:r w:rsidR="00343A45" w:rsidRPr="00394BB8">
        <w:rPr>
          <w:lang w:val="en-GB"/>
        </w:rPr>
        <w:t xml:space="preserve">through </w:t>
      </w:r>
      <w:r w:rsidR="00D81404" w:rsidRPr="00394BB8">
        <w:rPr>
          <w:lang w:val="en-GB"/>
        </w:rPr>
        <w:t xml:space="preserve">the </w:t>
      </w:r>
      <w:r w:rsidR="00343A45" w:rsidRPr="00394BB8">
        <w:rPr>
          <w:lang w:val="en-GB"/>
        </w:rPr>
        <w:t xml:space="preserve">engagement of </w:t>
      </w:r>
      <w:r w:rsidR="00D81404" w:rsidRPr="00394BB8">
        <w:rPr>
          <w:lang w:val="en-GB"/>
        </w:rPr>
        <w:t>civil society organizations</w:t>
      </w:r>
      <w:r w:rsidR="009C1B5E" w:rsidRPr="00394BB8">
        <w:rPr>
          <w:lang w:val="en-GB"/>
        </w:rPr>
        <w:t xml:space="preserve">, </w:t>
      </w:r>
      <w:r w:rsidR="00CE4B5B" w:rsidRPr="00394BB8">
        <w:rPr>
          <w:lang w:val="en-GB"/>
        </w:rPr>
        <w:t xml:space="preserve">media, </w:t>
      </w:r>
      <w:r w:rsidR="00020E42" w:rsidRPr="00394BB8">
        <w:rPr>
          <w:lang w:val="en-GB"/>
        </w:rPr>
        <w:t xml:space="preserve">and citizens at large, </w:t>
      </w:r>
      <w:r w:rsidR="00D81404" w:rsidRPr="00394BB8">
        <w:rPr>
          <w:lang w:val="en-GB"/>
        </w:rPr>
        <w:t xml:space="preserve">using </w:t>
      </w:r>
      <w:r w:rsidR="00D41ED1" w:rsidRPr="00394BB8">
        <w:rPr>
          <w:lang w:val="en-GB"/>
        </w:rPr>
        <w:t>social media and digital communication</w:t>
      </w:r>
      <w:r w:rsidR="00CE4B5B" w:rsidRPr="00394BB8">
        <w:rPr>
          <w:lang w:val="en-GB"/>
        </w:rPr>
        <w:t xml:space="preserve">. </w:t>
      </w:r>
      <w:r w:rsidR="00020E42" w:rsidRPr="00394BB8">
        <w:rPr>
          <w:lang w:val="en-GB"/>
        </w:rPr>
        <w:t>This</w:t>
      </w:r>
      <w:r w:rsidR="00CE4B5B" w:rsidRPr="00394BB8">
        <w:rPr>
          <w:lang w:val="en-GB"/>
        </w:rPr>
        <w:t xml:space="preserve"> will be supported through </w:t>
      </w:r>
      <w:r w:rsidR="00D81404" w:rsidRPr="00394BB8">
        <w:rPr>
          <w:lang w:val="en-GB"/>
        </w:rPr>
        <w:t xml:space="preserve">the </w:t>
      </w:r>
      <w:r w:rsidR="009C1B5E" w:rsidRPr="00394BB8">
        <w:rPr>
          <w:lang w:val="en-GB"/>
        </w:rPr>
        <w:t>introduction of user-centred public service desig</w:t>
      </w:r>
      <w:r w:rsidR="00113397" w:rsidRPr="00394BB8">
        <w:rPr>
          <w:lang w:val="en-GB"/>
        </w:rPr>
        <w:t>n principles</w:t>
      </w:r>
      <w:r w:rsidR="001E3DE7" w:rsidRPr="00394BB8">
        <w:rPr>
          <w:lang w:val="en-GB"/>
        </w:rPr>
        <w:t xml:space="preserve"> with an eye to establishing the Public Service Development Agency as a centre of excellence for co-creating </w:t>
      </w:r>
      <w:r w:rsidR="00D41ED1" w:rsidRPr="00394BB8">
        <w:rPr>
          <w:lang w:val="en-GB"/>
        </w:rPr>
        <w:t>services</w:t>
      </w:r>
      <w:r w:rsidR="001C5F99" w:rsidRPr="00394BB8">
        <w:rPr>
          <w:lang w:val="en-GB"/>
        </w:rPr>
        <w:t>, including in conflict-affected areas</w:t>
      </w:r>
      <w:r w:rsidR="00020E42" w:rsidRPr="00394BB8">
        <w:rPr>
          <w:lang w:val="en-GB"/>
        </w:rPr>
        <w:t xml:space="preserve"> and </w:t>
      </w:r>
      <w:r w:rsidR="006E6D94" w:rsidRPr="00394BB8">
        <w:rPr>
          <w:lang w:val="en-GB"/>
        </w:rPr>
        <w:t xml:space="preserve">for </w:t>
      </w:r>
      <w:r w:rsidR="00D81404" w:rsidRPr="00394BB8">
        <w:rPr>
          <w:lang w:val="en-GB"/>
        </w:rPr>
        <w:t>internally displaced persons</w:t>
      </w:r>
      <w:r w:rsidR="00F3165C" w:rsidRPr="00394BB8">
        <w:rPr>
          <w:lang w:val="en-GB"/>
        </w:rPr>
        <w:t>.</w:t>
      </w:r>
      <w:r w:rsidRPr="00394BB8">
        <w:rPr>
          <w:lang w:val="en-GB"/>
        </w:rPr>
        <w:t xml:space="preserve"> Protection of universal human rights</w:t>
      </w:r>
      <w:r w:rsidR="00445AC2" w:rsidRPr="00394BB8">
        <w:rPr>
          <w:lang w:val="en-GB"/>
        </w:rPr>
        <w:t xml:space="preserve"> and </w:t>
      </w:r>
      <w:r w:rsidRPr="00394BB8">
        <w:rPr>
          <w:lang w:val="en-GB"/>
        </w:rPr>
        <w:t xml:space="preserve">access to justice </w:t>
      </w:r>
      <w:r w:rsidR="00020E42" w:rsidRPr="00394BB8">
        <w:rPr>
          <w:lang w:val="en-GB"/>
        </w:rPr>
        <w:t>forms a</w:t>
      </w:r>
      <w:r w:rsidRPr="00394BB8">
        <w:rPr>
          <w:lang w:val="en-GB"/>
        </w:rPr>
        <w:t xml:space="preserve"> pillar of UNDP support that will lead to building a more democratic governance system in line with citizens</w:t>
      </w:r>
      <w:r w:rsidR="00445AC2" w:rsidRPr="00394BB8">
        <w:rPr>
          <w:lang w:val="en-GB"/>
        </w:rPr>
        <w:t>’ expectations</w:t>
      </w:r>
      <w:r w:rsidR="009C1B5E" w:rsidRPr="00394BB8">
        <w:rPr>
          <w:lang w:val="en-GB"/>
        </w:rPr>
        <w:t xml:space="preserve"> </w:t>
      </w:r>
      <w:r w:rsidR="00617307" w:rsidRPr="00394BB8">
        <w:rPr>
          <w:lang w:val="en-GB"/>
        </w:rPr>
        <w:t xml:space="preserve">from </w:t>
      </w:r>
      <w:r w:rsidR="009C1B5E" w:rsidRPr="00394BB8">
        <w:rPr>
          <w:lang w:val="en-GB"/>
        </w:rPr>
        <w:t>Post</w:t>
      </w:r>
      <w:r w:rsidR="00113397" w:rsidRPr="00394BB8">
        <w:rPr>
          <w:lang w:val="en-GB"/>
        </w:rPr>
        <w:t>-</w:t>
      </w:r>
      <w:r w:rsidR="009C1B5E" w:rsidRPr="00394BB8">
        <w:rPr>
          <w:lang w:val="en-GB"/>
        </w:rPr>
        <w:t>2015 consultations</w:t>
      </w:r>
      <w:r w:rsidR="00555531" w:rsidRPr="00394BB8">
        <w:rPr>
          <w:lang w:val="en-GB"/>
        </w:rPr>
        <w:t xml:space="preserve">, recommendations from </w:t>
      </w:r>
      <w:r w:rsidR="009F6A1A">
        <w:rPr>
          <w:lang w:val="en-GB"/>
        </w:rPr>
        <w:t xml:space="preserve">the </w:t>
      </w:r>
      <w:r w:rsidR="009F6A1A" w:rsidRPr="009F6A1A">
        <w:rPr>
          <w:lang w:val="en-GB"/>
        </w:rPr>
        <w:t>Convention on the Elimination of All Forms of Discrimination against Women</w:t>
      </w:r>
      <w:r w:rsidR="009F6A1A">
        <w:rPr>
          <w:lang w:val="en-GB"/>
        </w:rPr>
        <w:t xml:space="preserve"> and </w:t>
      </w:r>
      <w:r w:rsidR="009F6A1A" w:rsidRPr="009F6A1A">
        <w:rPr>
          <w:lang w:val="en-GB"/>
        </w:rPr>
        <w:t>Committee on the Rights of Persons with Disabilities</w:t>
      </w:r>
      <w:r w:rsidR="009F6A1A">
        <w:rPr>
          <w:lang w:val="en-GB"/>
        </w:rPr>
        <w:t xml:space="preserve"> reviews</w:t>
      </w:r>
      <w:r w:rsidR="009F6A1A" w:rsidRPr="009F6A1A">
        <w:rPr>
          <w:lang w:val="en-GB"/>
        </w:rPr>
        <w:t>,</w:t>
      </w:r>
      <w:r w:rsidR="006415C2" w:rsidRPr="00394BB8">
        <w:rPr>
          <w:lang w:val="en-GB"/>
        </w:rPr>
        <w:t xml:space="preserve"> </w:t>
      </w:r>
      <w:r w:rsidR="009F6A1A">
        <w:rPr>
          <w:lang w:val="en-GB"/>
        </w:rPr>
        <w:t>the universal periodic</w:t>
      </w:r>
      <w:r w:rsidR="009F6A1A" w:rsidRPr="00394BB8">
        <w:rPr>
          <w:lang w:val="en-GB"/>
        </w:rPr>
        <w:t xml:space="preserve"> </w:t>
      </w:r>
      <w:r w:rsidR="00555531" w:rsidRPr="00394BB8">
        <w:rPr>
          <w:lang w:val="en-GB"/>
        </w:rPr>
        <w:t>review</w:t>
      </w:r>
      <w:r w:rsidR="009D3F52" w:rsidRPr="00394BB8">
        <w:rPr>
          <w:lang w:val="en-GB"/>
        </w:rPr>
        <w:t xml:space="preserve"> and other national commitments</w:t>
      </w:r>
      <w:r w:rsidR="009C1B5E" w:rsidRPr="00394BB8">
        <w:rPr>
          <w:lang w:val="en-GB"/>
        </w:rPr>
        <w:t xml:space="preserve">. </w:t>
      </w:r>
      <w:r w:rsidR="006A1449" w:rsidRPr="00394BB8">
        <w:rPr>
          <w:lang w:val="en-GB"/>
        </w:rPr>
        <w:t xml:space="preserve">South-South </w:t>
      </w:r>
      <w:r w:rsidR="009F6A1A">
        <w:rPr>
          <w:lang w:val="en-GB"/>
        </w:rPr>
        <w:t>c</w:t>
      </w:r>
      <w:r w:rsidR="006A1449" w:rsidRPr="00394BB8">
        <w:rPr>
          <w:lang w:val="en-GB"/>
        </w:rPr>
        <w:t>ooperation will serve as important channel for Georgia to</w:t>
      </w:r>
      <w:r w:rsidR="00ED0EF9" w:rsidRPr="00394BB8">
        <w:rPr>
          <w:lang w:val="en-GB"/>
        </w:rPr>
        <w:t xml:space="preserve"> share reform experiences and</w:t>
      </w:r>
      <w:r w:rsidR="006A1449" w:rsidRPr="00394BB8">
        <w:rPr>
          <w:lang w:val="en-GB"/>
        </w:rPr>
        <w:t xml:space="preserve"> learn from </w:t>
      </w:r>
      <w:r w:rsidR="00D400E3">
        <w:rPr>
          <w:lang w:val="en-GB"/>
        </w:rPr>
        <w:t xml:space="preserve">the </w:t>
      </w:r>
      <w:r w:rsidR="00D400E3" w:rsidRPr="00394BB8">
        <w:rPr>
          <w:lang w:val="en-GB"/>
        </w:rPr>
        <w:t xml:space="preserve">European integration </w:t>
      </w:r>
      <w:r w:rsidR="00D400E3">
        <w:rPr>
          <w:lang w:val="en-GB"/>
        </w:rPr>
        <w:t xml:space="preserve">of </w:t>
      </w:r>
      <w:r w:rsidR="006A1449" w:rsidRPr="00394BB8">
        <w:rPr>
          <w:lang w:val="en-GB"/>
        </w:rPr>
        <w:t xml:space="preserve">other countries. </w:t>
      </w:r>
      <w:r w:rsidR="009C1B5E" w:rsidRPr="00394BB8">
        <w:rPr>
          <w:lang w:val="en-GB"/>
        </w:rPr>
        <w:t>Key</w:t>
      </w:r>
      <w:r w:rsidR="00113397" w:rsidRPr="00394BB8">
        <w:rPr>
          <w:lang w:val="en-GB"/>
        </w:rPr>
        <w:t xml:space="preserve"> </w:t>
      </w:r>
      <w:r w:rsidRPr="00394BB8">
        <w:rPr>
          <w:lang w:val="en-GB"/>
        </w:rPr>
        <w:t>partners include Parliament</w:t>
      </w:r>
      <w:r w:rsidR="00570DE7" w:rsidRPr="00394BB8">
        <w:rPr>
          <w:lang w:val="en-GB"/>
        </w:rPr>
        <w:t xml:space="preserve">, especially in terms of strengthening Committees and </w:t>
      </w:r>
      <w:r w:rsidR="00D400E3">
        <w:rPr>
          <w:lang w:val="en-GB"/>
        </w:rPr>
        <w:t>the</w:t>
      </w:r>
      <w:r w:rsidR="00D400E3" w:rsidRPr="00394BB8">
        <w:rPr>
          <w:lang w:val="en-GB"/>
        </w:rPr>
        <w:t xml:space="preserve"> </w:t>
      </w:r>
      <w:r w:rsidR="00570DE7" w:rsidRPr="00394BB8">
        <w:rPr>
          <w:lang w:val="en-GB"/>
        </w:rPr>
        <w:t>Open Government Partnership engagement</w:t>
      </w:r>
      <w:r w:rsidRPr="00394BB8">
        <w:rPr>
          <w:lang w:val="en-GB"/>
        </w:rPr>
        <w:t xml:space="preserve">, </w:t>
      </w:r>
      <w:r w:rsidR="00D400E3">
        <w:rPr>
          <w:lang w:val="en-GB"/>
        </w:rPr>
        <w:t>g</w:t>
      </w:r>
      <w:r w:rsidRPr="00394BB8">
        <w:rPr>
          <w:lang w:val="en-GB"/>
        </w:rPr>
        <w:t>overnment</w:t>
      </w:r>
      <w:r w:rsidR="00B81DC9" w:rsidRPr="00394BB8">
        <w:rPr>
          <w:lang w:val="en-GB"/>
        </w:rPr>
        <w:t xml:space="preserve"> </w:t>
      </w:r>
      <w:r w:rsidR="00D400E3">
        <w:rPr>
          <w:lang w:val="en-GB"/>
        </w:rPr>
        <w:t>a</w:t>
      </w:r>
      <w:r w:rsidR="00B81DC9" w:rsidRPr="00394BB8">
        <w:rPr>
          <w:lang w:val="en-GB"/>
        </w:rPr>
        <w:t>dministration</w:t>
      </w:r>
      <w:r w:rsidRPr="00394BB8">
        <w:rPr>
          <w:lang w:val="en-GB"/>
        </w:rPr>
        <w:t xml:space="preserve">, </w:t>
      </w:r>
      <w:r w:rsidR="00D400E3">
        <w:rPr>
          <w:lang w:val="en-GB"/>
        </w:rPr>
        <w:t>m</w:t>
      </w:r>
      <w:r w:rsidR="00445AC2" w:rsidRPr="00394BB8">
        <w:rPr>
          <w:lang w:val="en-GB"/>
        </w:rPr>
        <w:t>inistries</w:t>
      </w:r>
      <w:r w:rsidR="00113397" w:rsidRPr="00394BB8">
        <w:rPr>
          <w:lang w:val="en-GB"/>
        </w:rPr>
        <w:t xml:space="preserve">, </w:t>
      </w:r>
      <w:r w:rsidR="001F75D9" w:rsidRPr="00394BB8">
        <w:rPr>
          <w:lang w:val="en-GB"/>
        </w:rPr>
        <w:t>state a</w:t>
      </w:r>
      <w:r w:rsidR="00B81DC9" w:rsidRPr="00394BB8">
        <w:rPr>
          <w:lang w:val="en-GB"/>
        </w:rPr>
        <w:t>gencies</w:t>
      </w:r>
      <w:r w:rsidRPr="00394BB8">
        <w:rPr>
          <w:lang w:val="en-GB"/>
        </w:rPr>
        <w:t>,</w:t>
      </w:r>
      <w:r w:rsidR="001F75D9" w:rsidRPr="00394BB8">
        <w:rPr>
          <w:lang w:val="en-GB"/>
        </w:rPr>
        <w:t xml:space="preserve"> including </w:t>
      </w:r>
      <w:r w:rsidR="000B509A" w:rsidRPr="00394BB8">
        <w:rPr>
          <w:lang w:val="en-GB"/>
        </w:rPr>
        <w:t>the Public Service Development Agency</w:t>
      </w:r>
      <w:r w:rsidR="00D41ED1" w:rsidRPr="00394BB8">
        <w:rPr>
          <w:lang w:val="en-GB"/>
        </w:rPr>
        <w:t>,</w:t>
      </w:r>
      <w:r w:rsidRPr="00394BB8">
        <w:rPr>
          <w:lang w:val="en-GB"/>
        </w:rPr>
        <w:t xml:space="preserve"> </w:t>
      </w:r>
      <w:r w:rsidR="00D400E3">
        <w:rPr>
          <w:lang w:val="en-GB"/>
        </w:rPr>
        <w:t xml:space="preserve">the </w:t>
      </w:r>
      <w:r w:rsidR="00693F8D" w:rsidRPr="00394BB8">
        <w:rPr>
          <w:lang w:val="en-GB"/>
        </w:rPr>
        <w:t xml:space="preserve">Public Defender’s Office, </w:t>
      </w:r>
      <w:r w:rsidRPr="00394BB8">
        <w:rPr>
          <w:lang w:val="en-GB"/>
        </w:rPr>
        <w:t>local authorities</w:t>
      </w:r>
      <w:r w:rsidR="00CE4B5B" w:rsidRPr="00394BB8">
        <w:rPr>
          <w:lang w:val="en-GB"/>
        </w:rPr>
        <w:t xml:space="preserve">, media, </w:t>
      </w:r>
      <w:r w:rsidR="00D400E3">
        <w:rPr>
          <w:lang w:val="en-GB"/>
        </w:rPr>
        <w:t>civil society organization</w:t>
      </w:r>
      <w:r w:rsidR="00D400E3" w:rsidRPr="00394BB8">
        <w:rPr>
          <w:lang w:val="en-GB"/>
        </w:rPr>
        <w:t>s</w:t>
      </w:r>
      <w:r w:rsidR="00AA265B" w:rsidRPr="00394BB8">
        <w:rPr>
          <w:lang w:val="en-GB"/>
        </w:rPr>
        <w:t xml:space="preserve">, </w:t>
      </w:r>
      <w:r w:rsidR="00D400E3">
        <w:rPr>
          <w:lang w:val="en-GB"/>
        </w:rPr>
        <w:t>international non-governmental organization</w:t>
      </w:r>
      <w:r w:rsidR="00D400E3" w:rsidRPr="00394BB8">
        <w:rPr>
          <w:lang w:val="en-GB"/>
        </w:rPr>
        <w:t xml:space="preserve">s </w:t>
      </w:r>
      <w:r w:rsidR="00CE4B5B" w:rsidRPr="00394BB8">
        <w:rPr>
          <w:lang w:val="en-GB"/>
        </w:rPr>
        <w:t xml:space="preserve">and international actors such </w:t>
      </w:r>
      <w:r w:rsidR="000F1630" w:rsidRPr="00394BB8">
        <w:rPr>
          <w:lang w:val="en-GB"/>
        </w:rPr>
        <w:t>the</w:t>
      </w:r>
      <w:r w:rsidR="00CE4B5B" w:rsidRPr="00394BB8">
        <w:rPr>
          <w:lang w:val="en-GB"/>
        </w:rPr>
        <w:t xml:space="preserve"> </w:t>
      </w:r>
      <w:r w:rsidR="00D400E3">
        <w:rPr>
          <w:lang w:val="en-GB"/>
        </w:rPr>
        <w:t>European Union</w:t>
      </w:r>
      <w:r w:rsidR="001F75D9" w:rsidRPr="00394BB8">
        <w:rPr>
          <w:lang w:val="en-GB"/>
        </w:rPr>
        <w:t xml:space="preserve">, </w:t>
      </w:r>
      <w:r w:rsidR="00D400E3">
        <w:rPr>
          <w:lang w:val="en-GB"/>
        </w:rPr>
        <w:t>the United States Agency for International Development</w:t>
      </w:r>
      <w:r w:rsidR="000F1630" w:rsidRPr="00394BB8">
        <w:rPr>
          <w:lang w:val="en-GB"/>
        </w:rPr>
        <w:t xml:space="preserve">, </w:t>
      </w:r>
      <w:r w:rsidR="00D400E3">
        <w:rPr>
          <w:lang w:val="en-GB"/>
        </w:rPr>
        <w:t xml:space="preserve">the </w:t>
      </w:r>
      <w:r w:rsidR="00D400E3" w:rsidRPr="00D400E3">
        <w:rPr>
          <w:lang w:val="en-GB"/>
        </w:rPr>
        <w:t xml:space="preserve">Swiss </w:t>
      </w:r>
      <w:r w:rsidR="00D400E3" w:rsidRPr="00D400E3">
        <w:rPr>
          <w:lang w:val="en-GB"/>
        </w:rPr>
        <w:lastRenderedPageBreak/>
        <w:t>Agency for</w:t>
      </w:r>
      <w:r w:rsidR="00D400E3">
        <w:rPr>
          <w:lang w:val="en-GB"/>
        </w:rPr>
        <w:t xml:space="preserve"> </w:t>
      </w:r>
      <w:r w:rsidR="00D400E3" w:rsidRPr="00D400E3">
        <w:rPr>
          <w:lang w:val="en-GB"/>
        </w:rPr>
        <w:t>Development</w:t>
      </w:r>
      <w:r w:rsidR="00D400E3">
        <w:rPr>
          <w:lang w:val="en-GB"/>
        </w:rPr>
        <w:t xml:space="preserve"> </w:t>
      </w:r>
      <w:r w:rsidR="00D400E3" w:rsidRPr="00D400E3">
        <w:rPr>
          <w:lang w:val="en-GB"/>
        </w:rPr>
        <w:t>and Cooperation</w:t>
      </w:r>
      <w:r w:rsidR="00A97AF6">
        <w:rPr>
          <w:lang w:val="en-GB"/>
        </w:rPr>
        <w:t>,</w:t>
      </w:r>
      <w:r w:rsidR="00D400E3">
        <w:rPr>
          <w:lang w:val="en-GB"/>
        </w:rPr>
        <w:t xml:space="preserve"> </w:t>
      </w:r>
      <w:r w:rsidR="00A97AF6">
        <w:rPr>
          <w:lang w:val="en-GB"/>
        </w:rPr>
        <w:t>the</w:t>
      </w:r>
      <w:r w:rsidR="005A3C8B">
        <w:rPr>
          <w:lang w:val="en-GB"/>
        </w:rPr>
        <w:t xml:space="preserve"> Council of Europe</w:t>
      </w:r>
      <w:r w:rsidR="001C4C1A">
        <w:rPr>
          <w:lang w:val="en-GB"/>
        </w:rPr>
        <w:t xml:space="preserve">, </w:t>
      </w:r>
      <w:r w:rsidR="001C4C1A" w:rsidRPr="00394BB8">
        <w:rPr>
          <w:lang w:val="en-GB"/>
        </w:rPr>
        <w:t>and other bilateral and multilateral partners</w:t>
      </w:r>
      <w:r w:rsidR="00D7027D" w:rsidRPr="00394BB8">
        <w:rPr>
          <w:lang w:val="en-GB"/>
        </w:rPr>
        <w:t>.</w:t>
      </w:r>
    </w:p>
    <w:p w14:paraId="36BD5911" w14:textId="5C65AEED" w:rsidR="00D7027D" w:rsidRPr="00394BB8" w:rsidRDefault="005655EC" w:rsidP="0073043C">
      <w:pPr>
        <w:pStyle w:val="ListParagraph"/>
        <w:numPr>
          <w:ilvl w:val="2"/>
          <w:numId w:val="6"/>
        </w:numPr>
        <w:shd w:val="clear" w:color="auto" w:fill="FFFFFF" w:themeFill="background1"/>
        <w:tabs>
          <w:tab w:val="num" w:pos="1080"/>
          <w:tab w:val="left" w:pos="1530"/>
        </w:tabs>
        <w:autoSpaceDE w:val="0"/>
        <w:autoSpaceDN w:val="0"/>
        <w:adjustRightInd w:val="0"/>
        <w:spacing w:after="120"/>
        <w:ind w:left="720" w:firstLine="0"/>
        <w:jc w:val="both"/>
        <w:rPr>
          <w:lang w:val="en-GB"/>
        </w:rPr>
      </w:pPr>
      <w:r w:rsidRPr="00394BB8">
        <w:rPr>
          <w:lang w:val="en-GB"/>
        </w:rPr>
        <w:t xml:space="preserve">The </w:t>
      </w:r>
      <w:r w:rsidRPr="00394BB8">
        <w:rPr>
          <w:i/>
          <w:lang w:val="en-GB"/>
        </w:rPr>
        <w:t>second programme priority</w:t>
      </w:r>
      <w:r w:rsidR="00710C1D" w:rsidRPr="00394BB8">
        <w:rPr>
          <w:b/>
          <w:lang w:val="en-GB"/>
        </w:rPr>
        <w:t xml:space="preserve"> </w:t>
      </w:r>
      <w:r w:rsidR="003E663F" w:rsidRPr="00394BB8">
        <w:rPr>
          <w:lang w:val="en-GB"/>
        </w:rPr>
        <w:t xml:space="preserve">envisages </w:t>
      </w:r>
      <w:r w:rsidR="00710C1D" w:rsidRPr="00394BB8">
        <w:rPr>
          <w:lang w:val="en-GB"/>
        </w:rPr>
        <w:t>contribut</w:t>
      </w:r>
      <w:r w:rsidR="000D223B" w:rsidRPr="00394BB8">
        <w:rPr>
          <w:lang w:val="en-GB"/>
        </w:rPr>
        <w:t>ion</w:t>
      </w:r>
      <w:r w:rsidR="00D81404" w:rsidRPr="00394BB8">
        <w:rPr>
          <w:lang w:val="en-GB"/>
        </w:rPr>
        <w:t>s</w:t>
      </w:r>
      <w:r w:rsidR="000D223B" w:rsidRPr="00394BB8">
        <w:rPr>
          <w:lang w:val="en-GB"/>
        </w:rPr>
        <w:t xml:space="preserve"> </w:t>
      </w:r>
      <w:r w:rsidR="00710C1D" w:rsidRPr="00394BB8">
        <w:rPr>
          <w:lang w:val="en-GB"/>
        </w:rPr>
        <w:t xml:space="preserve">to </w:t>
      </w:r>
      <w:r w:rsidR="00D76EB8">
        <w:rPr>
          <w:lang w:val="en-GB"/>
        </w:rPr>
        <w:t>United</w:t>
      </w:r>
      <w:r w:rsidR="00A97AF6">
        <w:rPr>
          <w:lang w:val="en-GB"/>
        </w:rPr>
        <w:t xml:space="preserve"> </w:t>
      </w:r>
      <w:r w:rsidR="00D76EB8" w:rsidRPr="00394BB8">
        <w:rPr>
          <w:lang w:val="en-GB"/>
        </w:rPr>
        <w:t>Nations Partnership for Sustainable Development</w:t>
      </w:r>
      <w:r w:rsidR="00710C1D" w:rsidRPr="00394BB8">
        <w:rPr>
          <w:lang w:val="en-GB"/>
        </w:rPr>
        <w:t xml:space="preserve"> </w:t>
      </w:r>
      <w:r w:rsidR="00D81404" w:rsidRPr="00394BB8">
        <w:rPr>
          <w:lang w:val="en-GB"/>
        </w:rPr>
        <w:t>o</w:t>
      </w:r>
      <w:r w:rsidR="00710C1D" w:rsidRPr="00394BB8">
        <w:rPr>
          <w:lang w:val="en-GB"/>
        </w:rPr>
        <w:t xml:space="preserve">utcome 3 </w:t>
      </w:r>
      <w:r w:rsidR="000D223B" w:rsidRPr="00394BB8">
        <w:rPr>
          <w:lang w:val="en-GB"/>
        </w:rPr>
        <w:t>“</w:t>
      </w:r>
      <w:r w:rsidR="000D223B" w:rsidRPr="00394BB8">
        <w:rPr>
          <w:bCs/>
          <w:lang w:val="en-GB"/>
        </w:rPr>
        <w:t>Growth and development are inclusive and sustainable, creating employment and livelihoods for the poor and excluded</w:t>
      </w:r>
      <w:r w:rsidR="00D81404" w:rsidRPr="00394BB8">
        <w:rPr>
          <w:lang w:val="en-GB"/>
        </w:rPr>
        <w:t xml:space="preserve">”, </w:t>
      </w:r>
      <w:r w:rsidR="00710C1D" w:rsidRPr="00394BB8">
        <w:rPr>
          <w:lang w:val="en-GB"/>
        </w:rPr>
        <w:t xml:space="preserve">and UNDP </w:t>
      </w:r>
      <w:r w:rsidR="00D81404" w:rsidRPr="00394BB8">
        <w:rPr>
          <w:lang w:val="en-GB"/>
        </w:rPr>
        <w:t>s</w:t>
      </w:r>
      <w:r w:rsidR="00710C1D" w:rsidRPr="00394BB8">
        <w:rPr>
          <w:lang w:val="en-GB"/>
        </w:rPr>
        <w:t xml:space="preserve">trategic </w:t>
      </w:r>
      <w:r w:rsidR="00D81404" w:rsidRPr="00394BB8">
        <w:rPr>
          <w:lang w:val="en-GB"/>
        </w:rPr>
        <w:t>plan</w:t>
      </w:r>
      <w:r w:rsidR="00710C1D" w:rsidRPr="00394BB8">
        <w:rPr>
          <w:lang w:val="en-GB"/>
        </w:rPr>
        <w:t xml:space="preserve"> </w:t>
      </w:r>
      <w:r w:rsidR="00D81404" w:rsidRPr="00394BB8">
        <w:rPr>
          <w:lang w:val="en-GB"/>
        </w:rPr>
        <w:t>o</w:t>
      </w:r>
      <w:r w:rsidR="00710C1D" w:rsidRPr="00394BB8">
        <w:rPr>
          <w:lang w:val="en-GB"/>
        </w:rPr>
        <w:t>utcome 1</w:t>
      </w:r>
      <w:r w:rsidR="000D223B" w:rsidRPr="00394BB8">
        <w:rPr>
          <w:lang w:val="en-GB"/>
        </w:rPr>
        <w:t xml:space="preserve">. </w:t>
      </w:r>
    </w:p>
    <w:p w14:paraId="2D9A2DC9" w14:textId="29652C96" w:rsidR="00D7027D" w:rsidRPr="00394BB8" w:rsidRDefault="00E97CE7" w:rsidP="0073043C">
      <w:pPr>
        <w:pStyle w:val="ListParagraph"/>
        <w:numPr>
          <w:ilvl w:val="2"/>
          <w:numId w:val="6"/>
        </w:numPr>
        <w:shd w:val="clear" w:color="auto" w:fill="FFFFFF" w:themeFill="background1"/>
        <w:tabs>
          <w:tab w:val="num" w:pos="1080"/>
          <w:tab w:val="left" w:pos="1530"/>
        </w:tabs>
        <w:autoSpaceDE w:val="0"/>
        <w:autoSpaceDN w:val="0"/>
        <w:adjustRightInd w:val="0"/>
        <w:spacing w:after="120"/>
        <w:ind w:left="720" w:firstLine="0"/>
        <w:jc w:val="both"/>
        <w:rPr>
          <w:lang w:val="en-GB"/>
        </w:rPr>
      </w:pPr>
      <w:r w:rsidRPr="00394BB8">
        <w:rPr>
          <w:lang w:val="en-GB"/>
        </w:rPr>
        <w:t xml:space="preserve">UNDP will increasingly apply an integrated rural development approach to addressing </w:t>
      </w:r>
      <w:r w:rsidR="002621FA" w:rsidRPr="00394BB8">
        <w:rPr>
          <w:lang w:val="en-GB"/>
        </w:rPr>
        <w:t xml:space="preserve">multidimensional </w:t>
      </w:r>
      <w:r w:rsidRPr="00394BB8">
        <w:rPr>
          <w:lang w:val="en-GB"/>
        </w:rPr>
        <w:t xml:space="preserve">vulnerabilities among the rural population, </w:t>
      </w:r>
      <w:r w:rsidR="00D81404" w:rsidRPr="00394BB8">
        <w:rPr>
          <w:lang w:val="en-GB"/>
        </w:rPr>
        <w:t>and will</w:t>
      </w:r>
      <w:r w:rsidR="005655EC" w:rsidRPr="00394BB8">
        <w:rPr>
          <w:lang w:val="en-GB"/>
        </w:rPr>
        <w:t xml:space="preserve"> focus on increasing employment opportunities for the most vulnerable (</w:t>
      </w:r>
      <w:r w:rsidR="00D81404" w:rsidRPr="00394BB8">
        <w:rPr>
          <w:lang w:val="en-GB"/>
        </w:rPr>
        <w:t>internally displaced persons</w:t>
      </w:r>
      <w:r w:rsidR="005655EC" w:rsidRPr="00394BB8">
        <w:rPr>
          <w:lang w:val="en-GB"/>
        </w:rPr>
        <w:t xml:space="preserve">, </w:t>
      </w:r>
      <w:r w:rsidR="00D81404" w:rsidRPr="00394BB8">
        <w:rPr>
          <w:lang w:val="en-GB"/>
        </w:rPr>
        <w:t>people with disabilities</w:t>
      </w:r>
      <w:r w:rsidR="005655EC" w:rsidRPr="00394BB8">
        <w:rPr>
          <w:lang w:val="en-GB"/>
        </w:rPr>
        <w:t>, youth</w:t>
      </w:r>
      <w:r w:rsidR="002D0F68" w:rsidRPr="00394BB8">
        <w:rPr>
          <w:lang w:val="en-GB"/>
        </w:rPr>
        <w:t xml:space="preserve"> and vulnerable women, </w:t>
      </w:r>
      <w:r w:rsidR="009939B2" w:rsidRPr="00394BB8">
        <w:rPr>
          <w:lang w:val="en-GB"/>
        </w:rPr>
        <w:t>including</w:t>
      </w:r>
      <w:r w:rsidR="002D0F68" w:rsidRPr="00394BB8">
        <w:rPr>
          <w:lang w:val="en-GB"/>
        </w:rPr>
        <w:t xml:space="preserve"> poor, o</w:t>
      </w:r>
      <w:r w:rsidR="00AA265B" w:rsidRPr="00394BB8">
        <w:rPr>
          <w:lang w:val="en-GB"/>
        </w:rPr>
        <w:t xml:space="preserve">lder women </w:t>
      </w:r>
      <w:r w:rsidR="002D0F68" w:rsidRPr="00394BB8">
        <w:rPr>
          <w:lang w:val="en-GB"/>
        </w:rPr>
        <w:t>and women</w:t>
      </w:r>
      <w:r w:rsidR="00CA5BFB" w:rsidRPr="00394BB8">
        <w:rPr>
          <w:lang w:val="en-GB"/>
        </w:rPr>
        <w:t xml:space="preserve"> </w:t>
      </w:r>
      <w:r w:rsidR="002D0F68" w:rsidRPr="00394BB8">
        <w:rPr>
          <w:lang w:val="en-GB"/>
        </w:rPr>
        <w:t>head</w:t>
      </w:r>
      <w:r w:rsidR="00CA5BFB" w:rsidRPr="00394BB8">
        <w:rPr>
          <w:lang w:val="en-GB"/>
        </w:rPr>
        <w:t>s of</w:t>
      </w:r>
      <w:r w:rsidR="002D0F68" w:rsidRPr="00394BB8">
        <w:rPr>
          <w:lang w:val="en-GB"/>
        </w:rPr>
        <w:t xml:space="preserve"> households</w:t>
      </w:r>
      <w:r w:rsidR="005655EC" w:rsidRPr="00394BB8">
        <w:rPr>
          <w:lang w:val="en-GB"/>
        </w:rPr>
        <w:t>)</w:t>
      </w:r>
      <w:r w:rsidR="002D0F68" w:rsidRPr="00394BB8">
        <w:rPr>
          <w:lang w:val="en-GB"/>
        </w:rPr>
        <w:t xml:space="preserve">, </w:t>
      </w:r>
      <w:r w:rsidRPr="00394BB8">
        <w:rPr>
          <w:lang w:val="en-GB"/>
        </w:rPr>
        <w:t>linking economic incentives with environmental sustainability</w:t>
      </w:r>
      <w:r w:rsidR="005655EC" w:rsidRPr="00394BB8">
        <w:rPr>
          <w:lang w:val="en-GB"/>
        </w:rPr>
        <w:t xml:space="preserve">. </w:t>
      </w:r>
      <w:r w:rsidR="00CA5BFB" w:rsidRPr="00394BB8">
        <w:rPr>
          <w:lang w:val="en-GB"/>
        </w:rPr>
        <w:t>A r</w:t>
      </w:r>
      <w:r w:rsidR="005655EC" w:rsidRPr="00394BB8">
        <w:rPr>
          <w:lang w:val="en-GB"/>
        </w:rPr>
        <w:t xml:space="preserve">eduction of disparities </w:t>
      </w:r>
      <w:r w:rsidR="00CA5BFB" w:rsidRPr="00394BB8">
        <w:rPr>
          <w:lang w:val="en-GB"/>
        </w:rPr>
        <w:t xml:space="preserve">through </w:t>
      </w:r>
      <w:r w:rsidR="005655EC" w:rsidRPr="00394BB8">
        <w:rPr>
          <w:lang w:val="en-GB"/>
        </w:rPr>
        <w:t>more inclusive</w:t>
      </w:r>
      <w:r w:rsidR="00113397" w:rsidRPr="00394BB8">
        <w:rPr>
          <w:lang w:val="en-GB"/>
        </w:rPr>
        <w:t xml:space="preserve"> </w:t>
      </w:r>
      <w:r w:rsidR="005655EC" w:rsidRPr="00394BB8">
        <w:rPr>
          <w:lang w:val="en-GB"/>
        </w:rPr>
        <w:t xml:space="preserve">economic growth will be supported through technical assistance </w:t>
      </w:r>
      <w:r w:rsidR="009939B2" w:rsidRPr="00394BB8">
        <w:rPr>
          <w:lang w:val="en-GB"/>
        </w:rPr>
        <w:t xml:space="preserve">for </w:t>
      </w:r>
      <w:r w:rsidR="00EE3338" w:rsidRPr="00394BB8">
        <w:rPr>
          <w:lang w:val="en-GB"/>
        </w:rPr>
        <w:t>citizen-</w:t>
      </w:r>
      <w:r w:rsidR="00C8527C" w:rsidRPr="00394BB8">
        <w:rPr>
          <w:lang w:val="en-GB"/>
        </w:rPr>
        <w:t>centred</w:t>
      </w:r>
      <w:r w:rsidR="00EE3338" w:rsidRPr="00394BB8">
        <w:rPr>
          <w:lang w:val="en-GB"/>
        </w:rPr>
        <w:t xml:space="preserve"> and gender-aware </w:t>
      </w:r>
      <w:r w:rsidR="0044097F" w:rsidRPr="00394BB8">
        <w:rPr>
          <w:lang w:val="en-GB"/>
        </w:rPr>
        <w:t>rural and urban policies and budgets</w:t>
      </w:r>
      <w:r w:rsidR="001A306F" w:rsidRPr="00394BB8">
        <w:rPr>
          <w:lang w:val="en-GB"/>
        </w:rPr>
        <w:t>, including value</w:t>
      </w:r>
      <w:r w:rsidR="00CA5BFB" w:rsidRPr="00394BB8">
        <w:rPr>
          <w:lang w:val="en-GB"/>
        </w:rPr>
        <w:t>-</w:t>
      </w:r>
      <w:r w:rsidR="001A306F" w:rsidRPr="00394BB8">
        <w:rPr>
          <w:lang w:val="en-GB"/>
        </w:rPr>
        <w:t xml:space="preserve">chain and </w:t>
      </w:r>
      <w:r w:rsidR="00CA5BFB" w:rsidRPr="00394BB8">
        <w:rPr>
          <w:lang w:val="en-GB"/>
        </w:rPr>
        <w:t>small and medium</w:t>
      </w:r>
      <w:r w:rsidR="008D584B">
        <w:rPr>
          <w:lang w:val="en-GB"/>
        </w:rPr>
        <w:t>-sized</w:t>
      </w:r>
      <w:r w:rsidR="00CA5BFB" w:rsidRPr="00394BB8">
        <w:rPr>
          <w:lang w:val="en-GB"/>
        </w:rPr>
        <w:t xml:space="preserve"> enterprise </w:t>
      </w:r>
      <w:r w:rsidR="001A306F" w:rsidRPr="00394BB8">
        <w:rPr>
          <w:lang w:val="en-GB"/>
        </w:rPr>
        <w:t>support</w:t>
      </w:r>
      <w:r w:rsidR="00555531" w:rsidRPr="00394BB8">
        <w:rPr>
          <w:lang w:val="en-GB"/>
        </w:rPr>
        <w:t xml:space="preserve">. This will be implemented </w:t>
      </w:r>
      <w:r w:rsidR="00B9144F" w:rsidRPr="00394BB8">
        <w:rPr>
          <w:lang w:val="en-GB"/>
        </w:rPr>
        <w:t>in partnership with national and local governments</w:t>
      </w:r>
      <w:r w:rsidR="00113397" w:rsidRPr="00394BB8">
        <w:rPr>
          <w:lang w:val="en-GB"/>
        </w:rPr>
        <w:t xml:space="preserve">, including the </w:t>
      </w:r>
      <w:r w:rsidR="00CA5BFB" w:rsidRPr="00394BB8">
        <w:rPr>
          <w:lang w:val="en-GB"/>
        </w:rPr>
        <w:t>ministries of regional development and infrastructure, agriculture and economy</w:t>
      </w:r>
      <w:r w:rsidR="008D584B">
        <w:rPr>
          <w:lang w:val="en-GB"/>
        </w:rPr>
        <w:t>,</w:t>
      </w:r>
      <w:r w:rsidR="00CA5BFB" w:rsidRPr="00394BB8">
        <w:rPr>
          <w:lang w:val="en-GB"/>
        </w:rPr>
        <w:t xml:space="preserve"> and sustainable development</w:t>
      </w:r>
      <w:r w:rsidR="008B4243" w:rsidRPr="00394BB8">
        <w:rPr>
          <w:lang w:val="en-GB"/>
        </w:rPr>
        <w:t xml:space="preserve">. Through </w:t>
      </w:r>
      <w:r w:rsidR="00CA5BFB" w:rsidRPr="00394BB8">
        <w:rPr>
          <w:lang w:val="en-GB"/>
        </w:rPr>
        <w:t>South-South cooperation</w:t>
      </w:r>
      <w:r w:rsidR="007E65E1" w:rsidRPr="00394BB8">
        <w:rPr>
          <w:lang w:val="en-GB"/>
        </w:rPr>
        <w:t>,</w:t>
      </w:r>
      <w:r w:rsidR="008B4243" w:rsidRPr="00394BB8">
        <w:rPr>
          <w:lang w:val="en-GB"/>
        </w:rPr>
        <w:t xml:space="preserve"> Georgia will share its experience with other countries in the region. </w:t>
      </w:r>
      <w:r w:rsidR="00B9144F" w:rsidRPr="00394BB8">
        <w:rPr>
          <w:lang w:val="en-GB"/>
        </w:rPr>
        <w:t xml:space="preserve">Policy advice </w:t>
      </w:r>
      <w:r w:rsidR="008D584B" w:rsidRPr="00394BB8">
        <w:rPr>
          <w:lang w:val="en-GB"/>
        </w:rPr>
        <w:t xml:space="preserve">on developing evidence-based labour market policies, social and public-private partnerships and vocational education </w:t>
      </w:r>
      <w:r w:rsidR="00B9144F" w:rsidRPr="00394BB8">
        <w:rPr>
          <w:lang w:val="en-GB"/>
        </w:rPr>
        <w:t>will be provi</w:t>
      </w:r>
      <w:r w:rsidR="002D3D73" w:rsidRPr="00394BB8">
        <w:rPr>
          <w:lang w:val="en-GB"/>
        </w:rPr>
        <w:t xml:space="preserve">ded to </w:t>
      </w:r>
      <w:r w:rsidR="00F302E3" w:rsidRPr="00394BB8">
        <w:rPr>
          <w:lang w:val="en-GB"/>
        </w:rPr>
        <w:t xml:space="preserve">the </w:t>
      </w:r>
      <w:r w:rsidR="00A0636B" w:rsidRPr="00394BB8">
        <w:rPr>
          <w:lang w:val="en-GB"/>
        </w:rPr>
        <w:t>Ministr</w:t>
      </w:r>
      <w:r w:rsidR="00CA5BFB" w:rsidRPr="00394BB8">
        <w:rPr>
          <w:lang w:val="en-GB"/>
        </w:rPr>
        <w:t>y</w:t>
      </w:r>
      <w:r w:rsidR="008D584B">
        <w:rPr>
          <w:lang w:val="en-GB"/>
        </w:rPr>
        <w:t xml:space="preserve"> </w:t>
      </w:r>
      <w:r w:rsidR="00F302E3" w:rsidRPr="00394BB8">
        <w:rPr>
          <w:lang w:val="en-GB"/>
        </w:rPr>
        <w:t>of Labour, Health and Social Affairs</w:t>
      </w:r>
      <w:r w:rsidR="008D584B">
        <w:rPr>
          <w:lang w:val="en-GB"/>
        </w:rPr>
        <w:t>,</w:t>
      </w:r>
      <w:r w:rsidR="00A0636B" w:rsidRPr="00394BB8">
        <w:rPr>
          <w:lang w:val="en-GB"/>
        </w:rPr>
        <w:t xml:space="preserve"> </w:t>
      </w:r>
      <w:r w:rsidR="00CA5BFB" w:rsidRPr="00394BB8">
        <w:rPr>
          <w:lang w:val="en-GB"/>
        </w:rPr>
        <w:t xml:space="preserve">the Ministry of </w:t>
      </w:r>
      <w:r w:rsidR="00A0636B" w:rsidRPr="00394BB8">
        <w:rPr>
          <w:lang w:val="en-GB"/>
        </w:rPr>
        <w:t>Education and Science</w:t>
      </w:r>
      <w:r w:rsidR="00113397" w:rsidRPr="00394BB8">
        <w:rPr>
          <w:lang w:val="en-GB"/>
        </w:rPr>
        <w:t xml:space="preserve">, </w:t>
      </w:r>
      <w:r w:rsidR="002D3D73" w:rsidRPr="00394BB8">
        <w:rPr>
          <w:lang w:val="en-GB"/>
        </w:rPr>
        <w:t>trade unions</w:t>
      </w:r>
      <w:r w:rsidR="00A35155" w:rsidRPr="00394BB8">
        <w:rPr>
          <w:lang w:val="en-GB"/>
        </w:rPr>
        <w:t xml:space="preserve">, </w:t>
      </w:r>
      <w:r w:rsidR="00CA5BFB" w:rsidRPr="00394BB8">
        <w:rPr>
          <w:lang w:val="en-GB"/>
        </w:rPr>
        <w:t xml:space="preserve">the </w:t>
      </w:r>
      <w:r w:rsidR="005B536B" w:rsidRPr="00394BB8">
        <w:rPr>
          <w:lang w:val="en-GB"/>
        </w:rPr>
        <w:t>business community</w:t>
      </w:r>
      <w:r w:rsidR="000A255E" w:rsidRPr="00394BB8">
        <w:rPr>
          <w:lang w:val="en-GB"/>
        </w:rPr>
        <w:t>, youth groups</w:t>
      </w:r>
      <w:r w:rsidR="002D3D73" w:rsidRPr="00394BB8">
        <w:rPr>
          <w:lang w:val="en-GB"/>
        </w:rPr>
        <w:t xml:space="preserve"> and </w:t>
      </w:r>
      <w:r w:rsidR="0087219F" w:rsidRPr="00394BB8">
        <w:rPr>
          <w:lang w:val="en-GB"/>
        </w:rPr>
        <w:t xml:space="preserve">vocational education </w:t>
      </w:r>
      <w:r w:rsidR="00B9144F" w:rsidRPr="00394BB8">
        <w:rPr>
          <w:lang w:val="en-GB"/>
        </w:rPr>
        <w:t>institutions</w:t>
      </w:r>
      <w:r w:rsidR="0044097F" w:rsidRPr="00394BB8">
        <w:rPr>
          <w:lang w:val="en-GB"/>
        </w:rPr>
        <w:t xml:space="preserve">. </w:t>
      </w:r>
      <w:r w:rsidR="005B536B" w:rsidRPr="00394BB8">
        <w:rPr>
          <w:lang w:val="en-GB"/>
        </w:rPr>
        <w:t xml:space="preserve">UNDP will support agricultural producers and cooperatives in meeting phyto-sanitary and other quality standards to take advantage of new market access </w:t>
      </w:r>
      <w:r w:rsidR="00745CC6" w:rsidRPr="00394BB8">
        <w:rPr>
          <w:lang w:val="en-GB"/>
        </w:rPr>
        <w:t xml:space="preserve">through </w:t>
      </w:r>
      <w:r w:rsidR="005B536B" w:rsidRPr="00394BB8">
        <w:rPr>
          <w:lang w:val="en-GB"/>
        </w:rPr>
        <w:t xml:space="preserve">the </w:t>
      </w:r>
      <w:r w:rsidR="008D584B">
        <w:rPr>
          <w:lang w:val="en-GB"/>
        </w:rPr>
        <w:t>European Union association agreement</w:t>
      </w:r>
      <w:r w:rsidR="005B536B" w:rsidRPr="00394BB8">
        <w:rPr>
          <w:lang w:val="en-GB"/>
        </w:rPr>
        <w:t xml:space="preserve">. The </w:t>
      </w:r>
      <w:r w:rsidR="0087219F" w:rsidRPr="00394BB8">
        <w:rPr>
          <w:lang w:val="en-GB"/>
        </w:rPr>
        <w:t xml:space="preserve">vocational education </w:t>
      </w:r>
      <w:r w:rsidR="005B536B" w:rsidRPr="00394BB8">
        <w:rPr>
          <w:lang w:val="en-GB"/>
        </w:rPr>
        <w:t>system will be supported to adopt flexible</w:t>
      </w:r>
      <w:r w:rsidR="008D584B">
        <w:rPr>
          <w:lang w:val="en-GB"/>
        </w:rPr>
        <w:t>,</w:t>
      </w:r>
      <w:r w:rsidR="005B536B" w:rsidRPr="00394BB8">
        <w:rPr>
          <w:lang w:val="en-GB"/>
        </w:rPr>
        <w:t xml:space="preserve"> modular approaches to providing </w:t>
      </w:r>
      <w:r w:rsidR="00C8527C" w:rsidRPr="00394BB8">
        <w:rPr>
          <w:lang w:val="en-GB"/>
        </w:rPr>
        <w:t xml:space="preserve">a </w:t>
      </w:r>
      <w:r w:rsidR="00394BB8" w:rsidRPr="00394BB8">
        <w:rPr>
          <w:lang w:val="en-GB"/>
        </w:rPr>
        <w:t xml:space="preserve">competitive, </w:t>
      </w:r>
      <w:r w:rsidR="005B536B" w:rsidRPr="00394BB8">
        <w:rPr>
          <w:lang w:val="en-GB"/>
        </w:rPr>
        <w:t xml:space="preserve">market-ready </w:t>
      </w:r>
      <w:r w:rsidR="001E743D" w:rsidRPr="00394BB8">
        <w:rPr>
          <w:lang w:val="en-GB"/>
        </w:rPr>
        <w:t>labo</w:t>
      </w:r>
      <w:r w:rsidR="00394BB8" w:rsidRPr="00394BB8">
        <w:rPr>
          <w:lang w:val="en-GB"/>
        </w:rPr>
        <w:t>u</w:t>
      </w:r>
      <w:r w:rsidR="001E743D" w:rsidRPr="00394BB8">
        <w:rPr>
          <w:lang w:val="en-GB"/>
        </w:rPr>
        <w:t>r force</w:t>
      </w:r>
      <w:r w:rsidR="005B536B" w:rsidRPr="00394BB8">
        <w:rPr>
          <w:lang w:val="en-GB"/>
        </w:rPr>
        <w:t>.</w:t>
      </w:r>
      <w:r w:rsidR="00E55585" w:rsidRPr="00394BB8">
        <w:rPr>
          <w:lang w:val="en-GB"/>
        </w:rPr>
        <w:t xml:space="preserve"> Priority will be </w:t>
      </w:r>
      <w:r w:rsidR="00394BB8" w:rsidRPr="00394BB8">
        <w:rPr>
          <w:lang w:val="en-GB"/>
        </w:rPr>
        <w:t>given to</w:t>
      </w:r>
      <w:r w:rsidR="00E55585" w:rsidRPr="00394BB8">
        <w:rPr>
          <w:lang w:val="en-GB"/>
        </w:rPr>
        <w:t xml:space="preserve"> integrating environmentally sustainable, ‘green economy’ principles within value</w:t>
      </w:r>
      <w:r w:rsidR="00394BB8">
        <w:rPr>
          <w:lang w:val="en-GB"/>
        </w:rPr>
        <w:t>-</w:t>
      </w:r>
      <w:r w:rsidR="00E55585" w:rsidRPr="00394BB8">
        <w:rPr>
          <w:lang w:val="en-GB"/>
        </w:rPr>
        <w:t>chain and market interventions.</w:t>
      </w:r>
      <w:r w:rsidR="00AA265B" w:rsidRPr="00394BB8">
        <w:rPr>
          <w:lang w:val="en-GB"/>
        </w:rPr>
        <w:t xml:space="preserve"> UNDP will seek to link </w:t>
      </w:r>
      <w:r w:rsidR="00C914D2" w:rsidRPr="00394BB8">
        <w:rPr>
          <w:lang w:val="en-GB"/>
        </w:rPr>
        <w:t xml:space="preserve">continued strengthening </w:t>
      </w:r>
      <w:r w:rsidR="00AA265B" w:rsidRPr="00394BB8">
        <w:rPr>
          <w:lang w:val="en-GB"/>
        </w:rPr>
        <w:t xml:space="preserve">of </w:t>
      </w:r>
      <w:r w:rsidR="00394BB8" w:rsidRPr="00394BB8">
        <w:rPr>
          <w:lang w:val="en-GB"/>
        </w:rPr>
        <w:t>i</w:t>
      </w:r>
      <w:r w:rsidR="00C914D2" w:rsidRPr="00394BB8">
        <w:rPr>
          <w:lang w:val="en-GB"/>
        </w:rPr>
        <w:t xml:space="preserve">ntegrated </w:t>
      </w:r>
      <w:r w:rsidR="00394BB8" w:rsidRPr="00394BB8">
        <w:rPr>
          <w:lang w:val="en-GB"/>
        </w:rPr>
        <w:t>b</w:t>
      </w:r>
      <w:r w:rsidR="00C914D2" w:rsidRPr="00394BB8">
        <w:rPr>
          <w:lang w:val="en-GB"/>
        </w:rPr>
        <w:t xml:space="preserve">order </w:t>
      </w:r>
      <w:r w:rsidR="00394BB8" w:rsidRPr="00394BB8">
        <w:rPr>
          <w:lang w:val="en-GB"/>
        </w:rPr>
        <w:t>m</w:t>
      </w:r>
      <w:r w:rsidR="00C914D2" w:rsidRPr="00394BB8">
        <w:rPr>
          <w:lang w:val="en-GB"/>
        </w:rPr>
        <w:t>anagement with efforts to promote growth through trade corridors.</w:t>
      </w:r>
      <w:r w:rsidR="0037790A" w:rsidRPr="00394BB8">
        <w:rPr>
          <w:lang w:val="en-GB"/>
        </w:rPr>
        <w:t xml:space="preserve"> Key </w:t>
      </w:r>
      <w:r w:rsidR="006069C6" w:rsidRPr="00394BB8">
        <w:rPr>
          <w:lang w:val="en-GB"/>
        </w:rPr>
        <w:t xml:space="preserve">international </w:t>
      </w:r>
      <w:r w:rsidR="0037790A" w:rsidRPr="00394BB8">
        <w:rPr>
          <w:lang w:val="en-GB"/>
        </w:rPr>
        <w:t xml:space="preserve">partners include </w:t>
      </w:r>
      <w:r w:rsidR="006069C6" w:rsidRPr="00394BB8">
        <w:rPr>
          <w:lang w:val="en-GB"/>
        </w:rPr>
        <w:t>the E</w:t>
      </w:r>
      <w:r w:rsidR="00394BB8">
        <w:rPr>
          <w:lang w:val="en-GB"/>
        </w:rPr>
        <w:t>uropean Union</w:t>
      </w:r>
      <w:r w:rsidR="00781339" w:rsidRPr="00394BB8">
        <w:rPr>
          <w:lang w:val="en-GB"/>
        </w:rPr>
        <w:t xml:space="preserve">, </w:t>
      </w:r>
      <w:r w:rsidR="008D584B">
        <w:rPr>
          <w:lang w:val="en-GB"/>
        </w:rPr>
        <w:t xml:space="preserve">the </w:t>
      </w:r>
      <w:r w:rsidR="00394BB8">
        <w:rPr>
          <w:lang w:val="en-GB"/>
        </w:rPr>
        <w:t>Swiss Development Cooperation</w:t>
      </w:r>
      <w:r w:rsidR="00781339" w:rsidRPr="00394BB8">
        <w:rPr>
          <w:lang w:val="en-GB"/>
        </w:rPr>
        <w:t xml:space="preserve">, </w:t>
      </w:r>
      <w:r w:rsidR="00394BB8">
        <w:rPr>
          <w:lang w:val="en-GB"/>
        </w:rPr>
        <w:t xml:space="preserve">the </w:t>
      </w:r>
      <w:r w:rsidR="00394BB8" w:rsidRPr="00394BB8">
        <w:rPr>
          <w:lang w:val="en-GB"/>
        </w:rPr>
        <w:t>United States Agency for International Development</w:t>
      </w:r>
      <w:r w:rsidR="00781339" w:rsidRPr="00394BB8">
        <w:rPr>
          <w:lang w:val="en-GB"/>
        </w:rPr>
        <w:t xml:space="preserve">, the World Bank, </w:t>
      </w:r>
      <w:r w:rsidR="00394BB8">
        <w:rPr>
          <w:lang w:val="en-GB"/>
        </w:rPr>
        <w:t xml:space="preserve">the </w:t>
      </w:r>
      <w:r w:rsidR="00394BB8" w:rsidRPr="00394BB8">
        <w:rPr>
          <w:lang w:val="en-GB"/>
        </w:rPr>
        <w:t>German Agency for International Cooperation</w:t>
      </w:r>
      <w:r w:rsidR="001C4C1A">
        <w:rPr>
          <w:lang w:val="en-GB"/>
        </w:rPr>
        <w:t xml:space="preserve">, </w:t>
      </w:r>
      <w:r w:rsidR="00781339" w:rsidRPr="00394BB8">
        <w:rPr>
          <w:lang w:val="en-GB"/>
        </w:rPr>
        <w:t>and other</w:t>
      </w:r>
      <w:r w:rsidR="007C429B" w:rsidRPr="00394BB8">
        <w:rPr>
          <w:lang w:val="en-GB"/>
        </w:rPr>
        <w:t xml:space="preserve"> bilateral and multilateral partners</w:t>
      </w:r>
      <w:r w:rsidR="00781339" w:rsidRPr="00394BB8">
        <w:rPr>
          <w:lang w:val="en-GB"/>
        </w:rPr>
        <w:t>.</w:t>
      </w:r>
      <w:r w:rsidR="00D7027D" w:rsidRPr="00394BB8">
        <w:rPr>
          <w:lang w:val="en-GB"/>
        </w:rPr>
        <w:t xml:space="preserve"> </w:t>
      </w:r>
    </w:p>
    <w:p w14:paraId="1A632785" w14:textId="639F2998" w:rsidR="00D7027D" w:rsidRPr="00394BB8" w:rsidRDefault="000D223B" w:rsidP="0073043C">
      <w:pPr>
        <w:pStyle w:val="ListParagraph"/>
        <w:numPr>
          <w:ilvl w:val="2"/>
          <w:numId w:val="6"/>
        </w:numPr>
        <w:shd w:val="clear" w:color="auto" w:fill="FFFFFF" w:themeFill="background1"/>
        <w:tabs>
          <w:tab w:val="num" w:pos="1080"/>
          <w:tab w:val="left" w:pos="1530"/>
        </w:tabs>
        <w:autoSpaceDE w:val="0"/>
        <w:autoSpaceDN w:val="0"/>
        <w:adjustRightInd w:val="0"/>
        <w:spacing w:after="120"/>
        <w:ind w:left="720" w:firstLine="0"/>
        <w:jc w:val="both"/>
        <w:rPr>
          <w:lang w:val="en-GB"/>
        </w:rPr>
      </w:pPr>
      <w:r w:rsidRPr="00394BB8">
        <w:rPr>
          <w:lang w:val="en-GB"/>
        </w:rPr>
        <w:t xml:space="preserve">The </w:t>
      </w:r>
      <w:r w:rsidRPr="00394BB8">
        <w:rPr>
          <w:i/>
          <w:lang w:val="en-GB"/>
        </w:rPr>
        <w:t>t</w:t>
      </w:r>
      <w:r w:rsidR="002F6C1F" w:rsidRPr="00394BB8">
        <w:rPr>
          <w:i/>
          <w:lang w:val="en-GB"/>
        </w:rPr>
        <w:t>hird programme priority</w:t>
      </w:r>
      <w:r w:rsidRPr="00394BB8">
        <w:rPr>
          <w:b/>
          <w:lang w:val="en-GB"/>
        </w:rPr>
        <w:t xml:space="preserve"> </w:t>
      </w:r>
      <w:r w:rsidRPr="00394BB8">
        <w:rPr>
          <w:lang w:val="en-GB"/>
        </w:rPr>
        <w:t xml:space="preserve">seeks to contribute to </w:t>
      </w:r>
      <w:r w:rsidR="007C2F25">
        <w:rPr>
          <w:lang w:val="en-GB"/>
        </w:rPr>
        <w:t>United</w:t>
      </w:r>
      <w:r w:rsidR="001C4C1A">
        <w:rPr>
          <w:lang w:val="en-GB"/>
        </w:rPr>
        <w:t xml:space="preserve"> </w:t>
      </w:r>
      <w:r w:rsidR="007C2F25" w:rsidRPr="00394BB8">
        <w:rPr>
          <w:lang w:val="en-GB"/>
        </w:rPr>
        <w:t>Nations Partnership for Sustainable Developmen</w:t>
      </w:r>
      <w:r w:rsidR="007C2F25" w:rsidRPr="001C4C1A">
        <w:rPr>
          <w:lang w:val="en-GB"/>
        </w:rPr>
        <w:t>t</w:t>
      </w:r>
      <w:r w:rsidR="007C2F25" w:rsidRPr="001C4C1A" w:rsidDel="007C2F25">
        <w:rPr>
          <w:lang w:val="en-GB"/>
        </w:rPr>
        <w:t xml:space="preserve"> </w:t>
      </w:r>
      <w:r w:rsidR="00394BB8">
        <w:rPr>
          <w:lang w:val="en-GB"/>
        </w:rPr>
        <w:t>o</w:t>
      </w:r>
      <w:r w:rsidRPr="00394BB8">
        <w:rPr>
          <w:lang w:val="en-GB"/>
        </w:rPr>
        <w:t>utcome 7</w:t>
      </w:r>
      <w:r w:rsidR="00394BB8">
        <w:rPr>
          <w:lang w:val="en-GB"/>
        </w:rPr>
        <w:t>,</w:t>
      </w:r>
      <w:r w:rsidRPr="00394BB8">
        <w:rPr>
          <w:lang w:val="en-GB"/>
        </w:rPr>
        <w:t xml:space="preserve"> “Human security and resilience enhanced in conflict-affected communities”</w:t>
      </w:r>
      <w:r w:rsidR="00394BB8">
        <w:rPr>
          <w:lang w:val="en-GB"/>
        </w:rPr>
        <w:t>,</w:t>
      </w:r>
      <w:r w:rsidRPr="00394BB8">
        <w:rPr>
          <w:i/>
          <w:lang w:val="en-GB"/>
        </w:rPr>
        <w:t xml:space="preserve"> </w:t>
      </w:r>
      <w:r w:rsidRPr="00394BB8">
        <w:rPr>
          <w:lang w:val="en-GB"/>
        </w:rPr>
        <w:t xml:space="preserve">and </w:t>
      </w:r>
      <w:r w:rsidR="00113397" w:rsidRPr="00394BB8">
        <w:rPr>
          <w:lang w:val="en-GB"/>
        </w:rPr>
        <w:t xml:space="preserve">UNDP </w:t>
      </w:r>
      <w:r w:rsidR="00394BB8">
        <w:rPr>
          <w:lang w:val="en-GB"/>
        </w:rPr>
        <w:t>s</w:t>
      </w:r>
      <w:r w:rsidR="00113397" w:rsidRPr="00394BB8">
        <w:rPr>
          <w:lang w:val="en-GB"/>
        </w:rPr>
        <w:t xml:space="preserve">trategic </w:t>
      </w:r>
      <w:r w:rsidR="00394BB8">
        <w:rPr>
          <w:lang w:val="en-GB"/>
        </w:rPr>
        <w:t>plan</w:t>
      </w:r>
      <w:r w:rsidR="00113397" w:rsidRPr="00394BB8">
        <w:rPr>
          <w:lang w:val="en-GB"/>
        </w:rPr>
        <w:t xml:space="preserve"> </w:t>
      </w:r>
      <w:r w:rsidR="00394BB8">
        <w:rPr>
          <w:lang w:val="en-GB"/>
        </w:rPr>
        <w:t>o</w:t>
      </w:r>
      <w:r w:rsidR="00113397" w:rsidRPr="00394BB8">
        <w:rPr>
          <w:lang w:val="en-GB"/>
        </w:rPr>
        <w:t xml:space="preserve">utcomes </w:t>
      </w:r>
      <w:r w:rsidRPr="00394BB8">
        <w:rPr>
          <w:lang w:val="en-GB"/>
        </w:rPr>
        <w:t>5 and 6.</w:t>
      </w:r>
    </w:p>
    <w:p w14:paraId="6028D67A" w14:textId="5D1615A0" w:rsidR="00D7027D" w:rsidRPr="00394BB8" w:rsidRDefault="00DA644E" w:rsidP="0073043C">
      <w:pPr>
        <w:pStyle w:val="ListParagraph"/>
        <w:numPr>
          <w:ilvl w:val="2"/>
          <w:numId w:val="6"/>
        </w:numPr>
        <w:shd w:val="clear" w:color="auto" w:fill="FFFFFF" w:themeFill="background1"/>
        <w:tabs>
          <w:tab w:val="num" w:pos="1080"/>
          <w:tab w:val="left" w:pos="1530"/>
        </w:tabs>
        <w:autoSpaceDE w:val="0"/>
        <w:autoSpaceDN w:val="0"/>
        <w:adjustRightInd w:val="0"/>
        <w:spacing w:after="120"/>
        <w:ind w:left="709" w:firstLine="0"/>
        <w:jc w:val="both"/>
        <w:rPr>
          <w:lang w:val="en-GB"/>
        </w:rPr>
      </w:pPr>
      <w:r w:rsidRPr="00394BB8">
        <w:rPr>
          <w:lang w:val="en-GB"/>
        </w:rPr>
        <w:t xml:space="preserve">UNDP will seek to support conflict-affected communities through a two-pronged approach that leverages synergies between </w:t>
      </w:r>
      <w:r w:rsidR="008D584B">
        <w:rPr>
          <w:lang w:val="en-GB"/>
        </w:rPr>
        <w:t>meet</w:t>
      </w:r>
      <w:r w:rsidR="008D584B" w:rsidRPr="00394BB8">
        <w:rPr>
          <w:lang w:val="en-GB"/>
        </w:rPr>
        <w:t xml:space="preserve">ing </w:t>
      </w:r>
      <w:r w:rsidRPr="00394BB8">
        <w:rPr>
          <w:lang w:val="en-GB"/>
        </w:rPr>
        <w:t xml:space="preserve">basic needs, including health, education, </w:t>
      </w:r>
      <w:r w:rsidR="001204BF" w:rsidRPr="00394BB8">
        <w:rPr>
          <w:lang w:val="en-GB"/>
        </w:rPr>
        <w:t xml:space="preserve">social </w:t>
      </w:r>
      <w:r w:rsidR="004B1C56" w:rsidRPr="00394BB8">
        <w:rPr>
          <w:lang w:val="en-GB"/>
        </w:rPr>
        <w:t>services</w:t>
      </w:r>
      <w:r w:rsidR="001204BF" w:rsidRPr="00394BB8">
        <w:rPr>
          <w:lang w:val="en-GB"/>
        </w:rPr>
        <w:t xml:space="preserve">, </w:t>
      </w:r>
      <w:r w:rsidRPr="00394BB8">
        <w:rPr>
          <w:lang w:val="en-GB"/>
        </w:rPr>
        <w:t>economic livelihoods, solid waste and sanitation, and confidence</w:t>
      </w:r>
      <w:r w:rsidR="00394BB8">
        <w:rPr>
          <w:lang w:val="en-GB"/>
        </w:rPr>
        <w:t>-</w:t>
      </w:r>
      <w:r w:rsidRPr="00394BB8">
        <w:rPr>
          <w:lang w:val="en-GB"/>
        </w:rPr>
        <w:t xml:space="preserve">building initiatives </w:t>
      </w:r>
      <w:r w:rsidR="00F5057E" w:rsidRPr="00394BB8">
        <w:rPr>
          <w:lang w:val="en-GB"/>
        </w:rPr>
        <w:t>to strengthen engagement</w:t>
      </w:r>
      <w:r w:rsidRPr="00394BB8">
        <w:rPr>
          <w:lang w:val="en-GB"/>
        </w:rPr>
        <w:t xml:space="preserve"> across divides. </w:t>
      </w:r>
      <w:r w:rsidR="00652B3B" w:rsidRPr="00394BB8">
        <w:rPr>
          <w:lang w:val="en-GB"/>
        </w:rPr>
        <w:t xml:space="preserve">This will address needs on the ground while helping create conditions conducive </w:t>
      </w:r>
      <w:r w:rsidR="00394BB8">
        <w:rPr>
          <w:lang w:val="en-GB"/>
        </w:rPr>
        <w:t>to</w:t>
      </w:r>
      <w:r w:rsidR="00394BB8" w:rsidRPr="00394BB8">
        <w:rPr>
          <w:lang w:val="en-GB"/>
        </w:rPr>
        <w:t xml:space="preserve"> </w:t>
      </w:r>
      <w:r w:rsidR="00652B3B" w:rsidRPr="00394BB8">
        <w:rPr>
          <w:lang w:val="en-GB"/>
        </w:rPr>
        <w:t xml:space="preserve">reconciliation and </w:t>
      </w:r>
      <w:r w:rsidR="001E1B6B" w:rsidRPr="00394BB8">
        <w:rPr>
          <w:lang w:val="en-GB"/>
        </w:rPr>
        <w:t xml:space="preserve">livelihoods </w:t>
      </w:r>
      <w:r w:rsidR="00652B3B" w:rsidRPr="00394BB8">
        <w:rPr>
          <w:lang w:val="en-GB"/>
        </w:rPr>
        <w:t xml:space="preserve">restoration. </w:t>
      </w:r>
      <w:r w:rsidR="00394BB8">
        <w:rPr>
          <w:lang w:val="en-GB"/>
        </w:rPr>
        <w:t>D</w:t>
      </w:r>
      <w:r w:rsidR="00394BB8" w:rsidRPr="00394BB8">
        <w:rPr>
          <w:lang w:val="en-GB"/>
        </w:rPr>
        <w:t>ue to a general lack of data</w:t>
      </w:r>
      <w:r w:rsidR="00394BB8">
        <w:rPr>
          <w:lang w:val="en-GB"/>
        </w:rPr>
        <w:t>,</w:t>
      </w:r>
      <w:r w:rsidR="00652B3B" w:rsidRPr="00394BB8">
        <w:rPr>
          <w:lang w:val="en-GB"/>
        </w:rPr>
        <w:t xml:space="preserve"> </w:t>
      </w:r>
      <w:r w:rsidR="008D584B">
        <w:rPr>
          <w:lang w:val="en-GB"/>
        </w:rPr>
        <w:t>the</w:t>
      </w:r>
      <w:r w:rsidR="00652B3B" w:rsidRPr="00394BB8">
        <w:rPr>
          <w:lang w:val="en-GB"/>
        </w:rPr>
        <w:t xml:space="preserve"> generati</w:t>
      </w:r>
      <w:r w:rsidR="008D584B">
        <w:rPr>
          <w:lang w:val="en-GB"/>
        </w:rPr>
        <w:t>on of</w:t>
      </w:r>
      <w:r w:rsidR="00575345" w:rsidRPr="00394BB8">
        <w:rPr>
          <w:lang w:val="en-GB"/>
        </w:rPr>
        <w:t xml:space="preserve"> evidence and baselines for targeting </w:t>
      </w:r>
      <w:r w:rsidR="00113397" w:rsidRPr="00394BB8">
        <w:rPr>
          <w:lang w:val="en-GB"/>
        </w:rPr>
        <w:t>interventions</w:t>
      </w:r>
      <w:r w:rsidR="000768DB" w:rsidRPr="00394BB8">
        <w:rPr>
          <w:lang w:val="en-GB"/>
        </w:rPr>
        <w:t>, including a joint U</w:t>
      </w:r>
      <w:r w:rsidR="00394BB8">
        <w:rPr>
          <w:lang w:val="en-GB"/>
        </w:rPr>
        <w:t>nited Nations</w:t>
      </w:r>
      <w:r w:rsidR="000768DB" w:rsidRPr="00394BB8">
        <w:rPr>
          <w:lang w:val="en-GB"/>
        </w:rPr>
        <w:t xml:space="preserve"> multi-sector assessment</w:t>
      </w:r>
      <w:r w:rsidR="008D584B">
        <w:rPr>
          <w:lang w:val="en-GB"/>
        </w:rPr>
        <w:t>, will be prioritized</w:t>
      </w:r>
      <w:r w:rsidR="00C80746" w:rsidRPr="00394BB8">
        <w:rPr>
          <w:lang w:val="en-GB"/>
        </w:rPr>
        <w:t xml:space="preserve">. </w:t>
      </w:r>
      <w:r w:rsidR="00394BB8">
        <w:rPr>
          <w:lang w:val="en-GB"/>
        </w:rPr>
        <w:t>U</w:t>
      </w:r>
      <w:r w:rsidR="00394BB8" w:rsidRPr="00394BB8">
        <w:rPr>
          <w:lang w:val="en-GB"/>
        </w:rPr>
        <w:t xml:space="preserve">nder the </w:t>
      </w:r>
      <w:bookmarkStart w:id="0" w:name="_GoBack"/>
      <w:bookmarkEnd w:id="0"/>
      <w:r w:rsidR="007C2F25">
        <w:rPr>
          <w:lang w:val="en-GB"/>
        </w:rPr>
        <w:t>United </w:t>
      </w:r>
      <w:r w:rsidR="007C2F25" w:rsidRPr="00394BB8">
        <w:rPr>
          <w:lang w:val="en-GB"/>
        </w:rPr>
        <w:t>Nations Partnership for Sustainable Development</w:t>
      </w:r>
      <w:r w:rsidR="00394BB8">
        <w:rPr>
          <w:lang w:val="en-GB"/>
        </w:rPr>
        <w:t>,</w:t>
      </w:r>
      <w:r w:rsidR="00394BB8" w:rsidRPr="00394BB8">
        <w:rPr>
          <w:lang w:val="en-GB"/>
        </w:rPr>
        <w:t xml:space="preserve"> </w:t>
      </w:r>
      <w:r w:rsidR="00C80746" w:rsidRPr="00394BB8">
        <w:rPr>
          <w:lang w:val="en-GB"/>
        </w:rPr>
        <w:t xml:space="preserve">UNDP will </w:t>
      </w:r>
      <w:r w:rsidR="001E1B6B" w:rsidRPr="00394BB8">
        <w:rPr>
          <w:lang w:val="en-GB"/>
        </w:rPr>
        <w:t>address</w:t>
      </w:r>
      <w:r w:rsidR="00C80746" w:rsidRPr="00394BB8">
        <w:rPr>
          <w:lang w:val="en-GB"/>
        </w:rPr>
        <w:t xml:space="preserve"> health and education support for conflict-aff</w:t>
      </w:r>
      <w:r w:rsidR="008A62DF" w:rsidRPr="00394BB8">
        <w:rPr>
          <w:lang w:val="en-GB"/>
        </w:rPr>
        <w:t>e</w:t>
      </w:r>
      <w:r w:rsidR="00C80746" w:rsidRPr="00394BB8">
        <w:rPr>
          <w:lang w:val="en-GB"/>
        </w:rPr>
        <w:t xml:space="preserve">cted populations </w:t>
      </w:r>
      <w:r w:rsidR="006E497A" w:rsidRPr="00394BB8">
        <w:rPr>
          <w:lang w:val="en-GB"/>
        </w:rPr>
        <w:t xml:space="preserve">with other </w:t>
      </w:r>
      <w:r w:rsidR="00394BB8">
        <w:rPr>
          <w:lang w:val="en-GB"/>
        </w:rPr>
        <w:t>United Nations organizations</w:t>
      </w:r>
      <w:r w:rsidR="00652B3B" w:rsidRPr="00394BB8">
        <w:rPr>
          <w:lang w:val="en-GB"/>
        </w:rPr>
        <w:t xml:space="preserve">, including </w:t>
      </w:r>
      <w:r w:rsidR="004D291F">
        <w:rPr>
          <w:lang w:val="en-GB"/>
        </w:rPr>
        <w:t xml:space="preserve">through </w:t>
      </w:r>
      <w:r w:rsidR="00652B3B" w:rsidRPr="00394BB8">
        <w:rPr>
          <w:lang w:val="en-GB"/>
        </w:rPr>
        <w:t>joint programmes</w:t>
      </w:r>
      <w:r w:rsidR="006E497A" w:rsidRPr="00394BB8">
        <w:rPr>
          <w:lang w:val="en-GB"/>
        </w:rPr>
        <w:t xml:space="preserve">. </w:t>
      </w:r>
      <w:r w:rsidR="00C80746" w:rsidRPr="00394BB8">
        <w:rPr>
          <w:lang w:val="en-GB"/>
        </w:rPr>
        <w:t xml:space="preserve">Confidence-building initiatives will be facilitated through engagement of </w:t>
      </w:r>
      <w:r w:rsidR="004D291F">
        <w:rPr>
          <w:lang w:val="en-GB"/>
        </w:rPr>
        <w:t>civil society organization</w:t>
      </w:r>
      <w:r w:rsidR="004D291F" w:rsidRPr="00394BB8">
        <w:rPr>
          <w:lang w:val="en-GB"/>
        </w:rPr>
        <w:t xml:space="preserve"> </w:t>
      </w:r>
      <w:r w:rsidR="0056220D" w:rsidRPr="00394BB8">
        <w:rPr>
          <w:lang w:val="en-GB"/>
        </w:rPr>
        <w:t>partners</w:t>
      </w:r>
      <w:r w:rsidR="00C80746" w:rsidRPr="00394BB8">
        <w:rPr>
          <w:lang w:val="en-GB"/>
        </w:rPr>
        <w:t xml:space="preserve">, </w:t>
      </w:r>
      <w:r w:rsidR="0056220D" w:rsidRPr="00394BB8">
        <w:rPr>
          <w:lang w:val="en-GB"/>
        </w:rPr>
        <w:t xml:space="preserve">including </w:t>
      </w:r>
      <w:r w:rsidR="00C80746" w:rsidRPr="00394BB8">
        <w:rPr>
          <w:lang w:val="en-GB"/>
        </w:rPr>
        <w:t>women</w:t>
      </w:r>
      <w:r w:rsidR="008D584B">
        <w:rPr>
          <w:lang w:val="en-GB"/>
        </w:rPr>
        <w:t>’s</w:t>
      </w:r>
      <w:r w:rsidR="00C80746" w:rsidRPr="00394BB8">
        <w:rPr>
          <w:lang w:val="en-GB"/>
        </w:rPr>
        <w:t xml:space="preserve"> and youth organizations</w:t>
      </w:r>
      <w:r w:rsidR="008D15F2" w:rsidRPr="00394BB8">
        <w:rPr>
          <w:lang w:val="en-GB"/>
        </w:rPr>
        <w:t xml:space="preserve">, </w:t>
      </w:r>
      <w:r w:rsidR="00A25DA2" w:rsidRPr="00394BB8">
        <w:rPr>
          <w:lang w:val="en-GB"/>
        </w:rPr>
        <w:t>applying</w:t>
      </w:r>
      <w:r w:rsidR="00F71A71" w:rsidRPr="00394BB8">
        <w:rPr>
          <w:lang w:val="en-GB"/>
        </w:rPr>
        <w:t xml:space="preserve"> </w:t>
      </w:r>
      <w:r w:rsidR="004D291F">
        <w:rPr>
          <w:lang w:val="en-GB"/>
        </w:rPr>
        <w:t xml:space="preserve">the </w:t>
      </w:r>
      <w:r w:rsidR="00A25DA2" w:rsidRPr="00394BB8">
        <w:rPr>
          <w:lang w:val="en-GB"/>
        </w:rPr>
        <w:t>principles</w:t>
      </w:r>
      <w:r w:rsidR="008E25BF" w:rsidRPr="00394BB8">
        <w:rPr>
          <w:lang w:val="en-GB"/>
        </w:rPr>
        <w:t xml:space="preserve"> </w:t>
      </w:r>
      <w:r w:rsidR="004D291F">
        <w:rPr>
          <w:lang w:val="en-GB"/>
        </w:rPr>
        <w:t>of Security Council resolution</w:t>
      </w:r>
      <w:r w:rsidR="004D291F" w:rsidRPr="00394BB8">
        <w:rPr>
          <w:lang w:val="en-GB"/>
        </w:rPr>
        <w:t xml:space="preserve"> 1325 </w:t>
      </w:r>
      <w:r w:rsidR="008E25BF" w:rsidRPr="00394BB8">
        <w:rPr>
          <w:lang w:val="en-GB"/>
        </w:rPr>
        <w:t>on women, peace and security</w:t>
      </w:r>
      <w:r w:rsidR="007E3BAD" w:rsidRPr="00394BB8">
        <w:rPr>
          <w:lang w:val="en-GB"/>
        </w:rPr>
        <w:t xml:space="preserve">, </w:t>
      </w:r>
      <w:r w:rsidR="0056220D" w:rsidRPr="00394BB8">
        <w:rPr>
          <w:lang w:val="en-GB"/>
        </w:rPr>
        <w:t xml:space="preserve">and </w:t>
      </w:r>
      <w:r w:rsidR="004D291F" w:rsidRPr="00394BB8">
        <w:rPr>
          <w:lang w:val="en-GB"/>
        </w:rPr>
        <w:t>u</w:t>
      </w:r>
      <w:r w:rsidR="004D291F">
        <w:rPr>
          <w:lang w:val="en-GB"/>
        </w:rPr>
        <w:t>s</w:t>
      </w:r>
      <w:r w:rsidR="004D291F" w:rsidRPr="00394BB8">
        <w:rPr>
          <w:lang w:val="en-GB"/>
        </w:rPr>
        <w:t xml:space="preserve">ing </w:t>
      </w:r>
      <w:r w:rsidR="0056220D" w:rsidRPr="00394BB8">
        <w:rPr>
          <w:lang w:val="en-GB"/>
        </w:rPr>
        <w:t>innovative</w:t>
      </w:r>
      <w:r w:rsidR="007E3BAD" w:rsidRPr="00394BB8">
        <w:rPr>
          <w:lang w:val="en-GB"/>
        </w:rPr>
        <w:t xml:space="preserve"> peacebuilding</w:t>
      </w:r>
      <w:r w:rsidR="0056220D" w:rsidRPr="00394BB8">
        <w:rPr>
          <w:lang w:val="en-GB"/>
        </w:rPr>
        <w:t xml:space="preserve"> technologies</w:t>
      </w:r>
      <w:r w:rsidR="007E3BAD" w:rsidRPr="00394BB8">
        <w:rPr>
          <w:lang w:val="en-GB"/>
        </w:rPr>
        <w:t xml:space="preserve"> </w:t>
      </w:r>
      <w:r w:rsidR="0056220D" w:rsidRPr="00394BB8">
        <w:rPr>
          <w:lang w:val="en-GB"/>
        </w:rPr>
        <w:t>such as</w:t>
      </w:r>
      <w:r w:rsidR="007E3BAD" w:rsidRPr="00394BB8">
        <w:rPr>
          <w:lang w:val="en-GB"/>
        </w:rPr>
        <w:t xml:space="preserve"> online social media </w:t>
      </w:r>
      <w:r w:rsidR="00652B3B" w:rsidRPr="00394BB8">
        <w:rPr>
          <w:lang w:val="en-GB"/>
        </w:rPr>
        <w:t xml:space="preserve">and gaming. </w:t>
      </w:r>
      <w:r w:rsidR="0037790A" w:rsidRPr="00394BB8">
        <w:rPr>
          <w:lang w:val="en-GB"/>
        </w:rPr>
        <w:t xml:space="preserve">Key partners include the </w:t>
      </w:r>
      <w:r w:rsidR="004D291F" w:rsidRPr="004D291F">
        <w:rPr>
          <w:lang w:val="en-GB"/>
        </w:rPr>
        <w:t>Ministry of Labour, Health and Social Affairs</w:t>
      </w:r>
      <w:r w:rsidR="007E3BAD" w:rsidRPr="00394BB8">
        <w:rPr>
          <w:lang w:val="en-GB"/>
        </w:rPr>
        <w:t xml:space="preserve">, </w:t>
      </w:r>
      <w:r w:rsidR="004D291F">
        <w:rPr>
          <w:lang w:val="en-GB"/>
        </w:rPr>
        <w:t xml:space="preserve">the </w:t>
      </w:r>
      <w:r w:rsidR="004D291F" w:rsidRPr="004D291F">
        <w:rPr>
          <w:lang w:val="en-GB"/>
        </w:rPr>
        <w:t>Ministry of Economy and Sustainable Development</w:t>
      </w:r>
      <w:r w:rsidR="00F5057E" w:rsidRPr="00394BB8">
        <w:rPr>
          <w:lang w:val="en-GB"/>
        </w:rPr>
        <w:t xml:space="preserve">, </w:t>
      </w:r>
      <w:r w:rsidR="004D291F">
        <w:rPr>
          <w:lang w:val="en-GB"/>
        </w:rPr>
        <w:t xml:space="preserve">the </w:t>
      </w:r>
      <w:r w:rsidR="00F5057E" w:rsidRPr="00394BB8">
        <w:rPr>
          <w:lang w:val="en-GB"/>
        </w:rPr>
        <w:t>State Minister for Reconciliation</w:t>
      </w:r>
      <w:r w:rsidR="004D291F">
        <w:rPr>
          <w:lang w:val="en-GB"/>
        </w:rPr>
        <w:t>,</w:t>
      </w:r>
      <w:r w:rsidR="00F5057E" w:rsidRPr="00394BB8">
        <w:rPr>
          <w:lang w:val="en-GB"/>
        </w:rPr>
        <w:t xml:space="preserve"> </w:t>
      </w:r>
      <w:r w:rsidR="00113397" w:rsidRPr="00394BB8">
        <w:rPr>
          <w:lang w:val="en-GB"/>
        </w:rPr>
        <w:t xml:space="preserve">and </w:t>
      </w:r>
      <w:r w:rsidR="004D291F">
        <w:rPr>
          <w:lang w:val="en-GB"/>
        </w:rPr>
        <w:t xml:space="preserve">the </w:t>
      </w:r>
      <w:r w:rsidR="007E3BAD" w:rsidRPr="00394BB8">
        <w:rPr>
          <w:lang w:val="en-GB"/>
        </w:rPr>
        <w:t>Ministry of R</w:t>
      </w:r>
      <w:r w:rsidR="0037790A" w:rsidRPr="00394BB8">
        <w:rPr>
          <w:lang w:val="en-GB"/>
        </w:rPr>
        <w:t>efugees and Accommodation</w:t>
      </w:r>
      <w:r w:rsidR="004D291F">
        <w:rPr>
          <w:lang w:val="en-GB"/>
        </w:rPr>
        <w:t>,</w:t>
      </w:r>
      <w:r w:rsidR="0037790A" w:rsidRPr="00394BB8">
        <w:rPr>
          <w:lang w:val="en-GB"/>
        </w:rPr>
        <w:t xml:space="preserve"> which </w:t>
      </w:r>
      <w:r w:rsidR="00113397" w:rsidRPr="00394BB8">
        <w:rPr>
          <w:lang w:val="en-GB"/>
        </w:rPr>
        <w:t xml:space="preserve">will be supported to </w:t>
      </w:r>
      <w:r w:rsidR="00FD06EE" w:rsidRPr="00394BB8">
        <w:rPr>
          <w:lang w:val="en-GB"/>
        </w:rPr>
        <w:t>integrat</w:t>
      </w:r>
      <w:r w:rsidR="00113397" w:rsidRPr="00394BB8">
        <w:rPr>
          <w:lang w:val="en-GB"/>
        </w:rPr>
        <w:t>e</w:t>
      </w:r>
      <w:r w:rsidR="00FD06EE" w:rsidRPr="00394BB8">
        <w:rPr>
          <w:lang w:val="en-GB"/>
        </w:rPr>
        <w:t xml:space="preserve"> health</w:t>
      </w:r>
      <w:r w:rsidR="00113397" w:rsidRPr="00394BB8">
        <w:rPr>
          <w:lang w:val="en-GB"/>
        </w:rPr>
        <w:t xml:space="preserve"> </w:t>
      </w:r>
      <w:r w:rsidR="00FD06EE" w:rsidRPr="00394BB8">
        <w:rPr>
          <w:lang w:val="en-GB"/>
        </w:rPr>
        <w:t>and education services for conflict-affected populations in</w:t>
      </w:r>
      <w:r w:rsidR="008D584B">
        <w:rPr>
          <w:lang w:val="en-GB"/>
        </w:rPr>
        <w:t>to</w:t>
      </w:r>
      <w:r w:rsidR="00FD06EE" w:rsidRPr="00394BB8">
        <w:rPr>
          <w:lang w:val="en-GB"/>
        </w:rPr>
        <w:t xml:space="preserve"> mainstream national programmes</w:t>
      </w:r>
      <w:r w:rsidR="004D291F">
        <w:rPr>
          <w:lang w:val="en-GB"/>
        </w:rPr>
        <w:t>.</w:t>
      </w:r>
      <w:r w:rsidR="0037790A" w:rsidRPr="00394BB8">
        <w:rPr>
          <w:lang w:val="en-GB"/>
        </w:rPr>
        <w:t xml:space="preserve"> </w:t>
      </w:r>
      <w:r w:rsidR="004D291F">
        <w:rPr>
          <w:lang w:val="en-GB"/>
        </w:rPr>
        <w:t>I</w:t>
      </w:r>
      <w:r w:rsidR="0037790A" w:rsidRPr="00394BB8">
        <w:rPr>
          <w:lang w:val="en-GB"/>
        </w:rPr>
        <w:t>nternational actors includ</w:t>
      </w:r>
      <w:r w:rsidR="004D291F">
        <w:rPr>
          <w:lang w:val="en-GB"/>
        </w:rPr>
        <w:t>e</w:t>
      </w:r>
      <w:r w:rsidR="0037790A" w:rsidRPr="00394BB8">
        <w:rPr>
          <w:lang w:val="en-GB"/>
        </w:rPr>
        <w:t xml:space="preserve"> the E</w:t>
      </w:r>
      <w:r w:rsidR="004D291F">
        <w:rPr>
          <w:lang w:val="en-GB"/>
        </w:rPr>
        <w:t>uropean Union</w:t>
      </w:r>
      <w:r w:rsidR="0037790A" w:rsidRPr="00394BB8">
        <w:rPr>
          <w:lang w:val="en-GB"/>
        </w:rPr>
        <w:t xml:space="preserve">, </w:t>
      </w:r>
      <w:r w:rsidR="004D291F">
        <w:rPr>
          <w:lang w:val="en-GB"/>
        </w:rPr>
        <w:t xml:space="preserve">the </w:t>
      </w:r>
      <w:r w:rsidR="004D291F" w:rsidRPr="00394BB8">
        <w:rPr>
          <w:lang w:val="en-GB"/>
        </w:rPr>
        <w:t>United States Agency for International Development</w:t>
      </w:r>
      <w:r w:rsidR="0037790A" w:rsidRPr="00394BB8">
        <w:rPr>
          <w:lang w:val="en-GB"/>
        </w:rPr>
        <w:t xml:space="preserve">, </w:t>
      </w:r>
      <w:r w:rsidR="004D291F">
        <w:rPr>
          <w:lang w:val="en-GB"/>
        </w:rPr>
        <w:t>the Swedish International Development Agency</w:t>
      </w:r>
      <w:r w:rsidR="008D584B">
        <w:rPr>
          <w:lang w:val="en-GB"/>
        </w:rPr>
        <w:t xml:space="preserve"> and</w:t>
      </w:r>
      <w:r w:rsidR="0037790A" w:rsidRPr="00394BB8">
        <w:rPr>
          <w:lang w:val="en-GB"/>
        </w:rPr>
        <w:t xml:space="preserve"> the </w:t>
      </w:r>
      <w:r w:rsidR="004D291F">
        <w:rPr>
          <w:lang w:val="en-GB"/>
        </w:rPr>
        <w:t>United Kingdom</w:t>
      </w:r>
      <w:r w:rsidR="00FD06EE" w:rsidRPr="00394BB8">
        <w:rPr>
          <w:lang w:val="en-GB"/>
        </w:rPr>
        <w:t>.</w:t>
      </w:r>
    </w:p>
    <w:p w14:paraId="09D60AC8" w14:textId="0445AB04" w:rsidR="00D7027D" w:rsidRPr="00394BB8" w:rsidRDefault="00113397" w:rsidP="0073043C">
      <w:pPr>
        <w:pStyle w:val="ListParagraph"/>
        <w:numPr>
          <w:ilvl w:val="2"/>
          <w:numId w:val="6"/>
        </w:numPr>
        <w:shd w:val="clear" w:color="auto" w:fill="FFFFFF" w:themeFill="background1"/>
        <w:tabs>
          <w:tab w:val="num" w:pos="1080"/>
          <w:tab w:val="left" w:pos="1530"/>
        </w:tabs>
        <w:autoSpaceDE w:val="0"/>
        <w:autoSpaceDN w:val="0"/>
        <w:adjustRightInd w:val="0"/>
        <w:spacing w:after="120"/>
        <w:ind w:left="720" w:firstLine="0"/>
        <w:jc w:val="both"/>
        <w:rPr>
          <w:lang w:val="en-GB"/>
        </w:rPr>
      </w:pPr>
      <w:r w:rsidRPr="00394BB8">
        <w:rPr>
          <w:lang w:val="en-GB"/>
        </w:rPr>
        <w:t>The</w:t>
      </w:r>
      <w:r w:rsidR="000D223B" w:rsidRPr="00394BB8">
        <w:rPr>
          <w:lang w:val="en-GB"/>
        </w:rPr>
        <w:t xml:space="preserve"> </w:t>
      </w:r>
      <w:r w:rsidR="000D223B" w:rsidRPr="008D584B">
        <w:rPr>
          <w:i/>
          <w:lang w:val="en-GB"/>
        </w:rPr>
        <w:t>f</w:t>
      </w:r>
      <w:r w:rsidR="002F6C1F" w:rsidRPr="008D584B">
        <w:rPr>
          <w:i/>
          <w:lang w:val="en-GB"/>
        </w:rPr>
        <w:t>ourth programme priori</w:t>
      </w:r>
      <w:r w:rsidR="007D684A" w:rsidRPr="008D584B">
        <w:rPr>
          <w:i/>
          <w:lang w:val="en-GB"/>
        </w:rPr>
        <w:t>t</w:t>
      </w:r>
      <w:r w:rsidR="002F6C1F" w:rsidRPr="008D584B">
        <w:rPr>
          <w:i/>
          <w:lang w:val="en-GB"/>
        </w:rPr>
        <w:t>y</w:t>
      </w:r>
      <w:r w:rsidR="007D684A" w:rsidRPr="00394BB8">
        <w:rPr>
          <w:lang w:val="en-GB"/>
        </w:rPr>
        <w:t xml:space="preserve"> will contribute to </w:t>
      </w:r>
      <w:r w:rsidR="007C2F25">
        <w:rPr>
          <w:lang w:val="en-GB"/>
        </w:rPr>
        <w:t>United</w:t>
      </w:r>
      <w:r w:rsidR="001C4C1A">
        <w:rPr>
          <w:lang w:val="en-GB"/>
        </w:rPr>
        <w:t xml:space="preserve"> </w:t>
      </w:r>
      <w:r w:rsidR="007C2F25" w:rsidRPr="00394BB8">
        <w:rPr>
          <w:lang w:val="en-GB"/>
        </w:rPr>
        <w:t>Nations Partnership for Sustainable Development</w:t>
      </w:r>
      <w:r w:rsidR="007C2F25" w:rsidRPr="001C4C1A" w:rsidDel="007C2F25">
        <w:rPr>
          <w:lang w:val="en-GB"/>
        </w:rPr>
        <w:t xml:space="preserve"> </w:t>
      </w:r>
      <w:r w:rsidR="004D291F">
        <w:rPr>
          <w:lang w:val="en-GB"/>
        </w:rPr>
        <w:t>o</w:t>
      </w:r>
      <w:r w:rsidR="007D684A" w:rsidRPr="00394BB8">
        <w:rPr>
          <w:lang w:val="en-GB"/>
        </w:rPr>
        <w:t xml:space="preserve">utcome 8 </w:t>
      </w:r>
      <w:r w:rsidR="007D684A" w:rsidRPr="008D584B">
        <w:rPr>
          <w:lang w:val="en-GB"/>
        </w:rPr>
        <w:t>“</w:t>
      </w:r>
      <w:r w:rsidR="00513620" w:rsidRPr="008D584B">
        <w:rPr>
          <w:lang w:val="en-GB"/>
        </w:rPr>
        <w:t>Communities enjoy greater resilience through enhanced institutional and legislative systems for environment</w:t>
      </w:r>
      <w:r w:rsidR="004D291F" w:rsidRPr="008D584B">
        <w:rPr>
          <w:lang w:val="en-GB"/>
        </w:rPr>
        <w:t>al</w:t>
      </w:r>
      <w:r w:rsidR="00513620" w:rsidRPr="008D584B">
        <w:rPr>
          <w:lang w:val="en-GB"/>
        </w:rPr>
        <w:t xml:space="preserve"> protection, sustainable management of natural resources and disaster risk reduction</w:t>
      </w:r>
      <w:r w:rsidR="00902391" w:rsidRPr="008D584B">
        <w:rPr>
          <w:lang w:val="en-GB"/>
        </w:rPr>
        <w:t>”</w:t>
      </w:r>
      <w:r w:rsidR="004D291F" w:rsidRPr="008D584B">
        <w:rPr>
          <w:lang w:val="en-GB"/>
        </w:rPr>
        <w:t>,</w:t>
      </w:r>
      <w:r w:rsidR="00794460" w:rsidRPr="00394BB8">
        <w:rPr>
          <w:i/>
          <w:lang w:val="en-GB"/>
        </w:rPr>
        <w:t xml:space="preserve"> </w:t>
      </w:r>
      <w:r w:rsidR="007D684A" w:rsidRPr="00394BB8">
        <w:rPr>
          <w:lang w:val="en-GB"/>
        </w:rPr>
        <w:t>and</w:t>
      </w:r>
      <w:r w:rsidR="00794460" w:rsidRPr="00394BB8">
        <w:rPr>
          <w:lang w:val="en-GB"/>
        </w:rPr>
        <w:t xml:space="preserve"> UNDP </w:t>
      </w:r>
      <w:r w:rsidR="004D291F">
        <w:rPr>
          <w:lang w:val="en-GB"/>
        </w:rPr>
        <w:t>s</w:t>
      </w:r>
      <w:r w:rsidR="00794460" w:rsidRPr="00394BB8">
        <w:rPr>
          <w:lang w:val="en-GB"/>
        </w:rPr>
        <w:t xml:space="preserve">trategic </w:t>
      </w:r>
      <w:r w:rsidR="004D291F">
        <w:rPr>
          <w:lang w:val="en-GB"/>
        </w:rPr>
        <w:t>p</w:t>
      </w:r>
      <w:r w:rsidR="00794460" w:rsidRPr="00394BB8">
        <w:rPr>
          <w:lang w:val="en-GB"/>
        </w:rPr>
        <w:t xml:space="preserve">lan </w:t>
      </w:r>
      <w:r w:rsidR="004D291F">
        <w:rPr>
          <w:lang w:val="en-GB"/>
        </w:rPr>
        <w:t>o</w:t>
      </w:r>
      <w:r w:rsidR="00794460" w:rsidRPr="00394BB8">
        <w:rPr>
          <w:lang w:val="en-GB"/>
        </w:rPr>
        <w:t>utcomes 5,</w:t>
      </w:r>
      <w:r w:rsidR="004D291F">
        <w:rPr>
          <w:lang w:val="en-GB"/>
        </w:rPr>
        <w:t xml:space="preserve"> and</w:t>
      </w:r>
      <w:r w:rsidR="00794460" w:rsidRPr="00394BB8">
        <w:rPr>
          <w:lang w:val="en-GB"/>
        </w:rPr>
        <w:t xml:space="preserve"> </w:t>
      </w:r>
      <w:r w:rsidR="007D684A" w:rsidRPr="00394BB8">
        <w:rPr>
          <w:lang w:val="en-GB"/>
        </w:rPr>
        <w:t xml:space="preserve">6. </w:t>
      </w:r>
    </w:p>
    <w:p w14:paraId="09CEB8EA" w14:textId="54D10F1C" w:rsidR="00D7027D" w:rsidRPr="00394BB8" w:rsidRDefault="00177CF8" w:rsidP="0073043C">
      <w:pPr>
        <w:pStyle w:val="ListParagraph"/>
        <w:numPr>
          <w:ilvl w:val="2"/>
          <w:numId w:val="6"/>
        </w:numPr>
        <w:shd w:val="clear" w:color="auto" w:fill="FFFFFF" w:themeFill="background1"/>
        <w:tabs>
          <w:tab w:val="num" w:pos="1080"/>
          <w:tab w:val="left" w:pos="1530"/>
        </w:tabs>
        <w:autoSpaceDE w:val="0"/>
        <w:autoSpaceDN w:val="0"/>
        <w:adjustRightInd w:val="0"/>
        <w:spacing w:after="120"/>
        <w:ind w:left="720" w:firstLine="0"/>
        <w:jc w:val="both"/>
        <w:rPr>
          <w:lang w:val="en-GB"/>
        </w:rPr>
      </w:pPr>
      <w:r w:rsidRPr="00394BB8">
        <w:rPr>
          <w:lang w:val="en-GB"/>
        </w:rPr>
        <w:lastRenderedPageBreak/>
        <w:t xml:space="preserve">UNDP will support the Ministry of </w:t>
      </w:r>
      <w:r w:rsidR="00B3554C" w:rsidRPr="00394BB8">
        <w:rPr>
          <w:lang w:val="en-GB"/>
        </w:rPr>
        <w:t>E</w:t>
      </w:r>
      <w:r w:rsidRPr="00394BB8">
        <w:rPr>
          <w:lang w:val="en-GB"/>
        </w:rPr>
        <w:t xml:space="preserve">nvironment and </w:t>
      </w:r>
      <w:r w:rsidR="00B3554C" w:rsidRPr="00394BB8">
        <w:rPr>
          <w:lang w:val="en-GB"/>
        </w:rPr>
        <w:t>N</w:t>
      </w:r>
      <w:r w:rsidRPr="00394BB8">
        <w:rPr>
          <w:lang w:val="en-GB"/>
        </w:rPr>
        <w:t xml:space="preserve">atural </w:t>
      </w:r>
      <w:r w:rsidR="00B3554C" w:rsidRPr="00394BB8">
        <w:rPr>
          <w:lang w:val="en-GB"/>
        </w:rPr>
        <w:t>R</w:t>
      </w:r>
      <w:r w:rsidRPr="00394BB8">
        <w:rPr>
          <w:lang w:val="en-GB"/>
        </w:rPr>
        <w:t>esources</w:t>
      </w:r>
      <w:r w:rsidR="00B3554C" w:rsidRPr="00394BB8">
        <w:rPr>
          <w:lang w:val="en-GB"/>
        </w:rPr>
        <w:t xml:space="preserve"> Protection</w:t>
      </w:r>
      <w:r w:rsidRPr="00394BB8">
        <w:rPr>
          <w:lang w:val="en-GB"/>
        </w:rPr>
        <w:t xml:space="preserve">, </w:t>
      </w:r>
      <w:r w:rsidR="00FC260D">
        <w:rPr>
          <w:lang w:val="en-GB"/>
        </w:rPr>
        <w:t xml:space="preserve">the </w:t>
      </w:r>
      <w:r w:rsidR="00FC260D" w:rsidRPr="00FC260D">
        <w:rPr>
          <w:lang w:val="en-GB"/>
        </w:rPr>
        <w:t>Ministry of Regional Development</w:t>
      </w:r>
      <w:r w:rsidR="007C2F25">
        <w:rPr>
          <w:lang w:val="en-GB"/>
        </w:rPr>
        <w:t xml:space="preserve"> and Infrastructure</w:t>
      </w:r>
      <w:r w:rsidRPr="00394BB8">
        <w:rPr>
          <w:lang w:val="en-GB"/>
        </w:rPr>
        <w:t xml:space="preserve">, </w:t>
      </w:r>
      <w:r w:rsidR="00FC260D">
        <w:rPr>
          <w:lang w:val="en-GB"/>
        </w:rPr>
        <w:t xml:space="preserve">the </w:t>
      </w:r>
      <w:r w:rsidRPr="00394BB8">
        <w:rPr>
          <w:lang w:val="en-GB"/>
        </w:rPr>
        <w:t>M</w:t>
      </w:r>
      <w:r w:rsidR="00902391" w:rsidRPr="00394BB8">
        <w:rPr>
          <w:lang w:val="en-GB"/>
        </w:rPr>
        <w:t xml:space="preserve">inistry of Internal Affairs, </w:t>
      </w:r>
      <w:r w:rsidR="00FC260D">
        <w:rPr>
          <w:lang w:val="en-GB"/>
        </w:rPr>
        <w:t>p</w:t>
      </w:r>
      <w:r w:rsidRPr="00394BB8">
        <w:rPr>
          <w:lang w:val="en-GB"/>
        </w:rPr>
        <w:t xml:space="preserve">arliamentary committees and </w:t>
      </w:r>
      <w:r w:rsidR="00FC260D">
        <w:rPr>
          <w:lang w:val="en-GB"/>
        </w:rPr>
        <w:t xml:space="preserve">the </w:t>
      </w:r>
      <w:r w:rsidRPr="00394BB8">
        <w:rPr>
          <w:lang w:val="en-GB"/>
        </w:rPr>
        <w:t>S</w:t>
      </w:r>
      <w:r w:rsidR="00B3554C" w:rsidRPr="00394BB8">
        <w:rPr>
          <w:lang w:val="en-GB"/>
        </w:rPr>
        <w:t xml:space="preserve">tate </w:t>
      </w:r>
      <w:r w:rsidRPr="00394BB8">
        <w:rPr>
          <w:lang w:val="en-GB"/>
        </w:rPr>
        <w:t>S</w:t>
      </w:r>
      <w:r w:rsidR="00B3554C" w:rsidRPr="00394BB8">
        <w:rPr>
          <w:lang w:val="en-GB"/>
        </w:rPr>
        <w:t xml:space="preserve">ecurity and </w:t>
      </w:r>
      <w:r w:rsidRPr="00394BB8">
        <w:rPr>
          <w:lang w:val="en-GB"/>
        </w:rPr>
        <w:t>C</w:t>
      </w:r>
      <w:r w:rsidR="00B3554C" w:rsidRPr="00394BB8">
        <w:rPr>
          <w:lang w:val="en-GB"/>
        </w:rPr>
        <w:t xml:space="preserve">risis </w:t>
      </w:r>
      <w:r w:rsidRPr="00394BB8">
        <w:rPr>
          <w:lang w:val="en-GB"/>
        </w:rPr>
        <w:t>M</w:t>
      </w:r>
      <w:r w:rsidR="00B3554C" w:rsidRPr="00394BB8">
        <w:rPr>
          <w:lang w:val="en-GB"/>
        </w:rPr>
        <w:t xml:space="preserve">anagement </w:t>
      </w:r>
      <w:r w:rsidRPr="00394BB8">
        <w:rPr>
          <w:lang w:val="en-GB"/>
        </w:rPr>
        <w:t>C</w:t>
      </w:r>
      <w:r w:rsidR="00B3554C" w:rsidRPr="00394BB8">
        <w:rPr>
          <w:lang w:val="en-GB"/>
        </w:rPr>
        <w:t>ouncil</w:t>
      </w:r>
      <w:r w:rsidR="00FC260D">
        <w:rPr>
          <w:lang w:val="en-GB"/>
        </w:rPr>
        <w:t>,</w:t>
      </w:r>
      <w:r w:rsidRPr="00394BB8">
        <w:rPr>
          <w:lang w:val="en-GB"/>
        </w:rPr>
        <w:t xml:space="preserve"> under the Prime Minister</w:t>
      </w:r>
      <w:r w:rsidR="00FC260D">
        <w:rPr>
          <w:lang w:val="en-GB"/>
        </w:rPr>
        <w:t>,</w:t>
      </w:r>
      <w:r w:rsidR="00DB5CF6" w:rsidRPr="00394BB8">
        <w:rPr>
          <w:lang w:val="en-GB"/>
        </w:rPr>
        <w:t xml:space="preserve"> </w:t>
      </w:r>
      <w:r w:rsidRPr="00394BB8">
        <w:rPr>
          <w:lang w:val="en-GB"/>
        </w:rPr>
        <w:t>in</w:t>
      </w:r>
      <w:r w:rsidR="002C1144" w:rsidRPr="00394BB8">
        <w:rPr>
          <w:lang w:val="en-GB"/>
        </w:rPr>
        <w:t xml:space="preserve"> develop</w:t>
      </w:r>
      <w:r w:rsidR="00FC260D">
        <w:rPr>
          <w:lang w:val="en-GB"/>
        </w:rPr>
        <w:t>ing</w:t>
      </w:r>
      <w:r w:rsidR="002C1144" w:rsidRPr="00394BB8">
        <w:rPr>
          <w:lang w:val="en-GB"/>
        </w:rPr>
        <w:t xml:space="preserve"> and overs</w:t>
      </w:r>
      <w:r w:rsidR="00FC260D">
        <w:rPr>
          <w:lang w:val="en-GB"/>
        </w:rPr>
        <w:t>eeing</w:t>
      </w:r>
      <w:r w:rsidRPr="00394BB8">
        <w:rPr>
          <w:lang w:val="en-GB"/>
        </w:rPr>
        <w:t xml:space="preserve"> national action plans and evidence-based policies for environment</w:t>
      </w:r>
      <w:r w:rsidR="00FC260D">
        <w:rPr>
          <w:lang w:val="en-GB"/>
        </w:rPr>
        <w:t>al</w:t>
      </w:r>
      <w:r w:rsidRPr="00394BB8">
        <w:rPr>
          <w:lang w:val="en-GB"/>
        </w:rPr>
        <w:t xml:space="preserve"> protection</w:t>
      </w:r>
      <w:r w:rsidR="00FC260D">
        <w:rPr>
          <w:lang w:val="en-GB"/>
        </w:rPr>
        <w:t>;</w:t>
      </w:r>
      <w:r w:rsidRPr="00394BB8">
        <w:rPr>
          <w:lang w:val="en-GB"/>
        </w:rPr>
        <w:t xml:space="preserve"> sustainable management of natural resources</w:t>
      </w:r>
      <w:r w:rsidR="00051DA4" w:rsidRPr="00394BB8">
        <w:rPr>
          <w:lang w:val="en-GB"/>
        </w:rPr>
        <w:t xml:space="preserve">, including existing and new </w:t>
      </w:r>
      <w:r w:rsidR="00FC260D">
        <w:rPr>
          <w:lang w:val="en-GB"/>
        </w:rPr>
        <w:t>n</w:t>
      </w:r>
      <w:r w:rsidR="00051DA4" w:rsidRPr="00394BB8">
        <w:rPr>
          <w:lang w:val="en-GB"/>
        </w:rPr>
        <w:t xml:space="preserve">ational </w:t>
      </w:r>
      <w:r w:rsidR="00FC260D">
        <w:rPr>
          <w:lang w:val="en-GB"/>
        </w:rPr>
        <w:t>p</w:t>
      </w:r>
      <w:r w:rsidR="00051DA4" w:rsidRPr="00394BB8">
        <w:rPr>
          <w:lang w:val="en-GB"/>
        </w:rPr>
        <w:t>arks</w:t>
      </w:r>
      <w:r w:rsidR="00FC260D">
        <w:rPr>
          <w:lang w:val="en-GB"/>
        </w:rPr>
        <w:t xml:space="preserve"> and</w:t>
      </w:r>
      <w:r w:rsidR="000768DB" w:rsidRPr="00394BB8">
        <w:rPr>
          <w:lang w:val="en-GB"/>
        </w:rPr>
        <w:t xml:space="preserve"> water resources</w:t>
      </w:r>
      <w:r w:rsidR="00051DA4" w:rsidRPr="00394BB8">
        <w:rPr>
          <w:lang w:val="en-GB"/>
        </w:rPr>
        <w:t>,</w:t>
      </w:r>
      <w:r w:rsidRPr="00394BB8">
        <w:rPr>
          <w:lang w:val="en-GB"/>
        </w:rPr>
        <w:t xml:space="preserve"> and </w:t>
      </w:r>
      <w:r w:rsidR="00FC260D">
        <w:rPr>
          <w:lang w:val="en-GB"/>
        </w:rPr>
        <w:t>disaster risk reduction</w:t>
      </w:r>
      <w:r w:rsidR="007E1A2F" w:rsidRPr="00394BB8">
        <w:rPr>
          <w:lang w:val="en-GB"/>
        </w:rPr>
        <w:t xml:space="preserve">. </w:t>
      </w:r>
      <w:r w:rsidR="00051DA4" w:rsidRPr="00394BB8">
        <w:rPr>
          <w:lang w:val="en-GB"/>
        </w:rPr>
        <w:t>Support to implementation</w:t>
      </w:r>
      <w:r w:rsidR="007E1A2F" w:rsidRPr="00394BB8">
        <w:rPr>
          <w:lang w:val="en-GB"/>
        </w:rPr>
        <w:t xml:space="preserve"> and </w:t>
      </w:r>
      <w:r w:rsidR="00051DA4" w:rsidRPr="00394BB8">
        <w:rPr>
          <w:lang w:val="en-GB"/>
        </w:rPr>
        <w:t>enhancement</w:t>
      </w:r>
      <w:r w:rsidR="007E1A2F" w:rsidRPr="00394BB8">
        <w:rPr>
          <w:lang w:val="en-GB"/>
        </w:rPr>
        <w:t xml:space="preserve"> of the </w:t>
      </w:r>
      <w:r w:rsidR="00FC260D">
        <w:rPr>
          <w:lang w:val="en-GB"/>
        </w:rPr>
        <w:t>n</w:t>
      </w:r>
      <w:r w:rsidR="007E1A2F" w:rsidRPr="00394BB8">
        <w:rPr>
          <w:lang w:val="en-GB"/>
        </w:rPr>
        <w:t xml:space="preserve">ational </w:t>
      </w:r>
      <w:r w:rsidR="00FC260D">
        <w:rPr>
          <w:lang w:val="en-GB"/>
        </w:rPr>
        <w:t>e</w:t>
      </w:r>
      <w:r w:rsidR="007E1A2F" w:rsidRPr="00394BB8">
        <w:rPr>
          <w:lang w:val="en-GB"/>
        </w:rPr>
        <w:t xml:space="preserve">nvironmental </w:t>
      </w:r>
      <w:r w:rsidR="00FC260D">
        <w:rPr>
          <w:lang w:val="en-GB"/>
        </w:rPr>
        <w:t>a</w:t>
      </w:r>
      <w:r w:rsidR="007E1A2F" w:rsidRPr="00394BB8">
        <w:rPr>
          <w:lang w:val="en-GB"/>
        </w:rPr>
        <w:t xml:space="preserve">ction </w:t>
      </w:r>
      <w:r w:rsidR="00FC260D">
        <w:rPr>
          <w:lang w:val="en-GB"/>
        </w:rPr>
        <w:t>plan</w:t>
      </w:r>
      <w:r w:rsidR="007E1A2F" w:rsidRPr="00394BB8">
        <w:rPr>
          <w:lang w:val="en-GB"/>
        </w:rPr>
        <w:t xml:space="preserve"> </w:t>
      </w:r>
      <w:r w:rsidR="007758FF" w:rsidRPr="00394BB8">
        <w:rPr>
          <w:lang w:val="en-GB"/>
        </w:rPr>
        <w:t>and</w:t>
      </w:r>
      <w:r w:rsidR="00FC260D">
        <w:rPr>
          <w:lang w:val="en-GB"/>
        </w:rPr>
        <w:t xml:space="preserve"> the disaster risk reduction</w:t>
      </w:r>
      <w:r w:rsidR="007758FF" w:rsidRPr="00394BB8">
        <w:rPr>
          <w:lang w:val="en-GB"/>
        </w:rPr>
        <w:t xml:space="preserve"> </w:t>
      </w:r>
      <w:r w:rsidR="00FC260D">
        <w:rPr>
          <w:lang w:val="en-GB"/>
        </w:rPr>
        <w:t>s</w:t>
      </w:r>
      <w:r w:rsidR="007758FF" w:rsidRPr="00394BB8">
        <w:rPr>
          <w:lang w:val="en-GB"/>
        </w:rPr>
        <w:t>trategy</w:t>
      </w:r>
      <w:r w:rsidR="00FC260D">
        <w:rPr>
          <w:lang w:val="en-GB"/>
        </w:rPr>
        <w:t xml:space="preserve"> and a</w:t>
      </w:r>
      <w:r w:rsidR="000768DB" w:rsidRPr="00394BB8">
        <w:rPr>
          <w:lang w:val="en-GB"/>
        </w:rPr>
        <w:t xml:space="preserve">ction </w:t>
      </w:r>
      <w:r w:rsidR="00FC260D">
        <w:rPr>
          <w:lang w:val="en-GB"/>
        </w:rPr>
        <w:t>plan</w:t>
      </w:r>
      <w:r w:rsidR="00051DA4" w:rsidRPr="00394BB8">
        <w:rPr>
          <w:lang w:val="en-GB"/>
        </w:rPr>
        <w:t xml:space="preserve"> will </w:t>
      </w:r>
      <w:r w:rsidR="00FC260D">
        <w:rPr>
          <w:lang w:val="en-GB"/>
        </w:rPr>
        <w:t>be central</w:t>
      </w:r>
      <w:r w:rsidR="00667808" w:rsidRPr="00394BB8">
        <w:rPr>
          <w:lang w:val="en-GB"/>
        </w:rPr>
        <w:t xml:space="preserve">. </w:t>
      </w:r>
      <w:r w:rsidR="00EA29B2" w:rsidRPr="00394BB8">
        <w:rPr>
          <w:lang w:val="en-GB"/>
        </w:rPr>
        <w:t xml:space="preserve">Compliance with international directives will guide support to </w:t>
      </w:r>
      <w:r w:rsidR="00FC260D">
        <w:rPr>
          <w:lang w:val="en-GB"/>
        </w:rPr>
        <w:t>g</w:t>
      </w:r>
      <w:r w:rsidR="00EA29B2" w:rsidRPr="00394BB8">
        <w:rPr>
          <w:lang w:val="en-GB"/>
        </w:rPr>
        <w:t xml:space="preserve">overnment analytical and reporting needs. </w:t>
      </w:r>
      <w:r w:rsidR="007B3D09" w:rsidRPr="00394BB8">
        <w:rPr>
          <w:lang w:val="en-GB"/>
        </w:rPr>
        <w:t>Citizen</w:t>
      </w:r>
      <w:r w:rsidR="007E3BAD" w:rsidRPr="00394BB8">
        <w:rPr>
          <w:lang w:val="en-GB"/>
        </w:rPr>
        <w:t xml:space="preserve"> participation in data collection</w:t>
      </w:r>
      <w:r w:rsidR="003B2EF7" w:rsidRPr="00394BB8">
        <w:rPr>
          <w:lang w:val="en-GB"/>
        </w:rPr>
        <w:t>, knowledge</w:t>
      </w:r>
      <w:r w:rsidR="008D584B">
        <w:rPr>
          <w:lang w:val="en-GB"/>
        </w:rPr>
        <w:t xml:space="preserve"> </w:t>
      </w:r>
      <w:r w:rsidR="003B2EF7" w:rsidRPr="00394BB8">
        <w:rPr>
          <w:lang w:val="en-GB"/>
        </w:rPr>
        <w:t>base development</w:t>
      </w:r>
      <w:r w:rsidR="007E3BAD" w:rsidRPr="00394BB8">
        <w:rPr>
          <w:lang w:val="en-GB"/>
        </w:rPr>
        <w:t xml:space="preserve"> and monitoring of environmental issues</w:t>
      </w:r>
      <w:r w:rsidR="007B3D09" w:rsidRPr="00394BB8">
        <w:rPr>
          <w:lang w:val="en-GB"/>
        </w:rPr>
        <w:t xml:space="preserve"> will be supported</w:t>
      </w:r>
      <w:r w:rsidRPr="00394BB8">
        <w:rPr>
          <w:lang w:val="en-GB"/>
        </w:rPr>
        <w:t xml:space="preserve">. </w:t>
      </w:r>
      <w:r w:rsidR="00015263" w:rsidRPr="00394BB8">
        <w:rPr>
          <w:lang w:val="en-GB"/>
        </w:rPr>
        <w:t xml:space="preserve">Sustainable ‘green economy’ principles </w:t>
      </w:r>
      <w:r w:rsidR="006D4550" w:rsidRPr="00394BB8">
        <w:rPr>
          <w:lang w:val="en-GB"/>
        </w:rPr>
        <w:t xml:space="preserve">and the </w:t>
      </w:r>
      <w:r w:rsidR="00FC260D">
        <w:rPr>
          <w:lang w:val="en-GB"/>
        </w:rPr>
        <w:t>p</w:t>
      </w:r>
      <w:r w:rsidR="006D4550" w:rsidRPr="00394BB8">
        <w:rPr>
          <w:lang w:val="en-GB"/>
        </w:rPr>
        <w:t xml:space="preserve">ost-2015 </w:t>
      </w:r>
      <w:r w:rsidR="00FC260D">
        <w:rPr>
          <w:lang w:val="en-GB"/>
        </w:rPr>
        <w:t>sustainable development goal</w:t>
      </w:r>
      <w:r w:rsidR="00FC260D" w:rsidRPr="00394BB8">
        <w:rPr>
          <w:lang w:val="en-GB"/>
        </w:rPr>
        <w:t xml:space="preserve">s </w:t>
      </w:r>
      <w:r w:rsidR="00015263" w:rsidRPr="00394BB8">
        <w:rPr>
          <w:lang w:val="en-GB"/>
        </w:rPr>
        <w:t xml:space="preserve">will be integrated into development planning, including </w:t>
      </w:r>
      <w:r w:rsidR="008D584B">
        <w:rPr>
          <w:lang w:val="en-GB"/>
        </w:rPr>
        <w:t>‘</w:t>
      </w:r>
      <w:r w:rsidR="00015263" w:rsidRPr="00394BB8">
        <w:rPr>
          <w:lang w:val="en-GB"/>
        </w:rPr>
        <w:t>green</w:t>
      </w:r>
      <w:r w:rsidR="008D584B">
        <w:rPr>
          <w:lang w:val="en-GB"/>
        </w:rPr>
        <w:t>’</w:t>
      </w:r>
      <w:r w:rsidR="00015263" w:rsidRPr="00394BB8">
        <w:rPr>
          <w:lang w:val="en-GB"/>
        </w:rPr>
        <w:t xml:space="preserve"> urbanization strategies</w:t>
      </w:r>
      <w:r w:rsidR="002A7300" w:rsidRPr="00394BB8">
        <w:rPr>
          <w:lang w:val="en-GB"/>
        </w:rPr>
        <w:t xml:space="preserve">, </w:t>
      </w:r>
      <w:r w:rsidR="005847E2" w:rsidRPr="00394BB8">
        <w:rPr>
          <w:lang w:val="en-GB"/>
        </w:rPr>
        <w:t>expanding renewable energy use</w:t>
      </w:r>
      <w:r w:rsidR="00FC260D">
        <w:rPr>
          <w:lang w:val="en-GB"/>
        </w:rPr>
        <w:t>,</w:t>
      </w:r>
      <w:r w:rsidR="000768DB" w:rsidRPr="00394BB8">
        <w:rPr>
          <w:lang w:val="en-GB"/>
        </w:rPr>
        <w:t xml:space="preserve"> and </w:t>
      </w:r>
      <w:r w:rsidR="002A7300" w:rsidRPr="00394BB8">
        <w:rPr>
          <w:lang w:val="en-GB"/>
        </w:rPr>
        <w:t>addressing hazardous and ozone</w:t>
      </w:r>
      <w:r w:rsidR="00FC260D">
        <w:rPr>
          <w:lang w:val="en-GB"/>
        </w:rPr>
        <w:t>-</w:t>
      </w:r>
      <w:r w:rsidR="002A7300" w:rsidRPr="00394BB8">
        <w:rPr>
          <w:lang w:val="en-GB"/>
        </w:rPr>
        <w:t>depleting chemicals</w:t>
      </w:r>
      <w:r w:rsidR="00015263" w:rsidRPr="00394BB8">
        <w:rPr>
          <w:lang w:val="en-GB"/>
        </w:rPr>
        <w:t xml:space="preserve">. </w:t>
      </w:r>
      <w:r w:rsidRPr="00394BB8">
        <w:rPr>
          <w:lang w:val="en-GB"/>
        </w:rPr>
        <w:t xml:space="preserve">Capacities in </w:t>
      </w:r>
      <w:r w:rsidR="00FC260D">
        <w:rPr>
          <w:lang w:val="en-GB"/>
        </w:rPr>
        <w:t>disaster risk reduction</w:t>
      </w:r>
      <w:r w:rsidR="00FC260D" w:rsidRPr="00394BB8">
        <w:rPr>
          <w:lang w:val="en-GB"/>
        </w:rPr>
        <w:t xml:space="preserve"> </w:t>
      </w:r>
      <w:r w:rsidRPr="00394BB8">
        <w:rPr>
          <w:lang w:val="en-GB"/>
        </w:rPr>
        <w:t>will be strengthened through increased ownership of coordination and capacity</w:t>
      </w:r>
      <w:r w:rsidR="00FC260D">
        <w:rPr>
          <w:lang w:val="en-GB"/>
        </w:rPr>
        <w:t>-</w:t>
      </w:r>
      <w:r w:rsidRPr="00394BB8">
        <w:rPr>
          <w:lang w:val="en-GB"/>
        </w:rPr>
        <w:t>building of national and local institutions</w:t>
      </w:r>
      <w:r w:rsidR="007E3BAD" w:rsidRPr="00394BB8">
        <w:rPr>
          <w:lang w:val="en-GB"/>
        </w:rPr>
        <w:t xml:space="preserve">, including </w:t>
      </w:r>
      <w:r w:rsidR="00FC260D">
        <w:rPr>
          <w:lang w:val="en-GB"/>
        </w:rPr>
        <w:t xml:space="preserve">the </w:t>
      </w:r>
      <w:r w:rsidR="007E3BAD" w:rsidRPr="00394BB8">
        <w:rPr>
          <w:lang w:val="en-GB"/>
        </w:rPr>
        <w:t xml:space="preserve">adoption of </w:t>
      </w:r>
      <w:r w:rsidR="00C677C4" w:rsidRPr="00394BB8">
        <w:rPr>
          <w:lang w:val="en-GB"/>
        </w:rPr>
        <w:t>innovative</w:t>
      </w:r>
      <w:r w:rsidR="007E3BAD" w:rsidRPr="00394BB8">
        <w:rPr>
          <w:lang w:val="en-GB"/>
        </w:rPr>
        <w:t xml:space="preserve"> technical solutions</w:t>
      </w:r>
      <w:r w:rsidR="006E10E4" w:rsidRPr="00394BB8">
        <w:rPr>
          <w:lang w:val="en-GB"/>
        </w:rPr>
        <w:t>, such as disaster-indexed insurance,</w:t>
      </w:r>
      <w:r w:rsidR="00015263" w:rsidRPr="00394BB8">
        <w:rPr>
          <w:lang w:val="en-GB"/>
        </w:rPr>
        <w:t xml:space="preserve"> and local management plans in high-risk areas </w:t>
      </w:r>
      <w:r w:rsidR="00FC260D">
        <w:rPr>
          <w:lang w:val="en-GB"/>
        </w:rPr>
        <w:t>such as</w:t>
      </w:r>
      <w:r w:rsidR="00FC260D" w:rsidRPr="00394BB8">
        <w:rPr>
          <w:lang w:val="en-GB"/>
        </w:rPr>
        <w:t xml:space="preserve"> </w:t>
      </w:r>
      <w:r w:rsidR="00015263" w:rsidRPr="00394BB8">
        <w:rPr>
          <w:lang w:val="en-GB"/>
        </w:rPr>
        <w:t>the Kura River basin</w:t>
      </w:r>
      <w:r w:rsidR="007E3BAD" w:rsidRPr="00394BB8">
        <w:rPr>
          <w:lang w:val="en-GB"/>
        </w:rPr>
        <w:t>.</w:t>
      </w:r>
      <w:r w:rsidR="00244BB0" w:rsidRPr="00394BB8">
        <w:rPr>
          <w:lang w:val="en-GB"/>
        </w:rPr>
        <w:t xml:space="preserve"> </w:t>
      </w:r>
      <w:r w:rsidR="00FC260D">
        <w:rPr>
          <w:lang w:val="en-GB"/>
        </w:rPr>
        <w:t>I</w:t>
      </w:r>
      <w:r w:rsidR="00244BB0" w:rsidRPr="00394BB8">
        <w:rPr>
          <w:lang w:val="en-GB"/>
        </w:rPr>
        <w:t xml:space="preserve">nternational partners include the </w:t>
      </w:r>
      <w:r w:rsidR="00FC260D">
        <w:rPr>
          <w:lang w:val="en-GB"/>
        </w:rPr>
        <w:t>Global Environment Facility</w:t>
      </w:r>
      <w:r w:rsidR="00244BB0" w:rsidRPr="00394BB8">
        <w:rPr>
          <w:lang w:val="en-GB"/>
        </w:rPr>
        <w:t xml:space="preserve">, </w:t>
      </w:r>
      <w:r w:rsidR="001C4C1A">
        <w:rPr>
          <w:lang w:val="en-GB"/>
        </w:rPr>
        <w:t xml:space="preserve">the </w:t>
      </w:r>
      <w:r w:rsidR="00A643D8">
        <w:rPr>
          <w:lang w:val="en-GB"/>
        </w:rPr>
        <w:t>Green Climate Fund</w:t>
      </w:r>
      <w:r w:rsidR="006069C6" w:rsidRPr="00394BB8">
        <w:rPr>
          <w:lang w:val="en-GB"/>
        </w:rPr>
        <w:t xml:space="preserve">, </w:t>
      </w:r>
      <w:r w:rsidR="00FC260D">
        <w:rPr>
          <w:lang w:val="en-GB"/>
        </w:rPr>
        <w:t xml:space="preserve">the </w:t>
      </w:r>
      <w:r w:rsidR="008B72BE" w:rsidRPr="00394BB8">
        <w:rPr>
          <w:lang w:val="en-GB"/>
        </w:rPr>
        <w:t>Adaptation Fund</w:t>
      </w:r>
      <w:r w:rsidR="001C4C1A">
        <w:rPr>
          <w:lang w:val="en-GB"/>
        </w:rPr>
        <w:t>,</w:t>
      </w:r>
      <w:r w:rsidR="00FC260D">
        <w:rPr>
          <w:lang w:val="en-GB"/>
        </w:rPr>
        <w:t xml:space="preserve"> the European Union</w:t>
      </w:r>
      <w:r w:rsidR="001C4C1A">
        <w:rPr>
          <w:lang w:val="en-GB"/>
        </w:rPr>
        <w:t>, and other bilateral and multilateral partners</w:t>
      </w:r>
      <w:r w:rsidR="008B72BE" w:rsidRPr="00394BB8">
        <w:rPr>
          <w:lang w:val="en-GB"/>
        </w:rPr>
        <w:t>.</w:t>
      </w:r>
    </w:p>
    <w:p w14:paraId="447166EC" w14:textId="7CAD77C8" w:rsidR="00D7027D" w:rsidRPr="00394BB8" w:rsidRDefault="009A18AA" w:rsidP="0073043C">
      <w:pPr>
        <w:pStyle w:val="ListParagraph"/>
        <w:numPr>
          <w:ilvl w:val="2"/>
          <w:numId w:val="6"/>
        </w:numPr>
        <w:shd w:val="clear" w:color="auto" w:fill="FFFFFF" w:themeFill="background1"/>
        <w:tabs>
          <w:tab w:val="num" w:pos="1080"/>
          <w:tab w:val="left" w:pos="1530"/>
        </w:tabs>
        <w:autoSpaceDE w:val="0"/>
        <w:autoSpaceDN w:val="0"/>
        <w:adjustRightInd w:val="0"/>
        <w:spacing w:after="120"/>
        <w:ind w:left="720" w:firstLine="0"/>
        <w:jc w:val="both"/>
        <w:rPr>
          <w:lang w:val="en-GB"/>
        </w:rPr>
      </w:pPr>
      <w:r w:rsidRPr="00394BB8">
        <w:rPr>
          <w:lang w:val="en-GB"/>
        </w:rPr>
        <w:t>T</w:t>
      </w:r>
      <w:r w:rsidR="00413F9C" w:rsidRPr="00394BB8">
        <w:rPr>
          <w:lang w:val="en-GB"/>
        </w:rPr>
        <w:t xml:space="preserve">he </w:t>
      </w:r>
      <w:r w:rsidR="001D259B">
        <w:rPr>
          <w:lang w:val="en-GB"/>
        </w:rPr>
        <w:t>country office</w:t>
      </w:r>
      <w:r w:rsidR="001D259B" w:rsidRPr="00394BB8">
        <w:rPr>
          <w:lang w:val="en-GB"/>
        </w:rPr>
        <w:t xml:space="preserve"> </w:t>
      </w:r>
      <w:r w:rsidR="007E3BAD" w:rsidRPr="00394BB8">
        <w:rPr>
          <w:lang w:val="en-GB"/>
        </w:rPr>
        <w:t xml:space="preserve">will </w:t>
      </w:r>
      <w:r w:rsidR="00DD1949" w:rsidRPr="00394BB8">
        <w:rPr>
          <w:lang w:val="en-GB"/>
        </w:rPr>
        <w:t>strengthen</w:t>
      </w:r>
      <w:r w:rsidR="007E3BAD" w:rsidRPr="00394BB8">
        <w:rPr>
          <w:lang w:val="en-GB"/>
        </w:rPr>
        <w:t xml:space="preserve"> internal capacity </w:t>
      </w:r>
      <w:r w:rsidR="001D259B" w:rsidRPr="00394BB8">
        <w:rPr>
          <w:lang w:val="en-GB"/>
        </w:rPr>
        <w:t xml:space="preserve">for innovative practices in programme design </w:t>
      </w:r>
      <w:r w:rsidR="001D259B">
        <w:rPr>
          <w:lang w:val="en-GB"/>
        </w:rPr>
        <w:t>by</w:t>
      </w:r>
      <w:r w:rsidR="001D259B" w:rsidRPr="00394BB8">
        <w:rPr>
          <w:lang w:val="en-GB"/>
        </w:rPr>
        <w:t xml:space="preserve"> </w:t>
      </w:r>
      <w:r w:rsidR="00413F9C" w:rsidRPr="00394BB8">
        <w:rPr>
          <w:lang w:val="en-GB"/>
        </w:rPr>
        <w:t>establish</w:t>
      </w:r>
      <w:r w:rsidR="001D259B">
        <w:rPr>
          <w:lang w:val="en-GB"/>
        </w:rPr>
        <w:t>ing</w:t>
      </w:r>
      <w:r w:rsidR="007E3BAD" w:rsidRPr="00394BB8">
        <w:rPr>
          <w:lang w:val="en-GB"/>
        </w:rPr>
        <w:t xml:space="preserve"> partnerships with socia</w:t>
      </w:r>
      <w:r w:rsidR="00C677C4" w:rsidRPr="00394BB8">
        <w:rPr>
          <w:lang w:val="en-GB"/>
        </w:rPr>
        <w:t>l innovators</w:t>
      </w:r>
      <w:r w:rsidR="00413F9C" w:rsidRPr="00394BB8">
        <w:rPr>
          <w:lang w:val="en-GB"/>
        </w:rPr>
        <w:t xml:space="preserve">. </w:t>
      </w:r>
      <w:r w:rsidR="001D259B">
        <w:rPr>
          <w:lang w:val="en-GB"/>
        </w:rPr>
        <w:t>‘I</w:t>
      </w:r>
      <w:r w:rsidR="00C11F3A" w:rsidRPr="00394BB8">
        <w:rPr>
          <w:lang w:val="en-GB"/>
        </w:rPr>
        <w:t>dea</w:t>
      </w:r>
      <w:r w:rsidR="00413F9C" w:rsidRPr="00394BB8">
        <w:rPr>
          <w:lang w:val="en-GB"/>
        </w:rPr>
        <w:t xml:space="preserve"> labs</w:t>
      </w:r>
      <w:r w:rsidR="001D259B">
        <w:rPr>
          <w:lang w:val="en-GB"/>
        </w:rPr>
        <w:t>’</w:t>
      </w:r>
      <w:r w:rsidR="00413F9C" w:rsidRPr="00394BB8">
        <w:rPr>
          <w:lang w:val="en-GB"/>
        </w:rPr>
        <w:t xml:space="preserve"> will </w:t>
      </w:r>
      <w:r w:rsidR="007E65E1" w:rsidRPr="00394BB8">
        <w:rPr>
          <w:lang w:val="en-GB"/>
        </w:rPr>
        <w:t>test</w:t>
      </w:r>
      <w:r w:rsidR="00413F9C" w:rsidRPr="00394BB8">
        <w:rPr>
          <w:lang w:val="en-GB"/>
        </w:rPr>
        <w:t xml:space="preserve"> </w:t>
      </w:r>
      <w:r w:rsidR="007E3BAD" w:rsidRPr="00394BB8">
        <w:rPr>
          <w:lang w:val="en-GB"/>
        </w:rPr>
        <w:t>solution</w:t>
      </w:r>
      <w:r w:rsidR="00413F9C" w:rsidRPr="00394BB8">
        <w:rPr>
          <w:lang w:val="en-GB"/>
        </w:rPr>
        <w:t>s</w:t>
      </w:r>
      <w:r w:rsidR="007E3BAD" w:rsidRPr="00394BB8">
        <w:rPr>
          <w:lang w:val="en-GB"/>
        </w:rPr>
        <w:t xml:space="preserve"> </w:t>
      </w:r>
      <w:r w:rsidR="00413F9C" w:rsidRPr="00394BB8">
        <w:rPr>
          <w:lang w:val="en-GB"/>
        </w:rPr>
        <w:t>for scaling up</w:t>
      </w:r>
      <w:r w:rsidR="00ED18D1" w:rsidRPr="00394BB8">
        <w:rPr>
          <w:lang w:val="en-GB"/>
        </w:rPr>
        <w:t>. T</w:t>
      </w:r>
      <w:r w:rsidR="007E3BAD" w:rsidRPr="00394BB8">
        <w:rPr>
          <w:lang w:val="en-GB"/>
        </w:rPr>
        <w:t>argeted use</w:t>
      </w:r>
      <w:r w:rsidR="00A0636B" w:rsidRPr="00394BB8">
        <w:rPr>
          <w:lang w:val="en-GB"/>
        </w:rPr>
        <w:t xml:space="preserve"> of social media</w:t>
      </w:r>
      <w:r w:rsidR="007E3BAD" w:rsidRPr="00394BB8">
        <w:rPr>
          <w:lang w:val="en-GB"/>
        </w:rPr>
        <w:t xml:space="preserve"> </w:t>
      </w:r>
      <w:r w:rsidR="00C11F3A" w:rsidRPr="00394BB8">
        <w:rPr>
          <w:lang w:val="en-GB"/>
        </w:rPr>
        <w:t xml:space="preserve">will </w:t>
      </w:r>
      <w:r w:rsidR="001D259B">
        <w:rPr>
          <w:lang w:val="en-GB"/>
        </w:rPr>
        <w:t>expand the</w:t>
      </w:r>
      <w:r w:rsidR="001D259B" w:rsidRPr="00394BB8">
        <w:rPr>
          <w:lang w:val="en-GB"/>
        </w:rPr>
        <w:t xml:space="preserve"> </w:t>
      </w:r>
      <w:r w:rsidR="00DD1949" w:rsidRPr="00394BB8">
        <w:rPr>
          <w:lang w:val="en-GB"/>
        </w:rPr>
        <w:t>UNDP</w:t>
      </w:r>
      <w:r w:rsidR="00A0636B" w:rsidRPr="00394BB8">
        <w:rPr>
          <w:lang w:val="en-GB"/>
        </w:rPr>
        <w:t xml:space="preserve"> </w:t>
      </w:r>
      <w:r w:rsidR="007E3BAD" w:rsidRPr="00394BB8">
        <w:rPr>
          <w:lang w:val="en-GB"/>
        </w:rPr>
        <w:t xml:space="preserve">digital footprint, documenting lessons learned </w:t>
      </w:r>
      <w:r w:rsidR="007E65E1" w:rsidRPr="00394BB8">
        <w:rPr>
          <w:lang w:val="en-GB"/>
        </w:rPr>
        <w:t>while</w:t>
      </w:r>
      <w:r w:rsidR="007E3BAD" w:rsidRPr="00394BB8">
        <w:rPr>
          <w:lang w:val="en-GB"/>
        </w:rPr>
        <w:t xml:space="preserve"> </w:t>
      </w:r>
      <w:r w:rsidR="00A0636B" w:rsidRPr="00394BB8">
        <w:rPr>
          <w:lang w:val="en-GB"/>
        </w:rPr>
        <w:t>creating</w:t>
      </w:r>
      <w:r w:rsidR="007E3BAD" w:rsidRPr="00394BB8">
        <w:rPr>
          <w:lang w:val="en-GB"/>
        </w:rPr>
        <w:t xml:space="preserve"> new partner</w:t>
      </w:r>
      <w:r w:rsidR="00413F9C" w:rsidRPr="00394BB8">
        <w:rPr>
          <w:lang w:val="en-GB"/>
        </w:rPr>
        <w:t xml:space="preserve">ships and </w:t>
      </w:r>
      <w:r w:rsidR="00ED18D1" w:rsidRPr="00394BB8">
        <w:rPr>
          <w:lang w:val="en-GB"/>
        </w:rPr>
        <w:t xml:space="preserve">knowledge </w:t>
      </w:r>
      <w:r w:rsidR="00413F9C" w:rsidRPr="00394BB8">
        <w:rPr>
          <w:lang w:val="en-GB"/>
        </w:rPr>
        <w:t>exchange</w:t>
      </w:r>
      <w:r w:rsidR="00ED18D1" w:rsidRPr="00394BB8">
        <w:rPr>
          <w:lang w:val="en-GB"/>
        </w:rPr>
        <w:t>s globally</w:t>
      </w:r>
      <w:r w:rsidR="007E3BAD" w:rsidRPr="00394BB8">
        <w:rPr>
          <w:lang w:val="en-GB"/>
        </w:rPr>
        <w:t xml:space="preserve">. </w:t>
      </w:r>
    </w:p>
    <w:p w14:paraId="267C69A5" w14:textId="71CB7BCF" w:rsidR="00F65C18" w:rsidRDefault="009A18AA" w:rsidP="00C042BD">
      <w:pPr>
        <w:pStyle w:val="ListParagraph"/>
        <w:numPr>
          <w:ilvl w:val="2"/>
          <w:numId w:val="6"/>
        </w:numPr>
        <w:shd w:val="clear" w:color="auto" w:fill="FFFFFF" w:themeFill="background1"/>
        <w:tabs>
          <w:tab w:val="num" w:pos="1080"/>
          <w:tab w:val="left" w:pos="1530"/>
        </w:tabs>
        <w:autoSpaceDE w:val="0"/>
        <w:autoSpaceDN w:val="0"/>
        <w:adjustRightInd w:val="0"/>
        <w:spacing w:after="240"/>
        <w:ind w:left="720" w:firstLine="0"/>
        <w:jc w:val="both"/>
        <w:rPr>
          <w:lang w:val="en-GB"/>
        </w:rPr>
      </w:pPr>
      <w:r w:rsidRPr="00394BB8">
        <w:rPr>
          <w:lang w:val="en-GB"/>
        </w:rPr>
        <w:t>T</w:t>
      </w:r>
      <w:r w:rsidR="0052502E" w:rsidRPr="00394BB8">
        <w:rPr>
          <w:lang w:val="en-GB"/>
        </w:rPr>
        <w:t xml:space="preserve">he </w:t>
      </w:r>
      <w:r w:rsidR="00F65C18" w:rsidRPr="00394BB8">
        <w:rPr>
          <w:lang w:val="en-GB"/>
        </w:rPr>
        <w:t xml:space="preserve">programme </w:t>
      </w:r>
      <w:r w:rsidR="0052502E" w:rsidRPr="00394BB8">
        <w:rPr>
          <w:lang w:val="en-GB"/>
        </w:rPr>
        <w:t>incorporates</w:t>
      </w:r>
      <w:r w:rsidR="00F65C18" w:rsidRPr="00394BB8">
        <w:rPr>
          <w:lang w:val="en-GB"/>
        </w:rPr>
        <w:t xml:space="preserve"> </w:t>
      </w:r>
      <w:r w:rsidR="001D259B">
        <w:rPr>
          <w:lang w:val="en-GB"/>
        </w:rPr>
        <w:t xml:space="preserve">the </w:t>
      </w:r>
      <w:r w:rsidRPr="00394BB8">
        <w:rPr>
          <w:lang w:val="en-GB"/>
        </w:rPr>
        <w:t xml:space="preserve">UNDP </w:t>
      </w:r>
      <w:r w:rsidR="001D259B">
        <w:rPr>
          <w:lang w:val="en-GB"/>
        </w:rPr>
        <w:t>s</w:t>
      </w:r>
      <w:r w:rsidR="00F65C18" w:rsidRPr="00394BB8">
        <w:rPr>
          <w:lang w:val="en-GB"/>
        </w:rPr>
        <w:t>trategic</w:t>
      </w:r>
      <w:r w:rsidRPr="00394BB8">
        <w:rPr>
          <w:lang w:val="en-GB"/>
        </w:rPr>
        <w:t xml:space="preserve"> </w:t>
      </w:r>
      <w:r w:rsidR="001D259B">
        <w:rPr>
          <w:lang w:val="en-GB"/>
        </w:rPr>
        <w:t>p</w:t>
      </w:r>
      <w:r w:rsidRPr="00394BB8">
        <w:rPr>
          <w:lang w:val="en-GB"/>
        </w:rPr>
        <w:t>lan</w:t>
      </w:r>
      <w:r w:rsidR="00F65C18" w:rsidRPr="00394BB8">
        <w:rPr>
          <w:lang w:val="en-GB"/>
        </w:rPr>
        <w:t xml:space="preserve"> alignment and design parameters for </w:t>
      </w:r>
      <w:r w:rsidR="001D259B">
        <w:rPr>
          <w:lang w:val="en-GB"/>
        </w:rPr>
        <w:t>people with disabilities</w:t>
      </w:r>
      <w:r w:rsidR="00F65C18" w:rsidRPr="00394BB8">
        <w:rPr>
          <w:lang w:val="en-GB"/>
        </w:rPr>
        <w:t xml:space="preserve">, women, youth, </w:t>
      </w:r>
      <w:r w:rsidR="008D584B">
        <w:rPr>
          <w:lang w:val="en-GB"/>
        </w:rPr>
        <w:t xml:space="preserve">and </w:t>
      </w:r>
      <w:r w:rsidR="00F65C18" w:rsidRPr="00394BB8">
        <w:rPr>
          <w:lang w:val="en-GB"/>
        </w:rPr>
        <w:t xml:space="preserve">rural </w:t>
      </w:r>
      <w:r w:rsidR="00A643D8">
        <w:rPr>
          <w:lang w:val="en-GB"/>
        </w:rPr>
        <w:t>households</w:t>
      </w:r>
      <w:r w:rsidR="00F65C18" w:rsidRPr="00394BB8">
        <w:rPr>
          <w:lang w:val="en-GB"/>
        </w:rPr>
        <w:t xml:space="preserve">, explicitly reinforcing </w:t>
      </w:r>
      <w:r w:rsidR="00DD1949" w:rsidRPr="00394BB8">
        <w:rPr>
          <w:lang w:val="en-GB"/>
        </w:rPr>
        <w:t>the</w:t>
      </w:r>
      <w:r w:rsidR="00F65C18" w:rsidRPr="00394BB8">
        <w:rPr>
          <w:lang w:val="en-GB"/>
        </w:rPr>
        <w:t xml:space="preserve"> multidimensional poverty</w:t>
      </w:r>
      <w:r w:rsidR="00DD1949" w:rsidRPr="00394BB8">
        <w:rPr>
          <w:lang w:val="en-GB"/>
        </w:rPr>
        <w:t xml:space="preserve"> basis of programming</w:t>
      </w:r>
      <w:r w:rsidR="00F65C18" w:rsidRPr="00394BB8">
        <w:rPr>
          <w:lang w:val="en-GB"/>
        </w:rPr>
        <w:t xml:space="preserve">. Scalability and sustainability </w:t>
      </w:r>
      <w:r w:rsidR="00C042BD" w:rsidRPr="00394BB8">
        <w:rPr>
          <w:lang w:val="en-GB"/>
        </w:rPr>
        <w:t xml:space="preserve">will be sought </w:t>
      </w:r>
      <w:r w:rsidR="00C042BD">
        <w:rPr>
          <w:lang w:val="en-GB"/>
        </w:rPr>
        <w:t xml:space="preserve">by </w:t>
      </w:r>
      <w:r w:rsidR="00F65C18" w:rsidRPr="00394BB8">
        <w:rPr>
          <w:lang w:val="en-GB"/>
        </w:rPr>
        <w:t>integrati</w:t>
      </w:r>
      <w:r w:rsidR="008D584B">
        <w:rPr>
          <w:lang w:val="en-GB"/>
        </w:rPr>
        <w:t>ng</w:t>
      </w:r>
      <w:r w:rsidR="00F65C18" w:rsidRPr="00394BB8">
        <w:rPr>
          <w:lang w:val="en-GB"/>
        </w:rPr>
        <w:t xml:space="preserve"> UNDP assistance into national and local policies, with </w:t>
      </w:r>
      <w:r w:rsidR="00C042BD" w:rsidRPr="00394BB8">
        <w:rPr>
          <w:lang w:val="en-GB"/>
        </w:rPr>
        <w:t xml:space="preserve">mainstreamed </w:t>
      </w:r>
      <w:r w:rsidR="00F65C18" w:rsidRPr="00394BB8">
        <w:rPr>
          <w:lang w:val="en-GB"/>
        </w:rPr>
        <w:t>gender equality, results</w:t>
      </w:r>
      <w:r w:rsidR="001D259B">
        <w:rPr>
          <w:lang w:val="en-GB"/>
        </w:rPr>
        <w:t>-</w:t>
      </w:r>
      <w:r w:rsidR="00F65C18" w:rsidRPr="00394BB8">
        <w:rPr>
          <w:lang w:val="en-GB"/>
        </w:rPr>
        <w:t>based management, capacity development, community resilience</w:t>
      </w:r>
      <w:r w:rsidR="005B17DD">
        <w:rPr>
          <w:lang w:val="en-GB"/>
        </w:rPr>
        <w:t>,</w:t>
      </w:r>
      <w:r w:rsidR="00F65C18" w:rsidRPr="00394BB8">
        <w:rPr>
          <w:lang w:val="en-GB"/>
        </w:rPr>
        <w:t xml:space="preserve"> environmental sustainability </w:t>
      </w:r>
      <w:r w:rsidR="005B17DD">
        <w:rPr>
          <w:lang w:val="en-GB"/>
        </w:rPr>
        <w:t xml:space="preserve">and rights-based </w:t>
      </w:r>
      <w:r w:rsidR="00F65C18" w:rsidRPr="00394BB8">
        <w:rPr>
          <w:lang w:val="en-GB"/>
        </w:rPr>
        <w:t xml:space="preserve">approaches. </w:t>
      </w:r>
    </w:p>
    <w:p w14:paraId="40EC2363" w14:textId="7E5E9202" w:rsidR="0063402B" w:rsidRPr="00C042BD" w:rsidRDefault="0063402B" w:rsidP="00074182">
      <w:pPr>
        <w:pStyle w:val="Heading1"/>
        <w:tabs>
          <w:tab w:val="num" w:pos="1080"/>
          <w:tab w:val="left" w:pos="1800"/>
        </w:tabs>
        <w:spacing w:after="120"/>
        <w:ind w:left="720" w:hanging="720"/>
        <w:jc w:val="both"/>
        <w:rPr>
          <w:rFonts w:ascii="Times New Roman" w:hAnsi="Times New Roman"/>
          <w:szCs w:val="28"/>
          <w:lang w:val="en-GB"/>
        </w:rPr>
      </w:pPr>
      <w:r w:rsidRPr="00C042BD">
        <w:rPr>
          <w:rFonts w:ascii="Times New Roman" w:hAnsi="Times New Roman"/>
          <w:szCs w:val="28"/>
          <w:lang w:val="en-GB"/>
        </w:rPr>
        <w:t>III.</w:t>
      </w:r>
      <w:r w:rsidR="00D635F2" w:rsidRPr="00C042BD">
        <w:rPr>
          <w:rFonts w:ascii="Times New Roman" w:hAnsi="Times New Roman"/>
          <w:szCs w:val="28"/>
          <w:lang w:val="en-GB"/>
        </w:rPr>
        <w:tab/>
      </w:r>
      <w:r w:rsidRPr="00C042BD">
        <w:rPr>
          <w:rFonts w:ascii="Times New Roman" w:hAnsi="Times New Roman"/>
          <w:szCs w:val="28"/>
          <w:lang w:val="en-GB"/>
        </w:rPr>
        <w:t xml:space="preserve">Programme and </w:t>
      </w:r>
      <w:r w:rsidR="00D635F2" w:rsidRPr="00C042BD">
        <w:rPr>
          <w:rFonts w:ascii="Times New Roman" w:hAnsi="Times New Roman"/>
          <w:szCs w:val="28"/>
          <w:lang w:val="en-GB"/>
        </w:rPr>
        <w:t>r</w:t>
      </w:r>
      <w:r w:rsidRPr="00C042BD">
        <w:rPr>
          <w:rFonts w:ascii="Times New Roman" w:hAnsi="Times New Roman"/>
          <w:szCs w:val="28"/>
          <w:lang w:val="en-GB"/>
        </w:rPr>
        <w:t>isk</w:t>
      </w:r>
      <w:r w:rsidR="00C525B9" w:rsidRPr="00C042BD">
        <w:rPr>
          <w:rFonts w:ascii="Times New Roman" w:hAnsi="Times New Roman"/>
          <w:szCs w:val="28"/>
          <w:lang w:val="en-GB"/>
        </w:rPr>
        <w:t xml:space="preserve"> </w:t>
      </w:r>
      <w:r w:rsidR="00D635F2" w:rsidRPr="00C042BD">
        <w:rPr>
          <w:rFonts w:ascii="Times New Roman" w:hAnsi="Times New Roman"/>
          <w:szCs w:val="28"/>
          <w:lang w:val="en-GB"/>
        </w:rPr>
        <w:t>m</w:t>
      </w:r>
      <w:r w:rsidR="001C6C08" w:rsidRPr="00C042BD">
        <w:rPr>
          <w:rFonts w:ascii="Times New Roman" w:hAnsi="Times New Roman"/>
          <w:szCs w:val="28"/>
          <w:lang w:val="en-GB"/>
        </w:rPr>
        <w:t>anagement</w:t>
      </w:r>
    </w:p>
    <w:p w14:paraId="4FF7E64E" w14:textId="508ACCF5" w:rsidR="00D7027D" w:rsidRPr="00394BB8" w:rsidRDefault="00F10C7C" w:rsidP="00234027">
      <w:pPr>
        <w:pStyle w:val="ListParagraph"/>
        <w:numPr>
          <w:ilvl w:val="2"/>
          <w:numId w:val="6"/>
        </w:numPr>
        <w:shd w:val="clear" w:color="auto" w:fill="FFFFFF" w:themeFill="background1"/>
        <w:tabs>
          <w:tab w:val="num" w:pos="1080"/>
          <w:tab w:val="left" w:pos="1530"/>
        </w:tabs>
        <w:autoSpaceDE w:val="0"/>
        <w:autoSpaceDN w:val="0"/>
        <w:adjustRightInd w:val="0"/>
        <w:spacing w:after="120"/>
        <w:ind w:left="720" w:firstLine="0"/>
        <w:jc w:val="both"/>
        <w:rPr>
          <w:lang w:val="en-GB"/>
        </w:rPr>
      </w:pPr>
      <w:r w:rsidRPr="00234027">
        <w:rPr>
          <w:lang w:val="en-GB"/>
        </w:rPr>
        <w:t xml:space="preserve">The </w:t>
      </w:r>
      <w:r w:rsidR="005B17DD" w:rsidRPr="00234027">
        <w:rPr>
          <w:lang w:val="en-GB"/>
        </w:rPr>
        <w:t xml:space="preserve">country programme </w:t>
      </w:r>
      <w:r w:rsidRPr="00234027">
        <w:rPr>
          <w:lang w:val="en-GB"/>
        </w:rPr>
        <w:t xml:space="preserve">will be nationally executed, with national and subnational authorities as implementing partners. Direct implementation will </w:t>
      </w:r>
      <w:r w:rsidR="008E0628" w:rsidRPr="00234027">
        <w:rPr>
          <w:lang w:val="en-GB"/>
        </w:rPr>
        <w:t xml:space="preserve">apply </w:t>
      </w:r>
      <w:r w:rsidRPr="00234027">
        <w:rPr>
          <w:lang w:val="en-GB"/>
        </w:rPr>
        <w:t>in exceptional situations</w:t>
      </w:r>
      <w:r w:rsidR="005B17DD" w:rsidRPr="00234027">
        <w:rPr>
          <w:lang w:val="en-GB"/>
        </w:rPr>
        <w:t>,</w:t>
      </w:r>
      <w:r w:rsidRPr="00234027">
        <w:rPr>
          <w:lang w:val="en-GB"/>
        </w:rPr>
        <w:t xml:space="preserve"> </w:t>
      </w:r>
      <w:r w:rsidR="008E0628" w:rsidRPr="00234027">
        <w:rPr>
          <w:lang w:val="en-GB"/>
        </w:rPr>
        <w:t>with</w:t>
      </w:r>
      <w:r w:rsidRPr="00234027">
        <w:rPr>
          <w:lang w:val="en-GB"/>
        </w:rPr>
        <w:t xml:space="preserve"> Regional Bureau</w:t>
      </w:r>
      <w:r w:rsidR="008E0628" w:rsidRPr="00234027">
        <w:rPr>
          <w:lang w:val="en-GB"/>
        </w:rPr>
        <w:t xml:space="preserve"> approval</w:t>
      </w:r>
      <w:r w:rsidRPr="00234027">
        <w:rPr>
          <w:lang w:val="en-GB"/>
        </w:rPr>
        <w:t>. UNDP will provide im</w:t>
      </w:r>
      <w:r w:rsidR="00A55B08" w:rsidRPr="00234027">
        <w:rPr>
          <w:lang w:val="en-GB"/>
        </w:rPr>
        <w:t>plementation support services</w:t>
      </w:r>
      <w:r w:rsidRPr="00234027">
        <w:rPr>
          <w:lang w:val="en-GB"/>
        </w:rPr>
        <w:t xml:space="preserve"> </w:t>
      </w:r>
      <w:r w:rsidR="00A55B08" w:rsidRPr="00234027">
        <w:rPr>
          <w:lang w:val="en-GB"/>
        </w:rPr>
        <w:t>at</w:t>
      </w:r>
      <w:r w:rsidR="008E0628" w:rsidRPr="00234027">
        <w:rPr>
          <w:lang w:val="en-GB"/>
        </w:rPr>
        <w:t xml:space="preserve"> </w:t>
      </w:r>
      <w:r w:rsidR="005B17DD" w:rsidRPr="00234027">
        <w:rPr>
          <w:lang w:val="en-GB"/>
        </w:rPr>
        <w:t>g</w:t>
      </w:r>
      <w:r w:rsidR="008E0628" w:rsidRPr="00234027">
        <w:rPr>
          <w:lang w:val="en-GB"/>
        </w:rPr>
        <w:t>overnment request.</w:t>
      </w:r>
      <w:r w:rsidRPr="00234027">
        <w:rPr>
          <w:lang w:val="en-GB"/>
        </w:rPr>
        <w:t xml:space="preserve"> </w:t>
      </w:r>
      <w:r w:rsidR="00490212" w:rsidRPr="00234027">
        <w:rPr>
          <w:lang w:val="en-GB"/>
        </w:rPr>
        <w:t>J</w:t>
      </w:r>
      <w:r w:rsidRPr="00234027">
        <w:rPr>
          <w:lang w:val="en-GB"/>
        </w:rPr>
        <w:t>oi</w:t>
      </w:r>
      <w:r w:rsidR="00A55B08" w:rsidRPr="00234027">
        <w:rPr>
          <w:lang w:val="en-GB"/>
        </w:rPr>
        <w:t xml:space="preserve">nt formulation, implementation </w:t>
      </w:r>
      <w:r w:rsidRPr="00234027">
        <w:rPr>
          <w:lang w:val="en-GB"/>
        </w:rPr>
        <w:t xml:space="preserve">and cost-sharing of </w:t>
      </w:r>
      <w:r w:rsidR="008E0628" w:rsidRPr="00234027">
        <w:rPr>
          <w:lang w:val="en-GB"/>
        </w:rPr>
        <w:t xml:space="preserve">projects remain </w:t>
      </w:r>
      <w:r w:rsidR="00074182" w:rsidRPr="00234027">
        <w:rPr>
          <w:lang w:val="en-GB"/>
        </w:rPr>
        <w:t xml:space="preserve">central </w:t>
      </w:r>
      <w:r w:rsidR="00490212" w:rsidRPr="00234027">
        <w:rPr>
          <w:lang w:val="en-GB"/>
        </w:rPr>
        <w:t>principles.</w:t>
      </w:r>
      <w:r w:rsidR="00D7027D" w:rsidRPr="00234027">
        <w:rPr>
          <w:lang w:val="en-GB"/>
        </w:rPr>
        <w:t xml:space="preserve"> </w:t>
      </w:r>
    </w:p>
    <w:p w14:paraId="2EB7AA90" w14:textId="1E9B3B47" w:rsidR="00D7027D" w:rsidRPr="00394BB8" w:rsidRDefault="00B37DAF" w:rsidP="00234027">
      <w:pPr>
        <w:pStyle w:val="ListParagraph"/>
        <w:numPr>
          <w:ilvl w:val="2"/>
          <w:numId w:val="6"/>
        </w:numPr>
        <w:shd w:val="clear" w:color="auto" w:fill="FFFFFF" w:themeFill="background1"/>
        <w:tabs>
          <w:tab w:val="num" w:pos="1080"/>
          <w:tab w:val="left" w:pos="1530"/>
        </w:tabs>
        <w:autoSpaceDE w:val="0"/>
        <w:autoSpaceDN w:val="0"/>
        <w:adjustRightInd w:val="0"/>
        <w:spacing w:after="120"/>
        <w:ind w:left="720" w:firstLine="0"/>
        <w:jc w:val="both"/>
        <w:rPr>
          <w:lang w:val="en-GB"/>
        </w:rPr>
      </w:pPr>
      <w:r w:rsidRPr="00394BB8">
        <w:rPr>
          <w:lang w:val="en-GB"/>
        </w:rPr>
        <w:t xml:space="preserve">Project </w:t>
      </w:r>
      <w:r w:rsidR="005B17DD">
        <w:rPr>
          <w:lang w:val="en-GB"/>
        </w:rPr>
        <w:t>b</w:t>
      </w:r>
      <w:r w:rsidR="00F10C7C" w:rsidRPr="00394BB8">
        <w:rPr>
          <w:lang w:val="en-GB"/>
        </w:rPr>
        <w:t xml:space="preserve">oards will be established </w:t>
      </w:r>
      <w:r w:rsidR="00A55B08" w:rsidRPr="00394BB8">
        <w:rPr>
          <w:lang w:val="en-GB"/>
        </w:rPr>
        <w:t>with</w:t>
      </w:r>
      <w:r w:rsidR="00F10C7C" w:rsidRPr="00394BB8">
        <w:rPr>
          <w:lang w:val="en-GB"/>
        </w:rPr>
        <w:t xml:space="preserve"> </w:t>
      </w:r>
      <w:r w:rsidR="00A55B08" w:rsidRPr="00394BB8">
        <w:rPr>
          <w:lang w:val="en-GB"/>
        </w:rPr>
        <w:t>key</w:t>
      </w:r>
      <w:r w:rsidR="00F10C7C" w:rsidRPr="00394BB8">
        <w:rPr>
          <w:lang w:val="en-GB"/>
        </w:rPr>
        <w:t xml:space="preserve"> stakeholders. UNDP will </w:t>
      </w:r>
      <w:r w:rsidR="00A55B08" w:rsidRPr="00394BB8">
        <w:rPr>
          <w:lang w:val="en-GB"/>
        </w:rPr>
        <w:t>incorporate</w:t>
      </w:r>
      <w:r w:rsidR="00F10C7C" w:rsidRPr="00394BB8">
        <w:rPr>
          <w:lang w:val="en-GB"/>
        </w:rPr>
        <w:t xml:space="preserve"> social and environmental </w:t>
      </w:r>
      <w:r w:rsidR="00732CA1" w:rsidRPr="00394BB8">
        <w:rPr>
          <w:lang w:val="en-GB"/>
        </w:rPr>
        <w:t>risk</w:t>
      </w:r>
      <w:r w:rsidR="00F10C7C" w:rsidRPr="00394BB8">
        <w:rPr>
          <w:lang w:val="en-GB"/>
        </w:rPr>
        <w:t xml:space="preserve"> issues </w:t>
      </w:r>
      <w:r w:rsidR="008E0628" w:rsidRPr="00394BB8">
        <w:rPr>
          <w:lang w:val="en-GB"/>
        </w:rPr>
        <w:t>within</w:t>
      </w:r>
      <w:r w:rsidR="002B6640" w:rsidRPr="00394BB8">
        <w:rPr>
          <w:lang w:val="en-GB"/>
        </w:rPr>
        <w:t xml:space="preserve"> innovative programme design, data collect</w:t>
      </w:r>
      <w:r w:rsidR="00C73B05" w:rsidRPr="00394BB8">
        <w:rPr>
          <w:lang w:val="en-GB"/>
        </w:rPr>
        <w:t xml:space="preserve">ion and monitoring systems that allow </w:t>
      </w:r>
      <w:r w:rsidR="002B6640" w:rsidRPr="00394BB8">
        <w:rPr>
          <w:lang w:val="en-GB"/>
        </w:rPr>
        <w:t>user-centred</w:t>
      </w:r>
      <w:r w:rsidR="00C73B05" w:rsidRPr="00394BB8">
        <w:rPr>
          <w:lang w:val="en-GB"/>
        </w:rPr>
        <w:t xml:space="preserve"> development of solutions and </w:t>
      </w:r>
      <w:r w:rsidR="00490212" w:rsidRPr="00394BB8">
        <w:rPr>
          <w:lang w:val="en-GB"/>
        </w:rPr>
        <w:t xml:space="preserve">the </w:t>
      </w:r>
      <w:r w:rsidR="00C73B05" w:rsidRPr="00394BB8">
        <w:rPr>
          <w:lang w:val="en-GB"/>
        </w:rPr>
        <w:t xml:space="preserve">direct </w:t>
      </w:r>
      <w:r w:rsidR="002B6640" w:rsidRPr="00394BB8">
        <w:rPr>
          <w:lang w:val="en-GB"/>
        </w:rPr>
        <w:t xml:space="preserve">participation of </w:t>
      </w:r>
      <w:r w:rsidR="00A55B08" w:rsidRPr="00394BB8">
        <w:rPr>
          <w:lang w:val="en-GB"/>
        </w:rPr>
        <w:t xml:space="preserve">citizen </w:t>
      </w:r>
      <w:r w:rsidR="002B6640" w:rsidRPr="00394BB8">
        <w:rPr>
          <w:lang w:val="en-GB"/>
        </w:rPr>
        <w:t>target groups</w:t>
      </w:r>
      <w:r w:rsidR="00F10C7C" w:rsidRPr="00394BB8">
        <w:rPr>
          <w:lang w:val="en-GB"/>
        </w:rPr>
        <w:t xml:space="preserve">. </w:t>
      </w:r>
    </w:p>
    <w:p w14:paraId="5BDDC276" w14:textId="31BE9DB2" w:rsidR="00D7027D" w:rsidRPr="00394BB8" w:rsidRDefault="00F10C7C" w:rsidP="00234027">
      <w:pPr>
        <w:pStyle w:val="ListParagraph"/>
        <w:numPr>
          <w:ilvl w:val="2"/>
          <w:numId w:val="6"/>
        </w:numPr>
        <w:shd w:val="clear" w:color="auto" w:fill="FFFFFF" w:themeFill="background1"/>
        <w:tabs>
          <w:tab w:val="num" w:pos="1080"/>
          <w:tab w:val="left" w:pos="1530"/>
        </w:tabs>
        <w:autoSpaceDE w:val="0"/>
        <w:autoSpaceDN w:val="0"/>
        <w:adjustRightInd w:val="0"/>
        <w:spacing w:after="120"/>
        <w:ind w:left="720" w:firstLine="0"/>
        <w:jc w:val="both"/>
        <w:rPr>
          <w:lang w:val="en-GB"/>
        </w:rPr>
      </w:pPr>
      <w:r w:rsidRPr="00394BB8">
        <w:rPr>
          <w:lang w:val="en-GB"/>
        </w:rPr>
        <w:t>A partnership and resource mobilization strategy</w:t>
      </w:r>
      <w:r w:rsidR="0036390D" w:rsidRPr="00394BB8">
        <w:rPr>
          <w:lang w:val="en-GB"/>
        </w:rPr>
        <w:t xml:space="preserve"> targeting a more diversified partner base</w:t>
      </w:r>
      <w:r w:rsidRPr="00394BB8">
        <w:rPr>
          <w:lang w:val="en-GB"/>
        </w:rPr>
        <w:t xml:space="preserve"> will </w:t>
      </w:r>
      <w:r w:rsidR="008E0628" w:rsidRPr="00394BB8">
        <w:rPr>
          <w:lang w:val="en-GB"/>
        </w:rPr>
        <w:t>help</w:t>
      </w:r>
      <w:r w:rsidRPr="00394BB8">
        <w:rPr>
          <w:lang w:val="en-GB"/>
        </w:rPr>
        <w:t xml:space="preserve"> meet </w:t>
      </w:r>
      <w:r w:rsidR="005B17DD">
        <w:rPr>
          <w:lang w:val="en-GB"/>
        </w:rPr>
        <w:t>programme</w:t>
      </w:r>
      <w:r w:rsidR="005B17DD" w:rsidRPr="00394BB8">
        <w:rPr>
          <w:lang w:val="en-GB"/>
        </w:rPr>
        <w:t xml:space="preserve"> </w:t>
      </w:r>
      <w:r w:rsidRPr="00394BB8">
        <w:rPr>
          <w:lang w:val="en-GB"/>
        </w:rPr>
        <w:t xml:space="preserve">resource </w:t>
      </w:r>
      <w:r w:rsidR="00344F33" w:rsidRPr="00394BB8">
        <w:rPr>
          <w:lang w:val="en-GB"/>
        </w:rPr>
        <w:t xml:space="preserve">needs </w:t>
      </w:r>
      <w:r w:rsidRPr="00394BB8">
        <w:rPr>
          <w:lang w:val="en-GB"/>
        </w:rPr>
        <w:t xml:space="preserve">and </w:t>
      </w:r>
      <w:r w:rsidR="00953C9D" w:rsidRPr="00394BB8">
        <w:rPr>
          <w:lang w:val="en-GB"/>
        </w:rPr>
        <w:t>minimize the</w:t>
      </w:r>
      <w:r w:rsidRPr="00394BB8">
        <w:rPr>
          <w:lang w:val="en-GB"/>
        </w:rPr>
        <w:t xml:space="preserve"> risk of </w:t>
      </w:r>
      <w:r w:rsidR="00953C9D" w:rsidRPr="00394BB8">
        <w:rPr>
          <w:lang w:val="en-GB"/>
        </w:rPr>
        <w:t xml:space="preserve">declining </w:t>
      </w:r>
      <w:r w:rsidR="00C42125" w:rsidRPr="00394BB8">
        <w:rPr>
          <w:lang w:val="en-GB"/>
        </w:rPr>
        <w:t xml:space="preserve">traditional sources of </w:t>
      </w:r>
      <w:r w:rsidR="00953C9D" w:rsidRPr="00394BB8">
        <w:rPr>
          <w:lang w:val="en-GB"/>
        </w:rPr>
        <w:t xml:space="preserve">funding </w:t>
      </w:r>
      <w:r w:rsidR="005B17DD">
        <w:rPr>
          <w:lang w:val="en-GB"/>
        </w:rPr>
        <w:t>in view of the middle-income status of Georgia</w:t>
      </w:r>
      <w:r w:rsidRPr="00394BB8">
        <w:rPr>
          <w:lang w:val="en-GB"/>
        </w:rPr>
        <w:t xml:space="preserve">. </w:t>
      </w:r>
      <w:r w:rsidR="00FB0A30" w:rsidRPr="00394BB8">
        <w:rPr>
          <w:lang w:val="en-GB"/>
        </w:rPr>
        <w:t xml:space="preserve">UNDP </w:t>
      </w:r>
      <w:r w:rsidR="005B17DD">
        <w:rPr>
          <w:lang w:val="en-GB"/>
        </w:rPr>
        <w:t>will explore</w:t>
      </w:r>
      <w:r w:rsidR="00FB0A30" w:rsidRPr="00394BB8">
        <w:rPr>
          <w:lang w:val="en-GB"/>
        </w:rPr>
        <w:t xml:space="preserve"> partnerships with </w:t>
      </w:r>
      <w:r w:rsidR="00C7321C" w:rsidRPr="00394BB8">
        <w:rPr>
          <w:lang w:val="en-GB"/>
        </w:rPr>
        <w:t xml:space="preserve">emerging </w:t>
      </w:r>
      <w:r w:rsidR="00FB0A30" w:rsidRPr="00394BB8">
        <w:rPr>
          <w:lang w:val="en-GB"/>
        </w:rPr>
        <w:t>donors</w:t>
      </w:r>
      <w:r w:rsidR="00C82A20" w:rsidRPr="00394BB8">
        <w:rPr>
          <w:lang w:val="en-GB"/>
        </w:rPr>
        <w:t xml:space="preserve"> interested in supporting Georgia</w:t>
      </w:r>
      <w:r w:rsidR="00074182">
        <w:rPr>
          <w:lang w:val="en-GB"/>
        </w:rPr>
        <w:t>,</w:t>
      </w:r>
      <w:r w:rsidR="005B17DD">
        <w:rPr>
          <w:lang w:val="en-GB"/>
        </w:rPr>
        <w:t xml:space="preserve"> and </w:t>
      </w:r>
      <w:r w:rsidR="00074182">
        <w:rPr>
          <w:lang w:val="en-GB"/>
        </w:rPr>
        <w:t xml:space="preserve">will </w:t>
      </w:r>
      <w:r w:rsidR="005B17DD">
        <w:rPr>
          <w:lang w:val="en-GB"/>
        </w:rPr>
        <w:t>work</w:t>
      </w:r>
      <w:r w:rsidRPr="00394BB8">
        <w:rPr>
          <w:lang w:val="en-GB"/>
        </w:rPr>
        <w:t xml:space="preserve"> to </w:t>
      </w:r>
      <w:r w:rsidR="00C73B05" w:rsidRPr="00394BB8">
        <w:rPr>
          <w:lang w:val="en-GB"/>
        </w:rPr>
        <w:t xml:space="preserve">increase </w:t>
      </w:r>
      <w:r w:rsidRPr="00394BB8">
        <w:rPr>
          <w:lang w:val="en-GB"/>
        </w:rPr>
        <w:t>government cost</w:t>
      </w:r>
      <w:r w:rsidR="005B17DD">
        <w:rPr>
          <w:lang w:val="en-GB"/>
        </w:rPr>
        <w:t>-</w:t>
      </w:r>
      <w:r w:rsidRPr="00394BB8">
        <w:rPr>
          <w:lang w:val="en-GB"/>
        </w:rPr>
        <w:t xml:space="preserve">sharing. </w:t>
      </w:r>
    </w:p>
    <w:p w14:paraId="3C3A9BC6" w14:textId="43004D61" w:rsidR="00D7027D" w:rsidRPr="00394BB8" w:rsidRDefault="00964721" w:rsidP="005B17DD">
      <w:pPr>
        <w:pStyle w:val="ListParagraph"/>
        <w:numPr>
          <w:ilvl w:val="2"/>
          <w:numId w:val="6"/>
        </w:numPr>
        <w:tabs>
          <w:tab w:val="num" w:pos="1080"/>
        </w:tabs>
        <w:spacing w:after="120"/>
        <w:ind w:left="720" w:firstLine="0"/>
        <w:jc w:val="both"/>
        <w:rPr>
          <w:lang w:val="en-GB"/>
        </w:rPr>
      </w:pPr>
      <w:r w:rsidRPr="00394BB8">
        <w:rPr>
          <w:lang w:val="en-GB"/>
        </w:rPr>
        <w:t xml:space="preserve">UNDP will </w:t>
      </w:r>
      <w:r w:rsidR="00035DE5" w:rsidRPr="00394BB8">
        <w:rPr>
          <w:lang w:val="en-GB"/>
        </w:rPr>
        <w:t>monitor the</w:t>
      </w:r>
      <w:r w:rsidRPr="00394BB8">
        <w:rPr>
          <w:lang w:val="en-GB"/>
        </w:rPr>
        <w:t xml:space="preserve"> </w:t>
      </w:r>
      <w:r w:rsidR="00EF4AB9" w:rsidRPr="00394BB8">
        <w:rPr>
          <w:lang w:val="en-GB"/>
        </w:rPr>
        <w:t>potential for</w:t>
      </w:r>
      <w:r w:rsidRPr="00394BB8">
        <w:rPr>
          <w:lang w:val="en-GB"/>
        </w:rPr>
        <w:t xml:space="preserve"> political, security and </w:t>
      </w:r>
      <w:r w:rsidR="003E2C01" w:rsidRPr="00394BB8">
        <w:rPr>
          <w:lang w:val="en-GB"/>
        </w:rPr>
        <w:t xml:space="preserve">economic </w:t>
      </w:r>
      <w:r w:rsidRPr="00394BB8">
        <w:rPr>
          <w:lang w:val="en-GB"/>
        </w:rPr>
        <w:t xml:space="preserve">risks, and will </w:t>
      </w:r>
      <w:r w:rsidR="002656F2" w:rsidRPr="00394BB8">
        <w:rPr>
          <w:lang w:val="en-GB"/>
        </w:rPr>
        <w:t>maintain</w:t>
      </w:r>
      <w:r w:rsidR="00EF4AB9" w:rsidRPr="00394BB8">
        <w:rPr>
          <w:lang w:val="en-GB"/>
        </w:rPr>
        <w:t xml:space="preserve"> contingency </w:t>
      </w:r>
      <w:r w:rsidRPr="00394BB8">
        <w:rPr>
          <w:lang w:val="en-GB"/>
        </w:rPr>
        <w:t xml:space="preserve">and business continuity plans </w:t>
      </w:r>
      <w:r w:rsidR="00EF4AB9" w:rsidRPr="00394BB8">
        <w:rPr>
          <w:lang w:val="en-GB"/>
        </w:rPr>
        <w:t>to minimize disruption.</w:t>
      </w:r>
      <w:r w:rsidR="00D7027D" w:rsidRPr="00394BB8">
        <w:rPr>
          <w:lang w:val="en-GB"/>
        </w:rPr>
        <w:t xml:space="preserve"> </w:t>
      </w:r>
    </w:p>
    <w:p w14:paraId="68445F05" w14:textId="78E2E129" w:rsidR="007145D1" w:rsidRDefault="00CD0B08" w:rsidP="00D11AF4">
      <w:pPr>
        <w:pStyle w:val="ListParagraph"/>
        <w:numPr>
          <w:ilvl w:val="2"/>
          <w:numId w:val="6"/>
        </w:numPr>
        <w:tabs>
          <w:tab w:val="num" w:pos="1080"/>
        </w:tabs>
        <w:spacing w:after="200"/>
        <w:ind w:left="720" w:firstLine="0"/>
        <w:contextualSpacing/>
        <w:jc w:val="both"/>
        <w:rPr>
          <w:lang w:val="en-GB"/>
        </w:rPr>
      </w:pPr>
      <w:r w:rsidRPr="00394BB8">
        <w:rPr>
          <w:color w:val="000000"/>
          <w:lang w:val="en-GB"/>
        </w:rPr>
        <w:t xml:space="preserve">This </w:t>
      </w:r>
      <w:r w:rsidR="005B17DD">
        <w:rPr>
          <w:color w:val="000000"/>
          <w:lang w:val="en-GB"/>
        </w:rPr>
        <w:t>document</w:t>
      </w:r>
      <w:r w:rsidR="005B17DD" w:rsidRPr="00394BB8">
        <w:rPr>
          <w:color w:val="000000"/>
          <w:lang w:val="en-GB"/>
        </w:rPr>
        <w:t xml:space="preserve"> </w:t>
      </w:r>
      <w:r w:rsidRPr="00394BB8">
        <w:rPr>
          <w:color w:val="000000"/>
          <w:lang w:val="en-GB"/>
        </w:rPr>
        <w:t>outlines UNDP contributions to national results and serves as the primary unit of accountability to the Executive Board for results alignment and resources assigned to the programme at</w:t>
      </w:r>
      <w:r w:rsidR="00FB68D3" w:rsidRPr="00394BB8">
        <w:rPr>
          <w:color w:val="000000"/>
          <w:lang w:val="en-GB"/>
        </w:rPr>
        <w:t xml:space="preserve"> </w:t>
      </w:r>
      <w:r w:rsidR="005B17DD">
        <w:rPr>
          <w:color w:val="000000"/>
          <w:lang w:val="en-GB"/>
        </w:rPr>
        <w:t xml:space="preserve">the </w:t>
      </w:r>
      <w:r w:rsidR="00FB68D3" w:rsidRPr="00394BB8">
        <w:rPr>
          <w:color w:val="000000"/>
          <w:lang w:val="en-GB"/>
        </w:rPr>
        <w:t>country level. Accountabilit</w:t>
      </w:r>
      <w:r w:rsidR="005B17DD">
        <w:rPr>
          <w:color w:val="000000"/>
          <w:lang w:val="en-GB"/>
        </w:rPr>
        <w:t>ies</w:t>
      </w:r>
      <w:r w:rsidRPr="00394BB8">
        <w:rPr>
          <w:color w:val="000000"/>
          <w:lang w:val="en-GB"/>
        </w:rPr>
        <w:t xml:space="preserve"> </w:t>
      </w:r>
      <w:r w:rsidRPr="00394BB8">
        <w:rPr>
          <w:lang w:val="en-GB"/>
        </w:rPr>
        <w:t>of managers at the country, regional and headquarter</w:t>
      </w:r>
      <w:r w:rsidR="005B17DD">
        <w:rPr>
          <w:lang w:val="en-GB"/>
        </w:rPr>
        <w:t>s</w:t>
      </w:r>
      <w:r w:rsidRPr="00394BB8">
        <w:rPr>
          <w:lang w:val="en-GB"/>
        </w:rPr>
        <w:t xml:space="preserve"> levels with respect to country programmes is prescribed in the </w:t>
      </w:r>
      <w:hyperlink r:id="rId12" w:history="1">
        <w:r w:rsidRPr="00394BB8">
          <w:rPr>
            <w:rStyle w:val="Hyperlink"/>
            <w:color w:val="auto"/>
            <w:lang w:val="en-GB"/>
          </w:rPr>
          <w:t>programme and operations policies and procedures</w:t>
        </w:r>
      </w:hyperlink>
      <w:r w:rsidRPr="00394BB8">
        <w:rPr>
          <w:lang w:val="en-GB"/>
        </w:rPr>
        <w:t xml:space="preserve"> and the </w:t>
      </w:r>
      <w:hyperlink r:id="rId13" w:history="1">
        <w:r w:rsidRPr="00394BB8">
          <w:rPr>
            <w:rStyle w:val="Hyperlink"/>
            <w:color w:val="auto"/>
            <w:lang w:val="en-GB"/>
          </w:rPr>
          <w:t>internal controls framework</w:t>
        </w:r>
      </w:hyperlink>
      <w:r w:rsidRPr="00394BB8">
        <w:rPr>
          <w:lang w:val="en-GB"/>
        </w:rPr>
        <w:t>.</w:t>
      </w:r>
    </w:p>
    <w:p w14:paraId="60B975CF" w14:textId="77777777" w:rsidR="001C4C1A" w:rsidRPr="00394BB8" w:rsidRDefault="001C4C1A" w:rsidP="001C4C1A">
      <w:pPr>
        <w:pStyle w:val="ListParagraph"/>
        <w:spacing w:after="200"/>
        <w:contextualSpacing/>
        <w:jc w:val="both"/>
        <w:rPr>
          <w:lang w:val="en-GB"/>
        </w:rPr>
      </w:pPr>
    </w:p>
    <w:p w14:paraId="315E1400" w14:textId="32E4EC4A" w:rsidR="00701B6B" w:rsidRPr="005B17DD" w:rsidRDefault="001B3F87" w:rsidP="005B17DD">
      <w:pPr>
        <w:pStyle w:val="Heading1"/>
        <w:tabs>
          <w:tab w:val="left" w:pos="720"/>
          <w:tab w:val="left" w:pos="1800"/>
        </w:tabs>
        <w:ind w:left="720" w:hanging="540"/>
        <w:jc w:val="both"/>
        <w:rPr>
          <w:rFonts w:ascii="Times New Roman" w:hAnsi="Times New Roman"/>
          <w:szCs w:val="28"/>
          <w:lang w:val="en-GB"/>
        </w:rPr>
      </w:pPr>
      <w:r w:rsidRPr="005B17DD">
        <w:rPr>
          <w:rFonts w:ascii="Times New Roman" w:hAnsi="Times New Roman"/>
          <w:szCs w:val="28"/>
          <w:lang w:val="en-GB"/>
        </w:rPr>
        <w:lastRenderedPageBreak/>
        <w:t>IV</w:t>
      </w:r>
      <w:r w:rsidR="001D42D1" w:rsidRPr="005B17DD">
        <w:rPr>
          <w:rFonts w:ascii="Times New Roman" w:hAnsi="Times New Roman"/>
          <w:szCs w:val="28"/>
          <w:lang w:val="en-GB"/>
        </w:rPr>
        <w:t>.</w:t>
      </w:r>
      <w:r w:rsidR="005B17DD">
        <w:rPr>
          <w:rFonts w:ascii="Times New Roman" w:hAnsi="Times New Roman"/>
          <w:szCs w:val="28"/>
          <w:lang w:val="en-GB"/>
        </w:rPr>
        <w:tab/>
      </w:r>
      <w:r w:rsidR="001D42D1" w:rsidRPr="005B17DD">
        <w:rPr>
          <w:rFonts w:ascii="Times New Roman" w:hAnsi="Times New Roman"/>
          <w:szCs w:val="28"/>
          <w:lang w:val="en-GB"/>
        </w:rPr>
        <w:t xml:space="preserve">Monitoring and </w:t>
      </w:r>
      <w:r w:rsidR="00D635F2" w:rsidRPr="005B17DD">
        <w:rPr>
          <w:rFonts w:ascii="Times New Roman" w:hAnsi="Times New Roman"/>
          <w:szCs w:val="28"/>
          <w:lang w:val="en-GB"/>
        </w:rPr>
        <w:t>e</w:t>
      </w:r>
      <w:r w:rsidRPr="005B17DD">
        <w:rPr>
          <w:rFonts w:ascii="Times New Roman" w:hAnsi="Times New Roman"/>
          <w:szCs w:val="28"/>
          <w:lang w:val="en-GB"/>
        </w:rPr>
        <w:t>valuation</w:t>
      </w:r>
    </w:p>
    <w:p w14:paraId="01320C89" w14:textId="77777777" w:rsidR="00EF420A" w:rsidRPr="00394BB8" w:rsidRDefault="00EF420A" w:rsidP="00D11AF4">
      <w:pPr>
        <w:ind w:left="1440"/>
        <w:jc w:val="both"/>
        <w:rPr>
          <w:sz w:val="12"/>
          <w:szCs w:val="12"/>
          <w:lang w:val="en-GB"/>
        </w:rPr>
      </w:pPr>
    </w:p>
    <w:p w14:paraId="33BD8C1D" w14:textId="07312396" w:rsidR="00D7027D" w:rsidRPr="00394BB8" w:rsidRDefault="00A06367" w:rsidP="00D635F2">
      <w:pPr>
        <w:pStyle w:val="ListParagraph"/>
        <w:numPr>
          <w:ilvl w:val="2"/>
          <w:numId w:val="6"/>
        </w:numPr>
        <w:tabs>
          <w:tab w:val="num" w:pos="1080"/>
        </w:tabs>
        <w:spacing w:after="120"/>
        <w:ind w:left="720" w:firstLine="0"/>
        <w:jc w:val="both"/>
        <w:rPr>
          <w:lang w:val="en-GB"/>
        </w:rPr>
      </w:pPr>
      <w:r w:rsidRPr="00394BB8">
        <w:rPr>
          <w:lang w:val="en-GB"/>
        </w:rPr>
        <w:t>The</w:t>
      </w:r>
      <w:r w:rsidR="00FE54D4" w:rsidRPr="00394BB8">
        <w:rPr>
          <w:lang w:val="en-GB"/>
        </w:rPr>
        <w:t xml:space="preserve"> </w:t>
      </w:r>
      <w:r w:rsidR="005B17DD">
        <w:rPr>
          <w:lang w:val="en-GB"/>
        </w:rPr>
        <w:t>r</w:t>
      </w:r>
      <w:r w:rsidR="00FE54D4" w:rsidRPr="00394BB8">
        <w:rPr>
          <w:lang w:val="en-GB"/>
        </w:rPr>
        <w:t xml:space="preserve">esults and </w:t>
      </w:r>
      <w:r w:rsidR="005B17DD">
        <w:rPr>
          <w:lang w:val="en-GB"/>
        </w:rPr>
        <w:t>r</w:t>
      </w:r>
      <w:r w:rsidR="00FE54D4" w:rsidRPr="00394BB8">
        <w:rPr>
          <w:lang w:val="en-GB"/>
        </w:rPr>
        <w:t xml:space="preserve">esources </w:t>
      </w:r>
      <w:r w:rsidR="005B17DD">
        <w:rPr>
          <w:lang w:val="en-GB"/>
        </w:rPr>
        <w:t>f</w:t>
      </w:r>
      <w:r w:rsidR="00FE54D4" w:rsidRPr="00394BB8">
        <w:rPr>
          <w:lang w:val="en-GB"/>
        </w:rPr>
        <w:t xml:space="preserve">ramework identifies </w:t>
      </w:r>
      <w:r w:rsidRPr="00394BB8">
        <w:rPr>
          <w:lang w:val="en-GB"/>
        </w:rPr>
        <w:t>key</w:t>
      </w:r>
      <w:r w:rsidR="00FE54D4" w:rsidRPr="00394BB8">
        <w:rPr>
          <w:lang w:val="en-GB"/>
        </w:rPr>
        <w:t xml:space="preserve"> indicators </w:t>
      </w:r>
      <w:r w:rsidR="00074182">
        <w:rPr>
          <w:lang w:val="en-GB"/>
        </w:rPr>
        <w:t>for</w:t>
      </w:r>
      <w:r w:rsidR="00FE2356" w:rsidRPr="00394BB8">
        <w:rPr>
          <w:lang w:val="en-GB"/>
        </w:rPr>
        <w:t xml:space="preserve"> </w:t>
      </w:r>
      <w:r w:rsidR="00FE54D4" w:rsidRPr="00394BB8">
        <w:rPr>
          <w:lang w:val="en-GB"/>
        </w:rPr>
        <w:t>monitor</w:t>
      </w:r>
      <w:r w:rsidR="00074182">
        <w:rPr>
          <w:lang w:val="en-GB"/>
        </w:rPr>
        <w:t>ing</w:t>
      </w:r>
      <w:r w:rsidR="00FE54D4" w:rsidRPr="00394BB8">
        <w:rPr>
          <w:lang w:val="en-GB"/>
        </w:rPr>
        <w:t xml:space="preserve"> progress </w:t>
      </w:r>
      <w:r w:rsidR="00FE2356" w:rsidRPr="00394BB8">
        <w:rPr>
          <w:lang w:val="en-GB"/>
        </w:rPr>
        <w:t>towards</w:t>
      </w:r>
      <w:r w:rsidR="00FE54D4" w:rsidRPr="00394BB8">
        <w:rPr>
          <w:lang w:val="en-GB"/>
        </w:rPr>
        <w:t xml:space="preserve"> </w:t>
      </w:r>
      <w:r w:rsidR="005B17DD">
        <w:rPr>
          <w:lang w:val="en-GB"/>
        </w:rPr>
        <w:t>programme</w:t>
      </w:r>
      <w:r w:rsidR="005B17DD" w:rsidRPr="00394BB8">
        <w:rPr>
          <w:lang w:val="en-GB"/>
        </w:rPr>
        <w:t xml:space="preserve"> </w:t>
      </w:r>
      <w:r w:rsidR="00FE54D4" w:rsidRPr="00394BB8">
        <w:rPr>
          <w:lang w:val="en-GB"/>
        </w:rPr>
        <w:t xml:space="preserve">priorities. </w:t>
      </w:r>
      <w:r w:rsidR="00E45429" w:rsidRPr="00394BB8">
        <w:rPr>
          <w:lang w:val="en-GB"/>
        </w:rPr>
        <w:t>Resources for</w:t>
      </w:r>
      <w:r w:rsidR="00FE54D4" w:rsidRPr="00394BB8">
        <w:rPr>
          <w:lang w:val="en-GB"/>
        </w:rPr>
        <w:t xml:space="preserve"> </w:t>
      </w:r>
      <w:r w:rsidR="005B17DD">
        <w:rPr>
          <w:lang w:val="en-GB"/>
        </w:rPr>
        <w:t>monitoring and evaluation</w:t>
      </w:r>
      <w:r w:rsidR="00FE54D4" w:rsidRPr="00394BB8">
        <w:rPr>
          <w:lang w:val="en-GB"/>
        </w:rPr>
        <w:t xml:space="preserve"> activities will </w:t>
      </w:r>
      <w:r w:rsidR="005B17DD">
        <w:rPr>
          <w:lang w:val="en-GB"/>
        </w:rPr>
        <w:t>derive</w:t>
      </w:r>
      <w:r w:rsidR="00FE54D4" w:rsidRPr="00394BB8">
        <w:rPr>
          <w:lang w:val="en-GB"/>
        </w:rPr>
        <w:t xml:space="preserve"> </w:t>
      </w:r>
      <w:r w:rsidR="00687CEB" w:rsidRPr="00394BB8">
        <w:rPr>
          <w:lang w:val="en-GB"/>
        </w:rPr>
        <w:t xml:space="preserve">primarily </w:t>
      </w:r>
      <w:r w:rsidR="00FE54D4" w:rsidRPr="00394BB8">
        <w:rPr>
          <w:lang w:val="en-GB"/>
        </w:rPr>
        <w:t>from project bu</w:t>
      </w:r>
      <w:r w:rsidR="00687CEB" w:rsidRPr="00394BB8">
        <w:rPr>
          <w:lang w:val="en-GB"/>
        </w:rPr>
        <w:t>dgets and regular resources</w:t>
      </w:r>
      <w:r w:rsidR="00921153" w:rsidRPr="00394BB8">
        <w:rPr>
          <w:lang w:val="en-GB"/>
        </w:rPr>
        <w:t xml:space="preserve">. </w:t>
      </w:r>
      <w:r w:rsidR="00E45429" w:rsidRPr="00394BB8">
        <w:rPr>
          <w:lang w:val="en-GB"/>
        </w:rPr>
        <w:t>Results</w:t>
      </w:r>
      <w:r w:rsidR="00FE54D4" w:rsidRPr="00394BB8">
        <w:rPr>
          <w:lang w:val="en-GB"/>
        </w:rPr>
        <w:t xml:space="preserve"> of the </w:t>
      </w:r>
      <w:r w:rsidR="005B17DD">
        <w:rPr>
          <w:lang w:val="en-GB"/>
        </w:rPr>
        <w:t>g</w:t>
      </w:r>
      <w:r w:rsidR="00FE54D4" w:rsidRPr="00394BB8">
        <w:rPr>
          <w:lang w:val="en-GB"/>
        </w:rPr>
        <w:t>overnment</w:t>
      </w:r>
      <w:r w:rsidR="005B17DD">
        <w:rPr>
          <w:lang w:val="en-GB"/>
        </w:rPr>
        <w:t>-</w:t>
      </w:r>
      <w:r w:rsidR="00FE54D4" w:rsidRPr="00394BB8">
        <w:rPr>
          <w:lang w:val="en-GB"/>
        </w:rPr>
        <w:t xml:space="preserve"> and UNFPA</w:t>
      </w:r>
      <w:r w:rsidR="005B17DD">
        <w:rPr>
          <w:lang w:val="en-GB"/>
        </w:rPr>
        <w:t>-</w:t>
      </w:r>
      <w:r w:rsidR="00FE54D4" w:rsidRPr="00394BB8">
        <w:rPr>
          <w:lang w:val="en-GB"/>
        </w:rPr>
        <w:t xml:space="preserve">supported </w:t>
      </w:r>
      <w:r w:rsidR="00E45429" w:rsidRPr="00394BB8">
        <w:rPr>
          <w:lang w:val="en-GB"/>
        </w:rPr>
        <w:t xml:space="preserve">2015 </w:t>
      </w:r>
      <w:r w:rsidR="00FE54D4" w:rsidRPr="00394BB8">
        <w:rPr>
          <w:lang w:val="en-GB"/>
        </w:rPr>
        <w:t xml:space="preserve">census will </w:t>
      </w:r>
      <w:r w:rsidR="00921153" w:rsidRPr="00394BB8">
        <w:rPr>
          <w:lang w:val="en-GB"/>
        </w:rPr>
        <w:t>fill</w:t>
      </w:r>
      <w:r w:rsidR="00FE54D4" w:rsidRPr="00394BB8">
        <w:rPr>
          <w:lang w:val="en-GB"/>
        </w:rPr>
        <w:t xml:space="preserve"> </w:t>
      </w:r>
      <w:r w:rsidR="006A4BE4" w:rsidRPr="00394BB8">
        <w:rPr>
          <w:lang w:val="en-GB"/>
        </w:rPr>
        <w:t xml:space="preserve">data </w:t>
      </w:r>
      <w:r w:rsidR="00FE54D4" w:rsidRPr="00394BB8">
        <w:rPr>
          <w:lang w:val="en-GB"/>
        </w:rPr>
        <w:t xml:space="preserve">gaps </w:t>
      </w:r>
      <w:r w:rsidR="00921153" w:rsidRPr="00394BB8">
        <w:rPr>
          <w:lang w:val="en-GB"/>
        </w:rPr>
        <w:t>regarding</w:t>
      </w:r>
      <w:r w:rsidR="00FE54D4" w:rsidRPr="00394BB8">
        <w:rPr>
          <w:lang w:val="en-GB"/>
        </w:rPr>
        <w:t xml:space="preserve"> vulnerable populations. </w:t>
      </w:r>
      <w:r w:rsidR="00921153" w:rsidRPr="00394BB8">
        <w:rPr>
          <w:lang w:val="en-GB"/>
        </w:rPr>
        <w:t>Evidence</w:t>
      </w:r>
      <w:r w:rsidR="00DC1EC1" w:rsidRPr="00394BB8">
        <w:rPr>
          <w:lang w:val="en-GB"/>
        </w:rPr>
        <w:t xml:space="preserve"> from </w:t>
      </w:r>
      <w:r w:rsidR="006A4BE4" w:rsidRPr="00394BB8">
        <w:rPr>
          <w:lang w:val="en-GB"/>
        </w:rPr>
        <w:t>national sources</w:t>
      </w:r>
      <w:r w:rsidR="00921153" w:rsidRPr="00394BB8">
        <w:rPr>
          <w:lang w:val="en-GB"/>
        </w:rPr>
        <w:t>,</w:t>
      </w:r>
      <w:r w:rsidR="006A4BE4" w:rsidRPr="00394BB8">
        <w:rPr>
          <w:lang w:val="en-GB"/>
        </w:rPr>
        <w:t xml:space="preserve"> </w:t>
      </w:r>
      <w:r w:rsidR="00DC1EC1" w:rsidRPr="00394BB8">
        <w:rPr>
          <w:lang w:val="en-GB"/>
        </w:rPr>
        <w:t xml:space="preserve">such as </w:t>
      </w:r>
      <w:r w:rsidR="00FE54D4" w:rsidRPr="00394BB8">
        <w:rPr>
          <w:lang w:val="en-GB"/>
        </w:rPr>
        <w:t xml:space="preserve">quarterly </w:t>
      </w:r>
      <w:r w:rsidR="00C73B05" w:rsidRPr="00394BB8">
        <w:rPr>
          <w:lang w:val="en-GB"/>
        </w:rPr>
        <w:t>h</w:t>
      </w:r>
      <w:r w:rsidR="00FE54D4" w:rsidRPr="00394BB8">
        <w:rPr>
          <w:lang w:val="en-GB"/>
        </w:rPr>
        <w:t>ousehold surveys of the State Statistics Office,</w:t>
      </w:r>
      <w:r w:rsidR="00DC1EC1" w:rsidRPr="00394BB8">
        <w:rPr>
          <w:lang w:val="en-GB"/>
        </w:rPr>
        <w:t xml:space="preserve"> studies and</w:t>
      </w:r>
      <w:r w:rsidR="00FE54D4" w:rsidRPr="00394BB8">
        <w:rPr>
          <w:lang w:val="en-GB"/>
        </w:rPr>
        <w:t xml:space="preserve"> annual reports </w:t>
      </w:r>
      <w:r w:rsidR="00DC1EC1" w:rsidRPr="00394BB8">
        <w:rPr>
          <w:lang w:val="en-GB"/>
        </w:rPr>
        <w:t xml:space="preserve">of </w:t>
      </w:r>
      <w:r w:rsidR="006A4BE4" w:rsidRPr="00394BB8">
        <w:rPr>
          <w:lang w:val="en-GB"/>
        </w:rPr>
        <w:t xml:space="preserve">line </w:t>
      </w:r>
      <w:r w:rsidR="00921153" w:rsidRPr="00394BB8">
        <w:rPr>
          <w:lang w:val="en-GB"/>
        </w:rPr>
        <w:t xml:space="preserve">ministries, </w:t>
      </w:r>
      <w:r w:rsidR="00FE54D4" w:rsidRPr="00394BB8">
        <w:rPr>
          <w:lang w:val="en-GB"/>
        </w:rPr>
        <w:t>int</w:t>
      </w:r>
      <w:r w:rsidR="00921153" w:rsidRPr="00394BB8">
        <w:rPr>
          <w:lang w:val="en-GB"/>
        </w:rPr>
        <w:t xml:space="preserve">ernational development partners, </w:t>
      </w:r>
      <w:r w:rsidR="00FE54D4" w:rsidRPr="00394BB8">
        <w:rPr>
          <w:lang w:val="en-GB"/>
        </w:rPr>
        <w:t xml:space="preserve">and </w:t>
      </w:r>
      <w:r w:rsidR="00DC1EC1" w:rsidRPr="00394BB8">
        <w:rPr>
          <w:lang w:val="en-GB"/>
        </w:rPr>
        <w:t>a</w:t>
      </w:r>
      <w:r w:rsidR="00FE54D4" w:rsidRPr="00394BB8">
        <w:rPr>
          <w:lang w:val="en-GB"/>
        </w:rPr>
        <w:t>cademia</w:t>
      </w:r>
      <w:r w:rsidR="003D6FF7">
        <w:rPr>
          <w:lang w:val="en-GB"/>
        </w:rPr>
        <w:t xml:space="preserve"> and </w:t>
      </w:r>
      <w:r w:rsidR="00DC1EC1" w:rsidRPr="00394BB8">
        <w:rPr>
          <w:lang w:val="en-GB"/>
        </w:rPr>
        <w:t>r</w:t>
      </w:r>
      <w:r w:rsidR="00FE54D4" w:rsidRPr="00394BB8">
        <w:rPr>
          <w:lang w:val="en-GB"/>
        </w:rPr>
        <w:t xml:space="preserve">esearch institutions </w:t>
      </w:r>
      <w:r w:rsidR="00921153" w:rsidRPr="00394BB8">
        <w:rPr>
          <w:lang w:val="en-GB"/>
        </w:rPr>
        <w:t xml:space="preserve">will also be </w:t>
      </w:r>
      <w:r w:rsidR="00687EA9" w:rsidRPr="00394BB8">
        <w:rPr>
          <w:lang w:val="en-GB"/>
        </w:rPr>
        <w:t>used</w:t>
      </w:r>
      <w:r w:rsidR="00921153" w:rsidRPr="00394BB8">
        <w:rPr>
          <w:lang w:val="en-GB"/>
        </w:rPr>
        <w:t>.</w:t>
      </w:r>
      <w:r w:rsidR="00D97840" w:rsidRPr="00394BB8">
        <w:rPr>
          <w:lang w:val="en-GB"/>
        </w:rPr>
        <w:t xml:space="preserve"> UNDP will seek to strengthen national capacities</w:t>
      </w:r>
      <w:r w:rsidR="003D6FF7">
        <w:rPr>
          <w:lang w:val="en-GB"/>
        </w:rPr>
        <w:t xml:space="preserve"> wherever possible</w:t>
      </w:r>
      <w:r w:rsidR="00D97840" w:rsidRPr="00394BB8">
        <w:rPr>
          <w:lang w:val="en-GB"/>
        </w:rPr>
        <w:t>.</w:t>
      </w:r>
      <w:r w:rsidR="00D7027D" w:rsidRPr="00394BB8">
        <w:rPr>
          <w:lang w:val="en-GB"/>
        </w:rPr>
        <w:t xml:space="preserve"> </w:t>
      </w:r>
    </w:p>
    <w:p w14:paraId="08BC2EC7" w14:textId="65780712" w:rsidR="00D7027D" w:rsidRPr="00394BB8" w:rsidRDefault="00FE54D4" w:rsidP="00D11AF4">
      <w:pPr>
        <w:pStyle w:val="ListParagraph"/>
        <w:numPr>
          <w:ilvl w:val="2"/>
          <w:numId w:val="6"/>
        </w:numPr>
        <w:tabs>
          <w:tab w:val="num" w:pos="1080"/>
        </w:tabs>
        <w:spacing w:after="120"/>
        <w:ind w:left="720" w:firstLine="0"/>
        <w:jc w:val="both"/>
        <w:rPr>
          <w:lang w:val="en-GB"/>
        </w:rPr>
      </w:pPr>
      <w:r w:rsidRPr="00394BB8">
        <w:rPr>
          <w:lang w:val="en-GB"/>
        </w:rPr>
        <w:t xml:space="preserve">Each project will </w:t>
      </w:r>
      <w:r w:rsidR="00681E7D" w:rsidRPr="00394BB8">
        <w:rPr>
          <w:lang w:val="en-GB"/>
        </w:rPr>
        <w:t>apply</w:t>
      </w:r>
      <w:r w:rsidRPr="00394BB8">
        <w:rPr>
          <w:lang w:val="en-GB"/>
        </w:rPr>
        <w:t xml:space="preserve"> a </w:t>
      </w:r>
      <w:r w:rsidR="003D6FF7">
        <w:rPr>
          <w:lang w:val="en-GB"/>
        </w:rPr>
        <w:t>monitoring and evaluation</w:t>
      </w:r>
      <w:r w:rsidRPr="00394BB8">
        <w:rPr>
          <w:lang w:val="en-GB"/>
        </w:rPr>
        <w:t xml:space="preserve"> framework to measure </w:t>
      </w:r>
      <w:r w:rsidR="00E45429" w:rsidRPr="00394BB8">
        <w:rPr>
          <w:lang w:val="en-GB"/>
        </w:rPr>
        <w:t xml:space="preserve">project cycle </w:t>
      </w:r>
      <w:r w:rsidR="00681E7D" w:rsidRPr="00394BB8">
        <w:rPr>
          <w:lang w:val="en-GB"/>
        </w:rPr>
        <w:t>results</w:t>
      </w:r>
      <w:r w:rsidRPr="00394BB8">
        <w:rPr>
          <w:lang w:val="en-GB"/>
        </w:rPr>
        <w:t xml:space="preserve">. </w:t>
      </w:r>
      <w:r w:rsidR="00681E7D" w:rsidRPr="00394BB8">
        <w:rPr>
          <w:lang w:val="en-GB"/>
        </w:rPr>
        <w:t xml:space="preserve">Where information </w:t>
      </w:r>
      <w:r w:rsidR="003D6FF7">
        <w:rPr>
          <w:lang w:val="en-GB"/>
        </w:rPr>
        <w:t>is</w:t>
      </w:r>
      <w:r w:rsidR="00681E7D" w:rsidRPr="00394BB8">
        <w:rPr>
          <w:lang w:val="en-GB"/>
        </w:rPr>
        <w:t xml:space="preserve"> lacking, </w:t>
      </w:r>
      <w:r w:rsidRPr="00394BB8">
        <w:rPr>
          <w:lang w:val="en-GB"/>
        </w:rPr>
        <w:t>UNDP wil</w:t>
      </w:r>
      <w:r w:rsidR="00E45429" w:rsidRPr="00394BB8">
        <w:rPr>
          <w:lang w:val="en-GB"/>
        </w:rPr>
        <w:t xml:space="preserve">l commission baseline research, </w:t>
      </w:r>
      <w:r w:rsidRPr="00394BB8">
        <w:rPr>
          <w:lang w:val="en-GB"/>
        </w:rPr>
        <w:t>follow-up studies</w:t>
      </w:r>
      <w:r w:rsidR="003D6FF7">
        <w:rPr>
          <w:lang w:val="en-GB"/>
        </w:rPr>
        <w:t>,</w:t>
      </w:r>
      <w:r w:rsidR="006A4BE4" w:rsidRPr="00394BB8">
        <w:rPr>
          <w:lang w:val="en-GB"/>
        </w:rPr>
        <w:t xml:space="preserve"> </w:t>
      </w:r>
      <w:r w:rsidR="003D6FF7">
        <w:rPr>
          <w:lang w:val="en-GB"/>
        </w:rPr>
        <w:t>and</w:t>
      </w:r>
      <w:r w:rsidRPr="00394BB8">
        <w:rPr>
          <w:lang w:val="en-GB"/>
        </w:rPr>
        <w:t xml:space="preserve"> independent </w:t>
      </w:r>
      <w:r w:rsidR="00102087" w:rsidRPr="00394BB8">
        <w:rPr>
          <w:lang w:val="en-GB"/>
        </w:rPr>
        <w:t xml:space="preserve">project and outcome </w:t>
      </w:r>
      <w:r w:rsidRPr="00394BB8">
        <w:rPr>
          <w:lang w:val="en-GB"/>
        </w:rPr>
        <w:t>evaluation</w:t>
      </w:r>
      <w:r w:rsidR="00681E7D" w:rsidRPr="00394BB8">
        <w:rPr>
          <w:lang w:val="en-GB"/>
        </w:rPr>
        <w:t>s</w:t>
      </w:r>
      <w:r w:rsidRPr="00394BB8">
        <w:rPr>
          <w:lang w:val="en-GB"/>
        </w:rPr>
        <w:t xml:space="preserve"> </w:t>
      </w:r>
      <w:r w:rsidR="00681E7D" w:rsidRPr="00394BB8">
        <w:rPr>
          <w:lang w:val="en-GB"/>
        </w:rPr>
        <w:t>to</w:t>
      </w:r>
      <w:r w:rsidRPr="00394BB8">
        <w:rPr>
          <w:lang w:val="en-GB"/>
        </w:rPr>
        <w:t xml:space="preserve"> </w:t>
      </w:r>
      <w:r w:rsidR="00E45429" w:rsidRPr="00394BB8">
        <w:rPr>
          <w:lang w:val="en-GB"/>
        </w:rPr>
        <w:t>track contributions to transformative change</w:t>
      </w:r>
      <w:r w:rsidRPr="00394BB8">
        <w:rPr>
          <w:lang w:val="en-GB"/>
        </w:rPr>
        <w:t xml:space="preserve">. </w:t>
      </w:r>
      <w:r w:rsidR="00E45429" w:rsidRPr="00394BB8">
        <w:rPr>
          <w:lang w:val="en-GB"/>
        </w:rPr>
        <w:t>Innovative o</w:t>
      </w:r>
      <w:r w:rsidR="00852CFB" w:rsidRPr="00394BB8">
        <w:rPr>
          <w:lang w:val="en-GB"/>
        </w:rPr>
        <w:t>perational research</w:t>
      </w:r>
      <w:r w:rsidR="003D6FF7">
        <w:rPr>
          <w:lang w:val="en-GB"/>
        </w:rPr>
        <w:t>,</w:t>
      </w:r>
      <w:r w:rsidR="00852CFB" w:rsidRPr="00394BB8">
        <w:rPr>
          <w:lang w:val="en-GB"/>
        </w:rPr>
        <w:t xml:space="preserve"> </w:t>
      </w:r>
      <w:r w:rsidR="00E45429" w:rsidRPr="00394BB8">
        <w:rPr>
          <w:lang w:val="en-GB"/>
        </w:rPr>
        <w:t>and a training programme</w:t>
      </w:r>
      <w:r w:rsidR="003D6FF7">
        <w:rPr>
          <w:lang w:val="en-GB"/>
        </w:rPr>
        <w:t>,</w:t>
      </w:r>
      <w:r w:rsidR="00E45429" w:rsidRPr="00394BB8">
        <w:rPr>
          <w:lang w:val="en-GB"/>
        </w:rPr>
        <w:t xml:space="preserve"> will strengthen in-house data collection and analysis</w:t>
      </w:r>
      <w:r w:rsidR="002B6640" w:rsidRPr="00394BB8">
        <w:rPr>
          <w:lang w:val="en-GB"/>
        </w:rPr>
        <w:t xml:space="preserve">. </w:t>
      </w:r>
      <w:r w:rsidR="00074ED6" w:rsidRPr="00394BB8">
        <w:rPr>
          <w:lang w:val="en-GB"/>
        </w:rPr>
        <w:t xml:space="preserve">The </w:t>
      </w:r>
      <w:r w:rsidR="003D6FF7">
        <w:rPr>
          <w:lang w:val="en-GB"/>
        </w:rPr>
        <w:t>‘</w:t>
      </w:r>
      <w:r w:rsidR="00074ED6" w:rsidRPr="00394BB8">
        <w:rPr>
          <w:lang w:val="en-GB"/>
        </w:rPr>
        <w:t>gender marker</w:t>
      </w:r>
      <w:r w:rsidR="003D6FF7">
        <w:rPr>
          <w:lang w:val="en-GB"/>
        </w:rPr>
        <w:t>’</w:t>
      </w:r>
      <w:r w:rsidR="00074ED6" w:rsidRPr="00394BB8">
        <w:rPr>
          <w:lang w:val="en-GB"/>
        </w:rPr>
        <w:t xml:space="preserve"> will serve as a monitoring tool</w:t>
      </w:r>
      <w:r w:rsidR="003D6FF7">
        <w:rPr>
          <w:lang w:val="en-GB"/>
        </w:rPr>
        <w:t>,</w:t>
      </w:r>
      <w:r w:rsidR="00074ED6" w:rsidRPr="00394BB8">
        <w:rPr>
          <w:lang w:val="en-GB"/>
        </w:rPr>
        <w:t xml:space="preserve"> and the </w:t>
      </w:r>
      <w:r w:rsidR="003D6FF7">
        <w:rPr>
          <w:lang w:val="en-GB"/>
        </w:rPr>
        <w:t>country office</w:t>
      </w:r>
      <w:r w:rsidR="003D6FF7" w:rsidRPr="00394BB8">
        <w:rPr>
          <w:lang w:val="en-GB"/>
        </w:rPr>
        <w:t xml:space="preserve"> </w:t>
      </w:r>
      <w:r w:rsidR="00074ED6" w:rsidRPr="00394BB8">
        <w:rPr>
          <w:lang w:val="en-GB"/>
        </w:rPr>
        <w:t xml:space="preserve">will aim to achieve </w:t>
      </w:r>
      <w:r w:rsidR="00955669" w:rsidRPr="00394BB8">
        <w:rPr>
          <w:lang w:val="en-GB"/>
        </w:rPr>
        <w:t>the 15</w:t>
      </w:r>
      <w:r w:rsidR="00D37D7E" w:rsidRPr="00394BB8">
        <w:rPr>
          <w:lang w:val="en-GB"/>
        </w:rPr>
        <w:t xml:space="preserve"> per cent</w:t>
      </w:r>
      <w:r w:rsidR="00955669" w:rsidRPr="00394BB8">
        <w:rPr>
          <w:lang w:val="en-GB"/>
        </w:rPr>
        <w:t xml:space="preserve"> </w:t>
      </w:r>
      <w:r w:rsidR="003D6FF7">
        <w:rPr>
          <w:lang w:val="en-GB"/>
        </w:rPr>
        <w:t>institutional</w:t>
      </w:r>
      <w:r w:rsidR="003D6FF7" w:rsidRPr="00394BB8">
        <w:rPr>
          <w:lang w:val="en-GB"/>
        </w:rPr>
        <w:t xml:space="preserve"> </w:t>
      </w:r>
      <w:r w:rsidR="00955669" w:rsidRPr="00394BB8">
        <w:rPr>
          <w:lang w:val="en-GB"/>
        </w:rPr>
        <w:t>target.</w:t>
      </w:r>
      <w:r w:rsidR="00D7027D" w:rsidRPr="00394BB8">
        <w:rPr>
          <w:lang w:val="en-GB"/>
        </w:rPr>
        <w:t xml:space="preserve"> </w:t>
      </w:r>
    </w:p>
    <w:p w14:paraId="722CD4EE" w14:textId="42A676BE" w:rsidR="006B6E78" w:rsidRPr="00394BB8" w:rsidRDefault="0005428C" w:rsidP="006B6E78">
      <w:pPr>
        <w:pStyle w:val="ListParagraph"/>
        <w:numPr>
          <w:ilvl w:val="2"/>
          <w:numId w:val="6"/>
        </w:numPr>
        <w:tabs>
          <w:tab w:val="num" w:pos="1080"/>
        </w:tabs>
        <w:spacing w:after="120"/>
        <w:ind w:left="720" w:firstLine="0"/>
        <w:jc w:val="both"/>
        <w:rPr>
          <w:lang w:val="en-GB"/>
        </w:rPr>
      </w:pPr>
      <w:r w:rsidRPr="00394BB8">
        <w:rPr>
          <w:lang w:val="en-GB"/>
        </w:rPr>
        <w:t xml:space="preserve">Finally, </w:t>
      </w:r>
      <w:r w:rsidR="00FE54D4" w:rsidRPr="00394BB8">
        <w:rPr>
          <w:lang w:val="en-GB"/>
        </w:rPr>
        <w:t xml:space="preserve">UNDP will commission an independent research agenda </w:t>
      </w:r>
      <w:r w:rsidRPr="00394BB8">
        <w:rPr>
          <w:lang w:val="en-GB"/>
        </w:rPr>
        <w:t>with</w:t>
      </w:r>
      <w:r w:rsidR="00FE54D4" w:rsidRPr="00394BB8">
        <w:rPr>
          <w:lang w:val="en-GB"/>
        </w:rPr>
        <w:t xml:space="preserve">in the framework of </w:t>
      </w:r>
      <w:r w:rsidR="003D6FF7">
        <w:rPr>
          <w:lang w:val="en-GB"/>
        </w:rPr>
        <w:t>national human development</w:t>
      </w:r>
      <w:r w:rsidR="003D6FF7" w:rsidRPr="00394BB8">
        <w:rPr>
          <w:lang w:val="en-GB"/>
        </w:rPr>
        <w:t xml:space="preserve"> </w:t>
      </w:r>
      <w:r w:rsidR="00FE54D4" w:rsidRPr="00394BB8">
        <w:rPr>
          <w:lang w:val="en-GB"/>
        </w:rPr>
        <w:t xml:space="preserve">reports </w:t>
      </w:r>
      <w:r w:rsidR="00DE6D64" w:rsidRPr="00394BB8">
        <w:rPr>
          <w:lang w:val="en-GB"/>
        </w:rPr>
        <w:t>to</w:t>
      </w:r>
      <w:r w:rsidR="00FE54D4" w:rsidRPr="00394BB8">
        <w:rPr>
          <w:lang w:val="en-GB"/>
        </w:rPr>
        <w:t xml:space="preserve"> examine national development challenges</w:t>
      </w:r>
      <w:r w:rsidR="00DE6D64" w:rsidRPr="00394BB8">
        <w:rPr>
          <w:lang w:val="en-GB"/>
        </w:rPr>
        <w:t>, exploring</w:t>
      </w:r>
      <w:r w:rsidR="00FE54D4" w:rsidRPr="00394BB8">
        <w:rPr>
          <w:lang w:val="en-GB"/>
        </w:rPr>
        <w:t xml:space="preserve"> </w:t>
      </w:r>
      <w:r w:rsidR="00DE6D64" w:rsidRPr="00394BB8">
        <w:rPr>
          <w:lang w:val="en-GB"/>
        </w:rPr>
        <w:t>issues</w:t>
      </w:r>
      <w:r w:rsidR="00FE54D4" w:rsidRPr="00394BB8">
        <w:rPr>
          <w:lang w:val="en-GB"/>
        </w:rPr>
        <w:t xml:space="preserve"> in depth </w:t>
      </w:r>
      <w:r w:rsidR="00DE6D64" w:rsidRPr="00394BB8">
        <w:rPr>
          <w:lang w:val="en-GB"/>
        </w:rPr>
        <w:t>to identify</w:t>
      </w:r>
      <w:r w:rsidR="00FE54D4" w:rsidRPr="00394BB8">
        <w:rPr>
          <w:lang w:val="en-GB"/>
        </w:rPr>
        <w:t xml:space="preserve"> solutions in an evidence</w:t>
      </w:r>
      <w:r w:rsidR="00DE6D64" w:rsidRPr="00394BB8">
        <w:rPr>
          <w:lang w:val="en-GB"/>
        </w:rPr>
        <w:t>-based and participatory manner</w:t>
      </w:r>
      <w:r w:rsidR="00FE54D4" w:rsidRPr="00394BB8">
        <w:rPr>
          <w:lang w:val="en-GB"/>
        </w:rPr>
        <w:t xml:space="preserve">. </w:t>
      </w:r>
    </w:p>
    <w:p w14:paraId="3CF1A4A0" w14:textId="77777777" w:rsidR="00AC1288" w:rsidRPr="00394BB8" w:rsidRDefault="00AC1288" w:rsidP="006B6E78">
      <w:pPr>
        <w:pStyle w:val="Heading4"/>
        <w:spacing w:after="120"/>
        <w:rPr>
          <w:rFonts w:ascii="Times New Roman" w:hAnsi="Times New Roman"/>
          <w:bCs/>
          <w:sz w:val="20"/>
          <w:lang w:val="en-GB"/>
        </w:rPr>
      </w:pPr>
      <w:r w:rsidRPr="00394BB8">
        <w:rPr>
          <w:rFonts w:ascii="Times New Roman" w:hAnsi="Times New Roman"/>
          <w:bCs/>
          <w:sz w:val="20"/>
          <w:lang w:val="en-GB"/>
        </w:rPr>
        <w:br w:type="page"/>
      </w:r>
    </w:p>
    <w:p w14:paraId="1D4552D6" w14:textId="77777777" w:rsidR="00D100EE" w:rsidRPr="00394BB8" w:rsidRDefault="00D100EE" w:rsidP="006B6E78">
      <w:pPr>
        <w:pStyle w:val="Heading4"/>
        <w:spacing w:after="120"/>
        <w:rPr>
          <w:rFonts w:ascii="Times New Roman" w:hAnsi="Times New Roman"/>
          <w:bCs/>
          <w:sz w:val="20"/>
          <w:lang w:val="en-GB"/>
        </w:rPr>
        <w:sectPr w:rsidR="00D100EE" w:rsidRPr="00394BB8" w:rsidSect="00D11AF4">
          <w:headerReference w:type="even" r:id="rId14"/>
          <w:headerReference w:type="default" r:id="rId15"/>
          <w:footerReference w:type="even" r:id="rId16"/>
          <w:footerReference w:type="default" r:id="rId17"/>
          <w:headerReference w:type="first" r:id="rId18"/>
          <w:pgSz w:w="12240" w:h="15840"/>
          <w:pgMar w:top="1152" w:right="2160" w:bottom="1152" w:left="1440" w:header="720" w:footer="720" w:gutter="0"/>
          <w:cols w:space="720"/>
          <w:titlePg/>
          <w:docGrid w:linePitch="272"/>
        </w:sectPr>
      </w:pPr>
    </w:p>
    <w:p w14:paraId="73B66E19" w14:textId="7EE08CE9" w:rsidR="00842ED7" w:rsidRPr="00394BB8" w:rsidRDefault="00842ED7" w:rsidP="00842ED7">
      <w:pPr>
        <w:pStyle w:val="Heading4"/>
        <w:spacing w:after="120"/>
        <w:rPr>
          <w:rFonts w:ascii="Times New Roman" w:hAnsi="Times New Roman"/>
          <w:bCs/>
          <w:color w:val="000000"/>
          <w:sz w:val="24"/>
          <w:szCs w:val="24"/>
          <w:lang w:val="en-GB"/>
        </w:rPr>
      </w:pPr>
      <w:r w:rsidRPr="00394BB8">
        <w:rPr>
          <w:rFonts w:ascii="Times New Roman" w:hAnsi="Times New Roman"/>
          <w:bCs/>
          <w:color w:val="000000"/>
          <w:sz w:val="24"/>
          <w:szCs w:val="24"/>
          <w:lang w:val="en-GB"/>
        </w:rPr>
        <w:lastRenderedPageBreak/>
        <w:t xml:space="preserve">Annex. </w:t>
      </w:r>
      <w:r w:rsidRPr="00394BB8">
        <w:rPr>
          <w:rFonts w:ascii="Times New Roman" w:hAnsi="Times New Roman"/>
          <w:spacing w:val="4"/>
          <w:w w:val="103"/>
          <w:kern w:val="14"/>
          <w:sz w:val="24"/>
          <w:szCs w:val="24"/>
          <w:lang w:val="en-GB"/>
        </w:rPr>
        <w:t>Results and resources framework for Georgia (2016-2020)</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450"/>
        <w:gridCol w:w="29"/>
        <w:gridCol w:w="2464"/>
        <w:gridCol w:w="3786"/>
        <w:gridCol w:w="2340"/>
        <w:gridCol w:w="11"/>
        <w:gridCol w:w="2111"/>
      </w:tblGrid>
      <w:tr w:rsidR="009E21D2" w:rsidRPr="00394BB8" w14:paraId="4805524B" w14:textId="77777777" w:rsidTr="00DB50F6">
        <w:tc>
          <w:tcPr>
            <w:tcW w:w="5000" w:type="pct"/>
            <w:gridSpan w:val="7"/>
            <w:shd w:val="clear" w:color="auto" w:fill="auto"/>
            <w:tcMar>
              <w:top w:w="72" w:type="dxa"/>
              <w:left w:w="144" w:type="dxa"/>
              <w:bottom w:w="72" w:type="dxa"/>
              <w:right w:w="144" w:type="dxa"/>
            </w:tcMar>
          </w:tcPr>
          <w:p w14:paraId="4445E23F" w14:textId="563F21A7" w:rsidR="009E21D2" w:rsidRPr="00394BB8" w:rsidRDefault="009E21D2" w:rsidP="0072258F">
            <w:pPr>
              <w:rPr>
                <w:b/>
                <w:i/>
                <w:sz w:val="16"/>
                <w:szCs w:val="16"/>
                <w:lang w:val="en-GB"/>
              </w:rPr>
            </w:pPr>
            <w:r w:rsidRPr="00E9082B">
              <w:rPr>
                <w:b/>
                <w:bCs/>
                <w:i/>
                <w:sz w:val="16"/>
                <w:szCs w:val="16"/>
                <w:lang w:val="en-GB"/>
              </w:rPr>
              <w:t>N</w:t>
            </w:r>
            <w:r w:rsidR="003D6FF7" w:rsidRPr="00E9082B">
              <w:rPr>
                <w:b/>
                <w:bCs/>
                <w:i/>
                <w:sz w:val="16"/>
                <w:szCs w:val="16"/>
                <w:lang w:val="en-GB"/>
              </w:rPr>
              <w:t>ational priority or goal:</w:t>
            </w:r>
            <w:r w:rsidR="003D6FF7" w:rsidRPr="00394BB8">
              <w:rPr>
                <w:b/>
                <w:bCs/>
                <w:sz w:val="16"/>
                <w:szCs w:val="16"/>
                <w:lang w:val="en-GB"/>
              </w:rPr>
              <w:t xml:space="preserve"> </w:t>
            </w:r>
            <w:r w:rsidRPr="003D6FF7">
              <w:rPr>
                <w:b/>
                <w:sz w:val="16"/>
                <w:szCs w:val="16"/>
                <w:lang w:val="en-GB"/>
              </w:rPr>
              <w:t xml:space="preserve">Government </w:t>
            </w:r>
            <w:r w:rsidR="003D6FF7">
              <w:rPr>
                <w:b/>
                <w:sz w:val="16"/>
                <w:szCs w:val="16"/>
                <w:lang w:val="en-GB"/>
              </w:rPr>
              <w:t>p</w:t>
            </w:r>
            <w:r w:rsidRPr="003D6FF7">
              <w:rPr>
                <w:b/>
                <w:sz w:val="16"/>
                <w:szCs w:val="16"/>
                <w:lang w:val="en-GB"/>
              </w:rPr>
              <w:t>rogramme “</w:t>
            </w:r>
            <w:r w:rsidR="003D6FF7">
              <w:rPr>
                <w:b/>
                <w:sz w:val="16"/>
                <w:szCs w:val="16"/>
                <w:lang w:val="en-GB"/>
              </w:rPr>
              <w:t>f</w:t>
            </w:r>
            <w:r w:rsidRPr="003D6FF7">
              <w:rPr>
                <w:b/>
                <w:sz w:val="16"/>
                <w:szCs w:val="16"/>
                <w:lang w:val="en-GB"/>
              </w:rPr>
              <w:t xml:space="preserve">or strong, democratic, united Georgia” prioritizes attainment of balance of power, actual self-government, political pluralism, </w:t>
            </w:r>
            <w:r w:rsidR="003D6FF7">
              <w:rPr>
                <w:b/>
                <w:sz w:val="16"/>
                <w:szCs w:val="16"/>
                <w:lang w:val="en-GB"/>
              </w:rPr>
              <w:t>j</w:t>
            </w:r>
            <w:r w:rsidRPr="003D6FF7">
              <w:rPr>
                <w:b/>
                <w:sz w:val="16"/>
                <w:szCs w:val="16"/>
                <w:lang w:val="en-GB"/>
              </w:rPr>
              <w:t>udiciary reform, integration and protection of minority rights</w:t>
            </w:r>
            <w:r w:rsidR="003D6FF7">
              <w:rPr>
                <w:b/>
                <w:sz w:val="16"/>
                <w:szCs w:val="16"/>
                <w:lang w:val="en-GB"/>
              </w:rPr>
              <w:t>,</w:t>
            </w:r>
            <w:r w:rsidRPr="003D6FF7">
              <w:rPr>
                <w:b/>
                <w:sz w:val="16"/>
                <w:szCs w:val="16"/>
                <w:lang w:val="en-GB"/>
              </w:rPr>
              <w:t xml:space="preserve"> and citizens participation</w:t>
            </w:r>
            <w:r w:rsidRPr="003D6FF7">
              <w:rPr>
                <w:rStyle w:val="FootnoteReference"/>
                <w:b/>
                <w:sz w:val="16"/>
                <w:szCs w:val="16"/>
                <w:lang w:val="en-GB"/>
              </w:rPr>
              <w:footnoteReference w:id="4"/>
            </w:r>
          </w:p>
        </w:tc>
      </w:tr>
      <w:tr w:rsidR="009E21D2" w:rsidRPr="00394BB8" w14:paraId="06F2715B" w14:textId="77777777" w:rsidTr="00DB50F6">
        <w:tc>
          <w:tcPr>
            <w:tcW w:w="5000" w:type="pct"/>
            <w:gridSpan w:val="7"/>
            <w:shd w:val="clear" w:color="auto" w:fill="auto"/>
            <w:tcMar>
              <w:top w:w="72" w:type="dxa"/>
              <w:left w:w="144" w:type="dxa"/>
              <w:bottom w:w="72" w:type="dxa"/>
              <w:right w:w="144" w:type="dxa"/>
            </w:tcMar>
          </w:tcPr>
          <w:p w14:paraId="2E8A33D0" w14:textId="0B71FA7C" w:rsidR="009E21D2" w:rsidRPr="00394BB8" w:rsidRDefault="009E21D2" w:rsidP="0072258F">
            <w:pPr>
              <w:rPr>
                <w:b/>
                <w:i/>
                <w:sz w:val="16"/>
                <w:szCs w:val="16"/>
                <w:lang w:val="en-GB"/>
              </w:rPr>
            </w:pPr>
            <w:r w:rsidRPr="00E9082B">
              <w:rPr>
                <w:b/>
                <w:bCs/>
                <w:i/>
                <w:sz w:val="16"/>
                <w:szCs w:val="16"/>
                <w:lang w:val="en-GB"/>
              </w:rPr>
              <w:t>UNDAF (</w:t>
            </w:r>
            <w:r w:rsidR="003D6FF7" w:rsidRPr="00E9082B">
              <w:rPr>
                <w:b/>
                <w:bCs/>
                <w:i/>
                <w:sz w:val="16"/>
                <w:szCs w:val="16"/>
                <w:lang w:val="en-GB"/>
              </w:rPr>
              <w:t xml:space="preserve">or equivalent) outcome involving </w:t>
            </w:r>
            <w:r w:rsidRPr="00E9082B">
              <w:rPr>
                <w:b/>
                <w:bCs/>
                <w:i/>
                <w:sz w:val="16"/>
                <w:szCs w:val="16"/>
                <w:lang w:val="en-GB"/>
              </w:rPr>
              <w:t xml:space="preserve">UNDP: </w:t>
            </w:r>
            <w:r w:rsidRPr="003D6FF7">
              <w:rPr>
                <w:b/>
                <w:bCs/>
                <w:sz w:val="16"/>
                <w:szCs w:val="16"/>
                <w:lang w:val="en-GB"/>
              </w:rPr>
              <w:t>Outcome 1</w:t>
            </w:r>
            <w:r w:rsidR="003D6FF7">
              <w:rPr>
                <w:b/>
                <w:bCs/>
                <w:sz w:val="16"/>
                <w:szCs w:val="16"/>
                <w:lang w:val="en-GB"/>
              </w:rPr>
              <w:t>.</w:t>
            </w:r>
            <w:r w:rsidRPr="003D6FF7">
              <w:rPr>
                <w:b/>
                <w:bCs/>
                <w:sz w:val="16"/>
                <w:szCs w:val="16"/>
                <w:lang w:val="en-GB"/>
              </w:rPr>
              <w:t xml:space="preserve"> </w:t>
            </w:r>
            <w:r w:rsidRPr="003D6FF7">
              <w:rPr>
                <w:b/>
                <w:sz w:val="16"/>
                <w:szCs w:val="16"/>
                <w:lang w:val="en-GB"/>
              </w:rPr>
              <w:t>By 2020</w:t>
            </w:r>
            <w:r w:rsidR="003D6FF7">
              <w:rPr>
                <w:b/>
                <w:sz w:val="16"/>
                <w:szCs w:val="16"/>
                <w:lang w:val="en-GB"/>
              </w:rPr>
              <w:t>,</w:t>
            </w:r>
            <w:r w:rsidRPr="003D6FF7">
              <w:rPr>
                <w:b/>
                <w:sz w:val="16"/>
                <w:szCs w:val="16"/>
                <w:lang w:val="en-GB"/>
              </w:rPr>
              <w:t xml:space="preserve"> expectations of citizens of Georgia for voice, rule of law, public sector reforms, and accountability are met by stronger systems of democratic governance at all levels</w:t>
            </w:r>
          </w:p>
        </w:tc>
      </w:tr>
      <w:tr w:rsidR="009E21D2" w:rsidRPr="00394BB8" w14:paraId="5CE25869" w14:textId="77777777" w:rsidTr="00DB50F6">
        <w:tc>
          <w:tcPr>
            <w:tcW w:w="5000" w:type="pct"/>
            <w:gridSpan w:val="7"/>
            <w:shd w:val="clear" w:color="auto" w:fill="auto"/>
            <w:tcMar>
              <w:top w:w="72" w:type="dxa"/>
              <w:left w:w="144" w:type="dxa"/>
              <w:bottom w:w="72" w:type="dxa"/>
              <w:right w:w="144" w:type="dxa"/>
            </w:tcMar>
          </w:tcPr>
          <w:p w14:paraId="1E7A8238" w14:textId="2EA322C4" w:rsidR="009E21D2" w:rsidRPr="00394BB8" w:rsidRDefault="009E21D2" w:rsidP="0072258F">
            <w:pPr>
              <w:rPr>
                <w:b/>
                <w:bCs/>
                <w:i/>
                <w:sz w:val="16"/>
                <w:szCs w:val="16"/>
                <w:lang w:val="en-GB"/>
              </w:rPr>
            </w:pPr>
            <w:r w:rsidRPr="00E9082B">
              <w:rPr>
                <w:b/>
                <w:bCs/>
                <w:i/>
                <w:sz w:val="16"/>
                <w:szCs w:val="16"/>
                <w:lang w:val="en-GB"/>
              </w:rPr>
              <w:t>R</w:t>
            </w:r>
            <w:r w:rsidR="003D6FF7" w:rsidRPr="00E9082B">
              <w:rPr>
                <w:b/>
                <w:bCs/>
                <w:i/>
                <w:sz w:val="16"/>
                <w:szCs w:val="16"/>
                <w:lang w:val="en-GB"/>
              </w:rPr>
              <w:t>elated strategic plan outcome</w:t>
            </w:r>
            <w:r w:rsidRPr="00E9082B">
              <w:rPr>
                <w:b/>
                <w:bCs/>
                <w:i/>
                <w:sz w:val="16"/>
                <w:szCs w:val="16"/>
                <w:lang w:val="en-GB"/>
              </w:rPr>
              <w:t>:</w:t>
            </w:r>
            <w:r w:rsidRPr="00394BB8">
              <w:rPr>
                <w:b/>
                <w:bCs/>
                <w:sz w:val="16"/>
                <w:szCs w:val="16"/>
                <w:lang w:val="en-GB"/>
              </w:rPr>
              <w:t xml:space="preserve"> Outcome 2</w:t>
            </w:r>
            <w:r w:rsidR="003D6FF7">
              <w:rPr>
                <w:b/>
                <w:bCs/>
                <w:sz w:val="16"/>
                <w:szCs w:val="16"/>
                <w:lang w:val="en-GB"/>
              </w:rPr>
              <w:t>.</w:t>
            </w:r>
            <w:r w:rsidRPr="003D6FF7">
              <w:rPr>
                <w:b/>
                <w:bCs/>
                <w:sz w:val="16"/>
                <w:szCs w:val="16"/>
                <w:lang w:val="en-GB"/>
              </w:rPr>
              <w:t xml:space="preserve"> Citizens expectations for voice, development, the rule of law and accountability are met by stronger systems of democratic governance </w:t>
            </w:r>
          </w:p>
        </w:tc>
      </w:tr>
      <w:tr w:rsidR="009E21D2" w:rsidRPr="00394BB8" w14:paraId="55C0AA9C" w14:textId="77777777" w:rsidTr="00DB50F6">
        <w:tc>
          <w:tcPr>
            <w:tcW w:w="940" w:type="pct"/>
            <w:gridSpan w:val="2"/>
            <w:shd w:val="clear" w:color="auto" w:fill="auto"/>
            <w:tcMar>
              <w:top w:w="72" w:type="dxa"/>
              <w:left w:w="144" w:type="dxa"/>
              <w:bottom w:w="72" w:type="dxa"/>
              <w:right w:w="144" w:type="dxa"/>
            </w:tcMar>
            <w:vAlign w:val="center"/>
          </w:tcPr>
          <w:p w14:paraId="7266AB94" w14:textId="511A8600" w:rsidR="009E21D2" w:rsidRPr="00394BB8" w:rsidRDefault="009E21D2" w:rsidP="0072258F">
            <w:pPr>
              <w:jc w:val="center"/>
              <w:rPr>
                <w:sz w:val="16"/>
                <w:szCs w:val="16"/>
                <w:lang w:val="en-GB"/>
              </w:rPr>
            </w:pPr>
            <w:r w:rsidRPr="00394BB8">
              <w:rPr>
                <w:b/>
                <w:bCs/>
                <w:sz w:val="16"/>
                <w:szCs w:val="16"/>
                <w:lang w:val="en-GB"/>
              </w:rPr>
              <w:t xml:space="preserve">UNDAF </w:t>
            </w:r>
            <w:r w:rsidR="003D6FF7" w:rsidRPr="00394BB8">
              <w:rPr>
                <w:b/>
                <w:bCs/>
                <w:sz w:val="16"/>
                <w:szCs w:val="16"/>
                <w:lang w:val="en-GB"/>
              </w:rPr>
              <w:t>outcome indicator(s), baselines, target(s</w:t>
            </w:r>
            <w:r w:rsidRPr="00394BB8">
              <w:rPr>
                <w:b/>
                <w:bCs/>
                <w:sz w:val="16"/>
                <w:szCs w:val="16"/>
                <w:lang w:val="en-GB"/>
              </w:rPr>
              <w:t>)</w:t>
            </w:r>
          </w:p>
        </w:tc>
        <w:tc>
          <w:tcPr>
            <w:tcW w:w="934" w:type="pct"/>
            <w:shd w:val="clear" w:color="auto" w:fill="auto"/>
            <w:vAlign w:val="center"/>
          </w:tcPr>
          <w:p w14:paraId="67D13B22" w14:textId="13285C48" w:rsidR="009E21D2" w:rsidRPr="00394BB8" w:rsidRDefault="003D6FF7" w:rsidP="0072258F">
            <w:pPr>
              <w:jc w:val="center"/>
              <w:rPr>
                <w:b/>
                <w:sz w:val="16"/>
                <w:szCs w:val="16"/>
                <w:lang w:val="en-GB"/>
              </w:rPr>
            </w:pPr>
            <w:r w:rsidRPr="00394BB8">
              <w:rPr>
                <w:b/>
                <w:sz w:val="16"/>
                <w:szCs w:val="16"/>
                <w:lang w:val="en-GB"/>
              </w:rPr>
              <w:t>Data source and frequency of data collection, and responsibilities</w:t>
            </w:r>
          </w:p>
        </w:tc>
        <w:tc>
          <w:tcPr>
            <w:tcW w:w="1435" w:type="pct"/>
            <w:shd w:val="clear" w:color="auto" w:fill="auto"/>
            <w:tcMar>
              <w:top w:w="72" w:type="dxa"/>
              <w:left w:w="144" w:type="dxa"/>
              <w:bottom w:w="72" w:type="dxa"/>
              <w:right w:w="144" w:type="dxa"/>
            </w:tcMar>
            <w:vAlign w:val="center"/>
          </w:tcPr>
          <w:p w14:paraId="60D6769E" w14:textId="6B19BA8A" w:rsidR="009E21D2" w:rsidRPr="00394BB8" w:rsidRDefault="003D6FF7" w:rsidP="0072258F">
            <w:pPr>
              <w:jc w:val="center"/>
              <w:rPr>
                <w:sz w:val="16"/>
                <w:szCs w:val="16"/>
                <w:lang w:val="en-GB"/>
              </w:rPr>
            </w:pPr>
            <w:r w:rsidRPr="00394BB8">
              <w:rPr>
                <w:b/>
                <w:bCs/>
                <w:sz w:val="16"/>
                <w:szCs w:val="16"/>
                <w:lang w:val="en-GB"/>
              </w:rPr>
              <w:t xml:space="preserve">Indicative country programme outputs </w:t>
            </w:r>
            <w:r w:rsidR="009E21D2" w:rsidRPr="00394BB8">
              <w:rPr>
                <w:b/>
                <w:bCs/>
                <w:i/>
                <w:sz w:val="16"/>
                <w:szCs w:val="16"/>
                <w:lang w:val="en-GB"/>
              </w:rPr>
              <w:t>(including indicators, baselines targets)</w:t>
            </w:r>
          </w:p>
        </w:tc>
        <w:tc>
          <w:tcPr>
            <w:tcW w:w="891" w:type="pct"/>
            <w:gridSpan w:val="2"/>
            <w:shd w:val="clear" w:color="auto" w:fill="auto"/>
            <w:vAlign w:val="center"/>
          </w:tcPr>
          <w:p w14:paraId="1E91817D" w14:textId="79C33F7A" w:rsidR="009E21D2" w:rsidRPr="00394BB8" w:rsidRDefault="003D6FF7" w:rsidP="0072258F">
            <w:pPr>
              <w:jc w:val="center"/>
              <w:rPr>
                <w:b/>
                <w:bCs/>
                <w:sz w:val="16"/>
                <w:szCs w:val="16"/>
                <w:lang w:val="en-GB"/>
              </w:rPr>
            </w:pPr>
            <w:r w:rsidRPr="00394BB8">
              <w:rPr>
                <w:b/>
                <w:bCs/>
                <w:sz w:val="16"/>
                <w:szCs w:val="16"/>
                <w:lang w:val="en-GB"/>
              </w:rPr>
              <w:t>Major partners/partnerships</w:t>
            </w:r>
          </w:p>
          <w:p w14:paraId="4F215613" w14:textId="596557CA" w:rsidR="009E21D2" w:rsidRPr="00394BB8" w:rsidRDefault="003D6FF7" w:rsidP="0072258F">
            <w:pPr>
              <w:jc w:val="center"/>
              <w:rPr>
                <w:b/>
                <w:bCs/>
                <w:sz w:val="16"/>
                <w:szCs w:val="16"/>
                <w:lang w:val="en-GB"/>
              </w:rPr>
            </w:pPr>
            <w:r w:rsidRPr="00394BB8">
              <w:rPr>
                <w:b/>
                <w:bCs/>
                <w:sz w:val="16"/>
                <w:szCs w:val="16"/>
                <w:lang w:val="en-GB"/>
              </w:rPr>
              <w:t>Frameworks</w:t>
            </w:r>
          </w:p>
        </w:tc>
        <w:tc>
          <w:tcPr>
            <w:tcW w:w="800" w:type="pct"/>
            <w:shd w:val="clear" w:color="auto" w:fill="auto"/>
            <w:tcMar>
              <w:top w:w="15" w:type="dxa"/>
              <w:left w:w="108" w:type="dxa"/>
              <w:bottom w:w="0" w:type="dxa"/>
              <w:right w:w="108" w:type="dxa"/>
            </w:tcMar>
            <w:vAlign w:val="center"/>
          </w:tcPr>
          <w:p w14:paraId="4CF0038C" w14:textId="7F2210AE" w:rsidR="009E21D2" w:rsidRPr="00394BB8" w:rsidRDefault="003D6FF7" w:rsidP="0072258F">
            <w:pPr>
              <w:jc w:val="center"/>
              <w:rPr>
                <w:b/>
                <w:bCs/>
                <w:sz w:val="16"/>
                <w:szCs w:val="16"/>
                <w:lang w:val="en-GB"/>
              </w:rPr>
            </w:pPr>
            <w:r w:rsidRPr="00394BB8">
              <w:rPr>
                <w:b/>
                <w:bCs/>
                <w:sz w:val="16"/>
                <w:szCs w:val="16"/>
                <w:lang w:val="en-GB"/>
              </w:rPr>
              <w:t>Indicative resources by outcome</w:t>
            </w:r>
            <w:r w:rsidR="009E21D2" w:rsidRPr="00394BB8">
              <w:rPr>
                <w:b/>
                <w:bCs/>
                <w:sz w:val="16"/>
                <w:szCs w:val="16"/>
                <w:lang w:val="en-GB"/>
              </w:rPr>
              <w:t xml:space="preserve"> </w:t>
            </w:r>
            <w:r w:rsidRPr="00394BB8">
              <w:rPr>
                <w:b/>
                <w:bCs/>
                <w:sz w:val="16"/>
                <w:szCs w:val="16"/>
                <w:lang w:val="en-GB"/>
              </w:rPr>
              <w:t>(</w:t>
            </w:r>
            <w:r>
              <w:rPr>
                <w:b/>
                <w:bCs/>
                <w:sz w:val="16"/>
                <w:szCs w:val="16"/>
                <w:lang w:val="en-GB"/>
              </w:rPr>
              <w:t>in thousands</w:t>
            </w:r>
            <w:r w:rsidR="00DB50F6">
              <w:rPr>
                <w:b/>
                <w:bCs/>
                <w:sz w:val="16"/>
                <w:szCs w:val="16"/>
                <w:lang w:val="en-GB"/>
              </w:rPr>
              <w:t xml:space="preserve"> of dollars</w:t>
            </w:r>
            <w:r w:rsidRPr="00394BB8">
              <w:rPr>
                <w:b/>
                <w:bCs/>
                <w:sz w:val="16"/>
                <w:szCs w:val="16"/>
                <w:lang w:val="en-GB"/>
              </w:rPr>
              <w:t>)</w:t>
            </w:r>
          </w:p>
          <w:p w14:paraId="2EC4FA3C" w14:textId="77777777" w:rsidR="009E21D2" w:rsidRPr="00394BB8" w:rsidRDefault="009E21D2" w:rsidP="0072258F">
            <w:pPr>
              <w:jc w:val="center"/>
              <w:rPr>
                <w:i/>
                <w:sz w:val="16"/>
                <w:szCs w:val="16"/>
                <w:lang w:val="en-GB"/>
              </w:rPr>
            </w:pPr>
            <w:r w:rsidRPr="00394BB8">
              <w:rPr>
                <w:bCs/>
                <w:i/>
                <w:sz w:val="16"/>
                <w:szCs w:val="16"/>
                <w:lang w:val="en-GB"/>
              </w:rPr>
              <w:t>[to be reviewed further in light of the integrated budget]</w:t>
            </w:r>
          </w:p>
        </w:tc>
      </w:tr>
      <w:tr w:rsidR="00422E9F" w:rsidRPr="00394BB8" w14:paraId="2A2CD9CD" w14:textId="77777777" w:rsidTr="00755F22">
        <w:tc>
          <w:tcPr>
            <w:tcW w:w="940" w:type="pct"/>
            <w:gridSpan w:val="2"/>
            <w:vMerge w:val="restart"/>
            <w:shd w:val="clear" w:color="auto" w:fill="auto"/>
            <w:tcMar>
              <w:top w:w="72" w:type="dxa"/>
              <w:left w:w="144" w:type="dxa"/>
              <w:bottom w:w="72" w:type="dxa"/>
              <w:right w:w="144" w:type="dxa"/>
            </w:tcMar>
          </w:tcPr>
          <w:p w14:paraId="5B5E0234" w14:textId="77777777" w:rsidR="00422E9F" w:rsidRPr="00394BB8" w:rsidRDefault="00422E9F" w:rsidP="0072258F">
            <w:pPr>
              <w:rPr>
                <w:sz w:val="16"/>
                <w:szCs w:val="16"/>
                <w:lang w:val="en-GB"/>
              </w:rPr>
            </w:pPr>
            <w:r w:rsidRPr="00394BB8">
              <w:rPr>
                <w:sz w:val="16"/>
                <w:szCs w:val="16"/>
                <w:lang w:val="en-GB"/>
              </w:rPr>
              <w:t xml:space="preserve">1. Worldwide Governance Indicators </w:t>
            </w:r>
          </w:p>
          <w:p w14:paraId="4087756F" w14:textId="28B4CE0F" w:rsidR="00422E9F" w:rsidRPr="00394BB8" w:rsidRDefault="00422E9F" w:rsidP="0072258F">
            <w:pPr>
              <w:rPr>
                <w:sz w:val="16"/>
                <w:szCs w:val="16"/>
                <w:lang w:val="en-GB"/>
              </w:rPr>
            </w:pPr>
            <w:r w:rsidRPr="008E1A9F">
              <w:rPr>
                <w:i/>
                <w:sz w:val="16"/>
                <w:szCs w:val="16"/>
                <w:lang w:val="en-GB"/>
              </w:rPr>
              <w:t>Baseline (2013):</w:t>
            </w:r>
            <w:r w:rsidRPr="00394BB8">
              <w:rPr>
                <w:sz w:val="16"/>
                <w:szCs w:val="16"/>
                <w:lang w:val="en-GB"/>
              </w:rPr>
              <w:t xml:space="preserve"> Voice and Accountability</w:t>
            </w:r>
            <w:r w:rsidRPr="00394BB8">
              <w:rPr>
                <w:rStyle w:val="FootnoteReference"/>
                <w:sz w:val="16"/>
                <w:szCs w:val="16"/>
                <w:lang w:val="en-GB"/>
              </w:rPr>
              <w:footnoteReference w:id="5"/>
            </w:r>
            <w:r w:rsidRPr="00394BB8">
              <w:rPr>
                <w:sz w:val="16"/>
                <w:szCs w:val="16"/>
                <w:lang w:val="en-GB"/>
              </w:rPr>
              <w:t xml:space="preserve"> index 54.5%; Rule of law index 53.6%; Government Effectiveness </w:t>
            </w:r>
            <w:r w:rsidR="003D6FF7">
              <w:rPr>
                <w:sz w:val="16"/>
                <w:szCs w:val="16"/>
                <w:lang w:val="en-GB"/>
              </w:rPr>
              <w:t>I</w:t>
            </w:r>
            <w:r w:rsidRPr="00394BB8">
              <w:rPr>
                <w:sz w:val="16"/>
                <w:szCs w:val="16"/>
                <w:lang w:val="en-GB"/>
              </w:rPr>
              <w:t>ndex 69.4%</w:t>
            </w:r>
          </w:p>
          <w:p w14:paraId="27B0F66C" w14:textId="3B51E686" w:rsidR="00422E9F" w:rsidRPr="00394BB8" w:rsidRDefault="00422E9F" w:rsidP="0072258F">
            <w:pPr>
              <w:rPr>
                <w:sz w:val="16"/>
                <w:szCs w:val="16"/>
                <w:lang w:val="en-GB"/>
              </w:rPr>
            </w:pPr>
            <w:r w:rsidRPr="008E1A9F">
              <w:rPr>
                <w:i/>
                <w:sz w:val="16"/>
                <w:szCs w:val="16"/>
                <w:lang w:val="en-GB"/>
              </w:rPr>
              <w:t>Targets (2020):</w:t>
            </w:r>
            <w:r w:rsidRPr="00394BB8">
              <w:rPr>
                <w:sz w:val="16"/>
                <w:szCs w:val="16"/>
                <w:lang w:val="en-GB"/>
              </w:rPr>
              <w:t xml:space="preserve"> Voice and Accountability index &gt;60%; Rule of law index &gt;58%; Government Effectiveness </w:t>
            </w:r>
            <w:r w:rsidR="008E1A9F">
              <w:rPr>
                <w:sz w:val="16"/>
                <w:szCs w:val="16"/>
                <w:lang w:val="en-GB"/>
              </w:rPr>
              <w:t>I</w:t>
            </w:r>
            <w:r w:rsidRPr="00394BB8">
              <w:rPr>
                <w:sz w:val="16"/>
                <w:szCs w:val="16"/>
                <w:lang w:val="en-GB"/>
              </w:rPr>
              <w:t>ndex &gt;72%</w:t>
            </w:r>
          </w:p>
          <w:p w14:paraId="4AEA5192" w14:textId="77777777" w:rsidR="00422E9F" w:rsidRPr="00394BB8" w:rsidRDefault="00422E9F" w:rsidP="0072258F">
            <w:pPr>
              <w:rPr>
                <w:sz w:val="16"/>
                <w:szCs w:val="16"/>
                <w:lang w:val="en-GB"/>
              </w:rPr>
            </w:pPr>
          </w:p>
          <w:p w14:paraId="1A481AB1" w14:textId="50056AAF" w:rsidR="00422E9F" w:rsidRPr="00394BB8" w:rsidRDefault="00422E9F" w:rsidP="0072258F">
            <w:pPr>
              <w:rPr>
                <w:sz w:val="16"/>
                <w:szCs w:val="16"/>
                <w:lang w:val="en-GB"/>
              </w:rPr>
            </w:pPr>
            <w:r w:rsidRPr="00394BB8">
              <w:rPr>
                <w:sz w:val="16"/>
                <w:szCs w:val="16"/>
                <w:lang w:val="en-GB"/>
              </w:rPr>
              <w:t xml:space="preserve">2. Level of public confidence and satisfaction with legislature, </w:t>
            </w:r>
            <w:r w:rsidR="008E1A9F">
              <w:rPr>
                <w:sz w:val="16"/>
                <w:szCs w:val="16"/>
                <w:lang w:val="en-GB"/>
              </w:rPr>
              <w:t>j</w:t>
            </w:r>
            <w:r w:rsidRPr="00394BB8">
              <w:rPr>
                <w:sz w:val="16"/>
                <w:szCs w:val="16"/>
                <w:lang w:val="en-GB"/>
              </w:rPr>
              <w:t>udiciary, democratic system and public service delivery</w:t>
            </w:r>
          </w:p>
          <w:p w14:paraId="5B34CB2C" w14:textId="2C773AC7" w:rsidR="00422E9F" w:rsidRPr="00394BB8" w:rsidRDefault="00422E9F" w:rsidP="0072258F">
            <w:pPr>
              <w:rPr>
                <w:sz w:val="16"/>
                <w:szCs w:val="16"/>
                <w:lang w:val="en-GB"/>
              </w:rPr>
            </w:pPr>
            <w:r w:rsidRPr="008E1A9F">
              <w:rPr>
                <w:i/>
                <w:sz w:val="16"/>
                <w:szCs w:val="16"/>
                <w:lang w:val="en-GB"/>
              </w:rPr>
              <w:t>Baseline:</w:t>
            </w:r>
            <w:r w:rsidRPr="00394BB8">
              <w:rPr>
                <w:sz w:val="16"/>
                <w:szCs w:val="16"/>
                <w:lang w:val="en-GB"/>
              </w:rPr>
              <w:t xml:space="preserve"> to be  established (2015)</w:t>
            </w:r>
          </w:p>
          <w:p w14:paraId="13632CC8" w14:textId="77777777" w:rsidR="00422E9F" w:rsidRPr="00394BB8" w:rsidRDefault="00422E9F" w:rsidP="0072258F">
            <w:pPr>
              <w:rPr>
                <w:sz w:val="16"/>
                <w:szCs w:val="16"/>
                <w:lang w:val="en-GB"/>
              </w:rPr>
            </w:pPr>
            <w:r w:rsidRPr="008E1A9F">
              <w:rPr>
                <w:i/>
                <w:sz w:val="16"/>
                <w:szCs w:val="16"/>
                <w:lang w:val="en-GB"/>
              </w:rPr>
              <w:t>Target:</w:t>
            </w:r>
            <w:r w:rsidRPr="00394BB8">
              <w:rPr>
                <w:sz w:val="16"/>
                <w:szCs w:val="16"/>
                <w:lang w:val="en-GB"/>
              </w:rPr>
              <w:t xml:space="preserve"> to be set based on 2015 baseline</w:t>
            </w:r>
          </w:p>
          <w:p w14:paraId="5EB9A74E" w14:textId="77777777" w:rsidR="00422E9F" w:rsidRPr="00394BB8" w:rsidRDefault="00422E9F" w:rsidP="0072258F">
            <w:pPr>
              <w:rPr>
                <w:sz w:val="16"/>
                <w:szCs w:val="16"/>
                <w:lang w:val="en-GB"/>
              </w:rPr>
            </w:pPr>
          </w:p>
          <w:p w14:paraId="13545373" w14:textId="7ADAAAC4" w:rsidR="00422E9F" w:rsidRPr="00394BB8" w:rsidRDefault="00422E9F" w:rsidP="0072258F">
            <w:pPr>
              <w:rPr>
                <w:sz w:val="16"/>
                <w:szCs w:val="16"/>
                <w:lang w:val="en-GB"/>
              </w:rPr>
            </w:pPr>
            <w:r w:rsidRPr="00394BB8">
              <w:rPr>
                <w:sz w:val="16"/>
                <w:szCs w:val="16"/>
                <w:lang w:val="en-GB"/>
              </w:rPr>
              <w:t xml:space="preserve">3. </w:t>
            </w:r>
            <w:r w:rsidR="008E1A9F">
              <w:rPr>
                <w:sz w:val="16"/>
                <w:szCs w:val="16"/>
                <w:lang w:val="en-GB"/>
              </w:rPr>
              <w:t>S</w:t>
            </w:r>
            <w:hyperlink r:id="rId19" w:history="1">
              <w:r w:rsidRPr="00394BB8">
                <w:rPr>
                  <w:sz w:val="16"/>
                  <w:szCs w:val="16"/>
                  <w:lang w:val="en-GB"/>
                </w:rPr>
                <w:t xml:space="preserve">eats held by women in parliament and local councils </w:t>
              </w:r>
            </w:hyperlink>
          </w:p>
          <w:p w14:paraId="25121CC6" w14:textId="77777777" w:rsidR="00422E9F" w:rsidRPr="00394BB8" w:rsidRDefault="00422E9F" w:rsidP="0072258F">
            <w:pPr>
              <w:rPr>
                <w:sz w:val="16"/>
                <w:szCs w:val="16"/>
                <w:lang w:val="en-GB"/>
              </w:rPr>
            </w:pPr>
            <w:r w:rsidRPr="00394BB8">
              <w:rPr>
                <w:sz w:val="16"/>
                <w:szCs w:val="16"/>
                <w:lang w:val="en-GB"/>
              </w:rPr>
              <w:t>Baseline: Parliament 11% (2012); Local councils 11.8% (2014)</w:t>
            </w:r>
          </w:p>
          <w:p w14:paraId="2C7E521C" w14:textId="78E8D4BF" w:rsidR="00422E9F" w:rsidRPr="00394BB8" w:rsidRDefault="00422E9F" w:rsidP="00842ED7">
            <w:pPr>
              <w:rPr>
                <w:sz w:val="16"/>
                <w:szCs w:val="16"/>
                <w:lang w:val="en-GB"/>
              </w:rPr>
            </w:pPr>
            <w:r w:rsidRPr="00394BB8">
              <w:rPr>
                <w:sz w:val="16"/>
                <w:szCs w:val="16"/>
                <w:lang w:val="en-GB"/>
              </w:rPr>
              <w:t>Target: Parliament 15% (2016) 20% (2020); Local Councils 15% (2017)</w:t>
            </w:r>
          </w:p>
        </w:tc>
        <w:tc>
          <w:tcPr>
            <w:tcW w:w="934" w:type="pct"/>
            <w:vMerge w:val="restart"/>
          </w:tcPr>
          <w:p w14:paraId="0520B3EC" w14:textId="77777777" w:rsidR="00422E9F" w:rsidRPr="00394BB8" w:rsidRDefault="00422E9F" w:rsidP="0072258F">
            <w:pPr>
              <w:pStyle w:val="ListParagraph"/>
              <w:ind w:left="339" w:hanging="270"/>
              <w:rPr>
                <w:sz w:val="16"/>
                <w:szCs w:val="16"/>
                <w:lang w:val="en-GB"/>
              </w:rPr>
            </w:pPr>
          </w:p>
          <w:p w14:paraId="52A31D9B" w14:textId="78D2AA42" w:rsidR="00422E9F" w:rsidRPr="00394BB8" w:rsidRDefault="00EC51BC" w:rsidP="0072258F">
            <w:pPr>
              <w:rPr>
                <w:sz w:val="16"/>
                <w:szCs w:val="16"/>
                <w:lang w:val="en-GB"/>
              </w:rPr>
            </w:pPr>
            <w:r w:rsidRPr="00394BB8">
              <w:rPr>
                <w:sz w:val="16"/>
                <w:szCs w:val="16"/>
                <w:lang w:val="en-GB"/>
              </w:rPr>
              <w:t xml:space="preserve">Parliament </w:t>
            </w:r>
            <w:r w:rsidR="00422E9F" w:rsidRPr="00394BB8">
              <w:rPr>
                <w:sz w:val="16"/>
                <w:szCs w:val="16"/>
                <w:lang w:val="en-GB"/>
              </w:rPr>
              <w:t xml:space="preserve">reports; results of 2016 and 2020 </w:t>
            </w:r>
            <w:r w:rsidR="008E1A9F">
              <w:rPr>
                <w:sz w:val="16"/>
                <w:szCs w:val="16"/>
                <w:lang w:val="en-GB"/>
              </w:rPr>
              <w:t>p</w:t>
            </w:r>
            <w:r w:rsidR="00422E9F" w:rsidRPr="00394BB8">
              <w:rPr>
                <w:sz w:val="16"/>
                <w:szCs w:val="16"/>
                <w:lang w:val="en-GB"/>
              </w:rPr>
              <w:t xml:space="preserve">arliamentary elections; report on implementation of </w:t>
            </w:r>
            <w:r w:rsidR="008E1A9F">
              <w:rPr>
                <w:sz w:val="16"/>
                <w:szCs w:val="16"/>
                <w:lang w:val="en-GB"/>
              </w:rPr>
              <w:t>national action plan</w:t>
            </w:r>
            <w:r w:rsidR="008E1A9F" w:rsidRPr="00394BB8">
              <w:rPr>
                <w:sz w:val="16"/>
                <w:szCs w:val="16"/>
                <w:lang w:val="en-GB"/>
              </w:rPr>
              <w:t xml:space="preserve"> </w:t>
            </w:r>
            <w:r w:rsidR="00422E9F" w:rsidRPr="00394BB8">
              <w:rPr>
                <w:sz w:val="16"/>
                <w:szCs w:val="16"/>
                <w:lang w:val="en-GB"/>
              </w:rPr>
              <w:t xml:space="preserve">on </w:t>
            </w:r>
            <w:r w:rsidR="008E1A9F">
              <w:rPr>
                <w:sz w:val="16"/>
                <w:szCs w:val="16"/>
                <w:lang w:val="en-GB"/>
              </w:rPr>
              <w:t>g</w:t>
            </w:r>
            <w:r w:rsidR="00422E9F" w:rsidRPr="00394BB8">
              <w:rPr>
                <w:sz w:val="16"/>
                <w:szCs w:val="16"/>
                <w:lang w:val="en-GB"/>
              </w:rPr>
              <w:t xml:space="preserve">ender </w:t>
            </w:r>
            <w:r w:rsidR="008E1A9F">
              <w:rPr>
                <w:sz w:val="16"/>
                <w:szCs w:val="16"/>
                <w:lang w:val="en-GB"/>
              </w:rPr>
              <w:t>e</w:t>
            </w:r>
            <w:r w:rsidR="00422E9F" w:rsidRPr="00394BB8">
              <w:rPr>
                <w:sz w:val="16"/>
                <w:szCs w:val="16"/>
                <w:lang w:val="en-GB"/>
              </w:rPr>
              <w:t>quality</w:t>
            </w:r>
            <w:r w:rsidR="008E1A9F">
              <w:rPr>
                <w:sz w:val="16"/>
                <w:szCs w:val="16"/>
                <w:lang w:val="en-GB"/>
              </w:rPr>
              <w:t>,</w:t>
            </w:r>
            <w:r w:rsidR="00422E9F" w:rsidRPr="00394BB8">
              <w:rPr>
                <w:sz w:val="16"/>
                <w:szCs w:val="16"/>
                <w:lang w:val="en-GB"/>
              </w:rPr>
              <w:t xml:space="preserve"> 2014-</w:t>
            </w:r>
            <w:r w:rsidR="008E1A9F">
              <w:rPr>
                <w:sz w:val="16"/>
                <w:szCs w:val="16"/>
                <w:lang w:val="en-GB"/>
              </w:rPr>
              <w:t>20</w:t>
            </w:r>
            <w:r w:rsidR="00422E9F" w:rsidRPr="00394BB8">
              <w:rPr>
                <w:sz w:val="16"/>
                <w:szCs w:val="16"/>
                <w:lang w:val="en-GB"/>
              </w:rPr>
              <w:t>16 (annual)</w:t>
            </w:r>
          </w:p>
          <w:p w14:paraId="56B397FA" w14:textId="77777777" w:rsidR="00422E9F" w:rsidRPr="00394BB8" w:rsidRDefault="00422E9F" w:rsidP="0072258F">
            <w:pPr>
              <w:ind w:left="339" w:hanging="270"/>
              <w:rPr>
                <w:bCs/>
                <w:sz w:val="16"/>
                <w:szCs w:val="16"/>
                <w:lang w:val="en-GB"/>
              </w:rPr>
            </w:pPr>
          </w:p>
          <w:p w14:paraId="42DA3566" w14:textId="77777777" w:rsidR="00422E9F" w:rsidRPr="00394BB8" w:rsidRDefault="00422E9F" w:rsidP="0072258F">
            <w:pPr>
              <w:rPr>
                <w:bCs/>
                <w:sz w:val="16"/>
                <w:szCs w:val="16"/>
                <w:lang w:val="en-GB"/>
              </w:rPr>
            </w:pPr>
            <w:r w:rsidRPr="00394BB8">
              <w:rPr>
                <w:bCs/>
                <w:sz w:val="16"/>
                <w:szCs w:val="16"/>
                <w:lang w:val="en-GB"/>
              </w:rPr>
              <w:t>Legal and policy documents (annual)</w:t>
            </w:r>
          </w:p>
          <w:p w14:paraId="483F7341" w14:textId="77777777" w:rsidR="00422E9F" w:rsidRPr="00394BB8" w:rsidRDefault="00422E9F" w:rsidP="0072258F">
            <w:pPr>
              <w:rPr>
                <w:bCs/>
                <w:sz w:val="16"/>
                <w:szCs w:val="16"/>
                <w:lang w:val="en-GB"/>
              </w:rPr>
            </w:pPr>
          </w:p>
          <w:p w14:paraId="45355F5A" w14:textId="31D61053" w:rsidR="00422E9F" w:rsidRPr="00394BB8" w:rsidRDefault="00422E9F" w:rsidP="0072258F">
            <w:pPr>
              <w:rPr>
                <w:sz w:val="16"/>
                <w:szCs w:val="16"/>
                <w:lang w:val="en-GB"/>
              </w:rPr>
            </w:pPr>
            <w:r w:rsidRPr="00394BB8">
              <w:rPr>
                <w:sz w:val="16"/>
                <w:szCs w:val="16"/>
                <w:lang w:val="en-GB"/>
              </w:rPr>
              <w:t xml:space="preserve">Reports by </w:t>
            </w:r>
            <w:r w:rsidR="00E56032" w:rsidRPr="00E56032">
              <w:rPr>
                <w:sz w:val="16"/>
                <w:szCs w:val="16"/>
                <w:lang w:val="en-GB"/>
              </w:rPr>
              <w:t xml:space="preserve">Public Defender, </w:t>
            </w:r>
            <w:r w:rsidRPr="00394BB8">
              <w:rPr>
                <w:sz w:val="16"/>
                <w:szCs w:val="16"/>
                <w:lang w:val="en-GB"/>
              </w:rPr>
              <w:t>, U</w:t>
            </w:r>
            <w:r w:rsidR="008E1A9F">
              <w:rPr>
                <w:sz w:val="16"/>
                <w:szCs w:val="16"/>
                <w:lang w:val="en-GB"/>
              </w:rPr>
              <w:t>nited Nations</w:t>
            </w:r>
            <w:r w:rsidRPr="00394BB8">
              <w:rPr>
                <w:sz w:val="16"/>
                <w:szCs w:val="16"/>
                <w:lang w:val="en-GB"/>
              </w:rPr>
              <w:t xml:space="preserve"> </w:t>
            </w:r>
            <w:r w:rsidR="008E1A9F">
              <w:rPr>
                <w:sz w:val="16"/>
                <w:szCs w:val="16"/>
                <w:lang w:val="en-GB"/>
              </w:rPr>
              <w:t>h</w:t>
            </w:r>
            <w:r w:rsidRPr="00394BB8">
              <w:rPr>
                <w:sz w:val="16"/>
                <w:szCs w:val="16"/>
                <w:lang w:val="en-GB"/>
              </w:rPr>
              <w:t xml:space="preserve">uman </w:t>
            </w:r>
            <w:r w:rsidR="008E1A9F">
              <w:rPr>
                <w:sz w:val="16"/>
                <w:szCs w:val="16"/>
                <w:lang w:val="en-GB"/>
              </w:rPr>
              <w:t>r</w:t>
            </w:r>
            <w:r w:rsidRPr="00394BB8">
              <w:rPr>
                <w:sz w:val="16"/>
                <w:szCs w:val="16"/>
                <w:lang w:val="en-GB"/>
              </w:rPr>
              <w:t xml:space="preserve">ights </w:t>
            </w:r>
            <w:r w:rsidR="008E1A9F">
              <w:rPr>
                <w:sz w:val="16"/>
                <w:szCs w:val="16"/>
                <w:lang w:val="en-GB"/>
              </w:rPr>
              <w:t>m</w:t>
            </w:r>
            <w:r w:rsidRPr="00394BB8">
              <w:rPr>
                <w:sz w:val="16"/>
                <w:szCs w:val="16"/>
                <w:lang w:val="en-GB"/>
              </w:rPr>
              <w:t xml:space="preserve">echanisms; </w:t>
            </w:r>
            <w:r w:rsidR="0077640B">
              <w:rPr>
                <w:sz w:val="16"/>
                <w:szCs w:val="16"/>
                <w:lang w:val="en-GB"/>
              </w:rPr>
              <w:t>non-governmental organizations (</w:t>
            </w:r>
            <w:r w:rsidRPr="00394BB8">
              <w:rPr>
                <w:sz w:val="16"/>
                <w:szCs w:val="16"/>
                <w:lang w:val="en-GB"/>
              </w:rPr>
              <w:t>NGOs</w:t>
            </w:r>
          </w:p>
          <w:p w14:paraId="2B97D843" w14:textId="77777777" w:rsidR="00422E9F" w:rsidRPr="00394BB8" w:rsidRDefault="00422E9F" w:rsidP="0072258F">
            <w:pPr>
              <w:rPr>
                <w:bCs/>
                <w:sz w:val="16"/>
                <w:szCs w:val="16"/>
                <w:lang w:val="en-GB"/>
              </w:rPr>
            </w:pPr>
          </w:p>
          <w:p w14:paraId="7B5050A3" w14:textId="203E7876" w:rsidR="00422E9F" w:rsidRPr="00394BB8" w:rsidRDefault="00422E9F" w:rsidP="0072258F">
            <w:pPr>
              <w:rPr>
                <w:bCs/>
                <w:sz w:val="16"/>
                <w:szCs w:val="16"/>
                <w:lang w:val="en-GB"/>
              </w:rPr>
            </w:pPr>
            <w:r w:rsidRPr="00394BB8">
              <w:rPr>
                <w:bCs/>
                <w:sz w:val="16"/>
                <w:szCs w:val="16"/>
                <w:lang w:val="en-GB"/>
              </w:rPr>
              <w:t xml:space="preserve">Surveys and assessments by NGOs and international organizations </w:t>
            </w:r>
          </w:p>
          <w:p w14:paraId="5332764C" w14:textId="77777777" w:rsidR="00422E9F" w:rsidRPr="00394BB8" w:rsidRDefault="00422E9F" w:rsidP="0072258F">
            <w:pPr>
              <w:rPr>
                <w:bCs/>
                <w:sz w:val="16"/>
                <w:szCs w:val="16"/>
                <w:lang w:val="en-GB"/>
              </w:rPr>
            </w:pPr>
          </w:p>
          <w:p w14:paraId="21805CD4" w14:textId="24078711" w:rsidR="00422E9F" w:rsidRPr="00394BB8" w:rsidRDefault="00422E9F" w:rsidP="003155F6">
            <w:pPr>
              <w:rPr>
                <w:bCs/>
                <w:sz w:val="16"/>
                <w:szCs w:val="16"/>
                <w:lang w:val="en-GB"/>
              </w:rPr>
            </w:pPr>
            <w:r w:rsidRPr="00394BB8">
              <w:rPr>
                <w:bCs/>
                <w:sz w:val="16"/>
                <w:szCs w:val="16"/>
                <w:lang w:val="en-GB"/>
              </w:rPr>
              <w:t>External</w:t>
            </w:r>
            <w:r w:rsidR="00EC51BC" w:rsidRPr="00394BB8">
              <w:rPr>
                <w:bCs/>
                <w:sz w:val="16"/>
                <w:szCs w:val="16"/>
                <w:lang w:val="en-GB"/>
              </w:rPr>
              <w:t xml:space="preserve"> project</w:t>
            </w:r>
            <w:r w:rsidRPr="00394BB8">
              <w:rPr>
                <w:bCs/>
                <w:sz w:val="16"/>
                <w:szCs w:val="16"/>
                <w:lang w:val="en-GB"/>
              </w:rPr>
              <w:t xml:space="preserve"> evaluations </w:t>
            </w:r>
          </w:p>
        </w:tc>
        <w:tc>
          <w:tcPr>
            <w:tcW w:w="1435" w:type="pct"/>
            <w:vMerge w:val="restart"/>
            <w:tcMar>
              <w:top w:w="72" w:type="dxa"/>
              <w:left w:w="144" w:type="dxa"/>
              <w:bottom w:w="72" w:type="dxa"/>
              <w:right w:w="144" w:type="dxa"/>
            </w:tcMar>
          </w:tcPr>
          <w:p w14:paraId="5475E637" w14:textId="50AC16E4" w:rsidR="00422E9F" w:rsidRPr="00394BB8" w:rsidRDefault="00422E9F" w:rsidP="009A6908">
            <w:pPr>
              <w:spacing w:after="120"/>
              <w:rPr>
                <w:b/>
                <w:sz w:val="16"/>
                <w:szCs w:val="16"/>
                <w:lang w:val="en-GB"/>
              </w:rPr>
            </w:pPr>
            <w:r w:rsidRPr="0077640B">
              <w:rPr>
                <w:b/>
                <w:i/>
                <w:sz w:val="16"/>
                <w:szCs w:val="16"/>
                <w:lang w:val="en-GB"/>
              </w:rPr>
              <w:t>Output 1.1.</w:t>
            </w:r>
            <w:r w:rsidRPr="00394BB8">
              <w:rPr>
                <w:b/>
                <w:sz w:val="16"/>
                <w:szCs w:val="16"/>
                <w:lang w:val="en-GB"/>
              </w:rPr>
              <w:t xml:space="preserve"> By 2020</w:t>
            </w:r>
            <w:r w:rsidR="0077640B">
              <w:rPr>
                <w:b/>
                <w:sz w:val="16"/>
                <w:szCs w:val="16"/>
                <w:lang w:val="en-GB"/>
              </w:rPr>
              <w:t>,</w:t>
            </w:r>
            <w:r w:rsidRPr="00394BB8">
              <w:rPr>
                <w:b/>
                <w:sz w:val="16"/>
                <w:szCs w:val="16"/>
                <w:lang w:val="en-GB"/>
              </w:rPr>
              <w:t xml:space="preserve"> Government has stronger capacities to </w:t>
            </w:r>
            <w:r w:rsidRPr="00394BB8">
              <w:rPr>
                <w:b/>
                <w:bCs/>
                <w:sz w:val="16"/>
                <w:szCs w:val="16"/>
                <w:lang w:val="en-GB"/>
              </w:rPr>
              <w:t xml:space="preserve">formulate, implement and monitor policies </w:t>
            </w:r>
            <w:r w:rsidRPr="00394BB8">
              <w:rPr>
                <w:b/>
                <w:sz w:val="16"/>
                <w:szCs w:val="16"/>
                <w:lang w:val="en-GB"/>
              </w:rPr>
              <w:t>in a participatory, citizen-centred and evidence-based manner for improved service delivery</w:t>
            </w:r>
            <w:r w:rsidR="0077640B">
              <w:rPr>
                <w:b/>
                <w:sz w:val="16"/>
                <w:szCs w:val="16"/>
                <w:lang w:val="en-GB"/>
              </w:rPr>
              <w:t>,</w:t>
            </w:r>
            <w:r w:rsidRPr="00394BB8">
              <w:rPr>
                <w:b/>
                <w:sz w:val="16"/>
                <w:szCs w:val="16"/>
                <w:lang w:val="en-GB"/>
              </w:rPr>
              <w:t xml:space="preserve"> with equal access for all</w:t>
            </w:r>
          </w:p>
          <w:p w14:paraId="1EB256BA" w14:textId="4B832054" w:rsidR="00422E9F" w:rsidRPr="00394BB8" w:rsidRDefault="00422E9F" w:rsidP="00156DCC">
            <w:pPr>
              <w:pStyle w:val="ListParagraph"/>
              <w:numPr>
                <w:ilvl w:val="2"/>
                <w:numId w:val="5"/>
              </w:numPr>
              <w:rPr>
                <w:sz w:val="16"/>
                <w:szCs w:val="16"/>
                <w:lang w:val="en-GB"/>
              </w:rPr>
            </w:pPr>
            <w:r w:rsidRPr="00394BB8">
              <w:rPr>
                <w:sz w:val="16"/>
                <w:szCs w:val="16"/>
                <w:lang w:val="en-GB"/>
              </w:rPr>
              <w:t xml:space="preserve"> By 2020, </w:t>
            </w:r>
            <w:r w:rsidR="0077640B">
              <w:rPr>
                <w:sz w:val="16"/>
                <w:szCs w:val="16"/>
                <w:lang w:val="en-GB"/>
              </w:rPr>
              <w:t>p</w:t>
            </w:r>
            <w:r w:rsidRPr="00394BB8">
              <w:rPr>
                <w:sz w:val="16"/>
                <w:szCs w:val="16"/>
                <w:lang w:val="en-GB"/>
              </w:rPr>
              <w:t xml:space="preserve">ublic </w:t>
            </w:r>
            <w:r w:rsidR="0077640B">
              <w:rPr>
                <w:sz w:val="16"/>
                <w:szCs w:val="16"/>
                <w:lang w:val="en-GB"/>
              </w:rPr>
              <w:t>a</w:t>
            </w:r>
            <w:r w:rsidRPr="00394BB8">
              <w:rPr>
                <w:sz w:val="16"/>
                <w:szCs w:val="16"/>
                <w:lang w:val="en-GB"/>
              </w:rPr>
              <w:t>dministration reform strategy (gender sensitive) adopted and implemented</w:t>
            </w:r>
          </w:p>
          <w:p w14:paraId="6F210880" w14:textId="77777777" w:rsidR="00422E9F" w:rsidRPr="00394BB8" w:rsidRDefault="00422E9F" w:rsidP="0072258F">
            <w:pPr>
              <w:rPr>
                <w:sz w:val="16"/>
                <w:szCs w:val="16"/>
                <w:lang w:val="en-GB"/>
              </w:rPr>
            </w:pPr>
            <w:r w:rsidRPr="0077640B">
              <w:rPr>
                <w:i/>
                <w:sz w:val="16"/>
                <w:szCs w:val="16"/>
                <w:lang w:val="en-GB"/>
              </w:rPr>
              <w:t>Baseline:</w:t>
            </w:r>
            <w:r w:rsidRPr="00394BB8">
              <w:rPr>
                <w:sz w:val="16"/>
                <w:szCs w:val="16"/>
                <w:lang w:val="en-GB"/>
              </w:rPr>
              <w:t xml:space="preserve"> Not in place</w:t>
            </w:r>
          </w:p>
          <w:p w14:paraId="614FFC1A" w14:textId="34A8AC6B" w:rsidR="00422E9F" w:rsidRPr="00394BB8" w:rsidRDefault="00422E9F" w:rsidP="0072258F">
            <w:pPr>
              <w:rPr>
                <w:sz w:val="16"/>
                <w:szCs w:val="16"/>
                <w:lang w:val="en-GB"/>
              </w:rPr>
            </w:pPr>
            <w:r w:rsidRPr="0077640B">
              <w:rPr>
                <w:i/>
                <w:sz w:val="16"/>
                <w:szCs w:val="16"/>
                <w:lang w:val="en-GB"/>
              </w:rPr>
              <w:t>Target:</w:t>
            </w:r>
            <w:r w:rsidRPr="00394BB8">
              <w:rPr>
                <w:sz w:val="16"/>
                <w:szCs w:val="16"/>
                <w:lang w:val="en-GB"/>
              </w:rPr>
              <w:t xml:space="preserve"> Gender sensitive </w:t>
            </w:r>
            <w:r w:rsidR="00E56032">
              <w:rPr>
                <w:sz w:val="16"/>
                <w:szCs w:val="16"/>
                <w:lang w:val="en-GB"/>
              </w:rPr>
              <w:t>Public Administration</w:t>
            </w:r>
            <w:r w:rsidR="005D43D7">
              <w:rPr>
                <w:sz w:val="16"/>
                <w:szCs w:val="16"/>
                <w:lang w:val="en-GB"/>
              </w:rPr>
              <w:t xml:space="preserve"> </w:t>
            </w:r>
            <w:r w:rsidRPr="00394BB8">
              <w:rPr>
                <w:sz w:val="16"/>
                <w:szCs w:val="16"/>
                <w:lang w:val="en-GB"/>
              </w:rPr>
              <w:t>roadmap in place; 70 % of activities implemented;</w:t>
            </w:r>
          </w:p>
          <w:p w14:paraId="62031522" w14:textId="706C96FF" w:rsidR="00422E9F" w:rsidRPr="00394BB8" w:rsidRDefault="0077640B" w:rsidP="009A6908">
            <w:pPr>
              <w:spacing w:after="120"/>
              <w:rPr>
                <w:sz w:val="16"/>
                <w:szCs w:val="16"/>
                <w:lang w:val="en-GB"/>
              </w:rPr>
            </w:pPr>
            <w:r w:rsidRPr="0077640B">
              <w:rPr>
                <w:i/>
                <w:sz w:val="16"/>
                <w:szCs w:val="16"/>
                <w:lang w:val="en-GB"/>
              </w:rPr>
              <w:t>Source</w:t>
            </w:r>
            <w:r w:rsidR="00422E9F" w:rsidRPr="0077640B">
              <w:rPr>
                <w:i/>
                <w:sz w:val="16"/>
                <w:szCs w:val="16"/>
                <w:lang w:val="en-GB"/>
              </w:rPr>
              <w:t>:</w:t>
            </w:r>
            <w:r w:rsidR="00422E9F" w:rsidRPr="00394BB8">
              <w:rPr>
                <w:sz w:val="16"/>
                <w:szCs w:val="16"/>
                <w:lang w:val="en-GB"/>
              </w:rPr>
              <w:t xml:space="preserve"> E</w:t>
            </w:r>
            <w:r>
              <w:rPr>
                <w:sz w:val="16"/>
                <w:szCs w:val="16"/>
                <w:lang w:val="en-GB"/>
              </w:rPr>
              <w:t>uropean Union</w:t>
            </w:r>
            <w:r w:rsidR="00422E9F" w:rsidRPr="00394BB8">
              <w:rPr>
                <w:sz w:val="16"/>
                <w:szCs w:val="16"/>
                <w:lang w:val="en-GB"/>
              </w:rPr>
              <w:t xml:space="preserve"> sector assessment reports</w:t>
            </w:r>
          </w:p>
          <w:p w14:paraId="2B4E9BA9" w14:textId="10E9AB7A" w:rsidR="00422E9F" w:rsidRPr="00394BB8" w:rsidRDefault="009A6908" w:rsidP="00156DCC">
            <w:pPr>
              <w:pStyle w:val="ListParagraph"/>
              <w:numPr>
                <w:ilvl w:val="2"/>
                <w:numId w:val="5"/>
              </w:numPr>
              <w:rPr>
                <w:sz w:val="16"/>
                <w:szCs w:val="16"/>
                <w:lang w:val="en-GB"/>
              </w:rPr>
            </w:pPr>
            <w:r>
              <w:rPr>
                <w:sz w:val="16"/>
                <w:szCs w:val="16"/>
                <w:lang w:val="en-GB"/>
              </w:rPr>
              <w:t xml:space="preserve"> </w:t>
            </w:r>
            <w:r w:rsidR="00422E9F" w:rsidRPr="00394BB8">
              <w:rPr>
                <w:sz w:val="16"/>
                <w:szCs w:val="16"/>
                <w:lang w:val="en-GB"/>
              </w:rPr>
              <w:t xml:space="preserve">Legal amendments in place ensuring completion of civil service reform </w:t>
            </w:r>
          </w:p>
          <w:p w14:paraId="01B661DD" w14:textId="77777777" w:rsidR="00422E9F" w:rsidRPr="00394BB8" w:rsidRDefault="00422E9F" w:rsidP="0072258F">
            <w:pPr>
              <w:rPr>
                <w:sz w:val="16"/>
                <w:szCs w:val="16"/>
                <w:lang w:val="en-GB"/>
              </w:rPr>
            </w:pPr>
            <w:r w:rsidRPr="009A6908">
              <w:rPr>
                <w:i/>
                <w:sz w:val="16"/>
                <w:szCs w:val="16"/>
                <w:lang w:val="en-GB"/>
              </w:rPr>
              <w:t>Baseline:</w:t>
            </w:r>
            <w:r w:rsidRPr="00394BB8">
              <w:rPr>
                <w:sz w:val="16"/>
                <w:szCs w:val="16"/>
                <w:lang w:val="en-GB"/>
              </w:rPr>
              <w:t xml:space="preserve"> Not in place</w:t>
            </w:r>
          </w:p>
          <w:p w14:paraId="4CD508FE" w14:textId="77777777" w:rsidR="00422E9F" w:rsidRPr="00394BB8" w:rsidRDefault="00422E9F" w:rsidP="0072258F">
            <w:pPr>
              <w:rPr>
                <w:sz w:val="16"/>
                <w:szCs w:val="16"/>
                <w:lang w:val="en-GB"/>
              </w:rPr>
            </w:pPr>
            <w:r w:rsidRPr="009A6908">
              <w:rPr>
                <w:i/>
                <w:sz w:val="16"/>
                <w:szCs w:val="16"/>
                <w:lang w:val="en-GB"/>
              </w:rPr>
              <w:t>Target:</w:t>
            </w:r>
            <w:r w:rsidRPr="00394BB8">
              <w:rPr>
                <w:sz w:val="16"/>
                <w:szCs w:val="16"/>
                <w:lang w:val="en-GB"/>
              </w:rPr>
              <w:t xml:space="preserve"> Legal amendments in place</w:t>
            </w:r>
            <w:r w:rsidRPr="00394BB8" w:rsidDel="00640E8F">
              <w:rPr>
                <w:sz w:val="16"/>
                <w:szCs w:val="16"/>
                <w:highlight w:val="yellow"/>
                <w:lang w:val="en-GB"/>
              </w:rPr>
              <w:t xml:space="preserve"> </w:t>
            </w:r>
          </w:p>
          <w:p w14:paraId="23C6CA79" w14:textId="18F5B925" w:rsidR="00422E9F" w:rsidRPr="00394BB8" w:rsidRDefault="0077640B" w:rsidP="009A6908">
            <w:pPr>
              <w:spacing w:after="120"/>
              <w:rPr>
                <w:sz w:val="16"/>
                <w:szCs w:val="16"/>
                <w:lang w:val="en-GB"/>
              </w:rPr>
            </w:pPr>
            <w:r w:rsidRPr="0077640B">
              <w:rPr>
                <w:i/>
                <w:sz w:val="16"/>
                <w:szCs w:val="16"/>
                <w:lang w:val="en-GB"/>
              </w:rPr>
              <w:t>Source:</w:t>
            </w:r>
            <w:r w:rsidR="00422E9F" w:rsidRPr="00394BB8">
              <w:rPr>
                <w:sz w:val="16"/>
                <w:szCs w:val="16"/>
                <w:lang w:val="en-GB"/>
              </w:rPr>
              <w:t xml:space="preserve"> Civil service code</w:t>
            </w:r>
          </w:p>
          <w:p w14:paraId="552605EB" w14:textId="6F641E17" w:rsidR="00422E9F" w:rsidRPr="00394BB8" w:rsidRDefault="00422E9F" w:rsidP="00156DCC">
            <w:pPr>
              <w:pStyle w:val="ListParagraph"/>
              <w:numPr>
                <w:ilvl w:val="2"/>
                <w:numId w:val="5"/>
              </w:numPr>
              <w:rPr>
                <w:sz w:val="16"/>
                <w:szCs w:val="16"/>
                <w:lang w:val="en-GB"/>
              </w:rPr>
            </w:pPr>
            <w:r w:rsidRPr="00394BB8">
              <w:rPr>
                <w:sz w:val="16"/>
                <w:szCs w:val="16"/>
                <w:lang w:val="en-GB"/>
              </w:rPr>
              <w:t xml:space="preserve"> Number of public agencies with gender</w:t>
            </w:r>
            <w:r w:rsidR="009A6908">
              <w:rPr>
                <w:sz w:val="16"/>
                <w:szCs w:val="16"/>
                <w:lang w:val="en-GB"/>
              </w:rPr>
              <w:t>-</w:t>
            </w:r>
            <w:r w:rsidRPr="00394BB8">
              <w:rPr>
                <w:sz w:val="16"/>
                <w:szCs w:val="16"/>
                <w:lang w:val="en-GB"/>
              </w:rPr>
              <w:t>sensitive institutional development plans adopted and implemented;</w:t>
            </w:r>
          </w:p>
          <w:p w14:paraId="2EBDE1FD" w14:textId="77777777" w:rsidR="00422E9F" w:rsidRPr="00394BB8" w:rsidRDefault="00422E9F" w:rsidP="0072258F">
            <w:pPr>
              <w:rPr>
                <w:sz w:val="16"/>
                <w:szCs w:val="16"/>
                <w:lang w:val="en-GB"/>
              </w:rPr>
            </w:pPr>
            <w:r w:rsidRPr="009A6908">
              <w:rPr>
                <w:i/>
                <w:sz w:val="16"/>
                <w:szCs w:val="16"/>
                <w:lang w:val="en-GB"/>
              </w:rPr>
              <w:t>Baseline:</w:t>
            </w:r>
            <w:r w:rsidRPr="00394BB8">
              <w:rPr>
                <w:sz w:val="16"/>
                <w:szCs w:val="16"/>
                <w:lang w:val="en-GB"/>
              </w:rPr>
              <w:t xml:space="preserve"> None</w:t>
            </w:r>
          </w:p>
          <w:p w14:paraId="459363AD" w14:textId="77777777" w:rsidR="00422E9F" w:rsidRPr="00394BB8" w:rsidRDefault="00422E9F" w:rsidP="0072258F">
            <w:pPr>
              <w:rPr>
                <w:sz w:val="16"/>
                <w:szCs w:val="16"/>
                <w:lang w:val="en-GB"/>
              </w:rPr>
            </w:pPr>
            <w:r w:rsidRPr="009A6908">
              <w:rPr>
                <w:i/>
                <w:sz w:val="16"/>
                <w:szCs w:val="16"/>
                <w:lang w:val="en-GB"/>
              </w:rPr>
              <w:t>Target:</w:t>
            </w:r>
            <w:r w:rsidRPr="00394BB8">
              <w:rPr>
                <w:sz w:val="16"/>
                <w:szCs w:val="16"/>
                <w:lang w:val="en-GB"/>
              </w:rPr>
              <w:t xml:space="preserve"> at least 7- adopted; at least 70 % of priorities – implemented;</w:t>
            </w:r>
          </w:p>
          <w:p w14:paraId="0939E60D" w14:textId="45A4C6D8" w:rsidR="00422E9F" w:rsidRPr="00394BB8" w:rsidRDefault="0077640B" w:rsidP="0072258F">
            <w:pPr>
              <w:rPr>
                <w:sz w:val="16"/>
                <w:szCs w:val="16"/>
                <w:lang w:val="en-GB"/>
              </w:rPr>
            </w:pPr>
            <w:r w:rsidRPr="0077640B">
              <w:rPr>
                <w:i/>
                <w:sz w:val="16"/>
                <w:szCs w:val="16"/>
                <w:lang w:val="en-GB"/>
              </w:rPr>
              <w:t>Source:</w:t>
            </w:r>
            <w:r w:rsidR="00422E9F" w:rsidRPr="00394BB8">
              <w:rPr>
                <w:sz w:val="16"/>
                <w:szCs w:val="16"/>
                <w:lang w:val="en-GB"/>
              </w:rPr>
              <w:t xml:space="preserve"> </w:t>
            </w:r>
            <w:r w:rsidR="009A6908">
              <w:rPr>
                <w:sz w:val="16"/>
                <w:szCs w:val="16"/>
                <w:lang w:val="en-GB"/>
              </w:rPr>
              <w:t>European Union</w:t>
            </w:r>
            <w:r w:rsidR="009A6908" w:rsidRPr="00394BB8">
              <w:rPr>
                <w:sz w:val="16"/>
                <w:szCs w:val="16"/>
                <w:lang w:val="en-GB"/>
              </w:rPr>
              <w:t xml:space="preserve"> </w:t>
            </w:r>
            <w:r w:rsidR="00422E9F" w:rsidRPr="00394BB8">
              <w:rPr>
                <w:sz w:val="16"/>
                <w:szCs w:val="16"/>
                <w:lang w:val="en-GB"/>
              </w:rPr>
              <w:t>sector assessment reports</w:t>
            </w:r>
          </w:p>
          <w:p w14:paraId="68B9E9D9" w14:textId="77777777" w:rsidR="0077640B" w:rsidRPr="00394BB8" w:rsidRDefault="0077640B" w:rsidP="0072258F">
            <w:pPr>
              <w:rPr>
                <w:sz w:val="16"/>
                <w:szCs w:val="16"/>
                <w:lang w:val="en-GB"/>
              </w:rPr>
            </w:pPr>
          </w:p>
          <w:p w14:paraId="20F9BF0F" w14:textId="6EE35017" w:rsidR="00422E9F" w:rsidRPr="00394BB8" w:rsidRDefault="00422E9F" w:rsidP="009A6908">
            <w:pPr>
              <w:rPr>
                <w:b/>
                <w:sz w:val="16"/>
                <w:szCs w:val="16"/>
                <w:lang w:val="en-GB"/>
              </w:rPr>
            </w:pPr>
            <w:r w:rsidRPr="009A6908">
              <w:rPr>
                <w:b/>
                <w:i/>
                <w:sz w:val="16"/>
                <w:szCs w:val="16"/>
                <w:lang w:val="en-GB"/>
              </w:rPr>
              <w:t>Output 1.2</w:t>
            </w:r>
            <w:r w:rsidR="009A6908" w:rsidRPr="009A6908">
              <w:rPr>
                <w:b/>
                <w:i/>
                <w:sz w:val="16"/>
                <w:szCs w:val="16"/>
                <w:lang w:val="en-GB"/>
              </w:rPr>
              <w:t>.</w:t>
            </w:r>
            <w:r w:rsidRPr="00394BB8">
              <w:rPr>
                <w:b/>
                <w:sz w:val="16"/>
                <w:szCs w:val="16"/>
                <w:lang w:val="en-GB"/>
              </w:rPr>
              <w:t xml:space="preserve"> By 2020, government improves protection and enjoyment of human rights and </w:t>
            </w:r>
            <w:r w:rsidRPr="00394BB8">
              <w:rPr>
                <w:b/>
                <w:sz w:val="16"/>
                <w:szCs w:val="16"/>
                <w:lang w:val="en-GB"/>
              </w:rPr>
              <w:lastRenderedPageBreak/>
              <w:t>gender equality</w:t>
            </w:r>
            <w:r w:rsidR="002D480D">
              <w:rPr>
                <w:b/>
                <w:sz w:val="16"/>
                <w:szCs w:val="16"/>
                <w:lang w:val="en-GB"/>
              </w:rPr>
              <w:t>,</w:t>
            </w:r>
            <w:r w:rsidRPr="00394BB8">
              <w:rPr>
                <w:b/>
                <w:sz w:val="16"/>
                <w:szCs w:val="16"/>
                <w:lang w:val="en-GB"/>
              </w:rPr>
              <w:t xml:space="preserve"> especially among minority and vulnerable groups</w:t>
            </w:r>
          </w:p>
          <w:p w14:paraId="7002E6FD" w14:textId="21846663" w:rsidR="00422E9F" w:rsidRPr="00394BB8" w:rsidRDefault="00422E9F" w:rsidP="0072258F">
            <w:pPr>
              <w:rPr>
                <w:sz w:val="16"/>
                <w:szCs w:val="16"/>
                <w:lang w:val="en-GB"/>
              </w:rPr>
            </w:pPr>
            <w:r w:rsidRPr="00394BB8">
              <w:rPr>
                <w:sz w:val="16"/>
                <w:szCs w:val="16"/>
                <w:lang w:val="en-GB"/>
              </w:rPr>
              <w:t>1.2.1</w:t>
            </w:r>
            <w:r w:rsidR="009A6908">
              <w:rPr>
                <w:sz w:val="16"/>
                <w:szCs w:val="16"/>
                <w:lang w:val="en-GB"/>
              </w:rPr>
              <w:t>.</w:t>
            </w:r>
            <w:r w:rsidRPr="00394BB8">
              <w:rPr>
                <w:sz w:val="16"/>
                <w:szCs w:val="16"/>
                <w:lang w:val="en-GB"/>
              </w:rPr>
              <w:t xml:space="preserve"> </w:t>
            </w:r>
            <w:r w:rsidR="0077640B">
              <w:rPr>
                <w:sz w:val="16"/>
                <w:szCs w:val="16"/>
                <w:lang w:val="en-GB"/>
              </w:rPr>
              <w:t>I</w:t>
            </w:r>
            <w:r w:rsidRPr="00394BB8">
              <w:rPr>
                <w:sz w:val="16"/>
                <w:szCs w:val="16"/>
                <w:lang w:val="en-GB"/>
              </w:rPr>
              <w:t xml:space="preserve">mplementation of </w:t>
            </w:r>
            <w:r w:rsidR="0077640B">
              <w:rPr>
                <w:sz w:val="16"/>
                <w:szCs w:val="16"/>
                <w:lang w:val="en-GB"/>
              </w:rPr>
              <w:t xml:space="preserve">the </w:t>
            </w:r>
            <w:r w:rsidRPr="00394BB8">
              <w:rPr>
                <w:sz w:val="16"/>
                <w:szCs w:val="16"/>
                <w:lang w:val="en-GB"/>
              </w:rPr>
              <w:t>National Human Rights Strategy and Action Plan, incl</w:t>
            </w:r>
            <w:r w:rsidR="00A652DD">
              <w:rPr>
                <w:sz w:val="16"/>
                <w:szCs w:val="16"/>
                <w:lang w:val="en-GB"/>
              </w:rPr>
              <w:t>uding</w:t>
            </w:r>
            <w:r w:rsidRPr="00394BB8">
              <w:rPr>
                <w:sz w:val="16"/>
                <w:szCs w:val="16"/>
                <w:lang w:val="en-GB"/>
              </w:rPr>
              <w:t xml:space="preserve"> sections targeting </w:t>
            </w:r>
            <w:r w:rsidR="008E1A9F">
              <w:rPr>
                <w:sz w:val="16"/>
                <w:szCs w:val="16"/>
                <w:lang w:val="en-GB"/>
              </w:rPr>
              <w:t>people with disabilities</w:t>
            </w:r>
            <w:r w:rsidRPr="00394BB8">
              <w:rPr>
                <w:sz w:val="16"/>
                <w:szCs w:val="16"/>
                <w:lang w:val="en-GB"/>
              </w:rPr>
              <w:t>, minorities</w:t>
            </w:r>
            <w:r w:rsidR="00A652DD">
              <w:rPr>
                <w:sz w:val="16"/>
                <w:szCs w:val="16"/>
                <w:lang w:val="en-GB"/>
              </w:rPr>
              <w:t>;</w:t>
            </w:r>
            <w:r w:rsidRPr="00394BB8">
              <w:rPr>
                <w:sz w:val="16"/>
                <w:szCs w:val="16"/>
                <w:lang w:val="en-GB"/>
              </w:rPr>
              <w:t xml:space="preserve"> gender equality</w:t>
            </w:r>
          </w:p>
          <w:p w14:paraId="3AB44A0B" w14:textId="564C0E0E" w:rsidR="00422E9F" w:rsidRPr="00394BB8" w:rsidRDefault="00422E9F" w:rsidP="0072258F">
            <w:pPr>
              <w:rPr>
                <w:sz w:val="16"/>
                <w:szCs w:val="16"/>
                <w:lang w:val="en-GB"/>
              </w:rPr>
            </w:pPr>
            <w:r w:rsidRPr="002D480D">
              <w:rPr>
                <w:i/>
                <w:sz w:val="16"/>
                <w:szCs w:val="16"/>
                <w:lang w:val="en-GB"/>
              </w:rPr>
              <w:t>Baseline:</w:t>
            </w:r>
            <w:r w:rsidRPr="00394BB8">
              <w:rPr>
                <w:sz w:val="16"/>
                <w:szCs w:val="16"/>
                <w:lang w:val="en-GB"/>
              </w:rPr>
              <w:t xml:space="preserve"> 20 %</w:t>
            </w:r>
            <w:r w:rsidR="00E20A88">
              <w:rPr>
                <w:sz w:val="16"/>
                <w:szCs w:val="16"/>
                <w:lang w:val="en-GB"/>
              </w:rPr>
              <w:t>;</w:t>
            </w:r>
            <w:r w:rsidRPr="00394BB8">
              <w:rPr>
                <w:sz w:val="16"/>
                <w:szCs w:val="16"/>
                <w:lang w:val="en-GB"/>
              </w:rPr>
              <w:t xml:space="preserve"> </w:t>
            </w:r>
            <w:r w:rsidRPr="002D480D">
              <w:rPr>
                <w:i/>
                <w:sz w:val="16"/>
                <w:szCs w:val="16"/>
                <w:lang w:val="en-GB"/>
              </w:rPr>
              <w:t>Target:</w:t>
            </w:r>
            <w:r w:rsidRPr="00394BB8">
              <w:rPr>
                <w:sz w:val="16"/>
                <w:szCs w:val="16"/>
                <w:lang w:val="en-GB"/>
              </w:rPr>
              <w:t xml:space="preserve"> 80 % </w:t>
            </w:r>
          </w:p>
          <w:p w14:paraId="7C44D9E3" w14:textId="6CBE8B69" w:rsidR="00422E9F" w:rsidRPr="00394BB8" w:rsidRDefault="002D480D" w:rsidP="009A6908">
            <w:pPr>
              <w:spacing w:after="120"/>
              <w:rPr>
                <w:sz w:val="16"/>
                <w:szCs w:val="16"/>
                <w:lang w:val="en-GB"/>
              </w:rPr>
            </w:pPr>
            <w:r w:rsidRPr="0077640B">
              <w:rPr>
                <w:i/>
                <w:sz w:val="16"/>
                <w:szCs w:val="16"/>
                <w:lang w:val="en-GB"/>
              </w:rPr>
              <w:t>Source:</w:t>
            </w:r>
            <w:r w:rsidR="00422E9F" w:rsidRPr="00394BB8">
              <w:rPr>
                <w:sz w:val="16"/>
                <w:szCs w:val="16"/>
                <w:lang w:val="en-GB"/>
              </w:rPr>
              <w:t xml:space="preserve"> Progress reports on implementation of the </w:t>
            </w:r>
            <w:r>
              <w:rPr>
                <w:sz w:val="16"/>
                <w:szCs w:val="16"/>
                <w:lang w:val="en-GB"/>
              </w:rPr>
              <w:t>Plan</w:t>
            </w:r>
          </w:p>
          <w:p w14:paraId="43F39CD6" w14:textId="378AFB22" w:rsidR="00422E9F" w:rsidRPr="00394BB8" w:rsidRDefault="00422E9F" w:rsidP="009A6908">
            <w:pPr>
              <w:tabs>
                <w:tab w:val="left" w:pos="3130"/>
              </w:tabs>
              <w:rPr>
                <w:sz w:val="16"/>
                <w:szCs w:val="16"/>
                <w:lang w:val="en-GB"/>
              </w:rPr>
            </w:pPr>
            <w:r w:rsidRPr="00394BB8">
              <w:rPr>
                <w:sz w:val="16"/>
                <w:szCs w:val="16"/>
                <w:lang w:val="en-GB"/>
              </w:rPr>
              <w:t>1.2.2</w:t>
            </w:r>
            <w:r w:rsidR="009A6908">
              <w:rPr>
                <w:sz w:val="16"/>
                <w:szCs w:val="16"/>
                <w:lang w:val="en-GB"/>
              </w:rPr>
              <w:t>.</w:t>
            </w:r>
            <w:r w:rsidRPr="00394BB8">
              <w:rPr>
                <w:sz w:val="16"/>
                <w:szCs w:val="16"/>
                <w:lang w:val="en-GB"/>
              </w:rPr>
              <w:t xml:space="preserve"> Legislative amendments in place to ensure free legal aid to socially vulnerable and insolvent citizens in criminal, civil and administrative cases </w:t>
            </w:r>
          </w:p>
          <w:p w14:paraId="3C2A136D" w14:textId="69D11E31" w:rsidR="00422E9F" w:rsidRPr="00394BB8" w:rsidRDefault="00422E9F" w:rsidP="0072258F">
            <w:pPr>
              <w:tabs>
                <w:tab w:val="left" w:pos="3130"/>
              </w:tabs>
              <w:rPr>
                <w:sz w:val="16"/>
                <w:szCs w:val="16"/>
                <w:lang w:val="en-GB"/>
              </w:rPr>
            </w:pPr>
            <w:r w:rsidRPr="002D480D">
              <w:rPr>
                <w:i/>
                <w:sz w:val="16"/>
                <w:szCs w:val="16"/>
                <w:lang w:val="en-GB"/>
              </w:rPr>
              <w:t>Baseline:</w:t>
            </w:r>
            <w:r w:rsidRPr="00394BB8">
              <w:rPr>
                <w:sz w:val="16"/>
                <w:szCs w:val="16"/>
                <w:lang w:val="en-GB"/>
              </w:rPr>
              <w:t xml:space="preserve"> No. Free service is provided only in criminal cases and administrative cases concerning administrative imprisonment (2014)</w:t>
            </w:r>
            <w:r w:rsidR="00E20A88">
              <w:rPr>
                <w:sz w:val="16"/>
                <w:szCs w:val="16"/>
                <w:lang w:val="en-GB"/>
              </w:rPr>
              <w:t xml:space="preserve">; </w:t>
            </w:r>
            <w:r w:rsidRPr="002D480D">
              <w:rPr>
                <w:i/>
                <w:sz w:val="16"/>
                <w:szCs w:val="16"/>
                <w:lang w:val="en-GB"/>
              </w:rPr>
              <w:t>Target:</w:t>
            </w:r>
            <w:r w:rsidRPr="00394BB8">
              <w:rPr>
                <w:sz w:val="16"/>
                <w:szCs w:val="16"/>
                <w:lang w:val="en-GB"/>
              </w:rPr>
              <w:t xml:space="preserve"> Yes  </w:t>
            </w:r>
          </w:p>
          <w:p w14:paraId="40A27C50" w14:textId="13F3D6A7" w:rsidR="00422E9F" w:rsidRPr="00394BB8" w:rsidRDefault="002D480D" w:rsidP="009A6908">
            <w:pPr>
              <w:tabs>
                <w:tab w:val="left" w:pos="3130"/>
              </w:tabs>
              <w:spacing w:after="120"/>
              <w:rPr>
                <w:sz w:val="16"/>
                <w:szCs w:val="16"/>
                <w:lang w:val="en-GB"/>
              </w:rPr>
            </w:pPr>
            <w:r w:rsidRPr="0077640B">
              <w:rPr>
                <w:i/>
                <w:sz w:val="16"/>
                <w:szCs w:val="16"/>
                <w:lang w:val="en-GB"/>
              </w:rPr>
              <w:t>Source:</w:t>
            </w:r>
            <w:r>
              <w:rPr>
                <w:sz w:val="16"/>
                <w:szCs w:val="16"/>
                <w:lang w:val="en-GB"/>
              </w:rPr>
              <w:t xml:space="preserve"> </w:t>
            </w:r>
            <w:r w:rsidR="00422E9F" w:rsidRPr="00394BB8">
              <w:rPr>
                <w:sz w:val="16"/>
                <w:szCs w:val="16"/>
                <w:lang w:val="en-GB"/>
              </w:rPr>
              <w:t xml:space="preserve">Amendments to </w:t>
            </w:r>
            <w:r w:rsidR="00C97C6E">
              <w:rPr>
                <w:sz w:val="16"/>
                <w:szCs w:val="16"/>
                <w:lang w:val="en-GB"/>
              </w:rPr>
              <w:t>l</w:t>
            </w:r>
            <w:r w:rsidR="00422E9F" w:rsidRPr="00394BB8">
              <w:rPr>
                <w:sz w:val="16"/>
                <w:szCs w:val="16"/>
                <w:lang w:val="en-GB"/>
              </w:rPr>
              <w:t xml:space="preserve">aw of Georgia on </w:t>
            </w:r>
            <w:r>
              <w:rPr>
                <w:sz w:val="16"/>
                <w:szCs w:val="16"/>
                <w:lang w:val="en-GB"/>
              </w:rPr>
              <w:t>l</w:t>
            </w:r>
            <w:r w:rsidR="00422E9F" w:rsidRPr="00394BB8">
              <w:rPr>
                <w:sz w:val="16"/>
                <w:szCs w:val="16"/>
                <w:lang w:val="en-GB"/>
              </w:rPr>
              <w:t xml:space="preserve">egal </w:t>
            </w:r>
            <w:r>
              <w:rPr>
                <w:sz w:val="16"/>
                <w:szCs w:val="16"/>
                <w:lang w:val="en-GB"/>
              </w:rPr>
              <w:t>a</w:t>
            </w:r>
            <w:r w:rsidR="00422E9F" w:rsidRPr="00394BB8">
              <w:rPr>
                <w:sz w:val="16"/>
                <w:szCs w:val="16"/>
                <w:lang w:val="en-GB"/>
              </w:rPr>
              <w:t>id</w:t>
            </w:r>
          </w:p>
          <w:p w14:paraId="5B3E136B" w14:textId="4E173DB8" w:rsidR="00422E9F" w:rsidRPr="00394BB8" w:rsidRDefault="00422E9F" w:rsidP="0072258F">
            <w:pPr>
              <w:rPr>
                <w:sz w:val="16"/>
                <w:szCs w:val="16"/>
                <w:lang w:val="en-GB"/>
              </w:rPr>
            </w:pPr>
            <w:r w:rsidRPr="00394BB8">
              <w:rPr>
                <w:sz w:val="16"/>
                <w:szCs w:val="16"/>
                <w:lang w:val="en-GB"/>
              </w:rPr>
              <w:t>1.2.3</w:t>
            </w:r>
            <w:r w:rsidR="00BB5C66">
              <w:rPr>
                <w:sz w:val="16"/>
                <w:szCs w:val="16"/>
                <w:lang w:val="en-GB"/>
              </w:rPr>
              <w:t>.</w:t>
            </w:r>
            <w:r w:rsidRPr="00394BB8">
              <w:rPr>
                <w:sz w:val="16"/>
                <w:szCs w:val="16"/>
                <w:lang w:val="en-GB"/>
              </w:rPr>
              <w:t xml:space="preserve"> Number of laws and policies in place to secure women’s participation in decision making (</w:t>
            </w:r>
            <w:r w:rsidR="009A6908">
              <w:rPr>
                <w:sz w:val="16"/>
                <w:szCs w:val="16"/>
              </w:rPr>
              <w:t>i</w:t>
            </w:r>
            <w:r w:rsidR="009A6908" w:rsidRPr="002D480D">
              <w:rPr>
                <w:sz w:val="16"/>
                <w:szCs w:val="16"/>
              </w:rPr>
              <w:t>nte</w:t>
            </w:r>
            <w:r w:rsidR="009A6908">
              <w:rPr>
                <w:sz w:val="16"/>
                <w:szCs w:val="16"/>
              </w:rPr>
              <w:t xml:space="preserve">grated </w:t>
            </w:r>
            <w:r w:rsidR="009A6908" w:rsidRPr="002D480D">
              <w:rPr>
                <w:sz w:val="16"/>
                <w:szCs w:val="16"/>
              </w:rPr>
              <w:t>results and resources framework</w:t>
            </w:r>
            <w:r w:rsidR="009A6908" w:rsidRPr="00394BB8">
              <w:rPr>
                <w:sz w:val="16"/>
                <w:szCs w:val="16"/>
                <w:lang w:val="en-GB"/>
              </w:rPr>
              <w:t xml:space="preserve"> </w:t>
            </w:r>
            <w:r w:rsidR="009A6908">
              <w:rPr>
                <w:sz w:val="16"/>
                <w:szCs w:val="16"/>
                <w:lang w:val="en-GB"/>
              </w:rPr>
              <w:t xml:space="preserve">– </w:t>
            </w:r>
            <w:r w:rsidRPr="00394BB8">
              <w:rPr>
                <w:sz w:val="16"/>
                <w:szCs w:val="16"/>
                <w:lang w:val="en-GB"/>
              </w:rPr>
              <w:t xml:space="preserve">IRRF 4.4.1) </w:t>
            </w:r>
          </w:p>
          <w:p w14:paraId="777BCF8D" w14:textId="6CA7A172" w:rsidR="00422E9F" w:rsidRPr="00394BB8" w:rsidRDefault="00422E9F" w:rsidP="0072258F">
            <w:pPr>
              <w:rPr>
                <w:sz w:val="16"/>
                <w:szCs w:val="16"/>
                <w:lang w:val="en-GB"/>
              </w:rPr>
            </w:pPr>
            <w:r w:rsidRPr="00A652DD">
              <w:rPr>
                <w:i/>
                <w:sz w:val="16"/>
                <w:szCs w:val="16"/>
                <w:lang w:val="en-GB"/>
              </w:rPr>
              <w:t>Baseline:</w:t>
            </w:r>
            <w:r w:rsidRPr="00394BB8">
              <w:rPr>
                <w:sz w:val="16"/>
                <w:szCs w:val="16"/>
                <w:lang w:val="en-GB"/>
              </w:rPr>
              <w:t xml:space="preserve"> Voluntary quota system in place (2014) </w:t>
            </w:r>
          </w:p>
          <w:p w14:paraId="63D652B3" w14:textId="18AB3730" w:rsidR="00422E9F" w:rsidRPr="00394BB8" w:rsidRDefault="00422E9F" w:rsidP="0072258F">
            <w:pPr>
              <w:rPr>
                <w:sz w:val="16"/>
                <w:szCs w:val="16"/>
                <w:lang w:val="en-GB"/>
              </w:rPr>
            </w:pPr>
            <w:r w:rsidRPr="00A652DD">
              <w:rPr>
                <w:i/>
                <w:sz w:val="16"/>
                <w:szCs w:val="16"/>
                <w:lang w:val="en-GB"/>
              </w:rPr>
              <w:t>Target:</w:t>
            </w:r>
            <w:r w:rsidRPr="00394BB8">
              <w:rPr>
                <w:sz w:val="16"/>
                <w:szCs w:val="16"/>
                <w:lang w:val="en-GB"/>
              </w:rPr>
              <w:t xml:space="preserve"> </w:t>
            </w:r>
            <w:r w:rsidR="00A652DD">
              <w:rPr>
                <w:sz w:val="16"/>
                <w:szCs w:val="16"/>
                <w:lang w:val="en-GB"/>
              </w:rPr>
              <w:t>A</w:t>
            </w:r>
            <w:r w:rsidRPr="00394BB8">
              <w:rPr>
                <w:sz w:val="16"/>
                <w:szCs w:val="16"/>
                <w:lang w:val="en-GB"/>
              </w:rPr>
              <w:t>t least 3 new policies introduced (2020)</w:t>
            </w:r>
          </w:p>
        </w:tc>
        <w:tc>
          <w:tcPr>
            <w:tcW w:w="891" w:type="pct"/>
            <w:gridSpan w:val="2"/>
            <w:vMerge w:val="restart"/>
          </w:tcPr>
          <w:p w14:paraId="2297A093" w14:textId="36AC4A43" w:rsidR="008811EE" w:rsidRDefault="00EC51BC" w:rsidP="0072258F">
            <w:pPr>
              <w:rPr>
                <w:iCs/>
                <w:sz w:val="16"/>
                <w:szCs w:val="16"/>
                <w:lang w:val="en-GB"/>
              </w:rPr>
            </w:pPr>
            <w:r w:rsidRPr="00394BB8">
              <w:rPr>
                <w:iCs/>
                <w:sz w:val="16"/>
                <w:szCs w:val="16"/>
                <w:lang w:val="en-GB"/>
              </w:rPr>
              <w:lastRenderedPageBreak/>
              <w:t>Parliament (c</w:t>
            </w:r>
            <w:r w:rsidR="00422E9F" w:rsidRPr="00394BB8">
              <w:rPr>
                <w:iCs/>
                <w:sz w:val="16"/>
                <w:szCs w:val="16"/>
                <w:lang w:val="en-GB"/>
              </w:rPr>
              <w:t>ommittees and Gender Equality Council</w:t>
            </w:r>
            <w:r w:rsidRPr="00394BB8">
              <w:rPr>
                <w:iCs/>
                <w:sz w:val="16"/>
                <w:szCs w:val="16"/>
                <w:lang w:val="en-GB"/>
              </w:rPr>
              <w:t>)</w:t>
            </w:r>
            <w:r w:rsidR="00422E9F" w:rsidRPr="00394BB8">
              <w:rPr>
                <w:iCs/>
                <w:sz w:val="16"/>
                <w:szCs w:val="16"/>
                <w:lang w:val="en-GB"/>
              </w:rPr>
              <w:t xml:space="preserve"> Administration of the Government Ministries of Justice</w:t>
            </w:r>
          </w:p>
          <w:p w14:paraId="75F2344D" w14:textId="0AA9CE93" w:rsidR="008811EE" w:rsidRDefault="00422E9F" w:rsidP="0072258F">
            <w:pPr>
              <w:rPr>
                <w:iCs/>
                <w:sz w:val="16"/>
                <w:szCs w:val="16"/>
                <w:lang w:val="en-GB"/>
              </w:rPr>
            </w:pPr>
            <w:r w:rsidRPr="00394BB8">
              <w:rPr>
                <w:iCs/>
                <w:sz w:val="16"/>
                <w:szCs w:val="16"/>
                <w:lang w:val="en-GB"/>
              </w:rPr>
              <w:t>Regional Development and Infrastructure,</w:t>
            </w:r>
          </w:p>
          <w:p w14:paraId="4BF7C97A" w14:textId="2F6695E6" w:rsidR="008811EE" w:rsidRDefault="00422E9F" w:rsidP="0072258F">
            <w:pPr>
              <w:rPr>
                <w:iCs/>
                <w:sz w:val="16"/>
                <w:szCs w:val="16"/>
                <w:lang w:val="en-GB"/>
              </w:rPr>
            </w:pPr>
            <w:r w:rsidRPr="00394BB8">
              <w:rPr>
                <w:iCs/>
                <w:sz w:val="16"/>
                <w:szCs w:val="16"/>
                <w:lang w:val="en-GB"/>
              </w:rPr>
              <w:t>Corrections</w:t>
            </w:r>
          </w:p>
          <w:p w14:paraId="1E85D6E8" w14:textId="0D9170C0" w:rsidR="008811EE" w:rsidRDefault="00422E9F" w:rsidP="0072258F">
            <w:pPr>
              <w:rPr>
                <w:iCs/>
                <w:sz w:val="16"/>
                <w:szCs w:val="16"/>
                <w:lang w:val="en-GB"/>
              </w:rPr>
            </w:pPr>
            <w:r w:rsidRPr="00394BB8">
              <w:rPr>
                <w:iCs/>
                <w:sz w:val="16"/>
                <w:szCs w:val="16"/>
                <w:lang w:val="en-GB"/>
              </w:rPr>
              <w:t>Education</w:t>
            </w:r>
          </w:p>
          <w:p w14:paraId="0FBA602E" w14:textId="36C9D595" w:rsidR="008811EE" w:rsidRDefault="00422E9F" w:rsidP="0072258F">
            <w:pPr>
              <w:rPr>
                <w:iCs/>
                <w:sz w:val="16"/>
                <w:szCs w:val="16"/>
                <w:lang w:val="en-GB"/>
              </w:rPr>
            </w:pPr>
            <w:r w:rsidRPr="00394BB8">
              <w:rPr>
                <w:iCs/>
                <w:sz w:val="16"/>
                <w:szCs w:val="16"/>
                <w:lang w:val="en-GB"/>
              </w:rPr>
              <w:t>Euro-Atlantic Integration</w:t>
            </w:r>
          </w:p>
          <w:p w14:paraId="56E639EA" w14:textId="78137B1C" w:rsidR="008811EE" w:rsidRDefault="00422E9F" w:rsidP="0072258F">
            <w:pPr>
              <w:rPr>
                <w:iCs/>
                <w:sz w:val="16"/>
                <w:szCs w:val="16"/>
                <w:lang w:val="en-GB"/>
              </w:rPr>
            </w:pPr>
            <w:r w:rsidRPr="00394BB8">
              <w:rPr>
                <w:iCs/>
                <w:sz w:val="16"/>
                <w:szCs w:val="16"/>
                <w:lang w:val="en-GB"/>
              </w:rPr>
              <w:t>Public Defender’s office</w:t>
            </w:r>
          </w:p>
          <w:p w14:paraId="50DBA881" w14:textId="1E66D40A" w:rsidR="008811EE" w:rsidRDefault="00422E9F" w:rsidP="0072258F">
            <w:pPr>
              <w:rPr>
                <w:iCs/>
                <w:sz w:val="16"/>
                <w:szCs w:val="16"/>
                <w:lang w:val="en-GB"/>
              </w:rPr>
            </w:pPr>
            <w:r w:rsidRPr="00394BB8">
              <w:rPr>
                <w:iCs/>
                <w:sz w:val="16"/>
                <w:szCs w:val="16"/>
                <w:lang w:val="en-GB"/>
              </w:rPr>
              <w:t>Legal Aid Service</w:t>
            </w:r>
          </w:p>
          <w:p w14:paraId="302F8E3F" w14:textId="02ACA096" w:rsidR="00422E9F" w:rsidRPr="00394BB8" w:rsidRDefault="00422E9F" w:rsidP="0072258F">
            <w:pPr>
              <w:rPr>
                <w:iCs/>
                <w:sz w:val="16"/>
                <w:szCs w:val="16"/>
                <w:lang w:val="en-GB"/>
              </w:rPr>
            </w:pPr>
            <w:r w:rsidRPr="00394BB8">
              <w:rPr>
                <w:iCs/>
                <w:sz w:val="16"/>
                <w:szCs w:val="16"/>
                <w:lang w:val="en-GB"/>
              </w:rPr>
              <w:t>Personal Data Protection Inspector</w:t>
            </w:r>
          </w:p>
          <w:p w14:paraId="2B70CBF9" w14:textId="77777777" w:rsidR="00422E9F" w:rsidRPr="00394BB8" w:rsidRDefault="00422E9F" w:rsidP="0072258F">
            <w:pPr>
              <w:rPr>
                <w:iCs/>
                <w:sz w:val="16"/>
                <w:szCs w:val="16"/>
                <w:lang w:val="en-GB"/>
              </w:rPr>
            </w:pPr>
          </w:p>
          <w:p w14:paraId="214DD511" w14:textId="33994846" w:rsidR="00422E9F" w:rsidRPr="00394BB8" w:rsidRDefault="00422E9F" w:rsidP="0072258F">
            <w:pPr>
              <w:rPr>
                <w:iCs/>
                <w:sz w:val="16"/>
                <w:szCs w:val="16"/>
                <w:lang w:val="en-GB"/>
              </w:rPr>
            </w:pPr>
            <w:r w:rsidRPr="00394BB8">
              <w:rPr>
                <w:iCs/>
                <w:sz w:val="16"/>
                <w:szCs w:val="16"/>
                <w:lang w:val="en-GB"/>
              </w:rPr>
              <w:t>Local self-governments</w:t>
            </w:r>
          </w:p>
          <w:p w14:paraId="41F3BD33" w14:textId="6E8B54C9" w:rsidR="00422E9F" w:rsidRPr="00394BB8" w:rsidRDefault="00422E9F" w:rsidP="0072258F">
            <w:pPr>
              <w:rPr>
                <w:iCs/>
                <w:sz w:val="16"/>
                <w:szCs w:val="16"/>
                <w:lang w:val="en-GB"/>
              </w:rPr>
            </w:pPr>
            <w:r w:rsidRPr="00394BB8">
              <w:rPr>
                <w:iCs/>
                <w:sz w:val="16"/>
                <w:szCs w:val="16"/>
                <w:lang w:val="en-GB"/>
              </w:rPr>
              <w:t xml:space="preserve">Civil </w:t>
            </w:r>
            <w:r w:rsidR="008811EE">
              <w:rPr>
                <w:iCs/>
                <w:sz w:val="16"/>
                <w:szCs w:val="16"/>
                <w:lang w:val="en-GB"/>
              </w:rPr>
              <w:t>s</w:t>
            </w:r>
            <w:r w:rsidRPr="00394BB8">
              <w:rPr>
                <w:iCs/>
                <w:sz w:val="16"/>
                <w:szCs w:val="16"/>
                <w:lang w:val="en-GB"/>
              </w:rPr>
              <w:t>ociety</w:t>
            </w:r>
          </w:p>
          <w:p w14:paraId="0638FA3D" w14:textId="227A1448" w:rsidR="00422E9F" w:rsidRPr="00394BB8" w:rsidRDefault="00422E9F" w:rsidP="0072258F">
            <w:pPr>
              <w:rPr>
                <w:iCs/>
                <w:sz w:val="16"/>
                <w:szCs w:val="16"/>
                <w:lang w:val="en-GB"/>
              </w:rPr>
            </w:pPr>
          </w:p>
        </w:tc>
        <w:tc>
          <w:tcPr>
            <w:tcW w:w="800" w:type="pct"/>
            <w:tcMar>
              <w:top w:w="15" w:type="dxa"/>
              <w:left w:w="108" w:type="dxa"/>
              <w:bottom w:w="0" w:type="dxa"/>
              <w:right w:w="108" w:type="dxa"/>
            </w:tcMar>
          </w:tcPr>
          <w:p w14:paraId="310E0E63" w14:textId="77777777" w:rsidR="008811EE" w:rsidRDefault="00422E9F" w:rsidP="0072258F">
            <w:pPr>
              <w:rPr>
                <w:b/>
                <w:sz w:val="16"/>
                <w:szCs w:val="16"/>
                <w:lang w:val="en-GB"/>
              </w:rPr>
            </w:pPr>
            <w:r w:rsidRPr="00394BB8">
              <w:rPr>
                <w:b/>
                <w:sz w:val="16"/>
                <w:szCs w:val="16"/>
                <w:lang w:val="en-GB"/>
              </w:rPr>
              <w:t>Regular</w:t>
            </w:r>
          </w:p>
          <w:p w14:paraId="52E4AF7B" w14:textId="116A2C63" w:rsidR="00422E9F" w:rsidRPr="00394BB8" w:rsidRDefault="00422E9F" w:rsidP="00755F22">
            <w:pPr>
              <w:rPr>
                <w:b/>
                <w:sz w:val="16"/>
                <w:szCs w:val="16"/>
                <w:lang w:val="en-GB"/>
              </w:rPr>
            </w:pPr>
            <w:r w:rsidRPr="00394BB8">
              <w:rPr>
                <w:b/>
                <w:sz w:val="16"/>
                <w:szCs w:val="16"/>
                <w:lang w:val="en-GB"/>
              </w:rPr>
              <w:t>5</w:t>
            </w:r>
            <w:r w:rsidR="00755F22">
              <w:rPr>
                <w:b/>
                <w:sz w:val="16"/>
                <w:szCs w:val="16"/>
                <w:lang w:val="en-GB"/>
              </w:rPr>
              <w:t>00</w:t>
            </w:r>
          </w:p>
        </w:tc>
      </w:tr>
      <w:tr w:rsidR="00422E9F" w:rsidRPr="00394BB8" w14:paraId="025214C8" w14:textId="77777777" w:rsidTr="00755F22">
        <w:tc>
          <w:tcPr>
            <w:tcW w:w="940" w:type="pct"/>
            <w:gridSpan w:val="2"/>
            <w:vMerge/>
            <w:shd w:val="clear" w:color="auto" w:fill="auto"/>
            <w:tcMar>
              <w:top w:w="72" w:type="dxa"/>
              <w:left w:w="144" w:type="dxa"/>
              <w:bottom w:w="72" w:type="dxa"/>
              <w:right w:w="144" w:type="dxa"/>
            </w:tcMar>
          </w:tcPr>
          <w:p w14:paraId="15AC5854" w14:textId="77777777" w:rsidR="00422E9F" w:rsidRPr="00394BB8" w:rsidRDefault="00422E9F" w:rsidP="0072258F">
            <w:pPr>
              <w:rPr>
                <w:i/>
                <w:iCs/>
                <w:sz w:val="16"/>
                <w:szCs w:val="16"/>
                <w:lang w:val="en-GB"/>
              </w:rPr>
            </w:pPr>
          </w:p>
        </w:tc>
        <w:tc>
          <w:tcPr>
            <w:tcW w:w="934" w:type="pct"/>
            <w:vMerge/>
          </w:tcPr>
          <w:p w14:paraId="0FC5539A" w14:textId="77777777" w:rsidR="00422E9F" w:rsidRPr="00394BB8" w:rsidRDefault="00422E9F" w:rsidP="0072258F">
            <w:pPr>
              <w:rPr>
                <w:i/>
                <w:iCs/>
                <w:sz w:val="16"/>
                <w:szCs w:val="16"/>
                <w:lang w:val="en-GB"/>
              </w:rPr>
            </w:pPr>
          </w:p>
        </w:tc>
        <w:tc>
          <w:tcPr>
            <w:tcW w:w="1435" w:type="pct"/>
            <w:vMerge/>
            <w:tcMar>
              <w:top w:w="72" w:type="dxa"/>
              <w:left w:w="144" w:type="dxa"/>
              <w:bottom w:w="72" w:type="dxa"/>
              <w:right w:w="144" w:type="dxa"/>
            </w:tcMar>
          </w:tcPr>
          <w:p w14:paraId="2025008E" w14:textId="77777777" w:rsidR="00422E9F" w:rsidRPr="00394BB8" w:rsidRDefault="00422E9F" w:rsidP="0072258F">
            <w:pPr>
              <w:contextualSpacing/>
              <w:rPr>
                <w:i/>
                <w:iCs/>
                <w:sz w:val="16"/>
                <w:szCs w:val="16"/>
                <w:lang w:val="en-GB"/>
              </w:rPr>
            </w:pPr>
          </w:p>
        </w:tc>
        <w:tc>
          <w:tcPr>
            <w:tcW w:w="891" w:type="pct"/>
            <w:gridSpan w:val="2"/>
            <w:vMerge/>
          </w:tcPr>
          <w:p w14:paraId="4693179C" w14:textId="77777777" w:rsidR="00422E9F" w:rsidRPr="00394BB8" w:rsidRDefault="00422E9F" w:rsidP="0072258F">
            <w:pPr>
              <w:rPr>
                <w:i/>
                <w:iCs/>
                <w:sz w:val="16"/>
                <w:szCs w:val="16"/>
                <w:lang w:val="en-GB"/>
              </w:rPr>
            </w:pPr>
          </w:p>
        </w:tc>
        <w:tc>
          <w:tcPr>
            <w:tcW w:w="800" w:type="pct"/>
            <w:tcBorders>
              <w:bottom w:val="single" w:sz="4" w:space="0" w:color="auto"/>
            </w:tcBorders>
            <w:tcMar>
              <w:top w:w="15" w:type="dxa"/>
              <w:left w:w="108" w:type="dxa"/>
              <w:bottom w:w="0" w:type="dxa"/>
              <w:right w:w="108" w:type="dxa"/>
            </w:tcMar>
          </w:tcPr>
          <w:p w14:paraId="65BBAB35" w14:textId="77777777" w:rsidR="008811EE" w:rsidRDefault="00422E9F" w:rsidP="0072258F">
            <w:pPr>
              <w:rPr>
                <w:b/>
                <w:sz w:val="16"/>
                <w:szCs w:val="16"/>
                <w:lang w:val="en-GB"/>
              </w:rPr>
            </w:pPr>
            <w:r w:rsidRPr="00394BB8">
              <w:rPr>
                <w:b/>
                <w:sz w:val="16"/>
                <w:szCs w:val="16"/>
                <w:lang w:val="en-GB"/>
              </w:rPr>
              <w:t>Other</w:t>
            </w:r>
          </w:p>
          <w:p w14:paraId="13FD9537" w14:textId="1A767E99" w:rsidR="00422E9F" w:rsidRPr="00394BB8" w:rsidRDefault="00422E9F" w:rsidP="00755F22">
            <w:pPr>
              <w:rPr>
                <w:b/>
                <w:sz w:val="16"/>
                <w:szCs w:val="16"/>
                <w:lang w:val="en-GB"/>
              </w:rPr>
            </w:pPr>
            <w:r w:rsidRPr="00394BB8">
              <w:rPr>
                <w:b/>
                <w:sz w:val="16"/>
                <w:szCs w:val="16"/>
                <w:lang w:val="en-GB"/>
              </w:rPr>
              <w:t>24</w:t>
            </w:r>
            <w:r w:rsidR="00755F22">
              <w:rPr>
                <w:b/>
                <w:sz w:val="16"/>
                <w:szCs w:val="16"/>
                <w:lang w:val="en-GB"/>
              </w:rPr>
              <w:t>,</w:t>
            </w:r>
            <w:r w:rsidRPr="00394BB8">
              <w:rPr>
                <w:b/>
                <w:sz w:val="16"/>
                <w:szCs w:val="16"/>
                <w:lang w:val="en-GB"/>
              </w:rPr>
              <w:t>5</w:t>
            </w:r>
            <w:r w:rsidR="00755F22">
              <w:rPr>
                <w:b/>
                <w:sz w:val="16"/>
                <w:szCs w:val="16"/>
                <w:lang w:val="en-GB"/>
              </w:rPr>
              <w:t>00</w:t>
            </w:r>
          </w:p>
        </w:tc>
      </w:tr>
      <w:tr w:rsidR="00422E9F" w:rsidRPr="00394BB8" w14:paraId="43A658B5" w14:textId="77777777" w:rsidTr="00755F22">
        <w:tc>
          <w:tcPr>
            <w:tcW w:w="940" w:type="pct"/>
            <w:gridSpan w:val="2"/>
            <w:vMerge/>
            <w:shd w:val="clear" w:color="auto" w:fill="auto"/>
            <w:tcMar>
              <w:top w:w="72" w:type="dxa"/>
              <w:left w:w="144" w:type="dxa"/>
              <w:bottom w:w="72" w:type="dxa"/>
              <w:right w:w="144" w:type="dxa"/>
            </w:tcMar>
          </w:tcPr>
          <w:p w14:paraId="21F4002B" w14:textId="77777777" w:rsidR="00422E9F" w:rsidRPr="00394BB8" w:rsidRDefault="00422E9F" w:rsidP="0072258F">
            <w:pPr>
              <w:rPr>
                <w:i/>
                <w:iCs/>
                <w:sz w:val="16"/>
                <w:szCs w:val="16"/>
                <w:lang w:val="en-GB"/>
              </w:rPr>
            </w:pPr>
          </w:p>
        </w:tc>
        <w:tc>
          <w:tcPr>
            <w:tcW w:w="934" w:type="pct"/>
            <w:vMerge/>
          </w:tcPr>
          <w:p w14:paraId="28B73E5A" w14:textId="77777777" w:rsidR="00422E9F" w:rsidRPr="00394BB8" w:rsidRDefault="00422E9F" w:rsidP="0072258F">
            <w:pPr>
              <w:rPr>
                <w:i/>
                <w:iCs/>
                <w:sz w:val="16"/>
                <w:szCs w:val="16"/>
                <w:lang w:val="en-GB"/>
              </w:rPr>
            </w:pPr>
          </w:p>
        </w:tc>
        <w:tc>
          <w:tcPr>
            <w:tcW w:w="1435" w:type="pct"/>
            <w:vMerge/>
            <w:tcMar>
              <w:top w:w="72" w:type="dxa"/>
              <w:left w:w="144" w:type="dxa"/>
              <w:bottom w:w="72" w:type="dxa"/>
              <w:right w:w="144" w:type="dxa"/>
            </w:tcMar>
          </w:tcPr>
          <w:p w14:paraId="18DFCD2D" w14:textId="77777777" w:rsidR="00422E9F" w:rsidRPr="00394BB8" w:rsidRDefault="00422E9F" w:rsidP="0072258F">
            <w:pPr>
              <w:contextualSpacing/>
              <w:rPr>
                <w:i/>
                <w:iCs/>
                <w:sz w:val="16"/>
                <w:szCs w:val="16"/>
                <w:lang w:val="en-GB"/>
              </w:rPr>
            </w:pPr>
          </w:p>
        </w:tc>
        <w:tc>
          <w:tcPr>
            <w:tcW w:w="891" w:type="pct"/>
            <w:gridSpan w:val="2"/>
            <w:vMerge/>
          </w:tcPr>
          <w:p w14:paraId="5CCEFFF4" w14:textId="77777777" w:rsidR="00422E9F" w:rsidRPr="00394BB8" w:rsidRDefault="00422E9F" w:rsidP="0072258F">
            <w:pPr>
              <w:rPr>
                <w:i/>
                <w:iCs/>
                <w:sz w:val="16"/>
                <w:szCs w:val="16"/>
                <w:lang w:val="en-GB"/>
              </w:rPr>
            </w:pPr>
          </w:p>
        </w:tc>
        <w:tc>
          <w:tcPr>
            <w:tcW w:w="800" w:type="pct"/>
            <w:tcBorders>
              <w:bottom w:val="nil"/>
            </w:tcBorders>
            <w:tcMar>
              <w:top w:w="15" w:type="dxa"/>
              <w:left w:w="108" w:type="dxa"/>
              <w:bottom w:w="0" w:type="dxa"/>
              <w:right w:w="108" w:type="dxa"/>
            </w:tcMar>
          </w:tcPr>
          <w:p w14:paraId="0C3E0DDC" w14:textId="77777777" w:rsidR="00422E9F" w:rsidRPr="00394BB8" w:rsidRDefault="00422E9F" w:rsidP="0072258F">
            <w:pPr>
              <w:rPr>
                <w:b/>
                <w:sz w:val="16"/>
                <w:szCs w:val="16"/>
                <w:lang w:val="en-GB"/>
              </w:rPr>
            </w:pPr>
          </w:p>
        </w:tc>
      </w:tr>
      <w:tr w:rsidR="00422E9F" w:rsidRPr="00394BB8" w14:paraId="68FE9E1C" w14:textId="77777777" w:rsidTr="00755F22">
        <w:tc>
          <w:tcPr>
            <w:tcW w:w="940" w:type="pct"/>
            <w:gridSpan w:val="2"/>
            <w:vMerge/>
            <w:shd w:val="clear" w:color="auto" w:fill="auto"/>
            <w:tcMar>
              <w:top w:w="72" w:type="dxa"/>
              <w:left w:w="144" w:type="dxa"/>
              <w:bottom w:w="72" w:type="dxa"/>
              <w:right w:w="144" w:type="dxa"/>
            </w:tcMar>
          </w:tcPr>
          <w:p w14:paraId="5FA602E6" w14:textId="77777777" w:rsidR="00422E9F" w:rsidRPr="00394BB8" w:rsidRDefault="00422E9F" w:rsidP="0072258F">
            <w:pPr>
              <w:rPr>
                <w:bCs/>
                <w:i/>
                <w:sz w:val="16"/>
                <w:szCs w:val="16"/>
                <w:lang w:val="en-GB"/>
              </w:rPr>
            </w:pPr>
          </w:p>
        </w:tc>
        <w:tc>
          <w:tcPr>
            <w:tcW w:w="934" w:type="pct"/>
            <w:vMerge/>
          </w:tcPr>
          <w:p w14:paraId="7ECA2803" w14:textId="77777777" w:rsidR="00422E9F" w:rsidRPr="00394BB8" w:rsidRDefault="00422E9F" w:rsidP="0072258F">
            <w:pPr>
              <w:rPr>
                <w:b/>
                <w:bCs/>
                <w:i/>
                <w:sz w:val="16"/>
                <w:szCs w:val="16"/>
                <w:lang w:val="en-GB"/>
              </w:rPr>
            </w:pPr>
          </w:p>
        </w:tc>
        <w:tc>
          <w:tcPr>
            <w:tcW w:w="1435" w:type="pct"/>
            <w:vMerge/>
            <w:tcMar>
              <w:top w:w="72" w:type="dxa"/>
              <w:left w:w="144" w:type="dxa"/>
              <w:bottom w:w="72" w:type="dxa"/>
              <w:right w:w="144" w:type="dxa"/>
            </w:tcMar>
          </w:tcPr>
          <w:p w14:paraId="2C6E01F6" w14:textId="77777777" w:rsidR="00422E9F" w:rsidRPr="00394BB8" w:rsidRDefault="00422E9F" w:rsidP="0072258F">
            <w:pPr>
              <w:contextualSpacing/>
              <w:rPr>
                <w:b/>
                <w:bCs/>
                <w:sz w:val="16"/>
                <w:szCs w:val="16"/>
                <w:lang w:val="en-GB"/>
              </w:rPr>
            </w:pPr>
          </w:p>
        </w:tc>
        <w:tc>
          <w:tcPr>
            <w:tcW w:w="891" w:type="pct"/>
            <w:gridSpan w:val="2"/>
            <w:vMerge/>
          </w:tcPr>
          <w:p w14:paraId="134E1269" w14:textId="77777777" w:rsidR="00422E9F" w:rsidRPr="00394BB8" w:rsidRDefault="00422E9F" w:rsidP="0072258F">
            <w:pPr>
              <w:rPr>
                <w:iCs/>
                <w:sz w:val="16"/>
                <w:szCs w:val="16"/>
                <w:lang w:val="en-GB"/>
              </w:rPr>
            </w:pPr>
          </w:p>
        </w:tc>
        <w:tc>
          <w:tcPr>
            <w:tcW w:w="800" w:type="pct"/>
            <w:tcBorders>
              <w:top w:val="nil"/>
            </w:tcBorders>
            <w:tcMar>
              <w:top w:w="15" w:type="dxa"/>
              <w:left w:w="108" w:type="dxa"/>
              <w:bottom w:w="0" w:type="dxa"/>
              <w:right w:w="108" w:type="dxa"/>
            </w:tcMar>
          </w:tcPr>
          <w:p w14:paraId="35250A08" w14:textId="77777777" w:rsidR="00422E9F" w:rsidRPr="00394BB8" w:rsidRDefault="00422E9F" w:rsidP="0072258F">
            <w:pPr>
              <w:rPr>
                <w:b/>
                <w:sz w:val="16"/>
                <w:szCs w:val="16"/>
                <w:lang w:val="en-GB"/>
              </w:rPr>
            </w:pPr>
          </w:p>
        </w:tc>
      </w:tr>
      <w:tr w:rsidR="009E21D2" w:rsidRPr="00394BB8" w14:paraId="1A6ED99D" w14:textId="77777777" w:rsidTr="00755F22">
        <w:tc>
          <w:tcPr>
            <w:tcW w:w="940" w:type="pct"/>
            <w:gridSpan w:val="2"/>
            <w:shd w:val="clear" w:color="auto" w:fill="auto"/>
            <w:tcMar>
              <w:top w:w="72" w:type="dxa"/>
              <w:left w:w="144" w:type="dxa"/>
              <w:bottom w:w="72" w:type="dxa"/>
              <w:right w:w="144" w:type="dxa"/>
            </w:tcMar>
          </w:tcPr>
          <w:p w14:paraId="0B0483C6" w14:textId="77777777" w:rsidR="009E21D2" w:rsidRPr="00394BB8" w:rsidRDefault="009E21D2" w:rsidP="0072258F">
            <w:pPr>
              <w:rPr>
                <w:i/>
                <w:iCs/>
                <w:sz w:val="16"/>
                <w:szCs w:val="16"/>
                <w:lang w:val="en-GB"/>
              </w:rPr>
            </w:pPr>
          </w:p>
        </w:tc>
        <w:tc>
          <w:tcPr>
            <w:tcW w:w="934" w:type="pct"/>
          </w:tcPr>
          <w:p w14:paraId="473FF01D" w14:textId="77777777" w:rsidR="009E21D2" w:rsidRPr="00394BB8" w:rsidRDefault="009E21D2" w:rsidP="00842ED7">
            <w:pPr>
              <w:pStyle w:val="ListParagraph"/>
              <w:ind w:left="789"/>
              <w:rPr>
                <w:i/>
                <w:iCs/>
                <w:sz w:val="16"/>
                <w:szCs w:val="16"/>
                <w:lang w:val="en-GB"/>
              </w:rPr>
            </w:pPr>
          </w:p>
        </w:tc>
        <w:tc>
          <w:tcPr>
            <w:tcW w:w="1435" w:type="pct"/>
            <w:tcMar>
              <w:top w:w="72" w:type="dxa"/>
              <w:left w:w="144" w:type="dxa"/>
              <w:bottom w:w="72" w:type="dxa"/>
              <w:right w:w="144" w:type="dxa"/>
            </w:tcMar>
          </w:tcPr>
          <w:p w14:paraId="30750DB7" w14:textId="4EE383E8" w:rsidR="009E21D2" w:rsidRPr="00394BB8" w:rsidRDefault="009E21D2" w:rsidP="0072258F">
            <w:pPr>
              <w:contextualSpacing/>
              <w:rPr>
                <w:sz w:val="16"/>
                <w:szCs w:val="16"/>
                <w:lang w:val="en-GB"/>
              </w:rPr>
            </w:pPr>
            <w:r w:rsidRPr="00E20A88">
              <w:rPr>
                <w:b/>
                <w:i/>
                <w:sz w:val="16"/>
                <w:szCs w:val="16"/>
                <w:lang w:val="en-GB"/>
              </w:rPr>
              <w:t>Output 1.3.</w:t>
            </w:r>
            <w:r w:rsidRPr="00394BB8">
              <w:rPr>
                <w:b/>
                <w:sz w:val="16"/>
                <w:szCs w:val="16"/>
                <w:lang w:val="en-GB"/>
              </w:rPr>
              <w:t xml:space="preserve"> By 2020, representative legislature, independent judiciary and accountable executive powers are underpinned by functioning system of checks and balances. </w:t>
            </w:r>
          </w:p>
          <w:p w14:paraId="1BEC867B" w14:textId="6A8794B5" w:rsidR="009E21D2" w:rsidRPr="00394BB8" w:rsidRDefault="009E21D2" w:rsidP="0072258F">
            <w:pPr>
              <w:spacing w:after="200" w:line="276" w:lineRule="auto"/>
              <w:contextualSpacing/>
              <w:rPr>
                <w:sz w:val="16"/>
                <w:szCs w:val="16"/>
                <w:lang w:val="en-GB"/>
              </w:rPr>
            </w:pPr>
            <w:r w:rsidRPr="00394BB8">
              <w:rPr>
                <w:sz w:val="16"/>
                <w:szCs w:val="16"/>
                <w:lang w:val="en-GB"/>
              </w:rPr>
              <w:t>1.3.1. Checks and balances improved</w:t>
            </w:r>
          </w:p>
          <w:p w14:paraId="5BEFE909" w14:textId="749C8935" w:rsidR="009E21D2" w:rsidRPr="00394BB8" w:rsidRDefault="009E21D2" w:rsidP="0072258F">
            <w:pPr>
              <w:spacing w:after="200" w:line="276" w:lineRule="auto"/>
              <w:contextualSpacing/>
              <w:rPr>
                <w:sz w:val="16"/>
                <w:szCs w:val="16"/>
                <w:lang w:val="en-GB"/>
              </w:rPr>
            </w:pPr>
            <w:r w:rsidRPr="00A652DD">
              <w:rPr>
                <w:i/>
                <w:sz w:val="16"/>
                <w:szCs w:val="16"/>
                <w:lang w:val="en-GB"/>
              </w:rPr>
              <w:t>Baseline:</w:t>
            </w:r>
            <w:r w:rsidRPr="00394BB8">
              <w:rPr>
                <w:sz w:val="16"/>
                <w:szCs w:val="16"/>
                <w:lang w:val="en-GB"/>
              </w:rPr>
              <w:t xml:space="preserve"> Partially satisfactory (2</w:t>
            </w:r>
            <w:r w:rsidR="008811EE">
              <w:rPr>
                <w:sz w:val="16"/>
                <w:szCs w:val="16"/>
                <w:lang w:val="en-GB"/>
              </w:rPr>
              <w:t>:</w:t>
            </w:r>
            <w:r w:rsidRPr="00394BB8">
              <w:rPr>
                <w:sz w:val="16"/>
                <w:szCs w:val="16"/>
                <w:lang w:val="en-GB"/>
              </w:rPr>
              <w:t>4 ratio)</w:t>
            </w:r>
          </w:p>
          <w:p w14:paraId="1DCBDBA2" w14:textId="308CCA8F" w:rsidR="009E21D2" w:rsidRPr="00394BB8" w:rsidRDefault="009E21D2" w:rsidP="0072258F">
            <w:pPr>
              <w:spacing w:after="200" w:line="276" w:lineRule="auto"/>
              <w:contextualSpacing/>
              <w:rPr>
                <w:sz w:val="16"/>
                <w:szCs w:val="16"/>
                <w:lang w:val="en-GB"/>
              </w:rPr>
            </w:pPr>
            <w:r w:rsidRPr="00A652DD">
              <w:rPr>
                <w:i/>
                <w:sz w:val="16"/>
                <w:szCs w:val="16"/>
                <w:lang w:val="en-GB"/>
              </w:rPr>
              <w:t>Target:</w:t>
            </w:r>
            <w:r w:rsidRPr="00394BB8">
              <w:rPr>
                <w:sz w:val="16"/>
                <w:szCs w:val="16"/>
                <w:lang w:val="en-GB"/>
              </w:rPr>
              <w:t xml:space="preserve"> Satisfactory (3</w:t>
            </w:r>
            <w:r w:rsidR="008811EE">
              <w:rPr>
                <w:sz w:val="16"/>
                <w:szCs w:val="16"/>
                <w:lang w:val="en-GB"/>
              </w:rPr>
              <w:t>:</w:t>
            </w:r>
            <w:r w:rsidRPr="00394BB8">
              <w:rPr>
                <w:sz w:val="16"/>
                <w:szCs w:val="16"/>
                <w:lang w:val="en-GB"/>
              </w:rPr>
              <w:t>4 ratio)</w:t>
            </w:r>
          </w:p>
          <w:p w14:paraId="413F57B8" w14:textId="4FB66002" w:rsidR="009E21D2" w:rsidRPr="00394BB8" w:rsidRDefault="00A652DD" w:rsidP="009A6908">
            <w:pPr>
              <w:spacing w:after="120"/>
              <w:rPr>
                <w:sz w:val="16"/>
                <w:szCs w:val="16"/>
                <w:lang w:val="en-GB"/>
              </w:rPr>
            </w:pPr>
            <w:r w:rsidRPr="0077640B">
              <w:rPr>
                <w:i/>
                <w:sz w:val="16"/>
                <w:szCs w:val="16"/>
                <w:lang w:val="en-GB"/>
              </w:rPr>
              <w:t>Source:</w:t>
            </w:r>
            <w:r w:rsidR="009E21D2" w:rsidRPr="00394BB8">
              <w:rPr>
                <w:sz w:val="16"/>
                <w:szCs w:val="16"/>
                <w:lang w:val="en-GB"/>
              </w:rPr>
              <w:t xml:space="preserve"> Assessment reports by int</w:t>
            </w:r>
            <w:r w:rsidR="008811EE">
              <w:rPr>
                <w:sz w:val="16"/>
                <w:szCs w:val="16"/>
                <w:lang w:val="en-GB"/>
              </w:rPr>
              <w:t>ernational</w:t>
            </w:r>
            <w:r w:rsidR="009E21D2" w:rsidRPr="00394BB8">
              <w:rPr>
                <w:sz w:val="16"/>
                <w:szCs w:val="16"/>
                <w:lang w:val="en-GB"/>
              </w:rPr>
              <w:t xml:space="preserve"> organizations and NGOs</w:t>
            </w:r>
          </w:p>
          <w:p w14:paraId="36150DAE" w14:textId="228E00E0" w:rsidR="009E21D2" w:rsidRPr="00394BB8" w:rsidRDefault="009E21D2" w:rsidP="0072258F">
            <w:pPr>
              <w:spacing w:after="200" w:line="276" w:lineRule="auto"/>
              <w:contextualSpacing/>
              <w:rPr>
                <w:sz w:val="16"/>
                <w:szCs w:val="16"/>
                <w:lang w:val="en-GB"/>
              </w:rPr>
            </w:pPr>
            <w:r w:rsidRPr="00394BB8">
              <w:rPr>
                <w:sz w:val="16"/>
                <w:szCs w:val="16"/>
                <w:lang w:val="en-GB"/>
              </w:rPr>
              <w:t xml:space="preserve">1.3.2. Parliamentary decree defines role and assigns human resources to engage in </w:t>
            </w:r>
            <w:r w:rsidR="008811EE">
              <w:rPr>
                <w:sz w:val="16"/>
                <w:szCs w:val="16"/>
                <w:lang w:val="en-GB"/>
              </w:rPr>
              <w:t xml:space="preserve">the </w:t>
            </w:r>
            <w:r w:rsidRPr="00394BB8">
              <w:rPr>
                <w:sz w:val="16"/>
                <w:szCs w:val="16"/>
                <w:lang w:val="en-GB"/>
              </w:rPr>
              <w:t>Open Government Partnership (OGP) framework</w:t>
            </w:r>
            <w:r w:rsidR="008811EE">
              <w:rPr>
                <w:sz w:val="16"/>
                <w:szCs w:val="16"/>
                <w:lang w:val="en-GB"/>
              </w:rPr>
              <w:t>,</w:t>
            </w:r>
            <w:r w:rsidRPr="00394BB8">
              <w:rPr>
                <w:sz w:val="16"/>
                <w:szCs w:val="16"/>
                <w:lang w:val="en-GB"/>
              </w:rPr>
              <w:t xml:space="preserve"> including through innovative data collection and citizen engagement</w:t>
            </w:r>
          </w:p>
          <w:p w14:paraId="6F95DF87" w14:textId="3CC4442D" w:rsidR="009E21D2" w:rsidRPr="00394BB8" w:rsidRDefault="009E21D2" w:rsidP="0072258F">
            <w:pPr>
              <w:spacing w:after="200" w:line="276" w:lineRule="auto"/>
              <w:contextualSpacing/>
              <w:rPr>
                <w:sz w:val="16"/>
                <w:szCs w:val="16"/>
                <w:lang w:val="en-GB"/>
              </w:rPr>
            </w:pPr>
            <w:r w:rsidRPr="008811EE">
              <w:rPr>
                <w:i/>
                <w:sz w:val="16"/>
                <w:szCs w:val="16"/>
                <w:lang w:val="en-GB"/>
              </w:rPr>
              <w:t>Baseline:</w:t>
            </w:r>
            <w:r w:rsidRPr="00394BB8">
              <w:rPr>
                <w:sz w:val="16"/>
                <w:szCs w:val="16"/>
                <w:lang w:val="en-GB"/>
              </w:rPr>
              <w:t xml:space="preserve"> No</w:t>
            </w:r>
            <w:r w:rsidR="00E20A88">
              <w:rPr>
                <w:sz w:val="16"/>
                <w:szCs w:val="16"/>
                <w:lang w:val="en-GB"/>
              </w:rPr>
              <w:t>;</w:t>
            </w:r>
            <w:r w:rsidRPr="00394BB8">
              <w:rPr>
                <w:sz w:val="16"/>
                <w:szCs w:val="16"/>
                <w:lang w:val="en-GB"/>
              </w:rPr>
              <w:t xml:space="preserve"> </w:t>
            </w:r>
            <w:r w:rsidRPr="008811EE">
              <w:rPr>
                <w:i/>
                <w:sz w:val="16"/>
                <w:szCs w:val="16"/>
                <w:lang w:val="en-GB"/>
              </w:rPr>
              <w:t>Target:</w:t>
            </w:r>
            <w:r w:rsidRPr="00394BB8">
              <w:rPr>
                <w:sz w:val="16"/>
                <w:szCs w:val="16"/>
                <w:lang w:val="en-GB"/>
              </w:rPr>
              <w:t xml:space="preserve"> Yes</w:t>
            </w:r>
          </w:p>
          <w:p w14:paraId="053A4B18" w14:textId="1C6873E9" w:rsidR="009E21D2" w:rsidRPr="00394BB8" w:rsidRDefault="008811EE" w:rsidP="0072258F">
            <w:pPr>
              <w:rPr>
                <w:sz w:val="16"/>
                <w:szCs w:val="16"/>
                <w:lang w:val="en-GB"/>
              </w:rPr>
            </w:pPr>
            <w:r w:rsidRPr="0077640B">
              <w:rPr>
                <w:i/>
                <w:sz w:val="16"/>
                <w:szCs w:val="16"/>
                <w:lang w:val="en-GB"/>
              </w:rPr>
              <w:t>Source:</w:t>
            </w:r>
            <w:r w:rsidR="009E21D2" w:rsidRPr="00394BB8">
              <w:rPr>
                <w:sz w:val="16"/>
                <w:szCs w:val="16"/>
                <w:lang w:val="en-GB"/>
              </w:rPr>
              <w:t xml:space="preserve"> Parliamentary decree on OGP participation </w:t>
            </w:r>
          </w:p>
        </w:tc>
        <w:tc>
          <w:tcPr>
            <w:tcW w:w="891" w:type="pct"/>
            <w:gridSpan w:val="2"/>
          </w:tcPr>
          <w:p w14:paraId="285F7E89" w14:textId="77777777" w:rsidR="009E21D2" w:rsidRPr="00394BB8" w:rsidRDefault="009E21D2" w:rsidP="0072258F">
            <w:pPr>
              <w:rPr>
                <w:iCs/>
                <w:sz w:val="16"/>
                <w:szCs w:val="16"/>
                <w:lang w:val="en-GB"/>
              </w:rPr>
            </w:pPr>
          </w:p>
        </w:tc>
        <w:tc>
          <w:tcPr>
            <w:tcW w:w="800" w:type="pct"/>
            <w:tcMar>
              <w:top w:w="15" w:type="dxa"/>
              <w:left w:w="108" w:type="dxa"/>
              <w:bottom w:w="0" w:type="dxa"/>
              <w:right w:w="108" w:type="dxa"/>
            </w:tcMar>
          </w:tcPr>
          <w:p w14:paraId="728604B0" w14:textId="77777777" w:rsidR="009E21D2" w:rsidRPr="00394BB8" w:rsidRDefault="009E21D2" w:rsidP="0072258F">
            <w:pPr>
              <w:rPr>
                <w:b/>
                <w:sz w:val="16"/>
                <w:szCs w:val="16"/>
                <w:lang w:val="en-GB"/>
              </w:rPr>
            </w:pPr>
          </w:p>
        </w:tc>
      </w:tr>
      <w:tr w:rsidR="009E21D2" w:rsidRPr="00394BB8" w14:paraId="2AD9159C" w14:textId="77777777" w:rsidTr="00DB50F6">
        <w:tc>
          <w:tcPr>
            <w:tcW w:w="940" w:type="pct"/>
            <w:gridSpan w:val="2"/>
            <w:tcBorders>
              <w:bottom w:val="single" w:sz="4" w:space="0" w:color="auto"/>
            </w:tcBorders>
            <w:shd w:val="clear" w:color="auto" w:fill="auto"/>
            <w:tcMar>
              <w:top w:w="72" w:type="dxa"/>
              <w:left w:w="144" w:type="dxa"/>
              <w:bottom w:w="72" w:type="dxa"/>
              <w:right w:w="144" w:type="dxa"/>
            </w:tcMar>
          </w:tcPr>
          <w:p w14:paraId="299F1150" w14:textId="77777777" w:rsidR="009E21D2" w:rsidRPr="00394BB8" w:rsidRDefault="009E21D2" w:rsidP="0072258F">
            <w:pPr>
              <w:rPr>
                <w:i/>
                <w:iCs/>
                <w:sz w:val="16"/>
                <w:szCs w:val="16"/>
                <w:lang w:val="en-GB"/>
              </w:rPr>
            </w:pPr>
          </w:p>
          <w:p w14:paraId="5667E328" w14:textId="77777777" w:rsidR="009E21D2" w:rsidRPr="00394BB8" w:rsidRDefault="009E21D2" w:rsidP="0072258F">
            <w:pPr>
              <w:rPr>
                <w:i/>
                <w:iCs/>
                <w:sz w:val="16"/>
                <w:szCs w:val="16"/>
                <w:lang w:val="en-GB"/>
              </w:rPr>
            </w:pPr>
          </w:p>
        </w:tc>
        <w:tc>
          <w:tcPr>
            <w:tcW w:w="934" w:type="pct"/>
            <w:tcBorders>
              <w:bottom w:val="single" w:sz="4" w:space="0" w:color="auto"/>
            </w:tcBorders>
          </w:tcPr>
          <w:p w14:paraId="6A825F1A" w14:textId="77777777" w:rsidR="009E21D2" w:rsidRPr="00394BB8" w:rsidRDefault="009E21D2" w:rsidP="00842ED7">
            <w:pPr>
              <w:pStyle w:val="ListParagraph"/>
              <w:ind w:left="1059"/>
              <w:rPr>
                <w:i/>
                <w:iCs/>
                <w:sz w:val="16"/>
                <w:szCs w:val="16"/>
                <w:lang w:val="en-GB"/>
              </w:rPr>
            </w:pPr>
          </w:p>
        </w:tc>
        <w:tc>
          <w:tcPr>
            <w:tcW w:w="1435" w:type="pct"/>
            <w:tcBorders>
              <w:bottom w:val="single" w:sz="4" w:space="0" w:color="auto"/>
            </w:tcBorders>
            <w:tcMar>
              <w:top w:w="72" w:type="dxa"/>
              <w:left w:w="144" w:type="dxa"/>
              <w:bottom w:w="72" w:type="dxa"/>
              <w:right w:w="144" w:type="dxa"/>
            </w:tcMar>
          </w:tcPr>
          <w:p w14:paraId="26876607" w14:textId="004BBB0F" w:rsidR="009E21D2" w:rsidRPr="00394BB8" w:rsidRDefault="009E21D2" w:rsidP="0072258F">
            <w:pPr>
              <w:contextualSpacing/>
              <w:rPr>
                <w:b/>
                <w:sz w:val="16"/>
                <w:szCs w:val="16"/>
                <w:lang w:val="en-GB"/>
              </w:rPr>
            </w:pPr>
            <w:r w:rsidRPr="00E20A88">
              <w:rPr>
                <w:b/>
                <w:i/>
                <w:sz w:val="16"/>
                <w:szCs w:val="16"/>
                <w:lang w:val="en-GB"/>
              </w:rPr>
              <w:t>Output 1.4</w:t>
            </w:r>
            <w:r w:rsidR="006C78D0" w:rsidRPr="00E20A88">
              <w:rPr>
                <w:b/>
                <w:i/>
                <w:sz w:val="16"/>
                <w:szCs w:val="16"/>
                <w:lang w:val="en-GB"/>
              </w:rPr>
              <w:t>.</w:t>
            </w:r>
            <w:r w:rsidRPr="00394BB8">
              <w:rPr>
                <w:b/>
                <w:sz w:val="16"/>
                <w:szCs w:val="16"/>
                <w:lang w:val="en-GB"/>
              </w:rPr>
              <w:t xml:space="preserve"> By 2020, effective decentralization of government competencies and financial resources respond </w:t>
            </w:r>
            <w:r w:rsidR="00E20A88" w:rsidRPr="00394BB8">
              <w:rPr>
                <w:b/>
                <w:sz w:val="16"/>
                <w:szCs w:val="16"/>
                <w:lang w:val="en-GB"/>
              </w:rPr>
              <w:t xml:space="preserve">better </w:t>
            </w:r>
            <w:r w:rsidRPr="00394BB8">
              <w:rPr>
                <w:b/>
                <w:sz w:val="16"/>
                <w:szCs w:val="16"/>
                <w:lang w:val="en-GB"/>
              </w:rPr>
              <w:t xml:space="preserve">to needs of local communities. </w:t>
            </w:r>
          </w:p>
          <w:p w14:paraId="4CA1CB09" w14:textId="4EECEB58" w:rsidR="009E21D2" w:rsidRPr="00394BB8" w:rsidRDefault="009E21D2" w:rsidP="0072258F">
            <w:pPr>
              <w:rPr>
                <w:lang w:val="en-GB"/>
              </w:rPr>
            </w:pPr>
            <w:r w:rsidRPr="00394BB8">
              <w:rPr>
                <w:sz w:val="16"/>
                <w:szCs w:val="16"/>
                <w:lang w:val="en-GB"/>
              </w:rPr>
              <w:t>1.4.1. Number of subnational governments/</w:t>
            </w:r>
            <w:r w:rsidR="00BB5C66">
              <w:rPr>
                <w:sz w:val="16"/>
                <w:szCs w:val="16"/>
                <w:lang w:val="en-GB"/>
              </w:rPr>
              <w:t xml:space="preserve"> </w:t>
            </w:r>
            <w:r w:rsidRPr="00394BB8">
              <w:rPr>
                <w:sz w:val="16"/>
                <w:szCs w:val="16"/>
                <w:lang w:val="en-GB"/>
              </w:rPr>
              <w:t xml:space="preserve">administrations </w:t>
            </w:r>
            <w:r w:rsidR="00BB5C66">
              <w:rPr>
                <w:sz w:val="16"/>
                <w:szCs w:val="16"/>
                <w:lang w:val="en-GB"/>
              </w:rPr>
              <w:t>with</w:t>
            </w:r>
            <w:r w:rsidRPr="00394BB8">
              <w:rPr>
                <w:sz w:val="16"/>
                <w:szCs w:val="16"/>
                <w:lang w:val="en-GB"/>
              </w:rPr>
              <w:t xml:space="preserve"> functioning planning, budgeting and monitoring systems (IRRF 3.2.2)</w:t>
            </w:r>
          </w:p>
          <w:p w14:paraId="75F6FFBE" w14:textId="77777777" w:rsidR="009E21D2" w:rsidRPr="00394BB8" w:rsidRDefault="009E21D2" w:rsidP="0072258F">
            <w:pPr>
              <w:rPr>
                <w:sz w:val="16"/>
                <w:szCs w:val="16"/>
                <w:lang w:val="en-GB"/>
              </w:rPr>
            </w:pPr>
            <w:r w:rsidRPr="00BB5C66">
              <w:rPr>
                <w:i/>
                <w:sz w:val="16"/>
                <w:szCs w:val="16"/>
                <w:lang w:val="en-GB"/>
              </w:rPr>
              <w:t>Baseline:</w:t>
            </w:r>
            <w:r w:rsidRPr="00394BB8">
              <w:rPr>
                <w:sz w:val="16"/>
                <w:szCs w:val="16"/>
                <w:lang w:val="en-GB"/>
              </w:rPr>
              <w:t xml:space="preserve"> 5 out of 75</w:t>
            </w:r>
          </w:p>
          <w:p w14:paraId="1FBE164F" w14:textId="77777777" w:rsidR="009E21D2" w:rsidRPr="00394BB8" w:rsidRDefault="009E21D2" w:rsidP="0072258F">
            <w:pPr>
              <w:rPr>
                <w:sz w:val="16"/>
                <w:szCs w:val="16"/>
                <w:lang w:val="en-GB"/>
              </w:rPr>
            </w:pPr>
            <w:r w:rsidRPr="00BB5C66">
              <w:rPr>
                <w:i/>
                <w:sz w:val="16"/>
                <w:szCs w:val="16"/>
                <w:lang w:val="en-GB"/>
              </w:rPr>
              <w:t>Target:</w:t>
            </w:r>
            <w:r w:rsidRPr="00394BB8">
              <w:rPr>
                <w:sz w:val="16"/>
                <w:szCs w:val="16"/>
                <w:lang w:val="en-GB"/>
              </w:rPr>
              <w:t xml:space="preserve"> 25 out of 75</w:t>
            </w:r>
          </w:p>
          <w:p w14:paraId="5A6A98F5" w14:textId="18E16E64" w:rsidR="009E21D2" w:rsidRPr="00394BB8" w:rsidRDefault="00BB5C66" w:rsidP="00BB5C66">
            <w:pPr>
              <w:spacing w:after="120"/>
              <w:rPr>
                <w:sz w:val="16"/>
                <w:szCs w:val="16"/>
                <w:lang w:val="en-GB"/>
              </w:rPr>
            </w:pPr>
            <w:r>
              <w:rPr>
                <w:i/>
                <w:sz w:val="16"/>
                <w:szCs w:val="16"/>
                <w:lang w:val="en-GB"/>
              </w:rPr>
              <w:t>Source</w:t>
            </w:r>
            <w:r w:rsidR="009E21D2" w:rsidRPr="00BB5C66">
              <w:rPr>
                <w:i/>
                <w:sz w:val="16"/>
                <w:szCs w:val="16"/>
                <w:lang w:val="en-GB"/>
              </w:rPr>
              <w:t>:</w:t>
            </w:r>
            <w:r w:rsidR="009E21D2" w:rsidRPr="00394BB8">
              <w:rPr>
                <w:sz w:val="16"/>
                <w:szCs w:val="16"/>
                <w:lang w:val="en-GB"/>
              </w:rPr>
              <w:t xml:space="preserve"> </w:t>
            </w:r>
            <w:r w:rsidR="00E56032">
              <w:rPr>
                <w:sz w:val="16"/>
                <w:szCs w:val="16"/>
                <w:lang w:val="en-GB"/>
              </w:rPr>
              <w:t xml:space="preserve">Local </w:t>
            </w:r>
            <w:r w:rsidR="00717CD0">
              <w:rPr>
                <w:sz w:val="16"/>
                <w:szCs w:val="16"/>
                <w:lang w:val="en-GB"/>
              </w:rPr>
              <w:t>s</w:t>
            </w:r>
            <w:r w:rsidR="00E56032">
              <w:rPr>
                <w:sz w:val="16"/>
                <w:szCs w:val="16"/>
                <w:lang w:val="en-GB"/>
              </w:rPr>
              <w:t>elf-</w:t>
            </w:r>
            <w:r w:rsidR="00717CD0">
              <w:rPr>
                <w:sz w:val="16"/>
                <w:szCs w:val="16"/>
                <w:lang w:val="en-GB"/>
              </w:rPr>
              <w:t>g</w:t>
            </w:r>
            <w:r w:rsidR="00E56032">
              <w:rPr>
                <w:sz w:val="16"/>
                <w:szCs w:val="16"/>
                <w:lang w:val="en-GB"/>
              </w:rPr>
              <w:t xml:space="preserve">overnance </w:t>
            </w:r>
            <w:r w:rsidR="009E21D2" w:rsidRPr="00394BB8">
              <w:rPr>
                <w:sz w:val="16"/>
                <w:szCs w:val="16"/>
                <w:lang w:val="en-GB"/>
              </w:rPr>
              <w:t>evaluation reports</w:t>
            </w:r>
          </w:p>
          <w:p w14:paraId="108239E7" w14:textId="720D601D" w:rsidR="009E21D2" w:rsidRPr="00394BB8" w:rsidRDefault="009E21D2" w:rsidP="0072258F">
            <w:pPr>
              <w:rPr>
                <w:sz w:val="16"/>
                <w:szCs w:val="16"/>
                <w:lang w:val="en-GB"/>
              </w:rPr>
            </w:pPr>
            <w:r w:rsidRPr="00394BB8">
              <w:rPr>
                <w:sz w:val="16"/>
                <w:szCs w:val="16"/>
                <w:lang w:val="en-GB"/>
              </w:rPr>
              <w:lastRenderedPageBreak/>
              <w:t>1.4.2</w:t>
            </w:r>
            <w:r w:rsidR="00BB5C66">
              <w:rPr>
                <w:sz w:val="16"/>
                <w:szCs w:val="16"/>
                <w:lang w:val="en-GB"/>
              </w:rPr>
              <w:t>.</w:t>
            </w:r>
            <w:r w:rsidRPr="00394BB8">
              <w:rPr>
                <w:sz w:val="16"/>
                <w:szCs w:val="16"/>
                <w:lang w:val="en-GB"/>
              </w:rPr>
              <w:t xml:space="preserve"> </w:t>
            </w:r>
            <w:r w:rsidR="00BB5C66">
              <w:rPr>
                <w:sz w:val="16"/>
                <w:szCs w:val="16"/>
                <w:lang w:val="en-GB"/>
              </w:rPr>
              <w:t>L</w:t>
            </w:r>
            <w:r w:rsidRPr="00394BB8">
              <w:rPr>
                <w:sz w:val="16"/>
                <w:szCs w:val="16"/>
                <w:lang w:val="en-GB"/>
              </w:rPr>
              <w:t xml:space="preserve">ocal budgets within </w:t>
            </w:r>
            <w:r w:rsidR="00BB5C66">
              <w:rPr>
                <w:sz w:val="16"/>
                <w:szCs w:val="16"/>
                <w:lang w:val="en-GB"/>
              </w:rPr>
              <w:t>the s</w:t>
            </w:r>
            <w:r w:rsidRPr="00394BB8">
              <w:rPr>
                <w:sz w:val="16"/>
                <w:szCs w:val="16"/>
                <w:lang w:val="en-GB"/>
              </w:rPr>
              <w:t>tate budget</w:t>
            </w:r>
          </w:p>
          <w:p w14:paraId="6EF40917" w14:textId="226067DE" w:rsidR="009E21D2" w:rsidRPr="00394BB8" w:rsidRDefault="009E21D2" w:rsidP="0072258F">
            <w:pPr>
              <w:rPr>
                <w:sz w:val="16"/>
                <w:szCs w:val="16"/>
                <w:lang w:val="en-GB"/>
              </w:rPr>
            </w:pPr>
            <w:r w:rsidRPr="00BB5C66">
              <w:rPr>
                <w:i/>
                <w:sz w:val="16"/>
                <w:szCs w:val="16"/>
                <w:lang w:val="en-GB"/>
              </w:rPr>
              <w:t>Baseline:</w:t>
            </w:r>
            <w:r w:rsidRPr="00394BB8">
              <w:rPr>
                <w:sz w:val="16"/>
                <w:szCs w:val="16"/>
                <w:lang w:val="en-GB"/>
              </w:rPr>
              <w:t xml:space="preserve"> 9.3 %</w:t>
            </w:r>
            <w:r w:rsidR="00BB5C66">
              <w:rPr>
                <w:sz w:val="16"/>
                <w:szCs w:val="16"/>
                <w:lang w:val="en-GB"/>
              </w:rPr>
              <w:t xml:space="preserve">, </w:t>
            </w:r>
            <w:r w:rsidRPr="00394BB8">
              <w:rPr>
                <w:sz w:val="16"/>
                <w:szCs w:val="16"/>
                <w:lang w:val="en-GB"/>
              </w:rPr>
              <w:t>excluding Tbilisi (2013)</w:t>
            </w:r>
          </w:p>
          <w:p w14:paraId="230D9DB6" w14:textId="677D65AB" w:rsidR="009E21D2" w:rsidRPr="00394BB8" w:rsidRDefault="009E21D2" w:rsidP="0072258F">
            <w:pPr>
              <w:rPr>
                <w:sz w:val="16"/>
                <w:szCs w:val="16"/>
                <w:lang w:val="en-GB"/>
              </w:rPr>
            </w:pPr>
            <w:r w:rsidRPr="00BB5C66">
              <w:rPr>
                <w:i/>
                <w:sz w:val="16"/>
                <w:szCs w:val="16"/>
                <w:lang w:val="en-GB"/>
              </w:rPr>
              <w:t>Target:</w:t>
            </w:r>
            <w:r w:rsidRPr="00394BB8">
              <w:rPr>
                <w:sz w:val="16"/>
                <w:szCs w:val="16"/>
                <w:lang w:val="en-GB"/>
              </w:rPr>
              <w:t xml:space="preserve"> 13%</w:t>
            </w:r>
            <w:r w:rsidR="00BB5C66">
              <w:rPr>
                <w:sz w:val="16"/>
                <w:szCs w:val="16"/>
                <w:lang w:val="en-GB"/>
              </w:rPr>
              <w:t>,</w:t>
            </w:r>
            <w:r w:rsidRPr="00394BB8">
              <w:rPr>
                <w:sz w:val="16"/>
                <w:szCs w:val="16"/>
                <w:lang w:val="en-GB"/>
              </w:rPr>
              <w:t xml:space="preserve"> excluding Tbilisi (2020)</w:t>
            </w:r>
          </w:p>
          <w:p w14:paraId="1DEA8AE0" w14:textId="63B01148" w:rsidR="009E21D2" w:rsidRPr="00394BB8" w:rsidRDefault="00BB5C66" w:rsidP="00BB5C66">
            <w:pPr>
              <w:spacing w:after="120"/>
              <w:rPr>
                <w:rStyle w:val="Hyperlink"/>
                <w:color w:val="auto"/>
                <w:sz w:val="16"/>
                <w:szCs w:val="16"/>
                <w:lang w:val="en-GB"/>
              </w:rPr>
            </w:pPr>
            <w:r>
              <w:rPr>
                <w:i/>
                <w:sz w:val="16"/>
                <w:szCs w:val="16"/>
                <w:lang w:val="en-GB"/>
              </w:rPr>
              <w:t>Source</w:t>
            </w:r>
            <w:r w:rsidRPr="00BB5C66">
              <w:rPr>
                <w:i/>
                <w:sz w:val="16"/>
                <w:szCs w:val="16"/>
                <w:lang w:val="en-GB"/>
              </w:rPr>
              <w:t>:</w:t>
            </w:r>
            <w:r w:rsidR="009E21D2" w:rsidRPr="00394BB8">
              <w:rPr>
                <w:sz w:val="16"/>
                <w:szCs w:val="16"/>
                <w:lang w:val="en-GB"/>
              </w:rPr>
              <w:t xml:space="preserve"> Annual </w:t>
            </w:r>
            <w:r>
              <w:rPr>
                <w:sz w:val="16"/>
                <w:szCs w:val="16"/>
                <w:lang w:val="en-GB"/>
              </w:rPr>
              <w:t>s</w:t>
            </w:r>
            <w:r w:rsidR="009E21D2" w:rsidRPr="00394BB8">
              <w:rPr>
                <w:sz w:val="16"/>
                <w:szCs w:val="16"/>
                <w:lang w:val="en-GB"/>
              </w:rPr>
              <w:t xml:space="preserve">tate </w:t>
            </w:r>
            <w:r>
              <w:rPr>
                <w:sz w:val="16"/>
                <w:szCs w:val="16"/>
                <w:lang w:val="en-GB"/>
              </w:rPr>
              <w:t>b</w:t>
            </w:r>
            <w:r w:rsidR="009E21D2" w:rsidRPr="00394BB8">
              <w:rPr>
                <w:sz w:val="16"/>
                <w:szCs w:val="16"/>
                <w:lang w:val="en-GB"/>
              </w:rPr>
              <w:t xml:space="preserve">udget </w:t>
            </w:r>
            <w:r>
              <w:rPr>
                <w:sz w:val="16"/>
                <w:szCs w:val="16"/>
                <w:lang w:val="en-GB"/>
              </w:rPr>
              <w:t>l</w:t>
            </w:r>
            <w:r w:rsidR="009E21D2" w:rsidRPr="00394BB8">
              <w:rPr>
                <w:sz w:val="16"/>
                <w:szCs w:val="16"/>
                <w:lang w:val="en-GB"/>
              </w:rPr>
              <w:t>aws</w:t>
            </w:r>
          </w:p>
          <w:p w14:paraId="49DE7370" w14:textId="7493D21E" w:rsidR="009E21D2" w:rsidRPr="00394BB8" w:rsidRDefault="009E21D2" w:rsidP="0072258F">
            <w:pPr>
              <w:rPr>
                <w:rStyle w:val="Hyperlink"/>
                <w:color w:val="auto"/>
                <w:sz w:val="16"/>
                <w:szCs w:val="16"/>
                <w:lang w:val="en-GB"/>
              </w:rPr>
            </w:pPr>
            <w:r w:rsidRPr="00394BB8">
              <w:rPr>
                <w:rStyle w:val="Hyperlink"/>
                <w:color w:val="auto"/>
                <w:sz w:val="16"/>
                <w:szCs w:val="16"/>
                <w:lang w:val="en-GB"/>
              </w:rPr>
              <w:t>1.4.3</w:t>
            </w:r>
            <w:r w:rsidR="00BB5C66">
              <w:rPr>
                <w:rStyle w:val="Hyperlink"/>
                <w:color w:val="auto"/>
                <w:sz w:val="16"/>
                <w:szCs w:val="16"/>
                <w:lang w:val="en-GB"/>
              </w:rPr>
              <w:t>.</w:t>
            </w:r>
            <w:r w:rsidRPr="00394BB8">
              <w:rPr>
                <w:rStyle w:val="Hyperlink"/>
                <w:color w:val="auto"/>
                <w:sz w:val="16"/>
                <w:szCs w:val="16"/>
                <w:lang w:val="en-GB"/>
              </w:rPr>
              <w:t xml:space="preserve"> Public satisfaction with local governments</w:t>
            </w:r>
          </w:p>
          <w:p w14:paraId="75FF7523" w14:textId="65F0B65E" w:rsidR="009E21D2" w:rsidRPr="00394BB8" w:rsidRDefault="009E21D2" w:rsidP="0072258F">
            <w:pPr>
              <w:rPr>
                <w:rStyle w:val="Hyperlink"/>
                <w:color w:val="auto"/>
                <w:sz w:val="16"/>
                <w:szCs w:val="16"/>
                <w:lang w:val="en-GB"/>
              </w:rPr>
            </w:pPr>
            <w:r w:rsidRPr="00BB5C66">
              <w:rPr>
                <w:rStyle w:val="Hyperlink"/>
                <w:i/>
                <w:color w:val="auto"/>
                <w:sz w:val="16"/>
                <w:szCs w:val="16"/>
                <w:lang w:val="en-GB"/>
              </w:rPr>
              <w:t>Baseline:</w:t>
            </w:r>
            <w:r w:rsidRPr="00394BB8">
              <w:rPr>
                <w:rStyle w:val="Hyperlink"/>
                <w:color w:val="auto"/>
                <w:sz w:val="16"/>
                <w:szCs w:val="16"/>
                <w:lang w:val="en-GB"/>
              </w:rPr>
              <w:t xml:space="preserve"> 51 % (2013)</w:t>
            </w:r>
          </w:p>
          <w:p w14:paraId="643DBDAB" w14:textId="5E911C86" w:rsidR="009E21D2" w:rsidRPr="00394BB8" w:rsidRDefault="009E21D2" w:rsidP="0072258F">
            <w:pPr>
              <w:rPr>
                <w:rStyle w:val="Hyperlink"/>
                <w:color w:val="auto"/>
                <w:sz w:val="16"/>
                <w:szCs w:val="16"/>
                <w:lang w:val="en-GB"/>
              </w:rPr>
            </w:pPr>
            <w:r w:rsidRPr="00BB5C66">
              <w:rPr>
                <w:rStyle w:val="Hyperlink"/>
                <w:i/>
                <w:color w:val="auto"/>
                <w:sz w:val="16"/>
                <w:szCs w:val="16"/>
                <w:lang w:val="en-GB"/>
              </w:rPr>
              <w:t>Target:</w:t>
            </w:r>
            <w:r w:rsidRPr="00394BB8">
              <w:rPr>
                <w:rStyle w:val="Hyperlink"/>
                <w:color w:val="auto"/>
                <w:sz w:val="16"/>
                <w:szCs w:val="16"/>
                <w:lang w:val="en-GB"/>
              </w:rPr>
              <w:t xml:space="preserve"> </w:t>
            </w:r>
            <w:r w:rsidR="00BB5C66">
              <w:rPr>
                <w:rStyle w:val="Hyperlink"/>
                <w:color w:val="auto"/>
                <w:sz w:val="16"/>
                <w:szCs w:val="16"/>
                <w:lang w:val="en-GB"/>
              </w:rPr>
              <w:t>I</w:t>
            </w:r>
            <w:r w:rsidRPr="00394BB8">
              <w:rPr>
                <w:rStyle w:val="Hyperlink"/>
                <w:color w:val="auto"/>
                <w:sz w:val="16"/>
                <w:szCs w:val="16"/>
                <w:lang w:val="en-GB"/>
              </w:rPr>
              <w:t>ncreased by at least 10 % (2020)</w:t>
            </w:r>
          </w:p>
          <w:p w14:paraId="7C183288" w14:textId="1BE7EE79" w:rsidR="009E21D2" w:rsidRPr="00394BB8" w:rsidRDefault="00BB5C66" w:rsidP="0072258F">
            <w:pPr>
              <w:rPr>
                <w:i/>
                <w:iCs/>
                <w:sz w:val="16"/>
                <w:szCs w:val="16"/>
                <w:lang w:val="en-GB"/>
              </w:rPr>
            </w:pPr>
            <w:r>
              <w:rPr>
                <w:i/>
                <w:sz w:val="16"/>
                <w:szCs w:val="16"/>
                <w:lang w:val="en-GB"/>
              </w:rPr>
              <w:t>Source</w:t>
            </w:r>
            <w:r w:rsidRPr="00BB5C66">
              <w:rPr>
                <w:i/>
                <w:sz w:val="16"/>
                <w:szCs w:val="16"/>
                <w:lang w:val="en-GB"/>
              </w:rPr>
              <w:t>:</w:t>
            </w:r>
            <w:r w:rsidR="009E21D2" w:rsidRPr="00394BB8">
              <w:rPr>
                <w:rStyle w:val="Hyperlink"/>
                <w:color w:val="auto"/>
                <w:sz w:val="16"/>
                <w:szCs w:val="16"/>
                <w:lang w:val="en-GB"/>
              </w:rPr>
              <w:t xml:space="preserve"> UNDP survey on public satisfaction with </w:t>
            </w:r>
            <w:r>
              <w:rPr>
                <w:rStyle w:val="Hyperlink"/>
                <w:color w:val="auto"/>
                <w:sz w:val="16"/>
                <w:szCs w:val="16"/>
                <w:lang w:val="en-GB"/>
              </w:rPr>
              <w:t>l</w:t>
            </w:r>
            <w:r w:rsidR="009E21D2" w:rsidRPr="00394BB8">
              <w:rPr>
                <w:rStyle w:val="Hyperlink"/>
                <w:color w:val="auto"/>
                <w:sz w:val="16"/>
                <w:szCs w:val="16"/>
                <w:lang w:val="en-GB"/>
              </w:rPr>
              <w:t>ocal services</w:t>
            </w:r>
          </w:p>
        </w:tc>
        <w:tc>
          <w:tcPr>
            <w:tcW w:w="891" w:type="pct"/>
            <w:gridSpan w:val="2"/>
            <w:tcBorders>
              <w:bottom w:val="single" w:sz="4" w:space="0" w:color="auto"/>
            </w:tcBorders>
          </w:tcPr>
          <w:p w14:paraId="475796FF" w14:textId="77777777" w:rsidR="009E21D2" w:rsidRPr="00394BB8" w:rsidRDefault="009E21D2" w:rsidP="0072258F">
            <w:pPr>
              <w:rPr>
                <w:iCs/>
                <w:sz w:val="16"/>
                <w:szCs w:val="16"/>
                <w:lang w:val="en-GB"/>
              </w:rPr>
            </w:pPr>
          </w:p>
        </w:tc>
        <w:tc>
          <w:tcPr>
            <w:tcW w:w="800" w:type="pct"/>
            <w:tcBorders>
              <w:bottom w:val="single" w:sz="4" w:space="0" w:color="auto"/>
            </w:tcBorders>
            <w:tcMar>
              <w:top w:w="15" w:type="dxa"/>
              <w:left w:w="108" w:type="dxa"/>
              <w:bottom w:w="0" w:type="dxa"/>
              <w:right w:w="108" w:type="dxa"/>
            </w:tcMar>
          </w:tcPr>
          <w:p w14:paraId="06489DC4" w14:textId="77777777" w:rsidR="009E21D2" w:rsidRPr="00394BB8" w:rsidRDefault="009E21D2" w:rsidP="0072258F">
            <w:pPr>
              <w:rPr>
                <w:b/>
                <w:sz w:val="16"/>
                <w:szCs w:val="16"/>
                <w:lang w:val="en-GB"/>
              </w:rPr>
            </w:pPr>
          </w:p>
        </w:tc>
      </w:tr>
      <w:tr w:rsidR="009E21D2" w:rsidRPr="00394BB8" w14:paraId="6C453D58" w14:textId="77777777" w:rsidTr="00DB50F6">
        <w:tc>
          <w:tcPr>
            <w:tcW w:w="5000" w:type="pct"/>
            <w:gridSpan w:val="7"/>
            <w:shd w:val="clear" w:color="auto" w:fill="auto"/>
            <w:tcMar>
              <w:top w:w="72" w:type="dxa"/>
              <w:left w:w="144" w:type="dxa"/>
              <w:bottom w:w="72" w:type="dxa"/>
              <w:right w:w="144" w:type="dxa"/>
            </w:tcMar>
          </w:tcPr>
          <w:p w14:paraId="651EDE5B" w14:textId="65E33C8B" w:rsidR="009E21D2" w:rsidRPr="00394BB8" w:rsidRDefault="00C27B3B" w:rsidP="0072258F">
            <w:pPr>
              <w:rPr>
                <w:b/>
                <w:sz w:val="16"/>
                <w:szCs w:val="16"/>
                <w:lang w:val="en-GB"/>
              </w:rPr>
            </w:pPr>
            <w:r w:rsidRPr="00E9082B">
              <w:rPr>
                <w:b/>
                <w:bCs/>
                <w:i/>
                <w:sz w:val="16"/>
                <w:szCs w:val="16"/>
                <w:lang w:val="en-GB"/>
              </w:rPr>
              <w:lastRenderedPageBreak/>
              <w:t>National priority or goal</w:t>
            </w:r>
            <w:r w:rsidR="009E21D2" w:rsidRPr="00E9082B">
              <w:rPr>
                <w:b/>
                <w:bCs/>
                <w:i/>
                <w:sz w:val="16"/>
                <w:szCs w:val="16"/>
                <w:lang w:val="en-GB"/>
              </w:rPr>
              <w:t>:</w:t>
            </w:r>
            <w:r w:rsidR="009E21D2" w:rsidRPr="00394BB8">
              <w:rPr>
                <w:b/>
                <w:bCs/>
                <w:sz w:val="16"/>
                <w:szCs w:val="16"/>
                <w:lang w:val="en-GB"/>
              </w:rPr>
              <w:t xml:space="preserve"> </w:t>
            </w:r>
            <w:r w:rsidR="009E21D2" w:rsidRPr="00C27B3B">
              <w:rPr>
                <w:b/>
                <w:sz w:val="16"/>
                <w:szCs w:val="16"/>
                <w:lang w:val="en-GB"/>
              </w:rPr>
              <w:t>Georgia 2020 priorities under strategic direction 1</w:t>
            </w:r>
            <w:r>
              <w:rPr>
                <w:b/>
                <w:sz w:val="16"/>
                <w:szCs w:val="16"/>
                <w:lang w:val="en-GB"/>
              </w:rPr>
              <w:t>,</w:t>
            </w:r>
            <w:r w:rsidR="009E21D2" w:rsidRPr="00C27B3B">
              <w:rPr>
                <w:b/>
                <w:sz w:val="16"/>
                <w:szCs w:val="16"/>
                <w:lang w:val="en-GB"/>
              </w:rPr>
              <w:t xml:space="preserve"> </w:t>
            </w:r>
            <w:r>
              <w:rPr>
                <w:b/>
                <w:sz w:val="16"/>
                <w:szCs w:val="16"/>
                <w:lang w:val="en-GB"/>
              </w:rPr>
              <w:t>i</w:t>
            </w:r>
            <w:r w:rsidR="009E21D2" w:rsidRPr="00C27B3B">
              <w:rPr>
                <w:b/>
                <w:sz w:val="16"/>
                <w:szCs w:val="16"/>
                <w:lang w:val="en-GB"/>
              </w:rPr>
              <w:t xml:space="preserve">mproved </w:t>
            </w:r>
            <w:r>
              <w:rPr>
                <w:b/>
                <w:sz w:val="16"/>
                <w:szCs w:val="16"/>
                <w:lang w:val="en-GB"/>
              </w:rPr>
              <w:t>c</w:t>
            </w:r>
            <w:r w:rsidR="009E21D2" w:rsidRPr="00C27B3B">
              <w:rPr>
                <w:b/>
                <w:sz w:val="16"/>
                <w:szCs w:val="16"/>
                <w:lang w:val="en-GB"/>
              </w:rPr>
              <w:t xml:space="preserve">ompetitiveness of </w:t>
            </w:r>
            <w:r>
              <w:rPr>
                <w:b/>
                <w:sz w:val="16"/>
                <w:szCs w:val="16"/>
                <w:lang w:val="en-GB"/>
              </w:rPr>
              <w:t>p</w:t>
            </w:r>
            <w:r w:rsidR="009E21D2" w:rsidRPr="00C27B3B">
              <w:rPr>
                <w:b/>
                <w:sz w:val="16"/>
                <w:szCs w:val="16"/>
                <w:lang w:val="en-GB"/>
              </w:rPr>
              <w:t xml:space="preserve">rivate </w:t>
            </w:r>
            <w:r>
              <w:rPr>
                <w:b/>
                <w:sz w:val="16"/>
                <w:szCs w:val="16"/>
                <w:lang w:val="en-GB"/>
              </w:rPr>
              <w:t>s</w:t>
            </w:r>
            <w:r w:rsidR="009E21D2" w:rsidRPr="00C27B3B">
              <w:rPr>
                <w:b/>
                <w:sz w:val="16"/>
                <w:szCs w:val="16"/>
                <w:lang w:val="en-GB"/>
              </w:rPr>
              <w:t>ector</w:t>
            </w:r>
            <w:r w:rsidR="00C831CA">
              <w:rPr>
                <w:b/>
                <w:sz w:val="16"/>
                <w:szCs w:val="16"/>
                <w:lang w:val="en-GB"/>
              </w:rPr>
              <w:t xml:space="preserve">, </w:t>
            </w:r>
            <w:r w:rsidR="009E21D2" w:rsidRPr="00C27B3B">
              <w:rPr>
                <w:b/>
                <w:sz w:val="16"/>
                <w:szCs w:val="16"/>
                <w:lang w:val="en-GB"/>
              </w:rPr>
              <w:t xml:space="preserve">1.1. Improved investment and business environment; 1.2. Support development of innovations and technologies; 1.3 Support export growth; </w:t>
            </w:r>
            <w:r w:rsidR="00C831CA">
              <w:rPr>
                <w:b/>
                <w:sz w:val="16"/>
                <w:szCs w:val="16"/>
                <w:lang w:val="en-GB"/>
              </w:rPr>
              <w:t>s</w:t>
            </w:r>
            <w:r w:rsidR="009E21D2" w:rsidRPr="00C27B3B">
              <w:rPr>
                <w:b/>
                <w:sz w:val="16"/>
                <w:szCs w:val="16"/>
                <w:lang w:val="en-GB"/>
              </w:rPr>
              <w:t xml:space="preserve">trategic </w:t>
            </w:r>
            <w:r w:rsidR="00C831CA">
              <w:rPr>
                <w:b/>
                <w:sz w:val="16"/>
                <w:szCs w:val="16"/>
                <w:lang w:val="en-GB"/>
              </w:rPr>
              <w:t>d</w:t>
            </w:r>
            <w:r w:rsidR="009E21D2" w:rsidRPr="00C27B3B">
              <w:rPr>
                <w:b/>
                <w:sz w:val="16"/>
                <w:szCs w:val="16"/>
                <w:lang w:val="en-GB"/>
              </w:rPr>
              <w:t>irection 2 prioritizes development of labo</w:t>
            </w:r>
            <w:r>
              <w:rPr>
                <w:b/>
                <w:sz w:val="16"/>
                <w:szCs w:val="16"/>
                <w:lang w:val="en-GB"/>
              </w:rPr>
              <w:t>u</w:t>
            </w:r>
            <w:r w:rsidR="009E21D2" w:rsidRPr="00C27B3B">
              <w:rPr>
                <w:b/>
                <w:sz w:val="16"/>
                <w:szCs w:val="16"/>
                <w:lang w:val="en-GB"/>
              </w:rPr>
              <w:t>r force according to labo</w:t>
            </w:r>
            <w:r>
              <w:rPr>
                <w:b/>
                <w:sz w:val="16"/>
                <w:szCs w:val="16"/>
                <w:lang w:val="en-GB"/>
              </w:rPr>
              <w:t>u</w:t>
            </w:r>
            <w:r w:rsidR="009E21D2" w:rsidRPr="00C27B3B">
              <w:rPr>
                <w:b/>
                <w:sz w:val="16"/>
                <w:szCs w:val="16"/>
                <w:lang w:val="en-GB"/>
              </w:rPr>
              <w:t>r market requirements</w:t>
            </w:r>
            <w:r w:rsidR="009E21D2" w:rsidRPr="00C27B3B">
              <w:rPr>
                <w:rStyle w:val="FootnoteReference"/>
                <w:b/>
                <w:sz w:val="16"/>
                <w:szCs w:val="16"/>
                <w:lang w:val="en-GB"/>
              </w:rPr>
              <w:footnoteReference w:id="6"/>
            </w:r>
            <w:r w:rsidR="009E21D2" w:rsidRPr="00394BB8">
              <w:rPr>
                <w:b/>
                <w:sz w:val="16"/>
                <w:szCs w:val="16"/>
                <w:lang w:val="en-GB"/>
              </w:rPr>
              <w:t xml:space="preserve"> </w:t>
            </w:r>
          </w:p>
        </w:tc>
      </w:tr>
      <w:tr w:rsidR="009E21D2" w:rsidRPr="00394BB8" w14:paraId="0E9A118B" w14:textId="77777777" w:rsidTr="00DB50F6">
        <w:tc>
          <w:tcPr>
            <w:tcW w:w="5000" w:type="pct"/>
            <w:gridSpan w:val="7"/>
            <w:shd w:val="clear" w:color="auto" w:fill="auto"/>
            <w:tcMar>
              <w:top w:w="72" w:type="dxa"/>
              <w:left w:w="144" w:type="dxa"/>
              <w:bottom w:w="72" w:type="dxa"/>
              <w:right w:w="144" w:type="dxa"/>
            </w:tcMar>
          </w:tcPr>
          <w:p w14:paraId="7992C4F0" w14:textId="2B74BE38" w:rsidR="009E21D2" w:rsidRPr="00C831CA" w:rsidRDefault="009E21D2" w:rsidP="0072258F">
            <w:pPr>
              <w:rPr>
                <w:b/>
                <w:sz w:val="16"/>
                <w:szCs w:val="16"/>
                <w:lang w:val="en-GB"/>
              </w:rPr>
            </w:pPr>
            <w:r w:rsidRPr="00E9082B">
              <w:rPr>
                <w:b/>
                <w:bCs/>
                <w:i/>
                <w:sz w:val="16"/>
                <w:szCs w:val="16"/>
                <w:lang w:val="en-GB"/>
              </w:rPr>
              <w:t>UNDAF (</w:t>
            </w:r>
            <w:r w:rsidR="00C27B3B" w:rsidRPr="00E9082B">
              <w:rPr>
                <w:b/>
                <w:bCs/>
                <w:i/>
                <w:sz w:val="16"/>
                <w:szCs w:val="16"/>
                <w:lang w:val="en-GB"/>
              </w:rPr>
              <w:t xml:space="preserve">or equivalent) outcome involving </w:t>
            </w:r>
            <w:r w:rsidRPr="00E9082B">
              <w:rPr>
                <w:b/>
                <w:bCs/>
                <w:i/>
                <w:sz w:val="16"/>
                <w:szCs w:val="16"/>
                <w:lang w:val="en-GB"/>
              </w:rPr>
              <w:t>UNDP:</w:t>
            </w:r>
            <w:r w:rsidRPr="00C831CA">
              <w:rPr>
                <w:b/>
                <w:bCs/>
                <w:sz w:val="16"/>
                <w:szCs w:val="16"/>
                <w:lang w:val="en-GB"/>
              </w:rPr>
              <w:t xml:space="preserve"> Outcome 3</w:t>
            </w:r>
            <w:r w:rsidR="00C831CA" w:rsidRPr="00C831CA">
              <w:rPr>
                <w:b/>
                <w:bCs/>
                <w:sz w:val="16"/>
                <w:szCs w:val="16"/>
                <w:lang w:val="en-GB"/>
              </w:rPr>
              <w:t>.</w:t>
            </w:r>
            <w:r w:rsidRPr="00C831CA">
              <w:rPr>
                <w:b/>
                <w:bCs/>
                <w:sz w:val="16"/>
                <w:szCs w:val="16"/>
                <w:lang w:val="en-GB"/>
              </w:rPr>
              <w:t xml:space="preserve"> Growth and development are inclusive and sustainable, creating employment and livelihoods for the poor and excluded</w:t>
            </w:r>
            <w:r w:rsidRPr="00C831CA">
              <w:rPr>
                <w:rStyle w:val="FootnoteReference"/>
                <w:b/>
                <w:bCs/>
                <w:sz w:val="16"/>
                <w:szCs w:val="16"/>
                <w:lang w:val="en-GB"/>
              </w:rPr>
              <w:footnoteReference w:id="7"/>
            </w:r>
          </w:p>
        </w:tc>
      </w:tr>
      <w:tr w:rsidR="009E21D2" w:rsidRPr="00394BB8" w14:paraId="12AA1E9A" w14:textId="77777777" w:rsidTr="00DB50F6">
        <w:tc>
          <w:tcPr>
            <w:tcW w:w="5000" w:type="pct"/>
            <w:gridSpan w:val="7"/>
            <w:shd w:val="clear" w:color="auto" w:fill="auto"/>
            <w:tcMar>
              <w:top w:w="72" w:type="dxa"/>
              <w:left w:w="144" w:type="dxa"/>
              <w:bottom w:w="72" w:type="dxa"/>
              <w:right w:w="144" w:type="dxa"/>
            </w:tcMar>
          </w:tcPr>
          <w:p w14:paraId="55A0BE1C" w14:textId="364C0A71" w:rsidR="009E21D2" w:rsidRPr="00C831CA" w:rsidRDefault="00C27B3B" w:rsidP="00C831CA">
            <w:pPr>
              <w:rPr>
                <w:b/>
                <w:bCs/>
                <w:sz w:val="16"/>
                <w:szCs w:val="16"/>
                <w:lang w:val="en-GB"/>
              </w:rPr>
            </w:pPr>
            <w:r w:rsidRPr="00E9082B">
              <w:rPr>
                <w:b/>
                <w:bCs/>
                <w:i/>
                <w:sz w:val="16"/>
                <w:szCs w:val="16"/>
                <w:lang w:val="en-GB"/>
              </w:rPr>
              <w:t>Related strategic plan outcome</w:t>
            </w:r>
            <w:r w:rsidR="009E21D2" w:rsidRPr="00E9082B">
              <w:rPr>
                <w:b/>
                <w:bCs/>
                <w:i/>
                <w:sz w:val="16"/>
                <w:szCs w:val="16"/>
                <w:lang w:val="en-GB"/>
              </w:rPr>
              <w:t>:</w:t>
            </w:r>
            <w:r w:rsidR="009E21D2" w:rsidRPr="00C831CA">
              <w:rPr>
                <w:b/>
                <w:bCs/>
                <w:sz w:val="16"/>
                <w:szCs w:val="16"/>
                <w:lang w:val="en-GB"/>
              </w:rPr>
              <w:t xml:space="preserve"> Outcome 1</w:t>
            </w:r>
            <w:r w:rsidR="00C831CA">
              <w:rPr>
                <w:b/>
                <w:bCs/>
                <w:sz w:val="16"/>
                <w:szCs w:val="16"/>
                <w:lang w:val="en-GB"/>
              </w:rPr>
              <w:t xml:space="preserve">. </w:t>
            </w:r>
            <w:r w:rsidR="009E21D2" w:rsidRPr="00C831CA">
              <w:rPr>
                <w:b/>
                <w:bCs/>
                <w:sz w:val="16"/>
                <w:szCs w:val="16"/>
                <w:lang w:val="en-GB"/>
              </w:rPr>
              <w:t>Growth and development are inclusive and sustainable incorporating productive capacities that create employment and livelihoods for the poor and excluded</w:t>
            </w:r>
          </w:p>
        </w:tc>
      </w:tr>
      <w:tr w:rsidR="009E21D2" w:rsidRPr="00394BB8" w14:paraId="7999C16A" w14:textId="77777777" w:rsidTr="00755F22">
        <w:tc>
          <w:tcPr>
            <w:tcW w:w="940" w:type="pct"/>
            <w:gridSpan w:val="2"/>
            <w:vMerge w:val="restart"/>
            <w:tcMar>
              <w:top w:w="72" w:type="dxa"/>
              <w:left w:w="144" w:type="dxa"/>
              <w:bottom w:w="72" w:type="dxa"/>
              <w:right w:w="144" w:type="dxa"/>
            </w:tcMar>
          </w:tcPr>
          <w:p w14:paraId="417A1803" w14:textId="1868254D" w:rsidR="009E21D2" w:rsidRPr="00394BB8" w:rsidRDefault="009E21D2" w:rsidP="0072258F">
            <w:pPr>
              <w:ind w:right="-62"/>
              <w:rPr>
                <w:sz w:val="16"/>
                <w:szCs w:val="16"/>
                <w:lang w:val="en-GB"/>
              </w:rPr>
            </w:pPr>
            <w:r w:rsidRPr="00C831CA">
              <w:rPr>
                <w:sz w:val="16"/>
                <w:szCs w:val="16"/>
                <w:lang w:val="en-GB"/>
              </w:rPr>
              <w:t>1.</w:t>
            </w:r>
            <w:r w:rsidRPr="00394BB8">
              <w:rPr>
                <w:sz w:val="16"/>
                <w:szCs w:val="16"/>
                <w:lang w:val="en-GB"/>
              </w:rPr>
              <w:t xml:space="preserve"> Number </w:t>
            </w:r>
            <w:r w:rsidR="00EC51BC" w:rsidRPr="00394BB8">
              <w:rPr>
                <w:sz w:val="16"/>
                <w:szCs w:val="16"/>
                <w:lang w:val="en-GB"/>
              </w:rPr>
              <w:t xml:space="preserve">of new policies, systems, </w:t>
            </w:r>
            <w:r w:rsidRPr="00394BB8">
              <w:rPr>
                <w:sz w:val="16"/>
                <w:szCs w:val="16"/>
                <w:lang w:val="en-GB"/>
              </w:rPr>
              <w:t>institutional measures at national and subnational levels to generate/strengthen employment and livelihoods</w:t>
            </w:r>
          </w:p>
          <w:p w14:paraId="03F7F01A" w14:textId="354C7539" w:rsidR="009E21D2" w:rsidRPr="00394BB8" w:rsidRDefault="009E21D2" w:rsidP="0072258F">
            <w:pPr>
              <w:rPr>
                <w:sz w:val="16"/>
                <w:szCs w:val="16"/>
                <w:lang w:val="en-GB"/>
              </w:rPr>
            </w:pPr>
            <w:r w:rsidRPr="004C785B">
              <w:rPr>
                <w:sz w:val="16"/>
                <w:szCs w:val="16"/>
                <w:lang w:val="en-GB"/>
              </w:rPr>
              <w:t>Baseline (2014)</w:t>
            </w:r>
            <w:r w:rsidRPr="00394BB8">
              <w:rPr>
                <w:sz w:val="16"/>
                <w:szCs w:val="16"/>
                <w:lang w:val="en-GB"/>
              </w:rPr>
              <w:t>: 3 policies/</w:t>
            </w:r>
            <w:r w:rsidR="006C78D0">
              <w:rPr>
                <w:sz w:val="16"/>
                <w:szCs w:val="16"/>
                <w:lang w:val="en-GB"/>
              </w:rPr>
              <w:t xml:space="preserve"> </w:t>
            </w:r>
            <w:r w:rsidRPr="00394BB8">
              <w:rPr>
                <w:sz w:val="16"/>
                <w:szCs w:val="16"/>
                <w:lang w:val="en-GB"/>
              </w:rPr>
              <w:t>programmes to support private sector development, including agricultural loan programmes (</w:t>
            </w:r>
            <w:r w:rsidR="006C78D0">
              <w:rPr>
                <w:sz w:val="16"/>
                <w:szCs w:val="16"/>
                <w:lang w:val="en-GB"/>
              </w:rPr>
              <w:t>Ministry of Agriculture</w:t>
            </w:r>
            <w:r w:rsidRPr="00394BB8">
              <w:rPr>
                <w:sz w:val="16"/>
                <w:szCs w:val="16"/>
                <w:lang w:val="en-GB"/>
              </w:rPr>
              <w:t>), support for cooperatives</w:t>
            </w:r>
            <w:r w:rsidR="006C78D0">
              <w:rPr>
                <w:sz w:val="16"/>
                <w:szCs w:val="16"/>
                <w:lang w:val="en-GB"/>
              </w:rPr>
              <w:t>,</w:t>
            </w:r>
            <w:r w:rsidRPr="00394BB8">
              <w:rPr>
                <w:sz w:val="16"/>
                <w:szCs w:val="16"/>
                <w:lang w:val="en-GB"/>
              </w:rPr>
              <w:t xml:space="preserve"> </w:t>
            </w:r>
            <w:r w:rsidRPr="004C785B">
              <w:rPr>
                <w:sz w:val="16"/>
                <w:szCs w:val="16"/>
                <w:lang w:val="en-GB"/>
              </w:rPr>
              <w:t>ICCs</w:t>
            </w:r>
            <w:r w:rsidRPr="00394BB8">
              <w:rPr>
                <w:sz w:val="16"/>
                <w:szCs w:val="16"/>
                <w:lang w:val="en-GB"/>
              </w:rPr>
              <w:t xml:space="preserve"> </w:t>
            </w:r>
            <w:r w:rsidR="00C831CA">
              <w:rPr>
                <w:sz w:val="16"/>
                <w:szCs w:val="16"/>
                <w:lang w:val="en-GB"/>
              </w:rPr>
              <w:t>and p</w:t>
            </w:r>
            <w:r w:rsidRPr="00394BB8">
              <w:rPr>
                <w:sz w:val="16"/>
                <w:szCs w:val="16"/>
                <w:lang w:val="en-GB"/>
              </w:rPr>
              <w:t>roduce in Georgia (</w:t>
            </w:r>
            <w:r w:rsidR="006C78D0" w:rsidRPr="006C78D0">
              <w:rPr>
                <w:sz w:val="16"/>
                <w:szCs w:val="16"/>
                <w:lang w:val="en-GB"/>
              </w:rPr>
              <w:t>Ministry of Economy and Sustainable Development</w:t>
            </w:r>
            <w:r w:rsidRPr="00394BB8">
              <w:rPr>
                <w:sz w:val="16"/>
                <w:szCs w:val="16"/>
                <w:lang w:val="en-GB"/>
              </w:rPr>
              <w:t xml:space="preserve">), </w:t>
            </w:r>
            <w:r w:rsidRPr="004C785B">
              <w:rPr>
                <w:sz w:val="16"/>
                <w:szCs w:val="16"/>
                <w:lang w:val="en-GB"/>
              </w:rPr>
              <w:t>EDA</w:t>
            </w:r>
            <w:r w:rsidRPr="00394BB8">
              <w:rPr>
                <w:sz w:val="16"/>
                <w:szCs w:val="16"/>
                <w:lang w:val="en-GB"/>
              </w:rPr>
              <w:t xml:space="preserve"> and </w:t>
            </w:r>
            <w:r w:rsidRPr="004C785B">
              <w:rPr>
                <w:sz w:val="16"/>
                <w:szCs w:val="16"/>
                <w:lang w:val="en-GB"/>
              </w:rPr>
              <w:t>GNITA</w:t>
            </w:r>
            <w:r w:rsidRPr="00394BB8">
              <w:rPr>
                <w:sz w:val="16"/>
                <w:szCs w:val="16"/>
                <w:lang w:val="en-GB"/>
              </w:rPr>
              <w:t xml:space="preserve"> programmes</w:t>
            </w:r>
          </w:p>
          <w:p w14:paraId="59C2D416" w14:textId="77777777" w:rsidR="009E21D2" w:rsidRPr="00394BB8" w:rsidRDefault="009E21D2" w:rsidP="006C78D0">
            <w:pPr>
              <w:spacing w:after="120"/>
              <w:rPr>
                <w:sz w:val="16"/>
                <w:szCs w:val="16"/>
                <w:lang w:val="en-GB"/>
              </w:rPr>
            </w:pPr>
            <w:r w:rsidRPr="004C785B">
              <w:rPr>
                <w:sz w:val="16"/>
                <w:szCs w:val="16"/>
                <w:lang w:val="en-GB"/>
              </w:rPr>
              <w:t>Target (2020):</w:t>
            </w:r>
            <w:r w:rsidRPr="00394BB8">
              <w:rPr>
                <w:sz w:val="16"/>
                <w:szCs w:val="16"/>
                <w:lang w:val="en-GB"/>
              </w:rPr>
              <w:t xml:space="preserve"> At least 2 new policies for supporting inclusive business development, application of innovations and rural development</w:t>
            </w:r>
          </w:p>
          <w:p w14:paraId="512A2BE1" w14:textId="45DA4082" w:rsidR="009E21D2" w:rsidRPr="00394BB8" w:rsidRDefault="009E21D2" w:rsidP="0072258F">
            <w:pPr>
              <w:rPr>
                <w:sz w:val="16"/>
                <w:szCs w:val="16"/>
                <w:lang w:val="en-GB"/>
              </w:rPr>
            </w:pPr>
            <w:r w:rsidRPr="00394BB8">
              <w:rPr>
                <w:sz w:val="16"/>
                <w:szCs w:val="16"/>
                <w:lang w:val="en-GB"/>
              </w:rPr>
              <w:t>2</w:t>
            </w:r>
            <w:r w:rsidR="006C78D0">
              <w:rPr>
                <w:sz w:val="16"/>
                <w:szCs w:val="16"/>
                <w:lang w:val="en-GB"/>
              </w:rPr>
              <w:t>.</w:t>
            </w:r>
            <w:r w:rsidRPr="00394BB8">
              <w:rPr>
                <w:sz w:val="16"/>
                <w:szCs w:val="16"/>
                <w:lang w:val="en-GB"/>
              </w:rPr>
              <w:t xml:space="preserve"> Unemployment rate (disaggregated by sex, youth, rural/urban)</w:t>
            </w:r>
          </w:p>
          <w:p w14:paraId="59E2366C" w14:textId="77777777" w:rsidR="009E21D2" w:rsidRPr="00394BB8" w:rsidRDefault="009E21D2" w:rsidP="0072258F">
            <w:pPr>
              <w:rPr>
                <w:sz w:val="16"/>
                <w:szCs w:val="16"/>
                <w:lang w:val="en-GB"/>
              </w:rPr>
            </w:pPr>
            <w:r w:rsidRPr="004C785B">
              <w:rPr>
                <w:sz w:val="16"/>
                <w:szCs w:val="16"/>
                <w:lang w:val="en-GB"/>
              </w:rPr>
              <w:t>Baseline:</w:t>
            </w:r>
            <w:r w:rsidRPr="00394BB8">
              <w:rPr>
                <w:sz w:val="16"/>
                <w:szCs w:val="16"/>
                <w:lang w:val="en-GB"/>
              </w:rPr>
              <w:t xml:space="preserve"> 15 (2013)</w:t>
            </w:r>
          </w:p>
          <w:p w14:paraId="5AC3DC46" w14:textId="60E9A71F" w:rsidR="00E20A88" w:rsidRDefault="009E21D2" w:rsidP="0072258F">
            <w:pPr>
              <w:rPr>
                <w:sz w:val="16"/>
                <w:szCs w:val="16"/>
                <w:lang w:val="en-GB"/>
              </w:rPr>
            </w:pPr>
            <w:r w:rsidRPr="004C785B">
              <w:rPr>
                <w:sz w:val="16"/>
                <w:szCs w:val="16"/>
                <w:lang w:val="en-GB"/>
              </w:rPr>
              <w:t>Target:</w:t>
            </w:r>
            <w:r w:rsidRPr="00394BB8">
              <w:rPr>
                <w:sz w:val="16"/>
                <w:szCs w:val="16"/>
                <w:lang w:val="en-GB"/>
              </w:rPr>
              <w:t xml:space="preserve"> 12 </w:t>
            </w:r>
            <w:r w:rsidR="006C78D0">
              <w:rPr>
                <w:sz w:val="16"/>
                <w:szCs w:val="16"/>
                <w:lang w:val="en-GB"/>
              </w:rPr>
              <w:t xml:space="preserve">– </w:t>
            </w:r>
            <w:r w:rsidRPr="00394BB8">
              <w:rPr>
                <w:sz w:val="16"/>
                <w:szCs w:val="16"/>
                <w:lang w:val="en-GB"/>
              </w:rPr>
              <w:t xml:space="preserve">Georgia 2020 </w:t>
            </w:r>
            <w:r w:rsidR="006C78D0">
              <w:rPr>
                <w:sz w:val="16"/>
                <w:szCs w:val="16"/>
                <w:lang w:val="en-GB"/>
              </w:rPr>
              <w:t>target</w:t>
            </w:r>
          </w:p>
          <w:p w14:paraId="26E64B37" w14:textId="77777777" w:rsidR="00E20A88" w:rsidRDefault="00E20A88" w:rsidP="0072258F">
            <w:pPr>
              <w:rPr>
                <w:sz w:val="16"/>
                <w:szCs w:val="16"/>
                <w:lang w:val="en-GB"/>
              </w:rPr>
            </w:pPr>
          </w:p>
          <w:p w14:paraId="6BE03207" w14:textId="77777777" w:rsidR="00E20A88" w:rsidRPr="00394BB8" w:rsidRDefault="00E20A88" w:rsidP="0072258F">
            <w:pPr>
              <w:rPr>
                <w:sz w:val="16"/>
                <w:szCs w:val="16"/>
                <w:lang w:val="en-GB"/>
              </w:rPr>
            </w:pPr>
          </w:p>
          <w:p w14:paraId="48C83E4E" w14:textId="4318ACD3" w:rsidR="009E21D2" w:rsidRPr="00394BB8" w:rsidRDefault="009E21D2" w:rsidP="0072258F">
            <w:pPr>
              <w:rPr>
                <w:sz w:val="16"/>
                <w:szCs w:val="16"/>
                <w:lang w:val="en-GB"/>
              </w:rPr>
            </w:pPr>
            <w:r w:rsidRPr="00E20A88">
              <w:rPr>
                <w:sz w:val="16"/>
                <w:szCs w:val="16"/>
                <w:lang w:val="en-GB"/>
              </w:rPr>
              <w:t>5</w:t>
            </w:r>
            <w:r w:rsidR="00E20A88">
              <w:rPr>
                <w:sz w:val="16"/>
                <w:szCs w:val="16"/>
                <w:lang w:val="en-GB"/>
              </w:rPr>
              <w:t>.</w:t>
            </w:r>
            <w:r w:rsidRPr="004C785B">
              <w:rPr>
                <w:sz w:val="16"/>
                <w:szCs w:val="16"/>
                <w:lang w:val="en-GB"/>
              </w:rPr>
              <w:t xml:space="preserve"> </w:t>
            </w:r>
            <w:r w:rsidR="00E20A88">
              <w:rPr>
                <w:sz w:val="16"/>
                <w:szCs w:val="16"/>
                <w:lang w:val="en-GB"/>
              </w:rPr>
              <w:t>Percentage</w:t>
            </w:r>
            <w:r w:rsidR="00E20A88" w:rsidRPr="00394BB8">
              <w:rPr>
                <w:sz w:val="16"/>
                <w:szCs w:val="16"/>
                <w:lang w:val="en-GB"/>
              </w:rPr>
              <w:t xml:space="preserve"> </w:t>
            </w:r>
            <w:r w:rsidRPr="00394BB8">
              <w:rPr>
                <w:sz w:val="16"/>
                <w:szCs w:val="16"/>
                <w:lang w:val="en-GB"/>
              </w:rPr>
              <w:t xml:space="preserve">(self) employment among </w:t>
            </w:r>
            <w:r w:rsidR="0087219F" w:rsidRPr="00394BB8">
              <w:rPr>
                <w:sz w:val="16"/>
                <w:szCs w:val="16"/>
                <w:lang w:val="en-GB"/>
              </w:rPr>
              <w:t xml:space="preserve">vocational education </w:t>
            </w:r>
            <w:r w:rsidR="0087219F" w:rsidRPr="00394BB8">
              <w:rPr>
                <w:sz w:val="16"/>
                <w:szCs w:val="16"/>
                <w:lang w:val="en-GB"/>
              </w:rPr>
              <w:lastRenderedPageBreak/>
              <w:t>(</w:t>
            </w:r>
            <w:r w:rsidRPr="00394BB8">
              <w:rPr>
                <w:sz w:val="16"/>
                <w:szCs w:val="16"/>
                <w:lang w:val="en-GB"/>
              </w:rPr>
              <w:t>VET</w:t>
            </w:r>
            <w:r w:rsidR="0087219F" w:rsidRPr="00394BB8">
              <w:rPr>
                <w:sz w:val="16"/>
                <w:szCs w:val="16"/>
                <w:lang w:val="en-GB"/>
              </w:rPr>
              <w:t>)</w:t>
            </w:r>
            <w:r w:rsidRPr="00394BB8">
              <w:rPr>
                <w:sz w:val="16"/>
                <w:szCs w:val="16"/>
                <w:lang w:val="en-GB"/>
              </w:rPr>
              <w:t xml:space="preserve"> graduates disaggregated by sex, </w:t>
            </w:r>
            <w:r w:rsidR="008E1A9F">
              <w:rPr>
                <w:sz w:val="16"/>
                <w:szCs w:val="16"/>
                <w:lang w:val="en-GB"/>
              </w:rPr>
              <w:t>people with disabilities</w:t>
            </w:r>
            <w:r w:rsidRPr="00394BB8">
              <w:rPr>
                <w:sz w:val="16"/>
                <w:szCs w:val="16"/>
                <w:lang w:val="en-GB"/>
              </w:rPr>
              <w:t>, economic and other vulnerabilit</w:t>
            </w:r>
            <w:r w:rsidR="008E1A9F">
              <w:rPr>
                <w:sz w:val="16"/>
                <w:szCs w:val="16"/>
                <w:lang w:val="en-GB"/>
              </w:rPr>
              <w:t>ies</w:t>
            </w:r>
            <w:r w:rsidRPr="00394BB8">
              <w:rPr>
                <w:sz w:val="16"/>
                <w:szCs w:val="16"/>
                <w:lang w:val="en-GB"/>
              </w:rPr>
              <w:t xml:space="preserve"> </w:t>
            </w:r>
          </w:p>
          <w:p w14:paraId="450B224F" w14:textId="6E472B1F" w:rsidR="009E21D2" w:rsidRPr="00394BB8" w:rsidRDefault="009E21D2" w:rsidP="0072258F">
            <w:pPr>
              <w:rPr>
                <w:sz w:val="16"/>
                <w:szCs w:val="16"/>
                <w:lang w:val="en-GB"/>
              </w:rPr>
            </w:pPr>
            <w:r w:rsidRPr="004C785B">
              <w:rPr>
                <w:i/>
                <w:sz w:val="16"/>
                <w:szCs w:val="16"/>
                <w:lang w:val="en-GB"/>
              </w:rPr>
              <w:t xml:space="preserve">Baseline </w:t>
            </w:r>
            <w:r w:rsidRPr="00394BB8">
              <w:rPr>
                <w:sz w:val="16"/>
                <w:szCs w:val="16"/>
                <w:lang w:val="en-GB"/>
              </w:rPr>
              <w:t xml:space="preserve">(2015): </w:t>
            </w:r>
            <w:r w:rsidR="004C785B">
              <w:rPr>
                <w:sz w:val="16"/>
                <w:szCs w:val="16"/>
                <w:lang w:val="en-GB"/>
              </w:rPr>
              <w:t>to be confirmed</w:t>
            </w:r>
            <w:r w:rsidR="004C785B" w:rsidRPr="00394BB8">
              <w:rPr>
                <w:sz w:val="16"/>
                <w:szCs w:val="16"/>
                <w:lang w:val="en-GB"/>
              </w:rPr>
              <w:t xml:space="preserve"> </w:t>
            </w:r>
            <w:r w:rsidRPr="00394BB8">
              <w:rPr>
                <w:sz w:val="16"/>
                <w:szCs w:val="16"/>
                <w:lang w:val="en-GB"/>
              </w:rPr>
              <w:t xml:space="preserve">in 2015; work net data, </w:t>
            </w:r>
            <w:r w:rsidR="004C785B" w:rsidRPr="004C785B">
              <w:rPr>
                <w:sz w:val="16"/>
                <w:szCs w:val="16"/>
                <w:lang w:val="en-GB"/>
              </w:rPr>
              <w:t>Ministry of Labour, Health and Social Affairs</w:t>
            </w:r>
            <w:r w:rsidR="004C785B" w:rsidRPr="00394BB8">
              <w:rPr>
                <w:sz w:val="16"/>
                <w:szCs w:val="16"/>
                <w:lang w:val="en-GB"/>
              </w:rPr>
              <w:t xml:space="preserve"> </w:t>
            </w:r>
            <w:r w:rsidR="004C785B">
              <w:rPr>
                <w:sz w:val="16"/>
                <w:szCs w:val="16"/>
                <w:lang w:val="en-GB"/>
              </w:rPr>
              <w:t>(</w:t>
            </w:r>
            <w:r w:rsidRPr="00394BB8">
              <w:rPr>
                <w:sz w:val="16"/>
                <w:szCs w:val="16"/>
                <w:lang w:val="en-GB"/>
              </w:rPr>
              <w:t>MLHSA</w:t>
            </w:r>
            <w:r w:rsidR="004C785B">
              <w:rPr>
                <w:sz w:val="16"/>
                <w:szCs w:val="16"/>
                <w:lang w:val="en-GB"/>
              </w:rPr>
              <w:t>)</w:t>
            </w:r>
          </w:p>
          <w:p w14:paraId="44BC3A06" w14:textId="7EBD3FAD" w:rsidR="009E21D2" w:rsidRPr="004C785B" w:rsidRDefault="009E21D2" w:rsidP="004C785B">
            <w:pPr>
              <w:rPr>
                <w:sz w:val="16"/>
                <w:szCs w:val="16"/>
                <w:lang w:val="en-GB"/>
              </w:rPr>
            </w:pPr>
            <w:r w:rsidRPr="004C785B">
              <w:rPr>
                <w:i/>
                <w:sz w:val="16"/>
                <w:szCs w:val="16"/>
                <w:lang w:val="en-GB"/>
              </w:rPr>
              <w:t>Target (2020):</w:t>
            </w:r>
            <w:r w:rsidRPr="00394BB8">
              <w:rPr>
                <w:sz w:val="16"/>
                <w:szCs w:val="16"/>
                <w:lang w:val="en-GB"/>
              </w:rPr>
              <w:t xml:space="preserve"> 10% increase vs. 2015 </w:t>
            </w:r>
          </w:p>
        </w:tc>
        <w:tc>
          <w:tcPr>
            <w:tcW w:w="934" w:type="pct"/>
            <w:vMerge w:val="restart"/>
          </w:tcPr>
          <w:p w14:paraId="040AD206" w14:textId="77777777" w:rsidR="009E21D2" w:rsidRPr="006C78D0" w:rsidRDefault="009E21D2" w:rsidP="006C78D0">
            <w:pPr>
              <w:rPr>
                <w:sz w:val="16"/>
                <w:szCs w:val="16"/>
                <w:lang w:val="en-GB"/>
              </w:rPr>
            </w:pPr>
            <w:r w:rsidRPr="006C78D0">
              <w:rPr>
                <w:sz w:val="16"/>
                <w:szCs w:val="16"/>
                <w:lang w:val="en-GB"/>
              </w:rPr>
              <w:lastRenderedPageBreak/>
              <w:t>GeoStat official data (quarterly)</w:t>
            </w:r>
          </w:p>
          <w:p w14:paraId="2E27DB7D" w14:textId="77777777" w:rsidR="009E21D2" w:rsidRPr="00394BB8" w:rsidRDefault="009E21D2" w:rsidP="0072258F">
            <w:pPr>
              <w:pStyle w:val="ListParagraph"/>
              <w:ind w:left="339"/>
              <w:rPr>
                <w:sz w:val="16"/>
                <w:szCs w:val="16"/>
                <w:lang w:val="en-GB"/>
              </w:rPr>
            </w:pPr>
          </w:p>
          <w:p w14:paraId="4A1C23CD" w14:textId="77777777" w:rsidR="009E21D2" w:rsidRPr="006C78D0" w:rsidRDefault="009E21D2" w:rsidP="006C78D0">
            <w:pPr>
              <w:rPr>
                <w:sz w:val="16"/>
                <w:szCs w:val="16"/>
                <w:lang w:val="en-GB"/>
              </w:rPr>
            </w:pPr>
            <w:r w:rsidRPr="006C78D0">
              <w:rPr>
                <w:sz w:val="16"/>
                <w:szCs w:val="16"/>
                <w:lang w:val="en-GB"/>
              </w:rPr>
              <w:t>National and sub-national policy documents and concept notes, legal acts (annual)</w:t>
            </w:r>
          </w:p>
          <w:p w14:paraId="34963DB3" w14:textId="77777777" w:rsidR="009E21D2" w:rsidRPr="00394BB8" w:rsidRDefault="009E21D2" w:rsidP="0072258F">
            <w:pPr>
              <w:pStyle w:val="ListParagraph"/>
              <w:ind w:left="339"/>
              <w:rPr>
                <w:sz w:val="16"/>
                <w:szCs w:val="16"/>
                <w:lang w:val="en-GB"/>
              </w:rPr>
            </w:pPr>
          </w:p>
          <w:p w14:paraId="02C9C7C9" w14:textId="3D40D3DF" w:rsidR="009E21D2" w:rsidRPr="006C78D0" w:rsidRDefault="009E21D2" w:rsidP="006C78D0">
            <w:pPr>
              <w:rPr>
                <w:sz w:val="16"/>
                <w:szCs w:val="16"/>
                <w:lang w:val="en-GB"/>
              </w:rPr>
            </w:pPr>
            <w:r w:rsidRPr="006C78D0">
              <w:rPr>
                <w:sz w:val="16"/>
                <w:szCs w:val="16"/>
                <w:lang w:val="en-GB"/>
              </w:rPr>
              <w:t xml:space="preserve">Tracer </w:t>
            </w:r>
            <w:r w:rsidR="006C78D0">
              <w:rPr>
                <w:sz w:val="16"/>
                <w:szCs w:val="16"/>
                <w:lang w:val="en-GB"/>
              </w:rPr>
              <w:t>s</w:t>
            </w:r>
            <w:r w:rsidRPr="006C78D0">
              <w:rPr>
                <w:sz w:val="16"/>
                <w:szCs w:val="16"/>
                <w:lang w:val="en-GB"/>
              </w:rPr>
              <w:t>tudy</w:t>
            </w:r>
            <w:r w:rsidR="006C78D0">
              <w:rPr>
                <w:sz w:val="16"/>
                <w:szCs w:val="16"/>
                <w:lang w:val="en-GB"/>
              </w:rPr>
              <w:t>,</w:t>
            </w:r>
            <w:r w:rsidRPr="006C78D0">
              <w:rPr>
                <w:sz w:val="16"/>
                <w:szCs w:val="16"/>
                <w:lang w:val="en-GB"/>
              </w:rPr>
              <w:t xml:space="preserve"> 2015 (baseline) and 2019 (follow-up)</w:t>
            </w:r>
          </w:p>
          <w:p w14:paraId="12020FA3" w14:textId="77777777" w:rsidR="009E21D2" w:rsidRPr="00394BB8" w:rsidRDefault="009E21D2" w:rsidP="0072258F">
            <w:pPr>
              <w:pStyle w:val="ListParagraph"/>
              <w:rPr>
                <w:sz w:val="16"/>
                <w:szCs w:val="16"/>
                <w:lang w:val="en-GB"/>
              </w:rPr>
            </w:pPr>
          </w:p>
          <w:p w14:paraId="741E9ABC" w14:textId="77777777" w:rsidR="009E21D2" w:rsidRPr="006C78D0" w:rsidRDefault="009E21D2" w:rsidP="006C78D0">
            <w:pPr>
              <w:rPr>
                <w:sz w:val="16"/>
                <w:szCs w:val="16"/>
                <w:lang w:val="en-GB"/>
              </w:rPr>
            </w:pPr>
            <w:r w:rsidRPr="006C78D0">
              <w:rPr>
                <w:sz w:val="16"/>
                <w:szCs w:val="16"/>
                <w:lang w:val="en-GB"/>
              </w:rPr>
              <w:t>Project evaluation reports</w:t>
            </w:r>
          </w:p>
          <w:p w14:paraId="0A9F4C33" w14:textId="77777777" w:rsidR="009E21D2" w:rsidRPr="00394BB8" w:rsidRDefault="009E21D2" w:rsidP="00842ED7">
            <w:pPr>
              <w:rPr>
                <w:bCs/>
                <w:i/>
                <w:sz w:val="16"/>
                <w:szCs w:val="16"/>
                <w:lang w:val="en-GB"/>
              </w:rPr>
            </w:pPr>
          </w:p>
        </w:tc>
        <w:tc>
          <w:tcPr>
            <w:tcW w:w="1435" w:type="pct"/>
            <w:vMerge w:val="restart"/>
            <w:tcMar>
              <w:top w:w="72" w:type="dxa"/>
              <w:left w:w="144" w:type="dxa"/>
              <w:bottom w:w="72" w:type="dxa"/>
              <w:right w:w="144" w:type="dxa"/>
            </w:tcMar>
          </w:tcPr>
          <w:p w14:paraId="1C3AFD72" w14:textId="0C4B3BF4" w:rsidR="009E21D2" w:rsidRPr="00394BB8" w:rsidRDefault="009E21D2" w:rsidP="0072258F">
            <w:pPr>
              <w:contextualSpacing/>
              <w:rPr>
                <w:b/>
                <w:sz w:val="16"/>
                <w:szCs w:val="16"/>
                <w:lang w:val="en-GB"/>
              </w:rPr>
            </w:pPr>
            <w:r w:rsidRPr="00394BB8">
              <w:rPr>
                <w:b/>
                <w:sz w:val="16"/>
                <w:szCs w:val="16"/>
                <w:lang w:val="en-GB"/>
              </w:rPr>
              <w:t>Output 2.1</w:t>
            </w:r>
            <w:r w:rsidR="006C78D0">
              <w:rPr>
                <w:b/>
                <w:sz w:val="16"/>
                <w:szCs w:val="16"/>
                <w:lang w:val="en-GB"/>
              </w:rPr>
              <w:t>.</w:t>
            </w:r>
            <w:r w:rsidRPr="00394BB8">
              <w:rPr>
                <w:b/>
                <w:sz w:val="16"/>
                <w:szCs w:val="16"/>
                <w:lang w:val="en-GB"/>
              </w:rPr>
              <w:t xml:space="preserve"> By 2020, national and local governments have greater capacities to promote user-centred, inclusive and sustainable rural and urban development policies</w:t>
            </w:r>
          </w:p>
          <w:p w14:paraId="5EA9FCE2" w14:textId="01846506" w:rsidR="009E21D2" w:rsidRPr="00394BB8" w:rsidRDefault="009E21D2" w:rsidP="0072258F">
            <w:pPr>
              <w:contextualSpacing/>
              <w:rPr>
                <w:sz w:val="16"/>
                <w:szCs w:val="16"/>
                <w:lang w:val="en-GB"/>
              </w:rPr>
            </w:pPr>
            <w:r w:rsidRPr="00394BB8">
              <w:rPr>
                <w:sz w:val="16"/>
                <w:szCs w:val="16"/>
                <w:lang w:val="en-GB"/>
              </w:rPr>
              <w:t>2.1.1</w:t>
            </w:r>
            <w:r w:rsidR="006C78D0">
              <w:rPr>
                <w:sz w:val="16"/>
                <w:szCs w:val="16"/>
                <w:lang w:val="en-GB"/>
              </w:rPr>
              <w:t>.</w:t>
            </w:r>
            <w:r w:rsidRPr="00394BB8">
              <w:rPr>
                <w:sz w:val="16"/>
                <w:szCs w:val="16"/>
                <w:lang w:val="en-GB"/>
              </w:rPr>
              <w:t xml:space="preserve"> </w:t>
            </w:r>
            <w:r w:rsidR="002D51B3" w:rsidRPr="00394BB8">
              <w:rPr>
                <w:sz w:val="16"/>
                <w:szCs w:val="16"/>
                <w:lang w:val="en-GB"/>
              </w:rPr>
              <w:t>Number of c</w:t>
            </w:r>
            <w:r w:rsidRPr="00394BB8">
              <w:rPr>
                <w:sz w:val="16"/>
                <w:szCs w:val="16"/>
                <w:lang w:val="en-GB"/>
              </w:rPr>
              <w:t>itizen-oriented and gender-aware rural and urban development strategies elaborated and implemented</w:t>
            </w:r>
            <w:r w:rsidR="009957E8" w:rsidRPr="00394BB8">
              <w:rPr>
                <w:sz w:val="16"/>
                <w:szCs w:val="16"/>
                <w:lang w:val="en-GB"/>
              </w:rPr>
              <w:t xml:space="preserve"> </w:t>
            </w:r>
          </w:p>
          <w:p w14:paraId="406BEB02" w14:textId="29C7488D" w:rsidR="009E21D2" w:rsidRPr="00394BB8" w:rsidRDefault="009E21D2" w:rsidP="0072258F">
            <w:pPr>
              <w:contextualSpacing/>
              <w:rPr>
                <w:sz w:val="16"/>
                <w:szCs w:val="16"/>
                <w:lang w:val="en-GB"/>
              </w:rPr>
            </w:pPr>
            <w:r w:rsidRPr="00394BB8">
              <w:rPr>
                <w:i/>
                <w:sz w:val="16"/>
                <w:szCs w:val="16"/>
                <w:lang w:val="en-GB"/>
              </w:rPr>
              <w:t>Baseline (2015):</w:t>
            </w:r>
            <w:r w:rsidR="002D51B3" w:rsidRPr="00394BB8">
              <w:rPr>
                <w:i/>
                <w:sz w:val="16"/>
                <w:szCs w:val="16"/>
                <w:lang w:val="en-GB"/>
              </w:rPr>
              <w:t xml:space="preserve"> </w:t>
            </w:r>
            <w:r w:rsidRPr="00394BB8">
              <w:rPr>
                <w:sz w:val="16"/>
                <w:szCs w:val="16"/>
                <w:lang w:val="en-GB"/>
              </w:rPr>
              <w:t xml:space="preserve">None in place  </w:t>
            </w:r>
          </w:p>
          <w:p w14:paraId="77499CCC" w14:textId="12572948" w:rsidR="009E21D2" w:rsidRPr="00394BB8" w:rsidRDefault="009E21D2" w:rsidP="00E20A88">
            <w:pPr>
              <w:spacing w:after="120"/>
              <w:rPr>
                <w:i/>
                <w:sz w:val="16"/>
                <w:szCs w:val="16"/>
                <w:lang w:val="en-GB"/>
              </w:rPr>
            </w:pPr>
            <w:r w:rsidRPr="00394BB8">
              <w:rPr>
                <w:i/>
                <w:sz w:val="16"/>
                <w:szCs w:val="16"/>
                <w:lang w:val="en-GB"/>
              </w:rPr>
              <w:t xml:space="preserve">Target (2020): </w:t>
            </w:r>
            <w:r w:rsidRPr="00394BB8">
              <w:rPr>
                <w:sz w:val="16"/>
                <w:szCs w:val="16"/>
                <w:lang w:val="en-GB"/>
              </w:rPr>
              <w:t xml:space="preserve">Rural and </w:t>
            </w:r>
            <w:r w:rsidR="006C78D0">
              <w:rPr>
                <w:sz w:val="16"/>
                <w:szCs w:val="16"/>
                <w:lang w:val="en-GB"/>
              </w:rPr>
              <w:t>u</w:t>
            </w:r>
            <w:r w:rsidRPr="00394BB8">
              <w:rPr>
                <w:sz w:val="16"/>
                <w:szCs w:val="16"/>
                <w:lang w:val="en-GB"/>
              </w:rPr>
              <w:t xml:space="preserve">rban </w:t>
            </w:r>
            <w:r w:rsidR="006C78D0">
              <w:rPr>
                <w:sz w:val="16"/>
                <w:szCs w:val="16"/>
                <w:lang w:val="en-GB"/>
              </w:rPr>
              <w:t>d</w:t>
            </w:r>
            <w:r w:rsidRPr="00394BB8">
              <w:rPr>
                <w:sz w:val="16"/>
                <w:szCs w:val="16"/>
                <w:lang w:val="en-GB"/>
              </w:rPr>
              <w:t xml:space="preserve">evelopment </w:t>
            </w:r>
            <w:r w:rsidR="006C78D0">
              <w:rPr>
                <w:sz w:val="16"/>
                <w:szCs w:val="16"/>
                <w:lang w:val="en-GB"/>
              </w:rPr>
              <w:t>s</w:t>
            </w:r>
            <w:r w:rsidRPr="00394BB8">
              <w:rPr>
                <w:sz w:val="16"/>
                <w:szCs w:val="16"/>
                <w:lang w:val="en-GB"/>
              </w:rPr>
              <w:t>trategy elaborated</w:t>
            </w:r>
            <w:r w:rsidR="002D51B3" w:rsidRPr="00394BB8">
              <w:rPr>
                <w:sz w:val="16"/>
                <w:szCs w:val="16"/>
                <w:lang w:val="en-GB"/>
              </w:rPr>
              <w:t xml:space="preserve"> in at least one region and major city</w:t>
            </w:r>
            <w:r w:rsidRPr="00394BB8">
              <w:rPr>
                <w:sz w:val="16"/>
                <w:szCs w:val="16"/>
                <w:lang w:val="en-GB"/>
              </w:rPr>
              <w:t xml:space="preserve"> (</w:t>
            </w:r>
            <w:r w:rsidR="002D51B3" w:rsidRPr="00394BB8">
              <w:rPr>
                <w:sz w:val="16"/>
                <w:szCs w:val="16"/>
                <w:lang w:val="en-GB"/>
              </w:rPr>
              <w:t>Adjara/</w:t>
            </w:r>
            <w:r w:rsidR="006C78D0">
              <w:rPr>
                <w:sz w:val="16"/>
                <w:szCs w:val="16"/>
                <w:lang w:val="en-GB"/>
              </w:rPr>
              <w:t xml:space="preserve"> </w:t>
            </w:r>
            <w:r w:rsidRPr="00394BB8">
              <w:rPr>
                <w:sz w:val="16"/>
                <w:szCs w:val="16"/>
                <w:lang w:val="en-GB"/>
              </w:rPr>
              <w:t>Batumi City) and 60% of specific strategic actions, including innovations, implemented</w:t>
            </w:r>
          </w:p>
          <w:p w14:paraId="5E112B94" w14:textId="3D61A55B" w:rsidR="009E21D2" w:rsidRPr="00394BB8" w:rsidRDefault="009E21D2" w:rsidP="0072258F">
            <w:pPr>
              <w:contextualSpacing/>
              <w:rPr>
                <w:sz w:val="16"/>
                <w:szCs w:val="16"/>
                <w:lang w:val="en-GB"/>
              </w:rPr>
            </w:pPr>
            <w:r w:rsidRPr="00394BB8">
              <w:rPr>
                <w:sz w:val="16"/>
                <w:szCs w:val="16"/>
                <w:lang w:val="en-GB"/>
              </w:rPr>
              <w:t>2.1.2</w:t>
            </w:r>
            <w:r w:rsidR="006C78D0">
              <w:rPr>
                <w:sz w:val="16"/>
                <w:szCs w:val="16"/>
                <w:lang w:val="en-GB"/>
              </w:rPr>
              <w:t>.</w:t>
            </w:r>
            <w:r w:rsidRPr="00394BB8">
              <w:rPr>
                <w:sz w:val="16"/>
                <w:szCs w:val="16"/>
                <w:lang w:val="en-GB"/>
              </w:rPr>
              <w:t xml:space="preserve"> Number of regions with gender</w:t>
            </w:r>
            <w:r w:rsidR="006C78D0">
              <w:rPr>
                <w:sz w:val="16"/>
                <w:szCs w:val="16"/>
                <w:lang w:val="en-GB"/>
              </w:rPr>
              <w:t>-</w:t>
            </w:r>
            <w:r w:rsidRPr="00394BB8">
              <w:rPr>
                <w:sz w:val="16"/>
                <w:szCs w:val="16"/>
                <w:lang w:val="en-GB"/>
              </w:rPr>
              <w:t>sensitive regiona</w:t>
            </w:r>
            <w:r w:rsidR="00EC51BC" w:rsidRPr="00394BB8">
              <w:rPr>
                <w:sz w:val="16"/>
                <w:szCs w:val="16"/>
                <w:lang w:val="en-GB"/>
              </w:rPr>
              <w:t xml:space="preserve">l development plans resourced </w:t>
            </w:r>
            <w:r w:rsidRPr="00394BB8">
              <w:rPr>
                <w:sz w:val="16"/>
                <w:szCs w:val="16"/>
                <w:lang w:val="en-GB"/>
              </w:rPr>
              <w:t>and implemented</w:t>
            </w:r>
          </w:p>
          <w:p w14:paraId="494F00E4" w14:textId="3786248F" w:rsidR="009E21D2" w:rsidRPr="00394BB8" w:rsidRDefault="009E21D2" w:rsidP="0072258F">
            <w:pPr>
              <w:contextualSpacing/>
              <w:rPr>
                <w:sz w:val="16"/>
                <w:szCs w:val="16"/>
                <w:lang w:val="en-GB"/>
              </w:rPr>
            </w:pPr>
            <w:r w:rsidRPr="00394BB8">
              <w:rPr>
                <w:i/>
                <w:sz w:val="16"/>
                <w:szCs w:val="16"/>
                <w:lang w:val="en-GB"/>
              </w:rPr>
              <w:t>Baseline (2015):</w:t>
            </w:r>
            <w:r w:rsidR="000820B0" w:rsidRPr="00394BB8">
              <w:rPr>
                <w:i/>
                <w:sz w:val="16"/>
                <w:szCs w:val="16"/>
                <w:lang w:val="en-GB"/>
              </w:rPr>
              <w:t xml:space="preserve"> </w:t>
            </w:r>
            <w:r w:rsidRPr="00394BB8">
              <w:rPr>
                <w:sz w:val="16"/>
                <w:szCs w:val="16"/>
                <w:lang w:val="en-GB"/>
              </w:rPr>
              <w:t xml:space="preserve">All regions have developed </w:t>
            </w:r>
            <w:r w:rsidR="006C78D0">
              <w:rPr>
                <w:sz w:val="16"/>
                <w:szCs w:val="16"/>
                <w:lang w:val="en-GB"/>
              </w:rPr>
              <w:t>plan</w:t>
            </w:r>
            <w:r w:rsidR="006C78D0" w:rsidRPr="00394BB8">
              <w:rPr>
                <w:sz w:val="16"/>
                <w:szCs w:val="16"/>
                <w:lang w:val="en-GB"/>
              </w:rPr>
              <w:t>s</w:t>
            </w:r>
            <w:r w:rsidRPr="00394BB8">
              <w:rPr>
                <w:sz w:val="16"/>
                <w:szCs w:val="16"/>
                <w:lang w:val="en-GB"/>
              </w:rPr>
              <w:t>, but implementation is deficient.</w:t>
            </w:r>
          </w:p>
          <w:p w14:paraId="1A38E5D4" w14:textId="448F8F4A" w:rsidR="009E21D2" w:rsidRPr="00394BB8" w:rsidRDefault="009E21D2" w:rsidP="004C785B">
            <w:pPr>
              <w:spacing w:after="120"/>
              <w:rPr>
                <w:i/>
                <w:sz w:val="16"/>
                <w:szCs w:val="16"/>
                <w:lang w:val="en-GB"/>
              </w:rPr>
            </w:pPr>
            <w:r w:rsidRPr="00394BB8">
              <w:rPr>
                <w:i/>
                <w:sz w:val="16"/>
                <w:szCs w:val="16"/>
                <w:lang w:val="en-GB"/>
              </w:rPr>
              <w:t>Target (2020</w:t>
            </w:r>
            <w:r w:rsidRPr="00394BB8">
              <w:rPr>
                <w:sz w:val="16"/>
                <w:szCs w:val="16"/>
                <w:lang w:val="en-GB"/>
              </w:rPr>
              <w:t xml:space="preserve">): </w:t>
            </w:r>
            <w:r w:rsidR="00E20A88">
              <w:rPr>
                <w:sz w:val="16"/>
                <w:szCs w:val="16"/>
                <w:lang w:val="en-GB"/>
              </w:rPr>
              <w:t>R</w:t>
            </w:r>
            <w:r w:rsidRPr="00394BB8">
              <w:rPr>
                <w:sz w:val="16"/>
                <w:szCs w:val="16"/>
                <w:lang w:val="en-GB"/>
              </w:rPr>
              <w:t>egional development plans are implemented by at least 70 %.</w:t>
            </w:r>
          </w:p>
          <w:p w14:paraId="095ADB5A" w14:textId="4A3CE9E4" w:rsidR="009E21D2" w:rsidRPr="00394BB8" w:rsidRDefault="009E21D2" w:rsidP="0072258F">
            <w:pPr>
              <w:contextualSpacing/>
              <w:rPr>
                <w:b/>
                <w:sz w:val="16"/>
                <w:szCs w:val="16"/>
                <w:lang w:val="en-GB"/>
              </w:rPr>
            </w:pPr>
            <w:r w:rsidRPr="00394BB8">
              <w:rPr>
                <w:b/>
                <w:sz w:val="16"/>
                <w:szCs w:val="16"/>
                <w:lang w:val="en-GB"/>
              </w:rPr>
              <w:t>Output 2.2: By 2020, job creation and placement improved through promotion of active labo</w:t>
            </w:r>
            <w:r w:rsidR="004C785B">
              <w:rPr>
                <w:b/>
                <w:sz w:val="16"/>
                <w:szCs w:val="16"/>
                <w:lang w:val="en-GB"/>
              </w:rPr>
              <w:t>u</w:t>
            </w:r>
            <w:r w:rsidRPr="00394BB8">
              <w:rPr>
                <w:b/>
                <w:sz w:val="16"/>
                <w:szCs w:val="16"/>
                <w:lang w:val="en-GB"/>
              </w:rPr>
              <w:t>r policy, private sector development and social partnerships</w:t>
            </w:r>
          </w:p>
          <w:p w14:paraId="26B078AF" w14:textId="1DE5A121" w:rsidR="009E21D2" w:rsidRPr="00394BB8" w:rsidRDefault="009E21D2" w:rsidP="0072258F">
            <w:pPr>
              <w:rPr>
                <w:i/>
                <w:sz w:val="16"/>
                <w:szCs w:val="16"/>
                <w:lang w:val="en-GB"/>
              </w:rPr>
            </w:pPr>
            <w:r w:rsidRPr="00394BB8">
              <w:rPr>
                <w:sz w:val="16"/>
                <w:szCs w:val="16"/>
                <w:lang w:val="en-GB"/>
              </w:rPr>
              <w:t>2.2.1. Number of full-time equivalent jobs created for women and men, 15 or more years old (IRRF 1.1.1 A)</w:t>
            </w:r>
            <w:r w:rsidRPr="00394BB8" w:rsidDel="002753A1">
              <w:rPr>
                <w:sz w:val="16"/>
                <w:szCs w:val="16"/>
                <w:lang w:val="en-GB"/>
              </w:rPr>
              <w:t xml:space="preserve"> </w:t>
            </w:r>
          </w:p>
          <w:p w14:paraId="5B12AAAA" w14:textId="0D63258A" w:rsidR="009E21D2" w:rsidRPr="00394BB8" w:rsidRDefault="009E21D2" w:rsidP="0072258F">
            <w:pPr>
              <w:rPr>
                <w:i/>
                <w:sz w:val="16"/>
                <w:szCs w:val="16"/>
                <w:lang w:val="en-GB"/>
              </w:rPr>
            </w:pPr>
            <w:r w:rsidRPr="00394BB8">
              <w:rPr>
                <w:i/>
                <w:sz w:val="16"/>
                <w:szCs w:val="16"/>
                <w:lang w:val="en-GB"/>
              </w:rPr>
              <w:t xml:space="preserve">Baseline (2015): </w:t>
            </w:r>
            <w:r w:rsidRPr="00394BB8">
              <w:rPr>
                <w:sz w:val="16"/>
                <w:szCs w:val="16"/>
                <w:lang w:val="en-GB"/>
              </w:rPr>
              <w:t>N</w:t>
            </w:r>
            <w:r w:rsidR="004C785B">
              <w:rPr>
                <w:sz w:val="16"/>
                <w:szCs w:val="16"/>
                <w:lang w:val="en-GB"/>
              </w:rPr>
              <w:t>ot available</w:t>
            </w:r>
          </w:p>
          <w:p w14:paraId="762A1478" w14:textId="49B7A70D" w:rsidR="009E21D2" w:rsidRPr="00394BB8" w:rsidRDefault="009E21D2" w:rsidP="0072258F">
            <w:pPr>
              <w:rPr>
                <w:sz w:val="16"/>
                <w:szCs w:val="16"/>
                <w:lang w:val="en-GB"/>
              </w:rPr>
            </w:pPr>
            <w:r w:rsidRPr="00394BB8">
              <w:rPr>
                <w:i/>
                <w:sz w:val="16"/>
                <w:szCs w:val="16"/>
                <w:lang w:val="en-GB"/>
              </w:rPr>
              <w:t>Target (2020):</w:t>
            </w:r>
            <w:r w:rsidRPr="004C785B">
              <w:rPr>
                <w:sz w:val="16"/>
                <w:szCs w:val="16"/>
                <w:lang w:val="en-GB"/>
              </w:rPr>
              <w:t xml:space="preserve">Total </w:t>
            </w:r>
            <w:r w:rsidRPr="00394BB8">
              <w:rPr>
                <w:sz w:val="16"/>
                <w:szCs w:val="16"/>
                <w:lang w:val="en-GB"/>
              </w:rPr>
              <w:t>5,000 (1,500 women</w:t>
            </w:r>
            <w:r w:rsidR="004C785B">
              <w:rPr>
                <w:sz w:val="16"/>
                <w:szCs w:val="16"/>
                <w:lang w:val="en-GB"/>
              </w:rPr>
              <w:t>,</w:t>
            </w:r>
            <w:r w:rsidRPr="00394BB8">
              <w:rPr>
                <w:sz w:val="16"/>
                <w:szCs w:val="16"/>
                <w:lang w:val="en-GB"/>
              </w:rPr>
              <w:t xml:space="preserve"> 3,500 men)) </w:t>
            </w:r>
          </w:p>
          <w:p w14:paraId="47604232" w14:textId="2D80B72A" w:rsidR="009E21D2" w:rsidRPr="00394BB8" w:rsidRDefault="00E20A88" w:rsidP="0072258F">
            <w:pPr>
              <w:widowControl w:val="0"/>
              <w:autoSpaceDE w:val="0"/>
              <w:autoSpaceDN w:val="0"/>
              <w:adjustRightInd w:val="0"/>
              <w:rPr>
                <w:i/>
                <w:sz w:val="16"/>
                <w:szCs w:val="16"/>
                <w:lang w:val="en-GB"/>
              </w:rPr>
            </w:pPr>
            <w:r w:rsidRPr="00E20A88">
              <w:rPr>
                <w:i/>
                <w:sz w:val="16"/>
                <w:szCs w:val="16"/>
                <w:lang w:val="en-GB"/>
              </w:rPr>
              <w:lastRenderedPageBreak/>
              <w:t>Source</w:t>
            </w:r>
            <w:r w:rsidR="009E21D2" w:rsidRPr="00E20A88">
              <w:rPr>
                <w:i/>
                <w:sz w:val="16"/>
                <w:szCs w:val="16"/>
                <w:lang w:val="en-GB"/>
              </w:rPr>
              <w:t>:</w:t>
            </w:r>
            <w:r w:rsidR="009E21D2" w:rsidRPr="00394BB8">
              <w:rPr>
                <w:sz w:val="16"/>
                <w:szCs w:val="16"/>
                <w:lang w:val="en-GB"/>
              </w:rPr>
              <w:t xml:space="preserve"> GeoStat, Evaluation reports</w:t>
            </w:r>
          </w:p>
          <w:p w14:paraId="4D845C6B" w14:textId="119B5F4A" w:rsidR="009E21D2" w:rsidRPr="00394BB8" w:rsidRDefault="009E21D2" w:rsidP="0072258F">
            <w:pPr>
              <w:rPr>
                <w:sz w:val="16"/>
                <w:szCs w:val="16"/>
                <w:lang w:val="en-GB"/>
              </w:rPr>
            </w:pPr>
            <w:r w:rsidRPr="00394BB8">
              <w:rPr>
                <w:sz w:val="16"/>
                <w:szCs w:val="16"/>
                <w:lang w:val="en-GB"/>
              </w:rPr>
              <w:t>2.2.2</w:t>
            </w:r>
            <w:r w:rsidR="004C785B">
              <w:rPr>
                <w:sz w:val="16"/>
                <w:szCs w:val="16"/>
                <w:lang w:val="en-GB"/>
              </w:rPr>
              <w:t>.</w:t>
            </w:r>
            <w:r w:rsidRPr="00394BB8">
              <w:rPr>
                <w:sz w:val="16"/>
                <w:szCs w:val="16"/>
                <w:lang w:val="en-GB"/>
              </w:rPr>
              <w:t xml:space="preserve"> Labo</w:t>
            </w:r>
            <w:r w:rsidR="004C785B">
              <w:rPr>
                <w:sz w:val="16"/>
                <w:szCs w:val="16"/>
                <w:lang w:val="en-GB"/>
              </w:rPr>
              <w:t>u</w:t>
            </w:r>
            <w:r w:rsidRPr="00394BB8">
              <w:rPr>
                <w:sz w:val="16"/>
                <w:szCs w:val="16"/>
                <w:lang w:val="en-GB"/>
              </w:rPr>
              <w:t xml:space="preserve">r market measures (activation policy and safety and health regulations) in place providing equal opportunities to men and women </w:t>
            </w:r>
          </w:p>
          <w:p w14:paraId="69DA4AF6" w14:textId="119C9D0B" w:rsidR="009E21D2" w:rsidRPr="00394BB8" w:rsidRDefault="009E21D2" w:rsidP="0072258F">
            <w:pPr>
              <w:rPr>
                <w:sz w:val="16"/>
                <w:szCs w:val="16"/>
                <w:lang w:val="en-GB"/>
              </w:rPr>
            </w:pPr>
            <w:r w:rsidRPr="004C785B">
              <w:rPr>
                <w:i/>
                <w:sz w:val="16"/>
                <w:szCs w:val="16"/>
                <w:lang w:val="en-GB"/>
              </w:rPr>
              <w:t>Baseline (2015):</w:t>
            </w:r>
            <w:r w:rsidRPr="00394BB8">
              <w:rPr>
                <w:sz w:val="16"/>
                <w:szCs w:val="16"/>
                <w:lang w:val="en-GB"/>
              </w:rPr>
              <w:t xml:space="preserve"> </w:t>
            </w:r>
            <w:r w:rsidR="004C785B">
              <w:rPr>
                <w:sz w:val="16"/>
                <w:szCs w:val="16"/>
                <w:lang w:val="en-GB"/>
              </w:rPr>
              <w:t>N</w:t>
            </w:r>
            <w:r w:rsidRPr="00394BB8">
              <w:rPr>
                <w:sz w:val="16"/>
                <w:szCs w:val="16"/>
                <w:lang w:val="en-GB"/>
              </w:rPr>
              <w:t xml:space="preserve">ot in place </w:t>
            </w:r>
          </w:p>
          <w:p w14:paraId="767AB441" w14:textId="77777777" w:rsidR="009E21D2" w:rsidRPr="00394BB8" w:rsidRDefault="009E21D2" w:rsidP="0072258F">
            <w:pPr>
              <w:rPr>
                <w:sz w:val="16"/>
                <w:szCs w:val="16"/>
                <w:lang w:val="en-GB"/>
              </w:rPr>
            </w:pPr>
            <w:r w:rsidRPr="004C785B">
              <w:rPr>
                <w:i/>
                <w:sz w:val="16"/>
                <w:szCs w:val="16"/>
                <w:lang w:val="en-GB"/>
              </w:rPr>
              <w:t>Target (2020):</w:t>
            </w:r>
            <w:r w:rsidRPr="00394BB8">
              <w:rPr>
                <w:sz w:val="16"/>
                <w:szCs w:val="16"/>
                <w:lang w:val="en-GB"/>
              </w:rPr>
              <w:t xml:space="preserve"> Developed and applied</w:t>
            </w:r>
          </w:p>
          <w:p w14:paraId="38094B18" w14:textId="10A35DB2" w:rsidR="009E21D2" w:rsidRPr="00394BB8" w:rsidRDefault="004C785B" w:rsidP="004C785B">
            <w:pPr>
              <w:spacing w:after="120"/>
              <w:rPr>
                <w:sz w:val="16"/>
                <w:szCs w:val="16"/>
                <w:lang w:val="en-GB"/>
              </w:rPr>
            </w:pPr>
            <w:r>
              <w:rPr>
                <w:i/>
                <w:sz w:val="16"/>
                <w:szCs w:val="16"/>
                <w:lang w:val="en-GB"/>
              </w:rPr>
              <w:t>Source:</w:t>
            </w:r>
            <w:r w:rsidR="009E21D2" w:rsidRPr="00394BB8">
              <w:rPr>
                <w:sz w:val="16"/>
                <w:szCs w:val="16"/>
                <w:lang w:val="en-GB"/>
              </w:rPr>
              <w:t xml:space="preserve"> MLHSA</w:t>
            </w:r>
          </w:p>
          <w:p w14:paraId="57929AB4" w14:textId="718E2B30" w:rsidR="009E21D2" w:rsidRPr="00394BB8" w:rsidRDefault="009E21D2" w:rsidP="0072258F">
            <w:pPr>
              <w:rPr>
                <w:sz w:val="16"/>
                <w:szCs w:val="16"/>
                <w:lang w:val="en-GB"/>
              </w:rPr>
            </w:pPr>
            <w:r w:rsidRPr="00394BB8">
              <w:rPr>
                <w:sz w:val="16"/>
                <w:szCs w:val="16"/>
                <w:lang w:val="en-GB"/>
              </w:rPr>
              <w:t>2.2.3</w:t>
            </w:r>
            <w:r w:rsidR="004C785B">
              <w:rPr>
                <w:sz w:val="16"/>
                <w:szCs w:val="16"/>
                <w:lang w:val="en-GB"/>
              </w:rPr>
              <w:t>.</w:t>
            </w:r>
            <w:r w:rsidRPr="00394BB8">
              <w:rPr>
                <w:sz w:val="16"/>
                <w:szCs w:val="16"/>
                <w:lang w:val="en-GB"/>
              </w:rPr>
              <w:t xml:space="preserve"> Number of value chains supported for </w:t>
            </w:r>
            <w:r w:rsidR="004C785B">
              <w:rPr>
                <w:sz w:val="16"/>
                <w:szCs w:val="16"/>
                <w:lang w:val="en-GB"/>
              </w:rPr>
              <w:t>small and medium enterprises (</w:t>
            </w:r>
            <w:r w:rsidRPr="00394BB8">
              <w:rPr>
                <w:sz w:val="16"/>
                <w:szCs w:val="16"/>
                <w:lang w:val="en-GB"/>
              </w:rPr>
              <w:t>SMEs</w:t>
            </w:r>
            <w:r w:rsidR="004C785B">
              <w:rPr>
                <w:sz w:val="16"/>
                <w:szCs w:val="16"/>
                <w:lang w:val="en-GB"/>
              </w:rPr>
              <w:t>)</w:t>
            </w:r>
            <w:r w:rsidRPr="00394BB8">
              <w:rPr>
                <w:sz w:val="16"/>
                <w:szCs w:val="16"/>
                <w:lang w:val="en-GB"/>
              </w:rPr>
              <w:t>, including for women</w:t>
            </w:r>
            <w:r w:rsidR="004C785B">
              <w:rPr>
                <w:sz w:val="16"/>
                <w:szCs w:val="16"/>
                <w:lang w:val="en-GB"/>
              </w:rPr>
              <w:t>-</w:t>
            </w:r>
            <w:r w:rsidRPr="00394BB8">
              <w:rPr>
                <w:sz w:val="16"/>
                <w:szCs w:val="16"/>
                <w:lang w:val="en-GB"/>
              </w:rPr>
              <w:t xml:space="preserve">led SMEs </w:t>
            </w:r>
          </w:p>
          <w:p w14:paraId="2E45D411" w14:textId="288820D4" w:rsidR="009E21D2" w:rsidRPr="00394BB8" w:rsidRDefault="009E21D2" w:rsidP="0072258F">
            <w:pPr>
              <w:rPr>
                <w:i/>
                <w:sz w:val="16"/>
                <w:szCs w:val="16"/>
                <w:lang w:val="en-GB"/>
              </w:rPr>
            </w:pPr>
            <w:r w:rsidRPr="00394BB8">
              <w:rPr>
                <w:i/>
                <w:sz w:val="16"/>
                <w:szCs w:val="16"/>
                <w:lang w:val="en-GB"/>
              </w:rPr>
              <w:t xml:space="preserve">Baseline( 2015): </w:t>
            </w:r>
            <w:r w:rsidRPr="00394BB8">
              <w:rPr>
                <w:sz w:val="16"/>
                <w:szCs w:val="16"/>
                <w:lang w:val="en-GB"/>
              </w:rPr>
              <w:t>N</w:t>
            </w:r>
            <w:r w:rsidR="004C785B">
              <w:rPr>
                <w:sz w:val="16"/>
                <w:szCs w:val="16"/>
                <w:lang w:val="en-GB"/>
              </w:rPr>
              <w:t>ot available</w:t>
            </w:r>
          </w:p>
          <w:p w14:paraId="45B3DD8D" w14:textId="761BBB35" w:rsidR="009E21D2" w:rsidRPr="00394BB8" w:rsidRDefault="009E21D2" w:rsidP="004C785B">
            <w:pPr>
              <w:spacing w:after="120"/>
              <w:rPr>
                <w:sz w:val="16"/>
                <w:szCs w:val="16"/>
                <w:lang w:val="en-GB"/>
              </w:rPr>
            </w:pPr>
            <w:r w:rsidRPr="00394BB8">
              <w:rPr>
                <w:i/>
                <w:sz w:val="16"/>
                <w:szCs w:val="16"/>
                <w:lang w:val="en-GB"/>
              </w:rPr>
              <w:t xml:space="preserve">Target: (2020): </w:t>
            </w:r>
            <w:r w:rsidRPr="00394BB8">
              <w:rPr>
                <w:sz w:val="16"/>
                <w:szCs w:val="16"/>
                <w:lang w:val="en-GB"/>
              </w:rPr>
              <w:t>10 value chains</w:t>
            </w:r>
          </w:p>
          <w:p w14:paraId="204735E7" w14:textId="466904DB" w:rsidR="009E21D2" w:rsidRPr="004C785B" w:rsidRDefault="009E21D2" w:rsidP="0072258F">
            <w:pPr>
              <w:rPr>
                <w:sz w:val="16"/>
                <w:szCs w:val="16"/>
                <w:lang w:val="en-GB"/>
              </w:rPr>
            </w:pPr>
            <w:r w:rsidRPr="004C785B">
              <w:rPr>
                <w:sz w:val="16"/>
                <w:szCs w:val="16"/>
                <w:lang w:val="en-GB"/>
              </w:rPr>
              <w:t>2.2.4. Total number of additional people benefiting from strengthened livelihoods (sex</w:t>
            </w:r>
            <w:r w:rsidR="004C785B">
              <w:rPr>
                <w:sz w:val="16"/>
                <w:szCs w:val="16"/>
                <w:lang w:val="en-GB"/>
              </w:rPr>
              <w:t>-</w:t>
            </w:r>
            <w:r w:rsidRPr="004C785B">
              <w:rPr>
                <w:sz w:val="16"/>
                <w:szCs w:val="16"/>
                <w:lang w:val="en-GB"/>
              </w:rPr>
              <w:t>disaggregated</w:t>
            </w:r>
            <w:r w:rsidR="004C785B">
              <w:rPr>
                <w:sz w:val="16"/>
                <w:szCs w:val="16"/>
                <w:lang w:val="en-GB"/>
              </w:rPr>
              <w:t xml:space="preserve"> – </w:t>
            </w:r>
            <w:r w:rsidRPr="004C785B">
              <w:rPr>
                <w:sz w:val="16"/>
                <w:szCs w:val="16"/>
                <w:lang w:val="en-GB"/>
              </w:rPr>
              <w:t>IRRF 1.1.1B)</w:t>
            </w:r>
          </w:p>
          <w:p w14:paraId="66EBA3ED" w14:textId="0E5DBF27" w:rsidR="009E21D2" w:rsidRPr="00394BB8" w:rsidRDefault="009E21D2" w:rsidP="0072258F">
            <w:pPr>
              <w:rPr>
                <w:i/>
                <w:sz w:val="16"/>
                <w:szCs w:val="16"/>
                <w:lang w:val="en-GB"/>
              </w:rPr>
            </w:pPr>
            <w:r w:rsidRPr="00394BB8">
              <w:rPr>
                <w:i/>
                <w:sz w:val="16"/>
                <w:szCs w:val="16"/>
                <w:lang w:val="en-GB"/>
              </w:rPr>
              <w:t>Baseline</w:t>
            </w:r>
            <w:r w:rsidRPr="004C785B">
              <w:rPr>
                <w:i/>
                <w:sz w:val="16"/>
                <w:szCs w:val="16"/>
                <w:lang w:val="en-GB"/>
              </w:rPr>
              <w:t xml:space="preserve"> (2015)</w:t>
            </w:r>
            <w:r w:rsidR="004C785B">
              <w:rPr>
                <w:i/>
                <w:sz w:val="16"/>
                <w:szCs w:val="16"/>
                <w:lang w:val="en-GB"/>
              </w:rPr>
              <w:t>:</w:t>
            </w:r>
            <w:r w:rsidRPr="004C785B">
              <w:rPr>
                <w:sz w:val="16"/>
                <w:szCs w:val="16"/>
                <w:lang w:val="en-GB"/>
              </w:rPr>
              <w:t xml:space="preserve"> N</w:t>
            </w:r>
            <w:r w:rsidR="004C785B">
              <w:rPr>
                <w:sz w:val="16"/>
                <w:szCs w:val="16"/>
                <w:lang w:val="en-GB"/>
              </w:rPr>
              <w:t>ot available</w:t>
            </w:r>
          </w:p>
          <w:p w14:paraId="0E96D998" w14:textId="311C165D" w:rsidR="009E21D2" w:rsidRPr="00394BB8" w:rsidRDefault="009E21D2" w:rsidP="004C785B">
            <w:pPr>
              <w:spacing w:after="120"/>
              <w:rPr>
                <w:sz w:val="16"/>
                <w:szCs w:val="16"/>
                <w:lang w:val="en-GB"/>
              </w:rPr>
            </w:pPr>
            <w:r w:rsidRPr="00394BB8">
              <w:rPr>
                <w:i/>
                <w:sz w:val="16"/>
                <w:szCs w:val="16"/>
                <w:lang w:val="en-GB"/>
              </w:rPr>
              <w:t>Target (2020)</w:t>
            </w:r>
            <w:r w:rsidR="004C785B">
              <w:rPr>
                <w:i/>
                <w:sz w:val="16"/>
                <w:szCs w:val="16"/>
                <w:lang w:val="en-GB"/>
              </w:rPr>
              <w:t>:</w:t>
            </w:r>
            <w:r w:rsidRPr="00394BB8">
              <w:rPr>
                <w:i/>
                <w:sz w:val="16"/>
                <w:szCs w:val="16"/>
                <w:lang w:val="en-GB"/>
              </w:rPr>
              <w:t xml:space="preserve"> </w:t>
            </w:r>
            <w:r w:rsidRPr="001847F8">
              <w:rPr>
                <w:sz w:val="16"/>
                <w:szCs w:val="16"/>
                <w:lang w:val="en-GB"/>
              </w:rPr>
              <w:t>1</w:t>
            </w:r>
            <w:r w:rsidR="001847F8" w:rsidRPr="001847F8">
              <w:rPr>
                <w:sz w:val="16"/>
                <w:szCs w:val="16"/>
                <w:lang w:val="en-GB"/>
              </w:rPr>
              <w:t>,</w:t>
            </w:r>
            <w:r w:rsidRPr="001847F8">
              <w:rPr>
                <w:sz w:val="16"/>
                <w:szCs w:val="16"/>
                <w:lang w:val="en-GB"/>
              </w:rPr>
              <w:t>500 (1</w:t>
            </w:r>
            <w:r w:rsidR="001847F8" w:rsidRPr="001847F8">
              <w:rPr>
                <w:sz w:val="16"/>
                <w:szCs w:val="16"/>
                <w:lang w:val="en-GB"/>
              </w:rPr>
              <w:t>,</w:t>
            </w:r>
            <w:r w:rsidRPr="001847F8">
              <w:rPr>
                <w:sz w:val="16"/>
                <w:szCs w:val="16"/>
                <w:lang w:val="en-GB"/>
              </w:rPr>
              <w:t>000 men, 500 women)</w:t>
            </w:r>
          </w:p>
          <w:p w14:paraId="4C264F18" w14:textId="1D92B9EA" w:rsidR="009E21D2" w:rsidRPr="00394BB8" w:rsidRDefault="009E21D2" w:rsidP="0072258F">
            <w:pPr>
              <w:contextualSpacing/>
              <w:rPr>
                <w:b/>
                <w:sz w:val="16"/>
                <w:szCs w:val="16"/>
                <w:lang w:val="en-GB"/>
              </w:rPr>
            </w:pPr>
            <w:r w:rsidRPr="00394BB8">
              <w:rPr>
                <w:b/>
                <w:sz w:val="16"/>
                <w:szCs w:val="16"/>
                <w:lang w:val="en-GB"/>
              </w:rPr>
              <w:t>Output 2.3</w:t>
            </w:r>
            <w:r w:rsidR="001847F8">
              <w:rPr>
                <w:b/>
                <w:sz w:val="16"/>
                <w:szCs w:val="16"/>
                <w:lang w:val="en-GB"/>
              </w:rPr>
              <w:t>.</w:t>
            </w:r>
            <w:r w:rsidRPr="00394BB8">
              <w:rPr>
                <w:b/>
                <w:sz w:val="16"/>
                <w:szCs w:val="16"/>
                <w:lang w:val="en-GB"/>
              </w:rPr>
              <w:t xml:space="preserve"> By 2020, skills and knowledge development systems promote </w:t>
            </w:r>
            <w:r w:rsidRPr="00394BB8">
              <w:rPr>
                <w:b/>
                <w:bCs/>
                <w:sz w:val="16"/>
                <w:szCs w:val="16"/>
                <w:lang w:val="en-GB"/>
              </w:rPr>
              <w:t>competitive labour force</w:t>
            </w:r>
          </w:p>
          <w:p w14:paraId="665A3A81" w14:textId="20F30E77" w:rsidR="009E21D2" w:rsidRPr="00394BB8" w:rsidRDefault="009E21D2" w:rsidP="0072258F">
            <w:pPr>
              <w:rPr>
                <w:sz w:val="16"/>
                <w:szCs w:val="16"/>
                <w:lang w:val="en-GB"/>
              </w:rPr>
            </w:pPr>
            <w:r w:rsidRPr="00394BB8">
              <w:rPr>
                <w:sz w:val="16"/>
                <w:szCs w:val="16"/>
                <w:lang w:val="en-GB"/>
              </w:rPr>
              <w:t>2.3.1: Number of new labo</w:t>
            </w:r>
            <w:r w:rsidR="001847F8">
              <w:rPr>
                <w:sz w:val="16"/>
                <w:szCs w:val="16"/>
                <w:lang w:val="en-GB"/>
              </w:rPr>
              <w:t>u</w:t>
            </w:r>
            <w:r w:rsidRPr="00394BB8">
              <w:rPr>
                <w:sz w:val="16"/>
                <w:szCs w:val="16"/>
                <w:lang w:val="en-GB"/>
              </w:rPr>
              <w:t>r market</w:t>
            </w:r>
            <w:r w:rsidR="001847F8">
              <w:rPr>
                <w:sz w:val="16"/>
                <w:szCs w:val="16"/>
                <w:lang w:val="en-GB"/>
              </w:rPr>
              <w:t>-</w:t>
            </w:r>
            <w:r w:rsidRPr="00394BB8">
              <w:rPr>
                <w:sz w:val="16"/>
                <w:szCs w:val="16"/>
                <w:lang w:val="en-GB"/>
              </w:rPr>
              <w:t>responsive VET models supported/applied</w:t>
            </w:r>
            <w:r w:rsidR="00AE7786" w:rsidRPr="00394BB8">
              <w:rPr>
                <w:sz w:val="16"/>
                <w:szCs w:val="16"/>
                <w:lang w:val="en-GB"/>
              </w:rPr>
              <w:t xml:space="preserve"> nationwide</w:t>
            </w:r>
          </w:p>
          <w:p w14:paraId="2E835888" w14:textId="0960260F" w:rsidR="009E21D2" w:rsidRPr="00394BB8" w:rsidRDefault="009E21D2" w:rsidP="0072258F">
            <w:pPr>
              <w:rPr>
                <w:i/>
                <w:sz w:val="16"/>
                <w:szCs w:val="16"/>
                <w:lang w:val="en-GB"/>
              </w:rPr>
            </w:pPr>
            <w:r w:rsidRPr="00394BB8">
              <w:rPr>
                <w:i/>
                <w:sz w:val="16"/>
                <w:szCs w:val="16"/>
                <w:lang w:val="en-GB"/>
              </w:rPr>
              <w:t>Baseline (2015):</w:t>
            </w:r>
            <w:r w:rsidR="001847F8" w:rsidRPr="00394BB8">
              <w:rPr>
                <w:sz w:val="16"/>
                <w:szCs w:val="16"/>
                <w:lang w:val="en-GB"/>
              </w:rPr>
              <w:t>N</w:t>
            </w:r>
            <w:r w:rsidR="001847F8">
              <w:rPr>
                <w:sz w:val="16"/>
                <w:szCs w:val="16"/>
                <w:lang w:val="en-GB"/>
              </w:rPr>
              <w:t>ot available</w:t>
            </w:r>
          </w:p>
          <w:p w14:paraId="7FE821EF" w14:textId="77777777" w:rsidR="009E21D2" w:rsidRPr="00394BB8" w:rsidRDefault="009E21D2" w:rsidP="0072258F">
            <w:pPr>
              <w:rPr>
                <w:i/>
                <w:sz w:val="16"/>
                <w:szCs w:val="16"/>
                <w:lang w:val="en-GB"/>
              </w:rPr>
            </w:pPr>
            <w:r w:rsidRPr="00394BB8">
              <w:rPr>
                <w:i/>
                <w:sz w:val="16"/>
                <w:szCs w:val="16"/>
                <w:lang w:val="en-GB"/>
              </w:rPr>
              <w:t>Target: (2020):</w:t>
            </w:r>
            <w:r w:rsidRPr="001847F8">
              <w:rPr>
                <w:sz w:val="16"/>
                <w:szCs w:val="16"/>
                <w:lang w:val="en-GB"/>
              </w:rPr>
              <w:t>2</w:t>
            </w:r>
          </w:p>
          <w:p w14:paraId="076AC770" w14:textId="48A0B409" w:rsidR="009E21D2" w:rsidRPr="00394BB8" w:rsidRDefault="001847F8" w:rsidP="001847F8">
            <w:pPr>
              <w:spacing w:after="120"/>
              <w:rPr>
                <w:i/>
                <w:sz w:val="16"/>
                <w:szCs w:val="16"/>
                <w:lang w:val="en-GB"/>
              </w:rPr>
            </w:pPr>
            <w:r>
              <w:rPr>
                <w:i/>
                <w:sz w:val="16"/>
                <w:szCs w:val="16"/>
                <w:lang w:val="en-GB"/>
              </w:rPr>
              <w:t>Source</w:t>
            </w:r>
            <w:r w:rsidR="009E21D2" w:rsidRPr="00394BB8">
              <w:rPr>
                <w:i/>
                <w:sz w:val="16"/>
                <w:szCs w:val="16"/>
                <w:lang w:val="en-GB"/>
              </w:rPr>
              <w:t xml:space="preserve">: </w:t>
            </w:r>
            <w:r w:rsidR="009E21D2" w:rsidRPr="001847F8">
              <w:rPr>
                <w:sz w:val="16"/>
                <w:szCs w:val="16"/>
                <w:lang w:val="en-GB"/>
              </w:rPr>
              <w:t>Evaluation reports</w:t>
            </w:r>
          </w:p>
          <w:p w14:paraId="2671BFAC" w14:textId="5827AC03" w:rsidR="009E21D2" w:rsidRPr="00394BB8" w:rsidRDefault="009E21D2" w:rsidP="0072258F">
            <w:pPr>
              <w:rPr>
                <w:sz w:val="16"/>
                <w:szCs w:val="16"/>
                <w:lang w:val="en-GB"/>
              </w:rPr>
            </w:pPr>
            <w:r w:rsidRPr="00394BB8">
              <w:rPr>
                <w:sz w:val="16"/>
                <w:szCs w:val="16"/>
                <w:lang w:val="en-GB"/>
              </w:rPr>
              <w:t xml:space="preserve">2.3.2: </w:t>
            </w:r>
            <w:r w:rsidR="001847F8">
              <w:rPr>
                <w:sz w:val="16"/>
                <w:szCs w:val="16"/>
                <w:lang w:val="en-GB"/>
              </w:rPr>
              <w:t>Percentage</w:t>
            </w:r>
            <w:r w:rsidR="001847F8" w:rsidRPr="00394BB8">
              <w:rPr>
                <w:sz w:val="16"/>
                <w:szCs w:val="16"/>
                <w:lang w:val="en-GB"/>
              </w:rPr>
              <w:t xml:space="preserve"> </w:t>
            </w:r>
            <w:r w:rsidRPr="00394BB8">
              <w:rPr>
                <w:sz w:val="16"/>
                <w:szCs w:val="16"/>
                <w:lang w:val="en-GB"/>
              </w:rPr>
              <w:t>of (self) employment among VET graduates (disaggregat</w:t>
            </w:r>
            <w:r w:rsidR="0059256B" w:rsidRPr="00394BB8">
              <w:rPr>
                <w:sz w:val="16"/>
                <w:szCs w:val="16"/>
                <w:lang w:val="en-GB"/>
              </w:rPr>
              <w:t xml:space="preserve">ed, </w:t>
            </w:r>
            <w:r w:rsidRPr="00394BB8">
              <w:rPr>
                <w:sz w:val="16"/>
                <w:szCs w:val="16"/>
                <w:lang w:val="en-GB"/>
              </w:rPr>
              <w:t>sex and age)</w:t>
            </w:r>
          </w:p>
          <w:p w14:paraId="74D2F4DC" w14:textId="04FEDAC4" w:rsidR="009E21D2" w:rsidRPr="00394BB8" w:rsidRDefault="009E21D2" w:rsidP="0072258F">
            <w:pPr>
              <w:rPr>
                <w:i/>
                <w:sz w:val="16"/>
                <w:szCs w:val="16"/>
                <w:lang w:val="en-GB"/>
              </w:rPr>
            </w:pPr>
            <w:r w:rsidRPr="00394BB8">
              <w:rPr>
                <w:i/>
                <w:sz w:val="16"/>
                <w:szCs w:val="16"/>
                <w:lang w:val="en-GB"/>
              </w:rPr>
              <w:t xml:space="preserve">Baseline (2015): </w:t>
            </w:r>
            <w:r w:rsidR="001847F8">
              <w:rPr>
                <w:sz w:val="16"/>
                <w:szCs w:val="16"/>
                <w:lang w:val="en-GB"/>
              </w:rPr>
              <w:t>T</w:t>
            </w:r>
            <w:r w:rsidRPr="00394BB8">
              <w:rPr>
                <w:sz w:val="16"/>
                <w:szCs w:val="16"/>
                <w:lang w:val="en-GB"/>
              </w:rPr>
              <w:t>o be established</w:t>
            </w:r>
          </w:p>
          <w:p w14:paraId="5C0891C8" w14:textId="77777777" w:rsidR="009E21D2" w:rsidRPr="00394BB8" w:rsidRDefault="009E21D2" w:rsidP="0072258F">
            <w:pPr>
              <w:rPr>
                <w:sz w:val="16"/>
                <w:szCs w:val="16"/>
                <w:lang w:val="en-GB"/>
              </w:rPr>
            </w:pPr>
            <w:r w:rsidRPr="00394BB8">
              <w:rPr>
                <w:i/>
                <w:sz w:val="16"/>
                <w:szCs w:val="16"/>
                <w:lang w:val="en-GB"/>
              </w:rPr>
              <w:t>Target: (2020):</w:t>
            </w:r>
            <w:r w:rsidRPr="00394BB8">
              <w:rPr>
                <w:sz w:val="16"/>
                <w:szCs w:val="16"/>
                <w:lang w:val="en-GB"/>
              </w:rPr>
              <w:t xml:space="preserve">10% increase from 2015 baseline </w:t>
            </w:r>
          </w:p>
          <w:p w14:paraId="1DC88CF6" w14:textId="329F6B57" w:rsidR="009E21D2" w:rsidRPr="00394BB8" w:rsidRDefault="001847F8" w:rsidP="001847F8">
            <w:pPr>
              <w:rPr>
                <w:b/>
                <w:bCs/>
                <w:sz w:val="16"/>
                <w:szCs w:val="16"/>
                <w:lang w:val="en-GB"/>
              </w:rPr>
            </w:pPr>
            <w:r>
              <w:rPr>
                <w:i/>
                <w:sz w:val="16"/>
                <w:szCs w:val="16"/>
                <w:lang w:val="en-GB"/>
              </w:rPr>
              <w:t>Source</w:t>
            </w:r>
            <w:r w:rsidRPr="00394BB8">
              <w:rPr>
                <w:i/>
                <w:sz w:val="16"/>
                <w:szCs w:val="16"/>
                <w:lang w:val="en-GB"/>
              </w:rPr>
              <w:t xml:space="preserve">: </w:t>
            </w:r>
            <w:r w:rsidR="009E21D2" w:rsidRPr="00394BB8">
              <w:rPr>
                <w:sz w:val="16"/>
                <w:szCs w:val="16"/>
                <w:lang w:val="en-GB"/>
              </w:rPr>
              <w:t xml:space="preserve">Tracer </w:t>
            </w:r>
            <w:r>
              <w:rPr>
                <w:sz w:val="16"/>
                <w:szCs w:val="16"/>
                <w:lang w:val="en-GB"/>
              </w:rPr>
              <w:t>s</w:t>
            </w:r>
            <w:r w:rsidR="009E21D2" w:rsidRPr="00394BB8">
              <w:rPr>
                <w:sz w:val="16"/>
                <w:szCs w:val="16"/>
                <w:lang w:val="en-GB"/>
              </w:rPr>
              <w:t>tudy</w:t>
            </w:r>
          </w:p>
        </w:tc>
        <w:tc>
          <w:tcPr>
            <w:tcW w:w="891" w:type="pct"/>
            <w:gridSpan w:val="2"/>
            <w:vMerge w:val="restart"/>
          </w:tcPr>
          <w:p w14:paraId="31D47623" w14:textId="0AA7DE82" w:rsidR="009E21D2" w:rsidRPr="00394BB8" w:rsidRDefault="009E21D2" w:rsidP="0072258F">
            <w:pPr>
              <w:pStyle w:val="ListParagraph"/>
              <w:ind w:left="40"/>
              <w:rPr>
                <w:sz w:val="16"/>
                <w:szCs w:val="16"/>
                <w:lang w:val="en-GB"/>
              </w:rPr>
            </w:pPr>
            <w:r w:rsidRPr="00394BB8">
              <w:rPr>
                <w:sz w:val="16"/>
                <w:szCs w:val="16"/>
                <w:lang w:val="en-GB"/>
              </w:rPr>
              <w:lastRenderedPageBreak/>
              <w:t>Partners: national and local government, Ministries of Agriculture, Economy and Sustainable Development, Education and Science, Labo</w:t>
            </w:r>
            <w:r w:rsidR="008811EE">
              <w:rPr>
                <w:sz w:val="16"/>
                <w:szCs w:val="16"/>
                <w:lang w:val="en-GB"/>
              </w:rPr>
              <w:t>u</w:t>
            </w:r>
            <w:r w:rsidRPr="00394BB8">
              <w:rPr>
                <w:sz w:val="16"/>
                <w:szCs w:val="16"/>
                <w:lang w:val="en-GB"/>
              </w:rPr>
              <w:t xml:space="preserve">r Health and Social Affairs. </w:t>
            </w:r>
          </w:p>
          <w:p w14:paraId="3EC4DC1B" w14:textId="77777777" w:rsidR="009E21D2" w:rsidRPr="00394BB8" w:rsidRDefault="009E21D2" w:rsidP="0072258F">
            <w:pPr>
              <w:rPr>
                <w:iCs/>
                <w:sz w:val="16"/>
                <w:szCs w:val="16"/>
                <w:lang w:val="en-GB"/>
              </w:rPr>
            </w:pPr>
          </w:p>
          <w:p w14:paraId="213CC4E9" w14:textId="77777777" w:rsidR="009E21D2" w:rsidRPr="00394BB8" w:rsidRDefault="009E21D2" w:rsidP="0072258F">
            <w:pPr>
              <w:rPr>
                <w:iCs/>
                <w:sz w:val="16"/>
                <w:szCs w:val="16"/>
                <w:lang w:val="en-GB"/>
              </w:rPr>
            </w:pPr>
          </w:p>
          <w:p w14:paraId="335AF4F7" w14:textId="00879221" w:rsidR="009E21D2" w:rsidRPr="00394BB8" w:rsidRDefault="009E21D2" w:rsidP="0072258F">
            <w:pPr>
              <w:rPr>
                <w:sz w:val="16"/>
                <w:szCs w:val="16"/>
                <w:lang w:val="en-GB"/>
              </w:rPr>
            </w:pPr>
            <w:r w:rsidRPr="00394BB8">
              <w:rPr>
                <w:sz w:val="16"/>
                <w:szCs w:val="16"/>
                <w:lang w:val="en-GB"/>
              </w:rPr>
              <w:t xml:space="preserve">Business </w:t>
            </w:r>
            <w:r w:rsidR="004C785B">
              <w:rPr>
                <w:sz w:val="16"/>
                <w:szCs w:val="16"/>
                <w:lang w:val="en-GB"/>
              </w:rPr>
              <w:t>m</w:t>
            </w:r>
            <w:r w:rsidRPr="00394BB8">
              <w:rPr>
                <w:sz w:val="16"/>
                <w:szCs w:val="16"/>
                <w:lang w:val="en-GB"/>
              </w:rPr>
              <w:t xml:space="preserve">embership </w:t>
            </w:r>
            <w:r w:rsidR="004C785B">
              <w:rPr>
                <w:sz w:val="16"/>
                <w:szCs w:val="16"/>
                <w:lang w:val="en-GB"/>
              </w:rPr>
              <w:t>o</w:t>
            </w:r>
            <w:r w:rsidRPr="00394BB8">
              <w:rPr>
                <w:sz w:val="16"/>
                <w:szCs w:val="16"/>
                <w:lang w:val="en-GB"/>
              </w:rPr>
              <w:t xml:space="preserve">rganizations, </w:t>
            </w:r>
            <w:r w:rsidR="004C785B">
              <w:rPr>
                <w:sz w:val="16"/>
                <w:szCs w:val="16"/>
                <w:lang w:val="en-GB"/>
              </w:rPr>
              <w:t>h</w:t>
            </w:r>
            <w:r w:rsidRPr="00394BB8">
              <w:rPr>
                <w:sz w:val="16"/>
                <w:szCs w:val="16"/>
                <w:lang w:val="en-GB"/>
              </w:rPr>
              <w:t>igh</w:t>
            </w:r>
            <w:r w:rsidR="004C785B">
              <w:rPr>
                <w:sz w:val="16"/>
                <w:szCs w:val="16"/>
                <w:lang w:val="en-GB"/>
              </w:rPr>
              <w:t>er</w:t>
            </w:r>
            <w:r w:rsidR="00717CD0">
              <w:rPr>
                <w:sz w:val="16"/>
                <w:szCs w:val="16"/>
                <w:lang w:val="en-GB"/>
              </w:rPr>
              <w:t xml:space="preserve"> education institutions</w:t>
            </w:r>
            <w:r w:rsidRPr="00394BB8">
              <w:rPr>
                <w:sz w:val="16"/>
                <w:szCs w:val="16"/>
                <w:lang w:val="en-GB"/>
              </w:rPr>
              <w:t>, trade unions, professional organizations</w:t>
            </w:r>
          </w:p>
          <w:p w14:paraId="437464CC" w14:textId="77777777" w:rsidR="009E21D2" w:rsidRPr="00394BB8" w:rsidRDefault="009E21D2" w:rsidP="0072258F">
            <w:pPr>
              <w:rPr>
                <w:sz w:val="16"/>
                <w:szCs w:val="16"/>
                <w:lang w:val="en-GB"/>
              </w:rPr>
            </w:pPr>
          </w:p>
          <w:p w14:paraId="28EF0F94" w14:textId="76B370E0" w:rsidR="009E21D2" w:rsidRPr="00394BB8" w:rsidRDefault="009E21D2" w:rsidP="003155F6">
            <w:pPr>
              <w:rPr>
                <w:sz w:val="16"/>
                <w:szCs w:val="16"/>
                <w:lang w:val="en-GB"/>
              </w:rPr>
            </w:pPr>
            <w:r w:rsidRPr="00394BB8">
              <w:rPr>
                <w:sz w:val="16"/>
                <w:szCs w:val="16"/>
                <w:lang w:val="en-GB"/>
              </w:rPr>
              <w:t>VET private and public colleges, universities, private training providers</w:t>
            </w:r>
          </w:p>
        </w:tc>
        <w:tc>
          <w:tcPr>
            <w:tcW w:w="800" w:type="pct"/>
            <w:tcMar>
              <w:top w:w="15" w:type="dxa"/>
              <w:left w:w="108" w:type="dxa"/>
              <w:bottom w:w="0" w:type="dxa"/>
              <w:right w:w="108" w:type="dxa"/>
            </w:tcMar>
          </w:tcPr>
          <w:p w14:paraId="76356612" w14:textId="16175967" w:rsidR="009E21D2" w:rsidRPr="00394BB8" w:rsidRDefault="000B2B8B" w:rsidP="00755F22">
            <w:pPr>
              <w:rPr>
                <w:b/>
                <w:sz w:val="16"/>
                <w:szCs w:val="16"/>
                <w:lang w:val="en-GB"/>
              </w:rPr>
            </w:pPr>
            <w:r w:rsidRPr="00394BB8">
              <w:rPr>
                <w:b/>
                <w:sz w:val="16"/>
                <w:szCs w:val="16"/>
                <w:lang w:val="en-GB"/>
              </w:rPr>
              <w:t>Regular: 5</w:t>
            </w:r>
            <w:r w:rsidR="00755F22">
              <w:rPr>
                <w:b/>
                <w:sz w:val="16"/>
                <w:szCs w:val="16"/>
                <w:lang w:val="en-GB"/>
              </w:rPr>
              <w:t>00</w:t>
            </w:r>
          </w:p>
        </w:tc>
      </w:tr>
      <w:tr w:rsidR="009E21D2" w:rsidRPr="00394BB8" w14:paraId="5425B794" w14:textId="77777777" w:rsidTr="00755F22">
        <w:tc>
          <w:tcPr>
            <w:tcW w:w="940" w:type="pct"/>
            <w:gridSpan w:val="2"/>
            <w:vMerge/>
            <w:tcMar>
              <w:top w:w="72" w:type="dxa"/>
              <w:left w:w="144" w:type="dxa"/>
              <w:bottom w:w="72" w:type="dxa"/>
              <w:right w:w="144" w:type="dxa"/>
            </w:tcMar>
          </w:tcPr>
          <w:p w14:paraId="1A9DE989" w14:textId="77777777" w:rsidR="009E21D2" w:rsidRPr="00394BB8" w:rsidRDefault="009E21D2" w:rsidP="0072258F">
            <w:pPr>
              <w:rPr>
                <w:i/>
                <w:iCs/>
                <w:sz w:val="16"/>
                <w:szCs w:val="16"/>
                <w:lang w:val="en-GB"/>
              </w:rPr>
            </w:pPr>
          </w:p>
        </w:tc>
        <w:tc>
          <w:tcPr>
            <w:tcW w:w="934" w:type="pct"/>
            <w:vMerge/>
          </w:tcPr>
          <w:p w14:paraId="3714E125" w14:textId="77777777" w:rsidR="009E21D2" w:rsidRPr="00394BB8" w:rsidRDefault="009E21D2" w:rsidP="0072258F">
            <w:pPr>
              <w:rPr>
                <w:i/>
                <w:iCs/>
                <w:sz w:val="16"/>
                <w:szCs w:val="16"/>
                <w:lang w:val="en-GB"/>
              </w:rPr>
            </w:pPr>
          </w:p>
        </w:tc>
        <w:tc>
          <w:tcPr>
            <w:tcW w:w="1435" w:type="pct"/>
            <w:vMerge/>
            <w:tcMar>
              <w:top w:w="72" w:type="dxa"/>
              <w:left w:w="144" w:type="dxa"/>
              <w:bottom w:w="72" w:type="dxa"/>
              <w:right w:w="144" w:type="dxa"/>
            </w:tcMar>
          </w:tcPr>
          <w:p w14:paraId="370E2102" w14:textId="77777777" w:rsidR="009E21D2" w:rsidRPr="00394BB8" w:rsidRDefault="009E21D2" w:rsidP="0072258F">
            <w:pPr>
              <w:rPr>
                <w:i/>
                <w:iCs/>
                <w:sz w:val="16"/>
                <w:szCs w:val="16"/>
                <w:lang w:val="en-GB"/>
              </w:rPr>
            </w:pPr>
          </w:p>
        </w:tc>
        <w:tc>
          <w:tcPr>
            <w:tcW w:w="891" w:type="pct"/>
            <w:gridSpan w:val="2"/>
            <w:vMerge/>
          </w:tcPr>
          <w:p w14:paraId="34151807" w14:textId="77777777" w:rsidR="009E21D2" w:rsidRPr="00394BB8" w:rsidRDefault="009E21D2" w:rsidP="0072258F">
            <w:pPr>
              <w:rPr>
                <w:i/>
                <w:iCs/>
                <w:sz w:val="16"/>
                <w:szCs w:val="16"/>
                <w:lang w:val="en-GB"/>
              </w:rPr>
            </w:pPr>
          </w:p>
        </w:tc>
        <w:tc>
          <w:tcPr>
            <w:tcW w:w="800" w:type="pct"/>
            <w:tcMar>
              <w:top w:w="15" w:type="dxa"/>
              <w:left w:w="108" w:type="dxa"/>
              <w:bottom w:w="0" w:type="dxa"/>
              <w:right w:w="108" w:type="dxa"/>
            </w:tcMar>
          </w:tcPr>
          <w:p w14:paraId="5FA4E658" w14:textId="07B9C6E1" w:rsidR="009E21D2" w:rsidRPr="00394BB8" w:rsidRDefault="003D61CA" w:rsidP="00755F22">
            <w:pPr>
              <w:rPr>
                <w:b/>
                <w:sz w:val="16"/>
                <w:szCs w:val="16"/>
                <w:lang w:val="en-GB"/>
              </w:rPr>
            </w:pPr>
            <w:r w:rsidRPr="00394BB8">
              <w:rPr>
                <w:b/>
                <w:sz w:val="16"/>
                <w:szCs w:val="16"/>
                <w:lang w:val="en-GB"/>
              </w:rPr>
              <w:t>Other: 18</w:t>
            </w:r>
            <w:r w:rsidR="00755F22">
              <w:rPr>
                <w:b/>
                <w:sz w:val="16"/>
                <w:szCs w:val="16"/>
                <w:lang w:val="en-GB"/>
              </w:rPr>
              <w:t>,</w:t>
            </w:r>
            <w:r w:rsidR="0038016F" w:rsidRPr="00394BB8">
              <w:rPr>
                <w:b/>
                <w:sz w:val="16"/>
                <w:szCs w:val="16"/>
                <w:lang w:val="en-GB"/>
              </w:rPr>
              <w:t>43</w:t>
            </w:r>
            <w:r w:rsidR="009E21D2" w:rsidRPr="00394BB8">
              <w:rPr>
                <w:b/>
                <w:sz w:val="16"/>
                <w:szCs w:val="16"/>
                <w:lang w:val="en-GB"/>
              </w:rPr>
              <w:t xml:space="preserve">5 </w:t>
            </w:r>
          </w:p>
        </w:tc>
      </w:tr>
      <w:tr w:rsidR="009E21D2" w:rsidRPr="00394BB8" w14:paraId="6C010B2E" w14:textId="77777777" w:rsidTr="00DB50F6">
        <w:tc>
          <w:tcPr>
            <w:tcW w:w="940" w:type="pct"/>
            <w:gridSpan w:val="2"/>
            <w:vMerge/>
            <w:tcBorders>
              <w:bottom w:val="single" w:sz="4" w:space="0" w:color="auto"/>
            </w:tcBorders>
            <w:tcMar>
              <w:top w:w="72" w:type="dxa"/>
              <w:left w:w="144" w:type="dxa"/>
              <w:bottom w:w="72" w:type="dxa"/>
              <w:right w:w="144" w:type="dxa"/>
            </w:tcMar>
          </w:tcPr>
          <w:p w14:paraId="46007B09" w14:textId="77777777" w:rsidR="009E21D2" w:rsidRPr="00394BB8" w:rsidRDefault="009E21D2" w:rsidP="0072258F">
            <w:pPr>
              <w:rPr>
                <w:i/>
                <w:iCs/>
                <w:sz w:val="16"/>
                <w:szCs w:val="16"/>
                <w:lang w:val="en-GB"/>
              </w:rPr>
            </w:pPr>
          </w:p>
        </w:tc>
        <w:tc>
          <w:tcPr>
            <w:tcW w:w="934" w:type="pct"/>
            <w:vMerge/>
            <w:tcBorders>
              <w:bottom w:val="single" w:sz="4" w:space="0" w:color="auto"/>
            </w:tcBorders>
          </w:tcPr>
          <w:p w14:paraId="1B7CF30B" w14:textId="77777777" w:rsidR="009E21D2" w:rsidRPr="00394BB8" w:rsidRDefault="009E21D2" w:rsidP="0072258F">
            <w:pPr>
              <w:rPr>
                <w:i/>
                <w:iCs/>
                <w:sz w:val="16"/>
                <w:szCs w:val="16"/>
                <w:lang w:val="en-GB"/>
              </w:rPr>
            </w:pPr>
          </w:p>
        </w:tc>
        <w:tc>
          <w:tcPr>
            <w:tcW w:w="1435" w:type="pct"/>
            <w:vMerge/>
            <w:tcBorders>
              <w:bottom w:val="single" w:sz="4" w:space="0" w:color="auto"/>
            </w:tcBorders>
            <w:tcMar>
              <w:top w:w="72" w:type="dxa"/>
              <w:left w:w="144" w:type="dxa"/>
              <w:bottom w:w="72" w:type="dxa"/>
              <w:right w:w="144" w:type="dxa"/>
            </w:tcMar>
          </w:tcPr>
          <w:p w14:paraId="2384C09E" w14:textId="77777777" w:rsidR="009E21D2" w:rsidRPr="00394BB8" w:rsidRDefault="009E21D2" w:rsidP="0072258F">
            <w:pPr>
              <w:rPr>
                <w:i/>
                <w:iCs/>
                <w:sz w:val="16"/>
                <w:szCs w:val="16"/>
                <w:lang w:val="en-GB"/>
              </w:rPr>
            </w:pPr>
          </w:p>
        </w:tc>
        <w:tc>
          <w:tcPr>
            <w:tcW w:w="891" w:type="pct"/>
            <w:gridSpan w:val="2"/>
            <w:vMerge/>
            <w:tcBorders>
              <w:bottom w:val="single" w:sz="4" w:space="0" w:color="auto"/>
            </w:tcBorders>
          </w:tcPr>
          <w:p w14:paraId="36DE3C26" w14:textId="77777777" w:rsidR="009E21D2" w:rsidRPr="00394BB8" w:rsidRDefault="009E21D2" w:rsidP="0072258F">
            <w:pPr>
              <w:rPr>
                <w:i/>
                <w:iCs/>
                <w:sz w:val="16"/>
                <w:szCs w:val="16"/>
                <w:lang w:val="en-GB"/>
              </w:rPr>
            </w:pPr>
          </w:p>
        </w:tc>
        <w:tc>
          <w:tcPr>
            <w:tcW w:w="800" w:type="pct"/>
            <w:tcBorders>
              <w:bottom w:val="single" w:sz="4" w:space="0" w:color="auto"/>
            </w:tcBorders>
            <w:tcMar>
              <w:top w:w="15" w:type="dxa"/>
              <w:left w:w="108" w:type="dxa"/>
              <w:bottom w:w="0" w:type="dxa"/>
              <w:right w:w="108" w:type="dxa"/>
            </w:tcMar>
          </w:tcPr>
          <w:p w14:paraId="187E5099" w14:textId="77777777" w:rsidR="009E21D2" w:rsidRPr="00394BB8" w:rsidRDefault="009E21D2" w:rsidP="0072258F">
            <w:pPr>
              <w:rPr>
                <w:b/>
                <w:sz w:val="16"/>
                <w:szCs w:val="16"/>
                <w:lang w:val="en-GB"/>
              </w:rPr>
            </w:pPr>
          </w:p>
          <w:p w14:paraId="40E6A97E" w14:textId="77777777" w:rsidR="009E21D2" w:rsidRPr="00394BB8" w:rsidRDefault="009E21D2" w:rsidP="0072258F">
            <w:pPr>
              <w:rPr>
                <w:b/>
                <w:sz w:val="16"/>
                <w:szCs w:val="16"/>
                <w:lang w:val="en-GB"/>
              </w:rPr>
            </w:pPr>
          </w:p>
        </w:tc>
      </w:tr>
      <w:tr w:rsidR="009E21D2" w:rsidRPr="00394BB8" w14:paraId="2B43C46A" w14:textId="77777777" w:rsidTr="00DB50F6">
        <w:tc>
          <w:tcPr>
            <w:tcW w:w="5000" w:type="pct"/>
            <w:gridSpan w:val="7"/>
            <w:shd w:val="clear" w:color="auto" w:fill="auto"/>
            <w:tcMar>
              <w:top w:w="72" w:type="dxa"/>
              <w:left w:w="144" w:type="dxa"/>
              <w:bottom w:w="72" w:type="dxa"/>
              <w:right w:w="144" w:type="dxa"/>
            </w:tcMar>
          </w:tcPr>
          <w:p w14:paraId="7F16DDB1" w14:textId="457654F9" w:rsidR="009E21D2" w:rsidRPr="001847F8" w:rsidRDefault="00524B4D" w:rsidP="001847F8">
            <w:pPr>
              <w:rPr>
                <w:sz w:val="16"/>
                <w:szCs w:val="16"/>
                <w:lang w:val="en-GB"/>
              </w:rPr>
            </w:pPr>
            <w:r w:rsidRPr="00E9082B">
              <w:rPr>
                <w:b/>
                <w:bCs/>
                <w:i/>
                <w:sz w:val="16"/>
                <w:szCs w:val="16"/>
                <w:lang w:val="en-GB"/>
              </w:rPr>
              <w:lastRenderedPageBreak/>
              <w:t>National priority or goal</w:t>
            </w:r>
            <w:r w:rsidR="009E21D2" w:rsidRPr="00E9082B">
              <w:rPr>
                <w:b/>
                <w:bCs/>
                <w:i/>
                <w:sz w:val="16"/>
                <w:szCs w:val="16"/>
                <w:lang w:val="en-GB"/>
              </w:rPr>
              <w:t>:</w:t>
            </w:r>
            <w:r w:rsidR="009E21D2" w:rsidRPr="001847F8">
              <w:rPr>
                <w:b/>
                <w:bCs/>
                <w:sz w:val="16"/>
                <w:szCs w:val="16"/>
                <w:lang w:val="en-GB"/>
              </w:rPr>
              <w:t xml:space="preserve"> </w:t>
            </w:r>
            <w:r w:rsidR="009E21D2" w:rsidRPr="001847F8">
              <w:rPr>
                <w:b/>
                <w:sz w:val="16"/>
                <w:szCs w:val="16"/>
                <w:lang w:val="en-GB"/>
              </w:rPr>
              <w:t xml:space="preserve">Government </w:t>
            </w:r>
            <w:r w:rsidR="001847F8" w:rsidRPr="001847F8">
              <w:rPr>
                <w:b/>
                <w:sz w:val="16"/>
                <w:szCs w:val="16"/>
                <w:lang w:val="en-GB"/>
              </w:rPr>
              <w:t>p</w:t>
            </w:r>
            <w:r w:rsidR="009E21D2" w:rsidRPr="001847F8">
              <w:rPr>
                <w:b/>
                <w:sz w:val="16"/>
                <w:szCs w:val="16"/>
                <w:lang w:val="en-GB"/>
              </w:rPr>
              <w:t>rogram</w:t>
            </w:r>
            <w:r w:rsidR="001847F8" w:rsidRPr="001847F8">
              <w:rPr>
                <w:b/>
                <w:sz w:val="16"/>
                <w:szCs w:val="16"/>
                <w:lang w:val="en-GB"/>
              </w:rPr>
              <w:t>me</w:t>
            </w:r>
            <w:r w:rsidR="009E21D2" w:rsidRPr="001847F8">
              <w:rPr>
                <w:b/>
                <w:sz w:val="16"/>
                <w:szCs w:val="16"/>
                <w:lang w:val="en-GB"/>
              </w:rPr>
              <w:t xml:space="preserve"> “</w:t>
            </w:r>
            <w:r w:rsidR="001847F8" w:rsidRPr="001847F8">
              <w:rPr>
                <w:b/>
                <w:sz w:val="16"/>
                <w:szCs w:val="16"/>
                <w:lang w:val="en-GB"/>
              </w:rPr>
              <w:t>f</w:t>
            </w:r>
            <w:r w:rsidR="009E21D2" w:rsidRPr="001847F8">
              <w:rPr>
                <w:b/>
                <w:sz w:val="16"/>
                <w:szCs w:val="16"/>
                <w:lang w:val="en-GB"/>
              </w:rPr>
              <w:t xml:space="preserve">or </w:t>
            </w:r>
            <w:r w:rsidR="001847F8" w:rsidRPr="001847F8">
              <w:rPr>
                <w:b/>
                <w:sz w:val="16"/>
                <w:szCs w:val="16"/>
                <w:lang w:val="en-GB"/>
              </w:rPr>
              <w:t xml:space="preserve">a </w:t>
            </w:r>
            <w:r w:rsidR="009E21D2" w:rsidRPr="001847F8">
              <w:rPr>
                <w:b/>
                <w:sz w:val="16"/>
                <w:szCs w:val="16"/>
                <w:lang w:val="en-GB"/>
              </w:rPr>
              <w:t xml:space="preserve">strong, democratic, united Georgia” prioritizes conflict resolution and community resilience through public diplomacy, economic rehabilitation and business projects </w:t>
            </w:r>
            <w:r w:rsidR="001847F8" w:rsidRPr="001847F8">
              <w:rPr>
                <w:b/>
                <w:sz w:val="16"/>
                <w:szCs w:val="16"/>
                <w:lang w:val="en-GB"/>
              </w:rPr>
              <w:t xml:space="preserve">with </w:t>
            </w:r>
            <w:r w:rsidR="009E21D2" w:rsidRPr="001847F8">
              <w:rPr>
                <w:b/>
                <w:sz w:val="16"/>
                <w:szCs w:val="16"/>
                <w:lang w:val="en-GB"/>
              </w:rPr>
              <w:t>active engagement of local and international partners</w:t>
            </w:r>
            <w:r w:rsidR="001847F8" w:rsidRPr="001847F8">
              <w:rPr>
                <w:b/>
                <w:sz w:val="16"/>
                <w:szCs w:val="16"/>
                <w:lang w:val="en-GB"/>
              </w:rPr>
              <w:t>.</w:t>
            </w:r>
          </w:p>
        </w:tc>
      </w:tr>
      <w:tr w:rsidR="009E21D2" w:rsidRPr="00394BB8" w14:paraId="42181D00" w14:textId="77777777" w:rsidTr="00DB50F6">
        <w:tc>
          <w:tcPr>
            <w:tcW w:w="5000" w:type="pct"/>
            <w:gridSpan w:val="7"/>
            <w:shd w:val="clear" w:color="auto" w:fill="auto"/>
            <w:tcMar>
              <w:top w:w="72" w:type="dxa"/>
              <w:left w:w="144" w:type="dxa"/>
              <w:bottom w:w="72" w:type="dxa"/>
              <w:right w:w="144" w:type="dxa"/>
            </w:tcMar>
          </w:tcPr>
          <w:p w14:paraId="73D15E35" w14:textId="5BA7D7D6" w:rsidR="009E21D2" w:rsidRPr="001847F8" w:rsidRDefault="009E21D2" w:rsidP="00A862CD">
            <w:pPr>
              <w:pStyle w:val="CommentText"/>
              <w:rPr>
                <w:b/>
                <w:sz w:val="16"/>
                <w:szCs w:val="16"/>
                <w:lang w:val="en-GB"/>
              </w:rPr>
            </w:pPr>
            <w:r w:rsidRPr="00E9082B">
              <w:rPr>
                <w:b/>
                <w:bCs/>
                <w:i/>
                <w:sz w:val="16"/>
                <w:szCs w:val="16"/>
                <w:lang w:val="en-GB"/>
              </w:rPr>
              <w:t>UNDAF (</w:t>
            </w:r>
            <w:r w:rsidR="00524B4D" w:rsidRPr="00E9082B">
              <w:rPr>
                <w:b/>
                <w:bCs/>
                <w:i/>
                <w:sz w:val="16"/>
                <w:szCs w:val="16"/>
                <w:lang w:val="en-GB"/>
              </w:rPr>
              <w:t>or equivalent) outcome involving</w:t>
            </w:r>
            <w:r w:rsidRPr="00E9082B">
              <w:rPr>
                <w:b/>
                <w:bCs/>
                <w:i/>
                <w:sz w:val="16"/>
                <w:szCs w:val="16"/>
                <w:lang w:val="en-GB"/>
              </w:rPr>
              <w:t xml:space="preserve"> UNDP</w:t>
            </w:r>
            <w:r w:rsidR="00C27B3B" w:rsidRPr="00E9082B">
              <w:rPr>
                <w:b/>
                <w:bCs/>
                <w:i/>
                <w:sz w:val="16"/>
                <w:szCs w:val="16"/>
                <w:lang w:val="en-GB"/>
              </w:rPr>
              <w:t>:</w:t>
            </w:r>
            <w:r w:rsidRPr="001847F8">
              <w:rPr>
                <w:b/>
                <w:bCs/>
                <w:sz w:val="16"/>
                <w:szCs w:val="16"/>
                <w:lang w:val="en-GB"/>
              </w:rPr>
              <w:t xml:space="preserve"> Outcome 7</w:t>
            </w:r>
            <w:r w:rsidR="00C27B3B" w:rsidRPr="001847F8">
              <w:rPr>
                <w:b/>
                <w:bCs/>
                <w:sz w:val="16"/>
                <w:szCs w:val="16"/>
                <w:lang w:val="en-GB"/>
              </w:rPr>
              <w:t>.</w:t>
            </w:r>
            <w:r w:rsidRPr="001847F8">
              <w:rPr>
                <w:b/>
                <w:bCs/>
                <w:sz w:val="16"/>
                <w:szCs w:val="16"/>
                <w:lang w:val="en-GB"/>
              </w:rPr>
              <w:t xml:space="preserve"> </w:t>
            </w:r>
            <w:r w:rsidRPr="001847F8">
              <w:rPr>
                <w:b/>
                <w:sz w:val="16"/>
                <w:szCs w:val="16"/>
                <w:lang w:val="en-GB"/>
              </w:rPr>
              <w:t>Human security and resilience enhanced in conflict-affected communities</w:t>
            </w:r>
          </w:p>
        </w:tc>
      </w:tr>
      <w:tr w:rsidR="009E21D2" w:rsidRPr="00394BB8" w14:paraId="2DB8D485" w14:textId="77777777" w:rsidTr="00DB50F6">
        <w:tc>
          <w:tcPr>
            <w:tcW w:w="5000" w:type="pct"/>
            <w:gridSpan w:val="7"/>
            <w:shd w:val="clear" w:color="auto" w:fill="auto"/>
            <w:tcMar>
              <w:top w:w="72" w:type="dxa"/>
              <w:left w:w="144" w:type="dxa"/>
              <w:bottom w:w="72" w:type="dxa"/>
              <w:right w:w="144" w:type="dxa"/>
            </w:tcMar>
          </w:tcPr>
          <w:p w14:paraId="321D6BAF" w14:textId="453B84E7" w:rsidR="009E21D2" w:rsidRPr="001847F8" w:rsidRDefault="001847F8" w:rsidP="0072258F">
            <w:pPr>
              <w:rPr>
                <w:b/>
                <w:bCs/>
                <w:sz w:val="16"/>
                <w:szCs w:val="16"/>
                <w:lang w:val="en-GB"/>
              </w:rPr>
            </w:pPr>
            <w:r w:rsidRPr="00E9082B">
              <w:rPr>
                <w:b/>
                <w:bCs/>
                <w:i/>
                <w:sz w:val="16"/>
                <w:szCs w:val="16"/>
                <w:lang w:val="en-GB"/>
              </w:rPr>
              <w:t>Related strategic plan outcome:</w:t>
            </w:r>
            <w:r w:rsidRPr="001847F8">
              <w:rPr>
                <w:b/>
                <w:bCs/>
                <w:sz w:val="16"/>
                <w:szCs w:val="16"/>
                <w:lang w:val="en-GB"/>
              </w:rPr>
              <w:t xml:space="preserve"> </w:t>
            </w:r>
            <w:r w:rsidR="009E21D2" w:rsidRPr="001847F8">
              <w:rPr>
                <w:b/>
                <w:bCs/>
                <w:sz w:val="16"/>
                <w:szCs w:val="16"/>
                <w:lang w:val="en-GB"/>
              </w:rPr>
              <w:t>Outcome 5</w:t>
            </w:r>
            <w:r w:rsidR="00524B4D" w:rsidRPr="001847F8">
              <w:rPr>
                <w:b/>
                <w:bCs/>
                <w:sz w:val="16"/>
                <w:szCs w:val="16"/>
                <w:lang w:val="en-GB"/>
              </w:rPr>
              <w:t xml:space="preserve">. </w:t>
            </w:r>
            <w:r w:rsidR="009E21D2" w:rsidRPr="001847F8">
              <w:rPr>
                <w:b/>
                <w:bCs/>
                <w:sz w:val="16"/>
                <w:szCs w:val="16"/>
                <w:lang w:val="en-GB"/>
              </w:rPr>
              <w:t>Countries are able to reduce the likelihood of conflict, and lower the risk of natural disasters, including from climate change</w:t>
            </w:r>
            <w:r w:rsidRPr="001847F8">
              <w:rPr>
                <w:b/>
                <w:bCs/>
                <w:sz w:val="16"/>
                <w:szCs w:val="16"/>
                <w:lang w:val="en-GB"/>
              </w:rPr>
              <w:t>.</w:t>
            </w:r>
          </w:p>
        </w:tc>
      </w:tr>
      <w:tr w:rsidR="00FB5847" w:rsidRPr="00394BB8" w14:paraId="3449F183" w14:textId="77777777" w:rsidTr="00755F22">
        <w:tc>
          <w:tcPr>
            <w:tcW w:w="940" w:type="pct"/>
            <w:gridSpan w:val="2"/>
            <w:vMerge w:val="restart"/>
            <w:tcMar>
              <w:top w:w="72" w:type="dxa"/>
              <w:left w:w="144" w:type="dxa"/>
              <w:bottom w:w="72" w:type="dxa"/>
              <w:right w:w="144" w:type="dxa"/>
            </w:tcMar>
          </w:tcPr>
          <w:p w14:paraId="452240F3" w14:textId="77777777" w:rsidR="00FB5847" w:rsidRPr="00394BB8" w:rsidRDefault="00FB5847" w:rsidP="0072258F">
            <w:pPr>
              <w:rPr>
                <w:b/>
                <w:i/>
                <w:sz w:val="16"/>
                <w:szCs w:val="16"/>
                <w:lang w:val="en-GB"/>
              </w:rPr>
            </w:pPr>
          </w:p>
          <w:p w14:paraId="4E22743B" w14:textId="3B573A14" w:rsidR="00FB5847" w:rsidRPr="001847F8" w:rsidRDefault="00FB5847" w:rsidP="0072258F">
            <w:pPr>
              <w:rPr>
                <w:sz w:val="16"/>
                <w:szCs w:val="16"/>
                <w:lang w:val="en-GB"/>
              </w:rPr>
            </w:pPr>
            <w:r w:rsidRPr="001847F8">
              <w:rPr>
                <w:sz w:val="16"/>
                <w:szCs w:val="16"/>
                <w:lang w:val="en-GB"/>
              </w:rPr>
              <w:t>1</w:t>
            </w:r>
            <w:r w:rsidR="00A652DD" w:rsidRPr="001847F8">
              <w:rPr>
                <w:sz w:val="16"/>
                <w:szCs w:val="16"/>
                <w:lang w:val="en-GB"/>
              </w:rPr>
              <w:t>.</w:t>
            </w:r>
            <w:r w:rsidRPr="001847F8">
              <w:rPr>
                <w:sz w:val="16"/>
                <w:szCs w:val="16"/>
                <w:lang w:val="en-GB"/>
              </w:rPr>
              <w:t xml:space="preserve"> Political </w:t>
            </w:r>
            <w:r w:rsidR="00A652DD" w:rsidRPr="001847F8">
              <w:rPr>
                <w:sz w:val="16"/>
                <w:szCs w:val="16"/>
                <w:lang w:val="en-GB"/>
              </w:rPr>
              <w:t>s</w:t>
            </w:r>
            <w:r w:rsidRPr="001847F8">
              <w:rPr>
                <w:sz w:val="16"/>
                <w:szCs w:val="16"/>
                <w:lang w:val="en-GB"/>
              </w:rPr>
              <w:t xml:space="preserve">tability and </w:t>
            </w:r>
            <w:r w:rsidR="00A652DD" w:rsidRPr="001847F8">
              <w:rPr>
                <w:sz w:val="16"/>
                <w:szCs w:val="16"/>
                <w:lang w:val="en-GB"/>
              </w:rPr>
              <w:t>a</w:t>
            </w:r>
            <w:r w:rsidRPr="001847F8">
              <w:rPr>
                <w:sz w:val="16"/>
                <w:szCs w:val="16"/>
                <w:lang w:val="en-GB"/>
              </w:rPr>
              <w:t xml:space="preserve">bsence of </w:t>
            </w:r>
            <w:r w:rsidR="00A652DD" w:rsidRPr="001847F8">
              <w:rPr>
                <w:sz w:val="16"/>
                <w:szCs w:val="16"/>
                <w:lang w:val="en-GB"/>
              </w:rPr>
              <w:t>v</w:t>
            </w:r>
            <w:r w:rsidRPr="001847F8">
              <w:rPr>
                <w:sz w:val="16"/>
                <w:szCs w:val="16"/>
                <w:lang w:val="en-GB"/>
              </w:rPr>
              <w:t>iolence (composite indicator)</w:t>
            </w:r>
          </w:p>
          <w:p w14:paraId="1AD1DFFD" w14:textId="77777777" w:rsidR="00FB5847" w:rsidRPr="00394BB8" w:rsidRDefault="00FB5847" w:rsidP="0072258F">
            <w:pPr>
              <w:rPr>
                <w:sz w:val="16"/>
                <w:szCs w:val="16"/>
                <w:lang w:val="en-GB"/>
              </w:rPr>
            </w:pPr>
            <w:r w:rsidRPr="00A652DD">
              <w:rPr>
                <w:i/>
                <w:sz w:val="16"/>
                <w:szCs w:val="16"/>
                <w:lang w:val="en-GB"/>
              </w:rPr>
              <w:t>Baseline:</w:t>
            </w:r>
            <w:r w:rsidRPr="00394BB8">
              <w:rPr>
                <w:sz w:val="16"/>
                <w:szCs w:val="16"/>
                <w:lang w:val="en-GB"/>
              </w:rPr>
              <w:t xml:space="preserve"> 30.8% (2013)</w:t>
            </w:r>
          </w:p>
          <w:p w14:paraId="008ABD9D" w14:textId="77777777" w:rsidR="00FB5847" w:rsidRPr="00394BB8" w:rsidRDefault="00FB5847" w:rsidP="0072258F">
            <w:pPr>
              <w:rPr>
                <w:sz w:val="16"/>
                <w:szCs w:val="16"/>
                <w:lang w:val="en-GB"/>
              </w:rPr>
            </w:pPr>
            <w:r w:rsidRPr="00A652DD">
              <w:rPr>
                <w:i/>
                <w:sz w:val="16"/>
                <w:szCs w:val="16"/>
                <w:lang w:val="en-GB"/>
              </w:rPr>
              <w:t>Target:</w:t>
            </w:r>
            <w:r w:rsidRPr="00394BB8">
              <w:rPr>
                <w:sz w:val="16"/>
                <w:szCs w:val="16"/>
                <w:lang w:val="en-GB"/>
              </w:rPr>
              <w:t xml:space="preserve"> &gt; 31% (2020) </w:t>
            </w:r>
          </w:p>
          <w:p w14:paraId="6598D533" w14:textId="77777777" w:rsidR="00FB5847" w:rsidRPr="00394BB8" w:rsidRDefault="00FB5847" w:rsidP="0072258F">
            <w:pPr>
              <w:rPr>
                <w:sz w:val="16"/>
                <w:szCs w:val="16"/>
                <w:lang w:val="en-GB"/>
              </w:rPr>
            </w:pPr>
          </w:p>
          <w:p w14:paraId="5483A2FD" w14:textId="77777777" w:rsidR="001847F8" w:rsidRDefault="001847F8" w:rsidP="0072258F">
            <w:pPr>
              <w:rPr>
                <w:sz w:val="16"/>
                <w:szCs w:val="16"/>
                <w:lang w:val="en-GB"/>
              </w:rPr>
            </w:pPr>
          </w:p>
          <w:p w14:paraId="5910A2D8" w14:textId="77777777" w:rsidR="001847F8" w:rsidRDefault="001847F8" w:rsidP="0072258F">
            <w:pPr>
              <w:rPr>
                <w:sz w:val="16"/>
                <w:szCs w:val="16"/>
                <w:lang w:val="en-GB"/>
              </w:rPr>
            </w:pPr>
          </w:p>
          <w:p w14:paraId="6E4417A0" w14:textId="77777777" w:rsidR="001847F8" w:rsidRDefault="001847F8" w:rsidP="0072258F">
            <w:pPr>
              <w:rPr>
                <w:sz w:val="16"/>
                <w:szCs w:val="16"/>
                <w:lang w:val="en-GB"/>
              </w:rPr>
            </w:pPr>
          </w:p>
          <w:p w14:paraId="454B4930" w14:textId="77777777" w:rsidR="001847F8" w:rsidRPr="001847F8" w:rsidRDefault="001847F8" w:rsidP="0072258F">
            <w:pPr>
              <w:rPr>
                <w:sz w:val="16"/>
                <w:szCs w:val="16"/>
                <w:lang w:val="en-GB"/>
              </w:rPr>
            </w:pPr>
          </w:p>
          <w:p w14:paraId="020AF015" w14:textId="60C5DD37" w:rsidR="00FB5847" w:rsidRPr="001847F8" w:rsidRDefault="00FB5847" w:rsidP="0072258F">
            <w:pPr>
              <w:rPr>
                <w:sz w:val="16"/>
                <w:szCs w:val="16"/>
                <w:lang w:val="en-GB"/>
              </w:rPr>
            </w:pPr>
            <w:r w:rsidRPr="001847F8">
              <w:rPr>
                <w:sz w:val="16"/>
                <w:szCs w:val="16"/>
                <w:lang w:val="en-GB"/>
              </w:rPr>
              <w:lastRenderedPageBreak/>
              <w:t>2</w:t>
            </w:r>
            <w:r w:rsidR="00A652DD" w:rsidRPr="001847F8">
              <w:rPr>
                <w:sz w:val="16"/>
                <w:szCs w:val="16"/>
                <w:lang w:val="en-GB"/>
              </w:rPr>
              <w:t>.</w:t>
            </w:r>
            <w:r w:rsidRPr="001847F8">
              <w:rPr>
                <w:sz w:val="16"/>
                <w:szCs w:val="16"/>
                <w:lang w:val="en-GB"/>
              </w:rPr>
              <w:t xml:space="preserve"> Availability of mechanisms for coordination between CSOs and international community within conflict</w:t>
            </w:r>
            <w:r w:rsidR="001847F8">
              <w:rPr>
                <w:sz w:val="16"/>
                <w:szCs w:val="16"/>
                <w:lang w:val="en-GB"/>
              </w:rPr>
              <w:t>-</w:t>
            </w:r>
            <w:r w:rsidRPr="001847F8">
              <w:rPr>
                <w:sz w:val="16"/>
                <w:szCs w:val="16"/>
                <w:lang w:val="en-GB"/>
              </w:rPr>
              <w:t xml:space="preserve">affected areas and across dividing lines </w:t>
            </w:r>
          </w:p>
          <w:p w14:paraId="05A45B72" w14:textId="639D096B" w:rsidR="00FB5847" w:rsidRPr="00394BB8" w:rsidRDefault="00FB5847" w:rsidP="0072258F">
            <w:pPr>
              <w:rPr>
                <w:sz w:val="16"/>
                <w:szCs w:val="16"/>
                <w:lang w:val="en-GB"/>
              </w:rPr>
            </w:pPr>
            <w:r w:rsidRPr="00A652DD">
              <w:rPr>
                <w:i/>
                <w:sz w:val="16"/>
                <w:szCs w:val="16"/>
                <w:lang w:val="en-GB"/>
              </w:rPr>
              <w:t>Baseline:</w:t>
            </w:r>
            <w:r w:rsidRPr="00394BB8">
              <w:rPr>
                <w:sz w:val="16"/>
                <w:szCs w:val="16"/>
                <w:lang w:val="en-GB"/>
              </w:rPr>
              <w:t xml:space="preserve"> Annual networking meetings within the framework of </w:t>
            </w:r>
            <w:r w:rsidR="00A652DD">
              <w:rPr>
                <w:sz w:val="16"/>
                <w:szCs w:val="16"/>
                <w:lang w:val="en-GB"/>
              </w:rPr>
              <w:t xml:space="preserve">the </w:t>
            </w:r>
            <w:r w:rsidR="00A652DD" w:rsidRPr="00A652DD">
              <w:rPr>
                <w:sz w:val="16"/>
                <w:szCs w:val="16"/>
                <w:lang w:val="en-GB"/>
              </w:rPr>
              <w:t>Confidence Building Early Response Mechanism</w:t>
            </w:r>
            <w:r w:rsidR="00A652DD">
              <w:rPr>
                <w:rFonts w:ascii="Arial" w:hAnsi="Arial" w:cs="Arial"/>
                <w:color w:val="545454"/>
                <w:shd w:val="clear" w:color="auto" w:fill="FFFFFF"/>
              </w:rPr>
              <w:t xml:space="preserve"> (</w:t>
            </w:r>
            <w:r w:rsidRPr="00394BB8">
              <w:rPr>
                <w:sz w:val="16"/>
                <w:szCs w:val="16"/>
                <w:lang w:val="en-GB"/>
              </w:rPr>
              <w:t>COBERM</w:t>
            </w:r>
            <w:r w:rsidR="00A652DD">
              <w:rPr>
                <w:sz w:val="16"/>
                <w:szCs w:val="16"/>
                <w:lang w:val="en-GB"/>
              </w:rPr>
              <w:t>)</w:t>
            </w:r>
            <w:r w:rsidRPr="00394BB8">
              <w:rPr>
                <w:sz w:val="16"/>
                <w:szCs w:val="16"/>
                <w:lang w:val="en-GB"/>
              </w:rPr>
              <w:t xml:space="preserve"> with representatives of CSOs (both in Tbilisi and Sukhumi). Ad hoc meetings between women’s CSOs and representatives of the official peace and conflict</w:t>
            </w:r>
            <w:r w:rsidR="00A652DD">
              <w:rPr>
                <w:sz w:val="16"/>
                <w:szCs w:val="16"/>
                <w:lang w:val="en-GB"/>
              </w:rPr>
              <w:t>-</w:t>
            </w:r>
            <w:r w:rsidRPr="00394BB8">
              <w:rPr>
                <w:sz w:val="16"/>
                <w:szCs w:val="16"/>
                <w:lang w:val="en-GB"/>
              </w:rPr>
              <w:t xml:space="preserve">prevention processes; ASP and JCF coordination meetings with </w:t>
            </w:r>
            <w:r w:rsidR="00524B4D">
              <w:rPr>
                <w:sz w:val="16"/>
                <w:szCs w:val="16"/>
                <w:lang w:val="en-GB"/>
              </w:rPr>
              <w:t>United Nations organizations</w:t>
            </w:r>
            <w:r w:rsidR="00524B4D" w:rsidRPr="00394BB8">
              <w:rPr>
                <w:sz w:val="16"/>
                <w:szCs w:val="16"/>
                <w:lang w:val="en-GB"/>
              </w:rPr>
              <w:t xml:space="preserve"> </w:t>
            </w:r>
            <w:r w:rsidRPr="00394BB8">
              <w:rPr>
                <w:sz w:val="16"/>
                <w:szCs w:val="16"/>
                <w:lang w:val="en-GB"/>
              </w:rPr>
              <w:t xml:space="preserve">and </w:t>
            </w:r>
            <w:r w:rsidR="00524B4D">
              <w:rPr>
                <w:sz w:val="16"/>
                <w:szCs w:val="16"/>
                <w:lang w:val="en-GB"/>
              </w:rPr>
              <w:t xml:space="preserve">international </w:t>
            </w:r>
            <w:r w:rsidRPr="00394BB8">
              <w:rPr>
                <w:sz w:val="16"/>
                <w:szCs w:val="16"/>
                <w:lang w:val="en-GB"/>
              </w:rPr>
              <w:t xml:space="preserve">NGOs  </w:t>
            </w:r>
          </w:p>
          <w:p w14:paraId="1F4EF44F" w14:textId="536BEB8A" w:rsidR="00FB5847" w:rsidRPr="00394BB8" w:rsidRDefault="00FB5847" w:rsidP="005533B9">
            <w:pPr>
              <w:rPr>
                <w:b/>
                <w:bCs/>
                <w:i/>
                <w:sz w:val="16"/>
                <w:szCs w:val="16"/>
                <w:lang w:val="en-GB"/>
              </w:rPr>
            </w:pPr>
            <w:r w:rsidRPr="00A652DD">
              <w:rPr>
                <w:i/>
                <w:sz w:val="16"/>
                <w:szCs w:val="16"/>
                <w:lang w:val="en-GB"/>
              </w:rPr>
              <w:t>Target:</w:t>
            </w:r>
            <w:r w:rsidRPr="00394BB8">
              <w:rPr>
                <w:sz w:val="16"/>
                <w:szCs w:val="16"/>
                <w:lang w:val="en-GB"/>
              </w:rPr>
              <w:t xml:space="preserve"> Regular coordination mechanisms established and operational </w:t>
            </w:r>
          </w:p>
        </w:tc>
        <w:tc>
          <w:tcPr>
            <w:tcW w:w="934" w:type="pct"/>
            <w:vMerge w:val="restart"/>
          </w:tcPr>
          <w:p w14:paraId="32FF445B" w14:textId="77777777" w:rsidR="00FB5847" w:rsidRPr="00394BB8" w:rsidRDefault="00FB5847" w:rsidP="0072258F">
            <w:pPr>
              <w:pStyle w:val="ListParagraph"/>
              <w:rPr>
                <w:i/>
                <w:sz w:val="16"/>
                <w:szCs w:val="16"/>
                <w:lang w:val="en-GB"/>
              </w:rPr>
            </w:pPr>
          </w:p>
          <w:p w14:paraId="05EE1FBE" w14:textId="47037F09" w:rsidR="00FB5847" w:rsidRPr="00394BB8" w:rsidRDefault="00FB5847" w:rsidP="0072258F">
            <w:pPr>
              <w:rPr>
                <w:sz w:val="16"/>
                <w:szCs w:val="16"/>
                <w:lang w:val="en-GB"/>
              </w:rPr>
            </w:pPr>
            <w:r w:rsidRPr="00394BB8">
              <w:rPr>
                <w:sz w:val="16"/>
                <w:szCs w:val="16"/>
                <w:lang w:val="en-GB"/>
              </w:rPr>
              <w:t xml:space="preserve">COBERM data, </w:t>
            </w:r>
            <w:r w:rsidR="00524B4D">
              <w:rPr>
                <w:sz w:val="16"/>
                <w:szCs w:val="16"/>
                <w:lang w:val="en-GB"/>
              </w:rPr>
              <w:t xml:space="preserve">reports of the </w:t>
            </w:r>
            <w:r w:rsidR="00524B4D" w:rsidRPr="00524B4D">
              <w:rPr>
                <w:sz w:val="16"/>
                <w:szCs w:val="16"/>
                <w:lang w:val="en-GB"/>
              </w:rPr>
              <w:t>Office of the United Nations High Commissioner for Refugees</w:t>
            </w:r>
            <w:r w:rsidR="00524B4D" w:rsidRPr="00394BB8">
              <w:rPr>
                <w:sz w:val="16"/>
                <w:szCs w:val="16"/>
                <w:lang w:val="en-GB"/>
              </w:rPr>
              <w:t xml:space="preserve"> </w:t>
            </w:r>
            <w:r w:rsidR="00524B4D">
              <w:rPr>
                <w:sz w:val="16"/>
                <w:szCs w:val="16"/>
                <w:lang w:val="en-GB"/>
              </w:rPr>
              <w:t>(</w:t>
            </w:r>
            <w:r w:rsidRPr="00394BB8">
              <w:rPr>
                <w:sz w:val="16"/>
                <w:szCs w:val="16"/>
                <w:lang w:val="en-GB"/>
              </w:rPr>
              <w:t>UNHCR</w:t>
            </w:r>
            <w:r w:rsidR="00524B4D">
              <w:rPr>
                <w:sz w:val="16"/>
                <w:szCs w:val="16"/>
                <w:lang w:val="en-GB"/>
              </w:rPr>
              <w:t>)</w:t>
            </w:r>
            <w:r w:rsidRPr="00394BB8">
              <w:rPr>
                <w:sz w:val="16"/>
                <w:szCs w:val="16"/>
                <w:lang w:val="en-GB"/>
              </w:rPr>
              <w:t xml:space="preserve">, conflict analysis and assessments by </w:t>
            </w:r>
            <w:r w:rsidR="00524B4D">
              <w:rPr>
                <w:sz w:val="16"/>
                <w:szCs w:val="16"/>
                <w:lang w:val="en-GB"/>
              </w:rPr>
              <w:t>United Nations organizations</w:t>
            </w:r>
            <w:r w:rsidRPr="00394BB8">
              <w:rPr>
                <w:sz w:val="16"/>
                <w:szCs w:val="16"/>
                <w:lang w:val="en-GB"/>
              </w:rPr>
              <w:t>, international organizations, media and local NGOs</w:t>
            </w:r>
          </w:p>
          <w:p w14:paraId="1B4476D8" w14:textId="77777777" w:rsidR="00FB5847" w:rsidRPr="00394BB8" w:rsidRDefault="00FB5847" w:rsidP="0072258F">
            <w:pPr>
              <w:rPr>
                <w:sz w:val="16"/>
                <w:szCs w:val="16"/>
                <w:lang w:val="en-GB"/>
              </w:rPr>
            </w:pPr>
          </w:p>
          <w:p w14:paraId="2C900680" w14:textId="1ACBAA84" w:rsidR="00FB5847" w:rsidRPr="00394BB8" w:rsidRDefault="00FB5847" w:rsidP="0072258F">
            <w:pPr>
              <w:rPr>
                <w:sz w:val="16"/>
                <w:szCs w:val="16"/>
                <w:lang w:val="en-GB"/>
              </w:rPr>
            </w:pPr>
            <w:r w:rsidRPr="00394BB8">
              <w:rPr>
                <w:sz w:val="16"/>
                <w:szCs w:val="16"/>
                <w:lang w:val="en-GB"/>
              </w:rPr>
              <w:lastRenderedPageBreak/>
              <w:t xml:space="preserve">Participatory </w:t>
            </w:r>
            <w:r w:rsidR="00524B4D">
              <w:rPr>
                <w:sz w:val="16"/>
                <w:szCs w:val="16"/>
                <w:lang w:val="en-GB"/>
              </w:rPr>
              <w:t>a</w:t>
            </w:r>
            <w:r w:rsidRPr="00394BB8">
              <w:rPr>
                <w:sz w:val="16"/>
                <w:szCs w:val="16"/>
                <w:lang w:val="en-GB"/>
              </w:rPr>
              <w:t xml:space="preserve">ssessments on </w:t>
            </w:r>
            <w:r w:rsidR="00524B4D">
              <w:rPr>
                <w:sz w:val="16"/>
                <w:szCs w:val="16"/>
                <w:lang w:val="en-GB"/>
              </w:rPr>
              <w:t>h</w:t>
            </w:r>
            <w:r w:rsidRPr="00394BB8">
              <w:rPr>
                <w:sz w:val="16"/>
                <w:szCs w:val="16"/>
                <w:lang w:val="en-GB"/>
              </w:rPr>
              <w:t xml:space="preserve">uman </w:t>
            </w:r>
            <w:r w:rsidR="00524B4D">
              <w:rPr>
                <w:sz w:val="16"/>
                <w:szCs w:val="16"/>
                <w:lang w:val="en-GB"/>
              </w:rPr>
              <w:t>s</w:t>
            </w:r>
            <w:r w:rsidRPr="00394BB8">
              <w:rPr>
                <w:sz w:val="16"/>
                <w:szCs w:val="16"/>
                <w:lang w:val="en-GB"/>
              </w:rPr>
              <w:t xml:space="preserve">ecurity </w:t>
            </w:r>
            <w:r w:rsidR="00524B4D">
              <w:rPr>
                <w:sz w:val="16"/>
                <w:szCs w:val="16"/>
                <w:lang w:val="en-GB"/>
              </w:rPr>
              <w:t xml:space="preserve">in Georgia </w:t>
            </w:r>
            <w:r w:rsidRPr="00394BB8">
              <w:rPr>
                <w:sz w:val="16"/>
                <w:szCs w:val="16"/>
                <w:lang w:val="en-GB"/>
              </w:rPr>
              <w:t>by UNHCR (ad hoc and regular)</w:t>
            </w:r>
          </w:p>
          <w:p w14:paraId="2C5621A9" w14:textId="77777777" w:rsidR="00FB5847" w:rsidRPr="00394BB8" w:rsidRDefault="00FB5847" w:rsidP="0072258F">
            <w:pPr>
              <w:rPr>
                <w:sz w:val="16"/>
                <w:szCs w:val="16"/>
                <w:lang w:val="en-GB"/>
              </w:rPr>
            </w:pPr>
          </w:p>
          <w:p w14:paraId="1F3C6F43" w14:textId="498E8170" w:rsidR="00FB5847" w:rsidRPr="00394BB8" w:rsidRDefault="00FB5847" w:rsidP="003155F6">
            <w:pPr>
              <w:rPr>
                <w:sz w:val="16"/>
                <w:szCs w:val="16"/>
                <w:lang w:val="en-GB"/>
              </w:rPr>
            </w:pPr>
            <w:r w:rsidRPr="00394BB8">
              <w:rPr>
                <w:sz w:val="16"/>
                <w:szCs w:val="16"/>
                <w:lang w:val="en-GB"/>
              </w:rPr>
              <w:t>Project evaluation reports</w:t>
            </w:r>
          </w:p>
        </w:tc>
        <w:tc>
          <w:tcPr>
            <w:tcW w:w="1435" w:type="pct"/>
            <w:vMerge w:val="restart"/>
            <w:tcMar>
              <w:top w:w="72" w:type="dxa"/>
              <w:left w:w="144" w:type="dxa"/>
              <w:bottom w:w="72" w:type="dxa"/>
              <w:right w:w="144" w:type="dxa"/>
            </w:tcMar>
            <w:vAlign w:val="center"/>
          </w:tcPr>
          <w:p w14:paraId="4C04C401" w14:textId="6E37EB9D" w:rsidR="00FB5847" w:rsidRPr="00394BB8" w:rsidRDefault="00FB5847" w:rsidP="001847F8">
            <w:pPr>
              <w:rPr>
                <w:b/>
                <w:bCs/>
                <w:i/>
                <w:sz w:val="16"/>
                <w:szCs w:val="16"/>
                <w:lang w:val="en-GB"/>
              </w:rPr>
            </w:pPr>
            <w:r w:rsidRPr="00B51C67">
              <w:rPr>
                <w:b/>
                <w:bCs/>
                <w:sz w:val="16"/>
                <w:szCs w:val="16"/>
                <w:lang w:val="en-GB"/>
              </w:rPr>
              <w:lastRenderedPageBreak/>
              <w:t>Output 3.1. By 2020 mechanisms for people-to-people communication enhanced by stronger civil society as a change agent  in confidence building and social cohesion</w:t>
            </w:r>
          </w:p>
          <w:p w14:paraId="6DE045BC" w14:textId="520941D0" w:rsidR="00FB5847" w:rsidRPr="00394BB8" w:rsidRDefault="00FB5847" w:rsidP="0072258F">
            <w:pPr>
              <w:rPr>
                <w:sz w:val="16"/>
                <w:szCs w:val="16"/>
                <w:lang w:val="en-GB"/>
              </w:rPr>
            </w:pPr>
            <w:r w:rsidRPr="00394BB8">
              <w:rPr>
                <w:sz w:val="16"/>
                <w:szCs w:val="16"/>
                <w:lang w:val="en-GB"/>
              </w:rPr>
              <w:t>3.1.1</w:t>
            </w:r>
            <w:r w:rsidR="001847F8">
              <w:rPr>
                <w:sz w:val="16"/>
                <w:szCs w:val="16"/>
                <w:lang w:val="en-GB"/>
              </w:rPr>
              <w:t>.</w:t>
            </w:r>
            <w:r w:rsidRPr="00394BB8">
              <w:rPr>
                <w:sz w:val="16"/>
                <w:szCs w:val="16"/>
                <w:lang w:val="en-GB"/>
              </w:rPr>
              <w:t xml:space="preserve"> </w:t>
            </w:r>
            <w:r w:rsidR="001847F8">
              <w:rPr>
                <w:sz w:val="16"/>
                <w:szCs w:val="16"/>
                <w:lang w:val="en-GB"/>
              </w:rPr>
              <w:t>A</w:t>
            </w:r>
            <w:r w:rsidRPr="00394BB8">
              <w:rPr>
                <w:sz w:val="16"/>
                <w:szCs w:val="16"/>
                <w:lang w:val="en-GB"/>
              </w:rPr>
              <w:t xml:space="preserve">vailability of national mechanisms for mediation and regular coordination between CSOs and </w:t>
            </w:r>
            <w:r w:rsidR="001847F8">
              <w:rPr>
                <w:sz w:val="16"/>
                <w:szCs w:val="16"/>
                <w:lang w:val="en-GB"/>
              </w:rPr>
              <w:t xml:space="preserve">the </w:t>
            </w:r>
            <w:r w:rsidRPr="00394BB8">
              <w:rPr>
                <w:sz w:val="16"/>
                <w:szCs w:val="16"/>
                <w:lang w:val="en-GB"/>
              </w:rPr>
              <w:t xml:space="preserve">international community within conflict affected areas and across the dividing lines </w:t>
            </w:r>
          </w:p>
          <w:p w14:paraId="4FE0224D" w14:textId="77777777" w:rsidR="00FB5847" w:rsidRPr="00394BB8" w:rsidRDefault="00FB5847" w:rsidP="0072258F">
            <w:pPr>
              <w:rPr>
                <w:sz w:val="16"/>
                <w:szCs w:val="16"/>
                <w:lang w:val="en-GB"/>
              </w:rPr>
            </w:pPr>
            <w:r w:rsidRPr="001847F8">
              <w:rPr>
                <w:i/>
                <w:sz w:val="16"/>
                <w:szCs w:val="16"/>
                <w:lang w:val="en-GB"/>
              </w:rPr>
              <w:t>Baseline:</w:t>
            </w:r>
            <w:r w:rsidRPr="00394BB8">
              <w:rPr>
                <w:sz w:val="16"/>
                <w:szCs w:val="16"/>
                <w:lang w:val="en-GB"/>
              </w:rPr>
              <w:t xml:space="preserve"> Not in place</w:t>
            </w:r>
          </w:p>
          <w:p w14:paraId="6490B81D" w14:textId="77777777" w:rsidR="00FB5847" w:rsidRPr="00394BB8" w:rsidRDefault="00FB5847" w:rsidP="0072258F">
            <w:pPr>
              <w:rPr>
                <w:sz w:val="16"/>
                <w:szCs w:val="16"/>
                <w:lang w:val="en-GB"/>
              </w:rPr>
            </w:pPr>
            <w:r w:rsidRPr="001847F8">
              <w:rPr>
                <w:i/>
                <w:sz w:val="16"/>
                <w:szCs w:val="16"/>
                <w:lang w:val="en-GB"/>
              </w:rPr>
              <w:t>Target:</w:t>
            </w:r>
            <w:r w:rsidRPr="00394BB8">
              <w:rPr>
                <w:sz w:val="16"/>
                <w:szCs w:val="16"/>
                <w:lang w:val="en-GB"/>
              </w:rPr>
              <w:t xml:space="preserve"> Established and operational</w:t>
            </w:r>
          </w:p>
          <w:p w14:paraId="18E4B580" w14:textId="059C0ADE" w:rsidR="00FB5847" w:rsidRPr="00394BB8" w:rsidRDefault="001847F8" w:rsidP="0072258F">
            <w:pPr>
              <w:rPr>
                <w:sz w:val="16"/>
                <w:szCs w:val="16"/>
                <w:lang w:val="en-GB"/>
              </w:rPr>
            </w:pPr>
            <w:r>
              <w:rPr>
                <w:i/>
                <w:sz w:val="16"/>
                <w:szCs w:val="16"/>
                <w:lang w:val="en-GB"/>
              </w:rPr>
              <w:lastRenderedPageBreak/>
              <w:t>Source</w:t>
            </w:r>
            <w:r w:rsidRPr="00394BB8">
              <w:rPr>
                <w:i/>
                <w:sz w:val="16"/>
                <w:szCs w:val="16"/>
                <w:lang w:val="en-GB"/>
              </w:rPr>
              <w:t xml:space="preserve">: </w:t>
            </w:r>
            <w:r w:rsidR="00FB5847" w:rsidRPr="00394BB8">
              <w:rPr>
                <w:sz w:val="16"/>
                <w:szCs w:val="16"/>
                <w:lang w:val="en-GB"/>
              </w:rPr>
              <w:t xml:space="preserve"> COBERM data, UNHCR reports</w:t>
            </w:r>
          </w:p>
          <w:p w14:paraId="1913A141" w14:textId="77777777" w:rsidR="00FB5847" w:rsidRPr="00394BB8" w:rsidRDefault="00FB5847" w:rsidP="0072258F">
            <w:pPr>
              <w:rPr>
                <w:b/>
                <w:i/>
                <w:sz w:val="16"/>
                <w:szCs w:val="16"/>
                <w:lang w:val="en-GB"/>
              </w:rPr>
            </w:pPr>
          </w:p>
          <w:p w14:paraId="211E0578" w14:textId="6D845966" w:rsidR="00FB5847" w:rsidRPr="00394BB8" w:rsidRDefault="00FB5847" w:rsidP="0072258F">
            <w:pPr>
              <w:rPr>
                <w:sz w:val="16"/>
                <w:szCs w:val="16"/>
                <w:lang w:val="en-GB"/>
              </w:rPr>
            </w:pPr>
            <w:r w:rsidRPr="00394BB8">
              <w:rPr>
                <w:sz w:val="16"/>
                <w:szCs w:val="16"/>
                <w:lang w:val="en-GB"/>
              </w:rPr>
              <w:t>3.1.2</w:t>
            </w:r>
            <w:r w:rsidR="001847F8">
              <w:rPr>
                <w:sz w:val="16"/>
                <w:szCs w:val="16"/>
                <w:lang w:val="en-GB"/>
              </w:rPr>
              <w:t>.</w:t>
            </w:r>
            <w:r w:rsidRPr="00394BB8">
              <w:rPr>
                <w:sz w:val="16"/>
                <w:szCs w:val="16"/>
                <w:lang w:val="en-GB"/>
              </w:rPr>
              <w:t xml:space="preserve"> Number of beneficiaries, including women and youth, of confidence building initiatives</w:t>
            </w:r>
          </w:p>
          <w:p w14:paraId="17C491AE" w14:textId="77777777" w:rsidR="00FB5847" w:rsidRPr="00394BB8" w:rsidRDefault="00FB5847" w:rsidP="0072258F">
            <w:pPr>
              <w:rPr>
                <w:sz w:val="16"/>
                <w:szCs w:val="16"/>
                <w:lang w:val="en-GB"/>
              </w:rPr>
            </w:pPr>
            <w:r w:rsidRPr="001847F8">
              <w:rPr>
                <w:i/>
                <w:sz w:val="16"/>
                <w:szCs w:val="16"/>
                <w:lang w:val="en-GB"/>
              </w:rPr>
              <w:t>Baseline:</w:t>
            </w:r>
            <w:r w:rsidRPr="00394BB8">
              <w:rPr>
                <w:sz w:val="16"/>
                <w:szCs w:val="16"/>
                <w:lang w:val="en-GB"/>
              </w:rPr>
              <w:t xml:space="preserve"> 60,000 (2014)</w:t>
            </w:r>
          </w:p>
          <w:p w14:paraId="6B1585D1" w14:textId="5ADB81EE" w:rsidR="00FB5847" w:rsidRPr="00394BB8" w:rsidRDefault="00FB5847" w:rsidP="0072258F">
            <w:pPr>
              <w:rPr>
                <w:sz w:val="16"/>
                <w:szCs w:val="16"/>
                <w:lang w:val="en-GB"/>
              </w:rPr>
            </w:pPr>
            <w:r w:rsidRPr="001847F8">
              <w:rPr>
                <w:i/>
                <w:sz w:val="16"/>
                <w:szCs w:val="16"/>
                <w:lang w:val="en-GB"/>
              </w:rPr>
              <w:t>Target:</w:t>
            </w:r>
            <w:r w:rsidRPr="00394BB8">
              <w:rPr>
                <w:sz w:val="16"/>
                <w:szCs w:val="16"/>
                <w:lang w:val="en-GB"/>
              </w:rPr>
              <w:t xml:space="preserve"> 130,000 (cumulative)</w:t>
            </w:r>
            <w:r w:rsidR="00B51C67">
              <w:rPr>
                <w:sz w:val="16"/>
                <w:szCs w:val="16"/>
                <w:lang w:val="en-GB"/>
              </w:rPr>
              <w:t>,</w:t>
            </w:r>
            <w:r w:rsidRPr="00394BB8">
              <w:rPr>
                <w:sz w:val="16"/>
                <w:szCs w:val="16"/>
                <w:lang w:val="en-GB"/>
              </w:rPr>
              <w:t xml:space="preserve"> with at least 50</w:t>
            </w:r>
            <w:r w:rsidR="00B51C67">
              <w:rPr>
                <w:sz w:val="16"/>
                <w:szCs w:val="16"/>
                <w:lang w:val="en-GB"/>
              </w:rPr>
              <w:t>,</w:t>
            </w:r>
            <w:r w:rsidRPr="00394BB8">
              <w:rPr>
                <w:sz w:val="16"/>
                <w:szCs w:val="16"/>
                <w:lang w:val="en-GB"/>
              </w:rPr>
              <w:t>000 women and 40</w:t>
            </w:r>
            <w:r w:rsidR="00B51C67">
              <w:rPr>
                <w:sz w:val="16"/>
                <w:szCs w:val="16"/>
                <w:lang w:val="en-GB"/>
              </w:rPr>
              <w:t>,</w:t>
            </w:r>
            <w:r w:rsidRPr="00394BB8">
              <w:rPr>
                <w:sz w:val="16"/>
                <w:szCs w:val="16"/>
                <w:lang w:val="en-GB"/>
              </w:rPr>
              <w:t xml:space="preserve">000 youth (2020) </w:t>
            </w:r>
          </w:p>
          <w:p w14:paraId="33BB9950" w14:textId="138652A7" w:rsidR="00FB5847" w:rsidRPr="00394BB8" w:rsidRDefault="001847F8" w:rsidP="0072258F">
            <w:pPr>
              <w:rPr>
                <w:sz w:val="16"/>
                <w:szCs w:val="16"/>
                <w:lang w:val="en-GB"/>
              </w:rPr>
            </w:pPr>
            <w:r w:rsidRPr="001847F8">
              <w:rPr>
                <w:i/>
                <w:sz w:val="16"/>
                <w:szCs w:val="16"/>
                <w:lang w:val="en-GB"/>
              </w:rPr>
              <w:t>Source:</w:t>
            </w:r>
            <w:r w:rsidR="00FB5847" w:rsidRPr="00394BB8">
              <w:rPr>
                <w:sz w:val="16"/>
                <w:szCs w:val="16"/>
                <w:lang w:val="en-GB"/>
              </w:rPr>
              <w:t xml:space="preserve"> COBERM data, UNHCR reports</w:t>
            </w:r>
          </w:p>
          <w:p w14:paraId="3EF56B9A" w14:textId="77777777" w:rsidR="00FB5847" w:rsidRPr="00394BB8" w:rsidRDefault="00FB5847" w:rsidP="0072258F">
            <w:pPr>
              <w:rPr>
                <w:b/>
                <w:i/>
                <w:sz w:val="16"/>
                <w:szCs w:val="16"/>
                <w:lang w:val="en-GB"/>
              </w:rPr>
            </w:pPr>
          </w:p>
          <w:p w14:paraId="682DCF1B" w14:textId="77777777" w:rsidR="00FB5847" w:rsidRPr="00B51C67" w:rsidRDefault="00FB5847" w:rsidP="0072258F">
            <w:pPr>
              <w:rPr>
                <w:b/>
                <w:bCs/>
                <w:sz w:val="16"/>
                <w:szCs w:val="16"/>
                <w:lang w:val="en-GB"/>
              </w:rPr>
            </w:pPr>
            <w:r w:rsidRPr="00B51C67">
              <w:rPr>
                <w:b/>
                <w:bCs/>
                <w:sz w:val="16"/>
                <w:szCs w:val="16"/>
                <w:lang w:val="en-GB"/>
              </w:rPr>
              <w:t>Output 3.2. Social and economic conditions, including access to livelihoods and basic services, improved in conflict-affected communities (conducive to increased peace and stability)</w:t>
            </w:r>
          </w:p>
          <w:p w14:paraId="406F28AF" w14:textId="77777777" w:rsidR="00FB5847" w:rsidRPr="00394BB8" w:rsidRDefault="00FB5847" w:rsidP="0072258F">
            <w:pPr>
              <w:rPr>
                <w:b/>
                <w:bCs/>
                <w:i/>
                <w:sz w:val="16"/>
                <w:szCs w:val="16"/>
                <w:lang w:val="en-GB"/>
              </w:rPr>
            </w:pPr>
          </w:p>
          <w:p w14:paraId="03788E4E" w14:textId="7037F129" w:rsidR="00FB5847" w:rsidRPr="00394BB8" w:rsidRDefault="00FB5847" w:rsidP="0072258F">
            <w:pPr>
              <w:rPr>
                <w:sz w:val="16"/>
                <w:szCs w:val="16"/>
                <w:lang w:val="en-GB"/>
              </w:rPr>
            </w:pPr>
            <w:r w:rsidRPr="00394BB8">
              <w:rPr>
                <w:sz w:val="16"/>
                <w:szCs w:val="16"/>
                <w:lang w:val="en-GB"/>
              </w:rPr>
              <w:t>3.2.1</w:t>
            </w:r>
            <w:r w:rsidR="00B51C67">
              <w:rPr>
                <w:sz w:val="16"/>
                <w:szCs w:val="16"/>
                <w:lang w:val="en-GB"/>
              </w:rPr>
              <w:t>.</w:t>
            </w:r>
            <w:r w:rsidRPr="00394BB8">
              <w:rPr>
                <w:sz w:val="16"/>
                <w:szCs w:val="16"/>
                <w:lang w:val="en-GB"/>
              </w:rPr>
              <w:t xml:space="preserve"> Number of additional people, including women and youth, in conflict</w:t>
            </w:r>
            <w:r w:rsidR="00B51C67">
              <w:rPr>
                <w:sz w:val="16"/>
                <w:szCs w:val="16"/>
                <w:lang w:val="en-GB"/>
              </w:rPr>
              <w:t>-</w:t>
            </w:r>
            <w:r w:rsidRPr="00394BB8">
              <w:rPr>
                <w:sz w:val="16"/>
                <w:szCs w:val="16"/>
                <w:lang w:val="en-GB"/>
              </w:rPr>
              <w:t xml:space="preserve">affected areas with access to health and social services and </w:t>
            </w:r>
            <w:r w:rsidR="00B51C67">
              <w:rPr>
                <w:sz w:val="16"/>
                <w:szCs w:val="16"/>
                <w:lang w:val="en-GB"/>
              </w:rPr>
              <w:t>improv</w:t>
            </w:r>
            <w:r w:rsidR="00B51C67" w:rsidRPr="00394BB8">
              <w:rPr>
                <w:sz w:val="16"/>
                <w:szCs w:val="16"/>
                <w:lang w:val="en-GB"/>
              </w:rPr>
              <w:t xml:space="preserve">ed </w:t>
            </w:r>
            <w:r w:rsidRPr="00394BB8">
              <w:rPr>
                <w:sz w:val="16"/>
                <w:szCs w:val="16"/>
                <w:lang w:val="en-GB"/>
              </w:rPr>
              <w:t>livelihoods</w:t>
            </w:r>
          </w:p>
          <w:p w14:paraId="42F7F9D0" w14:textId="6E1F9644" w:rsidR="00FB5847" w:rsidRPr="00394BB8" w:rsidRDefault="00FB5847" w:rsidP="0072258F">
            <w:pPr>
              <w:rPr>
                <w:sz w:val="16"/>
                <w:szCs w:val="16"/>
                <w:lang w:val="en-GB"/>
              </w:rPr>
            </w:pPr>
            <w:r w:rsidRPr="00B51C67">
              <w:rPr>
                <w:i/>
                <w:sz w:val="16"/>
                <w:szCs w:val="16"/>
                <w:lang w:val="en-GB"/>
              </w:rPr>
              <w:t>Baseline:</w:t>
            </w:r>
            <w:r w:rsidRPr="00394BB8">
              <w:rPr>
                <w:sz w:val="16"/>
                <w:szCs w:val="16"/>
                <w:lang w:val="en-GB"/>
              </w:rPr>
              <w:t xml:space="preserve"> N</w:t>
            </w:r>
            <w:r w:rsidR="00B51C67">
              <w:rPr>
                <w:sz w:val="16"/>
                <w:szCs w:val="16"/>
                <w:lang w:val="en-GB"/>
              </w:rPr>
              <w:t>ot available</w:t>
            </w:r>
          </w:p>
          <w:p w14:paraId="6E5545FB" w14:textId="629D126F" w:rsidR="00FB5847" w:rsidRDefault="00FB5847" w:rsidP="00A37008">
            <w:pPr>
              <w:tabs>
                <w:tab w:val="left" w:pos="717"/>
              </w:tabs>
              <w:rPr>
                <w:sz w:val="16"/>
                <w:szCs w:val="16"/>
                <w:lang w:val="en-GB"/>
              </w:rPr>
            </w:pPr>
            <w:r w:rsidRPr="00B51C67">
              <w:rPr>
                <w:i/>
                <w:sz w:val="16"/>
                <w:szCs w:val="16"/>
                <w:lang w:val="en-GB"/>
              </w:rPr>
              <w:t>Target (2020)</w:t>
            </w:r>
            <w:r w:rsidR="00B51C67" w:rsidRPr="00B51C67">
              <w:rPr>
                <w:i/>
                <w:sz w:val="16"/>
                <w:szCs w:val="16"/>
                <w:lang w:val="en-GB"/>
              </w:rPr>
              <w:t>:</w:t>
            </w:r>
            <w:r w:rsidRPr="00394BB8">
              <w:rPr>
                <w:sz w:val="16"/>
                <w:szCs w:val="16"/>
                <w:lang w:val="en-GB"/>
              </w:rPr>
              <w:t xml:space="preserve"> 20,000</w:t>
            </w:r>
            <w:r w:rsidR="00B51C67">
              <w:rPr>
                <w:sz w:val="16"/>
                <w:szCs w:val="16"/>
                <w:lang w:val="en-GB"/>
              </w:rPr>
              <w:t>,</w:t>
            </w:r>
            <w:r w:rsidRPr="00394BB8">
              <w:rPr>
                <w:sz w:val="16"/>
                <w:szCs w:val="16"/>
                <w:lang w:val="en-GB"/>
              </w:rPr>
              <w:t xml:space="preserve"> including at least 9,000 women and 7,000 youth </w:t>
            </w:r>
          </w:p>
          <w:p w14:paraId="3E37723C" w14:textId="77777777" w:rsidR="00524B4D" w:rsidRPr="00394BB8" w:rsidRDefault="00524B4D" w:rsidP="00A37008">
            <w:pPr>
              <w:tabs>
                <w:tab w:val="left" w:pos="717"/>
              </w:tabs>
              <w:rPr>
                <w:b/>
                <w:bCs/>
                <w:i/>
                <w:sz w:val="16"/>
                <w:szCs w:val="16"/>
                <w:lang w:val="en-GB"/>
              </w:rPr>
            </w:pPr>
          </w:p>
        </w:tc>
        <w:tc>
          <w:tcPr>
            <w:tcW w:w="891" w:type="pct"/>
            <w:gridSpan w:val="2"/>
            <w:vMerge w:val="restart"/>
          </w:tcPr>
          <w:p w14:paraId="7026412F" w14:textId="09818A88" w:rsidR="00FB5847" w:rsidRPr="00717CD0" w:rsidRDefault="00923D3E" w:rsidP="00923D3E">
            <w:pPr>
              <w:rPr>
                <w:iCs/>
                <w:sz w:val="16"/>
                <w:szCs w:val="16"/>
                <w:lang w:val="en-GB"/>
              </w:rPr>
            </w:pPr>
            <w:r w:rsidRPr="00717CD0">
              <w:rPr>
                <w:iCs/>
                <w:sz w:val="16"/>
                <w:szCs w:val="16"/>
                <w:lang w:val="en-GB"/>
              </w:rPr>
              <w:lastRenderedPageBreak/>
              <w:t>State Minister</w:t>
            </w:r>
            <w:r w:rsidR="00717CD0">
              <w:rPr>
                <w:iCs/>
                <w:sz w:val="16"/>
                <w:szCs w:val="16"/>
                <w:lang w:val="en-GB"/>
              </w:rPr>
              <w:t>’</w:t>
            </w:r>
            <w:r w:rsidRPr="00717CD0">
              <w:rPr>
                <w:iCs/>
                <w:sz w:val="16"/>
                <w:szCs w:val="16"/>
                <w:lang w:val="en-GB"/>
              </w:rPr>
              <w:t xml:space="preserve">s </w:t>
            </w:r>
            <w:r w:rsidR="00717CD0">
              <w:rPr>
                <w:iCs/>
                <w:sz w:val="16"/>
                <w:szCs w:val="16"/>
                <w:lang w:val="en-GB"/>
              </w:rPr>
              <w:t>O</w:t>
            </w:r>
            <w:r w:rsidRPr="00717CD0">
              <w:rPr>
                <w:iCs/>
                <w:sz w:val="16"/>
                <w:szCs w:val="16"/>
                <w:lang w:val="en-GB"/>
              </w:rPr>
              <w:t>ffice for Reconciliation and Civic Equality</w:t>
            </w:r>
            <w:r w:rsidR="00717CD0">
              <w:rPr>
                <w:iCs/>
                <w:sz w:val="16"/>
                <w:szCs w:val="16"/>
                <w:lang w:val="en-GB"/>
              </w:rPr>
              <w:t>,</w:t>
            </w:r>
            <w:r w:rsidRPr="00717CD0">
              <w:rPr>
                <w:iCs/>
                <w:sz w:val="16"/>
                <w:szCs w:val="16"/>
                <w:lang w:val="en-GB"/>
              </w:rPr>
              <w:t xml:space="preserve"> </w:t>
            </w:r>
            <w:r w:rsidR="00FB5847" w:rsidRPr="00717CD0">
              <w:rPr>
                <w:iCs/>
                <w:sz w:val="16"/>
                <w:szCs w:val="16"/>
                <w:lang w:val="en-GB"/>
              </w:rPr>
              <w:t xml:space="preserve"> CSOs, international organizations</w:t>
            </w:r>
          </w:p>
        </w:tc>
        <w:tc>
          <w:tcPr>
            <w:tcW w:w="800" w:type="pct"/>
            <w:tcMar>
              <w:top w:w="15" w:type="dxa"/>
              <w:left w:w="108" w:type="dxa"/>
              <w:bottom w:w="0" w:type="dxa"/>
              <w:right w:w="108" w:type="dxa"/>
            </w:tcMar>
          </w:tcPr>
          <w:p w14:paraId="4F6B4755" w14:textId="77777777" w:rsidR="001847F8" w:rsidRDefault="00FB5847" w:rsidP="0072258F">
            <w:pPr>
              <w:rPr>
                <w:b/>
                <w:sz w:val="16"/>
                <w:szCs w:val="16"/>
                <w:lang w:val="en-GB"/>
              </w:rPr>
            </w:pPr>
            <w:r w:rsidRPr="00394BB8">
              <w:rPr>
                <w:b/>
                <w:sz w:val="16"/>
                <w:szCs w:val="16"/>
                <w:lang w:val="en-GB"/>
              </w:rPr>
              <w:t>Regular</w:t>
            </w:r>
          </w:p>
          <w:p w14:paraId="069F9CAB" w14:textId="47F00EA3" w:rsidR="00FB5847" w:rsidRPr="00394BB8" w:rsidRDefault="00FB5847" w:rsidP="00755F22">
            <w:pPr>
              <w:rPr>
                <w:b/>
                <w:sz w:val="16"/>
                <w:szCs w:val="16"/>
                <w:lang w:val="en-GB"/>
              </w:rPr>
            </w:pPr>
            <w:r w:rsidRPr="00394BB8">
              <w:rPr>
                <w:b/>
                <w:sz w:val="16"/>
                <w:szCs w:val="16"/>
                <w:lang w:val="en-GB"/>
              </w:rPr>
              <w:t>5</w:t>
            </w:r>
            <w:r w:rsidR="00755F22">
              <w:rPr>
                <w:b/>
                <w:sz w:val="16"/>
                <w:szCs w:val="16"/>
                <w:lang w:val="en-GB"/>
              </w:rPr>
              <w:t>,</w:t>
            </w:r>
            <w:r w:rsidRPr="00394BB8">
              <w:rPr>
                <w:b/>
                <w:sz w:val="16"/>
                <w:szCs w:val="16"/>
                <w:lang w:val="en-GB"/>
              </w:rPr>
              <w:t>48</w:t>
            </w:r>
            <w:r w:rsidR="00755F22">
              <w:rPr>
                <w:b/>
                <w:sz w:val="16"/>
                <w:szCs w:val="16"/>
                <w:lang w:val="en-GB"/>
              </w:rPr>
              <w:t>0</w:t>
            </w:r>
            <w:r w:rsidRPr="00394BB8">
              <w:rPr>
                <w:b/>
                <w:sz w:val="16"/>
                <w:szCs w:val="16"/>
                <w:lang w:val="en-GB"/>
              </w:rPr>
              <w:t xml:space="preserve"> </w:t>
            </w:r>
          </w:p>
        </w:tc>
      </w:tr>
      <w:tr w:rsidR="00FB5847" w:rsidRPr="00394BB8" w14:paraId="39F93126" w14:textId="77777777" w:rsidTr="00755F22">
        <w:tc>
          <w:tcPr>
            <w:tcW w:w="940" w:type="pct"/>
            <w:gridSpan w:val="2"/>
            <w:vMerge/>
            <w:tcMar>
              <w:top w:w="72" w:type="dxa"/>
              <w:left w:w="144" w:type="dxa"/>
              <w:bottom w:w="72" w:type="dxa"/>
              <w:right w:w="144" w:type="dxa"/>
            </w:tcMar>
          </w:tcPr>
          <w:p w14:paraId="13C2FA92" w14:textId="77777777" w:rsidR="00FB5847" w:rsidRPr="00394BB8" w:rsidRDefault="00FB5847" w:rsidP="0072258F">
            <w:pPr>
              <w:rPr>
                <w:b/>
                <w:i/>
                <w:iCs/>
                <w:sz w:val="16"/>
                <w:szCs w:val="16"/>
                <w:lang w:val="en-GB"/>
              </w:rPr>
            </w:pPr>
          </w:p>
        </w:tc>
        <w:tc>
          <w:tcPr>
            <w:tcW w:w="934" w:type="pct"/>
            <w:vMerge/>
          </w:tcPr>
          <w:p w14:paraId="3A136D8F" w14:textId="77777777" w:rsidR="00FB5847" w:rsidRPr="00394BB8" w:rsidRDefault="00FB5847" w:rsidP="0072258F">
            <w:pPr>
              <w:rPr>
                <w:b/>
                <w:i/>
                <w:iCs/>
                <w:sz w:val="16"/>
                <w:szCs w:val="16"/>
                <w:lang w:val="en-GB"/>
              </w:rPr>
            </w:pPr>
          </w:p>
        </w:tc>
        <w:tc>
          <w:tcPr>
            <w:tcW w:w="1435" w:type="pct"/>
            <w:vMerge/>
            <w:tcMar>
              <w:top w:w="72" w:type="dxa"/>
              <w:left w:w="144" w:type="dxa"/>
              <w:bottom w:w="72" w:type="dxa"/>
              <w:right w:w="144" w:type="dxa"/>
            </w:tcMar>
          </w:tcPr>
          <w:p w14:paraId="165EDB79" w14:textId="77777777" w:rsidR="00FB5847" w:rsidRPr="00394BB8" w:rsidRDefault="00FB5847" w:rsidP="0072258F">
            <w:pPr>
              <w:rPr>
                <w:b/>
                <w:i/>
                <w:iCs/>
                <w:sz w:val="16"/>
                <w:szCs w:val="16"/>
                <w:lang w:val="en-GB"/>
              </w:rPr>
            </w:pPr>
          </w:p>
        </w:tc>
        <w:tc>
          <w:tcPr>
            <w:tcW w:w="891" w:type="pct"/>
            <w:gridSpan w:val="2"/>
            <w:vMerge/>
          </w:tcPr>
          <w:p w14:paraId="5016603C" w14:textId="77777777" w:rsidR="00FB5847" w:rsidRPr="00394BB8" w:rsidRDefault="00FB5847" w:rsidP="0072258F">
            <w:pPr>
              <w:rPr>
                <w:b/>
                <w:iCs/>
                <w:sz w:val="16"/>
                <w:szCs w:val="16"/>
                <w:lang w:val="en-GB"/>
              </w:rPr>
            </w:pPr>
          </w:p>
        </w:tc>
        <w:tc>
          <w:tcPr>
            <w:tcW w:w="800" w:type="pct"/>
            <w:tcMar>
              <w:top w:w="15" w:type="dxa"/>
              <w:left w:w="108" w:type="dxa"/>
              <w:bottom w:w="0" w:type="dxa"/>
              <w:right w:w="108" w:type="dxa"/>
            </w:tcMar>
          </w:tcPr>
          <w:p w14:paraId="48E48FED" w14:textId="77777777" w:rsidR="001847F8" w:rsidRDefault="00FB5847" w:rsidP="0072258F">
            <w:pPr>
              <w:rPr>
                <w:b/>
                <w:sz w:val="16"/>
                <w:szCs w:val="16"/>
                <w:lang w:val="en-GB"/>
              </w:rPr>
            </w:pPr>
            <w:r w:rsidRPr="00394BB8">
              <w:rPr>
                <w:b/>
                <w:sz w:val="16"/>
                <w:szCs w:val="16"/>
                <w:lang w:val="en-GB"/>
              </w:rPr>
              <w:t xml:space="preserve">Other </w:t>
            </w:r>
          </w:p>
          <w:p w14:paraId="0576CF3E" w14:textId="1A42E636" w:rsidR="00FB5847" w:rsidRPr="00394BB8" w:rsidRDefault="00FB5847" w:rsidP="00755F22">
            <w:pPr>
              <w:rPr>
                <w:b/>
                <w:sz w:val="16"/>
                <w:szCs w:val="16"/>
                <w:lang w:val="en-GB"/>
              </w:rPr>
            </w:pPr>
            <w:r w:rsidRPr="00394BB8">
              <w:rPr>
                <w:b/>
                <w:sz w:val="16"/>
                <w:szCs w:val="16"/>
                <w:lang w:val="en-GB"/>
              </w:rPr>
              <w:t>17</w:t>
            </w:r>
            <w:r w:rsidR="00755F22">
              <w:rPr>
                <w:b/>
                <w:sz w:val="16"/>
                <w:szCs w:val="16"/>
                <w:lang w:val="en-GB"/>
              </w:rPr>
              <w:t>,</w:t>
            </w:r>
            <w:r w:rsidRPr="00394BB8">
              <w:rPr>
                <w:b/>
                <w:sz w:val="16"/>
                <w:szCs w:val="16"/>
                <w:lang w:val="en-GB"/>
              </w:rPr>
              <w:t>5</w:t>
            </w:r>
            <w:r w:rsidR="00755F22">
              <w:rPr>
                <w:b/>
                <w:sz w:val="16"/>
                <w:szCs w:val="16"/>
                <w:lang w:val="en-GB"/>
              </w:rPr>
              <w:t>00</w:t>
            </w:r>
            <w:r w:rsidRPr="00394BB8">
              <w:rPr>
                <w:b/>
                <w:sz w:val="16"/>
                <w:szCs w:val="16"/>
                <w:lang w:val="en-GB"/>
              </w:rPr>
              <w:t xml:space="preserve"> </w:t>
            </w:r>
          </w:p>
        </w:tc>
      </w:tr>
      <w:tr w:rsidR="00FB5847" w:rsidRPr="00394BB8" w14:paraId="3822518E" w14:textId="77777777" w:rsidTr="00DB50F6">
        <w:tc>
          <w:tcPr>
            <w:tcW w:w="940" w:type="pct"/>
            <w:gridSpan w:val="2"/>
            <w:vMerge/>
            <w:tcBorders>
              <w:bottom w:val="single" w:sz="4" w:space="0" w:color="auto"/>
            </w:tcBorders>
            <w:tcMar>
              <w:top w:w="72" w:type="dxa"/>
              <w:left w:w="144" w:type="dxa"/>
              <w:bottom w:w="72" w:type="dxa"/>
              <w:right w:w="144" w:type="dxa"/>
            </w:tcMar>
          </w:tcPr>
          <w:p w14:paraId="27DF5E6A" w14:textId="77777777" w:rsidR="00FB5847" w:rsidRPr="00394BB8" w:rsidRDefault="00FB5847" w:rsidP="0072258F">
            <w:pPr>
              <w:rPr>
                <w:b/>
                <w:i/>
                <w:iCs/>
                <w:sz w:val="16"/>
                <w:szCs w:val="16"/>
                <w:lang w:val="en-GB"/>
              </w:rPr>
            </w:pPr>
          </w:p>
        </w:tc>
        <w:tc>
          <w:tcPr>
            <w:tcW w:w="934" w:type="pct"/>
            <w:vMerge/>
            <w:tcBorders>
              <w:bottom w:val="single" w:sz="4" w:space="0" w:color="auto"/>
            </w:tcBorders>
          </w:tcPr>
          <w:p w14:paraId="3F35D9A8" w14:textId="77777777" w:rsidR="00FB5847" w:rsidRPr="00394BB8" w:rsidRDefault="00FB5847" w:rsidP="0072258F">
            <w:pPr>
              <w:rPr>
                <w:b/>
                <w:i/>
                <w:iCs/>
                <w:sz w:val="16"/>
                <w:szCs w:val="16"/>
                <w:lang w:val="en-GB"/>
              </w:rPr>
            </w:pPr>
          </w:p>
        </w:tc>
        <w:tc>
          <w:tcPr>
            <w:tcW w:w="1435" w:type="pct"/>
            <w:vMerge/>
            <w:tcBorders>
              <w:bottom w:val="single" w:sz="4" w:space="0" w:color="auto"/>
            </w:tcBorders>
            <w:tcMar>
              <w:top w:w="72" w:type="dxa"/>
              <w:left w:w="144" w:type="dxa"/>
              <w:bottom w:w="72" w:type="dxa"/>
              <w:right w:w="144" w:type="dxa"/>
            </w:tcMar>
          </w:tcPr>
          <w:p w14:paraId="0FEBD102" w14:textId="77777777" w:rsidR="00FB5847" w:rsidRPr="00394BB8" w:rsidRDefault="00FB5847" w:rsidP="0072258F">
            <w:pPr>
              <w:rPr>
                <w:b/>
                <w:i/>
                <w:iCs/>
                <w:sz w:val="16"/>
                <w:szCs w:val="16"/>
                <w:lang w:val="en-GB"/>
              </w:rPr>
            </w:pPr>
          </w:p>
        </w:tc>
        <w:tc>
          <w:tcPr>
            <w:tcW w:w="891" w:type="pct"/>
            <w:gridSpan w:val="2"/>
            <w:vMerge/>
            <w:tcBorders>
              <w:bottom w:val="single" w:sz="4" w:space="0" w:color="auto"/>
            </w:tcBorders>
          </w:tcPr>
          <w:p w14:paraId="64BDFE6F" w14:textId="77777777" w:rsidR="00FB5847" w:rsidRPr="00394BB8" w:rsidRDefault="00FB5847" w:rsidP="0072258F">
            <w:pPr>
              <w:rPr>
                <w:b/>
                <w:iCs/>
                <w:sz w:val="16"/>
                <w:szCs w:val="16"/>
                <w:lang w:val="en-GB"/>
              </w:rPr>
            </w:pPr>
          </w:p>
        </w:tc>
        <w:tc>
          <w:tcPr>
            <w:tcW w:w="800" w:type="pct"/>
            <w:tcBorders>
              <w:bottom w:val="single" w:sz="4" w:space="0" w:color="auto"/>
            </w:tcBorders>
            <w:tcMar>
              <w:top w:w="15" w:type="dxa"/>
              <w:left w:w="108" w:type="dxa"/>
              <w:bottom w:w="0" w:type="dxa"/>
              <w:right w:w="108" w:type="dxa"/>
            </w:tcMar>
          </w:tcPr>
          <w:p w14:paraId="67D6D7D1" w14:textId="77777777" w:rsidR="00FB5847" w:rsidRPr="00394BB8" w:rsidRDefault="00FB5847" w:rsidP="0072258F">
            <w:pPr>
              <w:rPr>
                <w:b/>
                <w:sz w:val="16"/>
                <w:szCs w:val="16"/>
                <w:lang w:val="en-GB"/>
              </w:rPr>
            </w:pPr>
          </w:p>
        </w:tc>
      </w:tr>
      <w:tr w:rsidR="009E21D2" w:rsidRPr="00394BB8" w14:paraId="149ADAA1" w14:textId="77777777" w:rsidTr="00DB50F6">
        <w:trPr>
          <w:trHeight w:val="25"/>
        </w:trPr>
        <w:tc>
          <w:tcPr>
            <w:tcW w:w="5000" w:type="pct"/>
            <w:gridSpan w:val="7"/>
            <w:shd w:val="clear" w:color="auto" w:fill="auto"/>
            <w:tcMar>
              <w:top w:w="72" w:type="dxa"/>
              <w:left w:w="144" w:type="dxa"/>
              <w:bottom w:w="72" w:type="dxa"/>
              <w:right w:w="144" w:type="dxa"/>
            </w:tcMar>
          </w:tcPr>
          <w:p w14:paraId="5ED46105" w14:textId="5F6E60E0" w:rsidR="009E21D2" w:rsidRPr="00394BB8" w:rsidRDefault="00E9082B" w:rsidP="0072258F">
            <w:pPr>
              <w:rPr>
                <w:b/>
                <w:i/>
                <w:sz w:val="16"/>
                <w:szCs w:val="16"/>
                <w:lang w:val="en-GB"/>
              </w:rPr>
            </w:pPr>
            <w:r w:rsidRPr="00394BB8">
              <w:rPr>
                <w:b/>
                <w:bCs/>
                <w:i/>
                <w:sz w:val="16"/>
                <w:szCs w:val="16"/>
                <w:lang w:val="en-GB"/>
              </w:rPr>
              <w:lastRenderedPageBreak/>
              <w:t xml:space="preserve">National priority or goal: </w:t>
            </w:r>
            <w:r w:rsidR="009E21D2" w:rsidRPr="00E9082B">
              <w:rPr>
                <w:b/>
                <w:sz w:val="16"/>
                <w:szCs w:val="16"/>
                <w:lang w:val="en-GB"/>
              </w:rPr>
              <w:t>Innovations and Green Technology support prioritized by the Socio-Economic Development Strategy, Georgia 2020. Environmental protection and sustainable use of natural resources also prioritized under the Government Program “For strong, democratic, united Georgia”</w:t>
            </w:r>
            <w:r w:rsidR="009E21D2" w:rsidRPr="00394BB8">
              <w:rPr>
                <w:b/>
                <w:i/>
                <w:sz w:val="16"/>
                <w:szCs w:val="16"/>
                <w:lang w:val="en-GB"/>
              </w:rPr>
              <w:t xml:space="preserve"> </w:t>
            </w:r>
          </w:p>
        </w:tc>
      </w:tr>
      <w:tr w:rsidR="009E21D2" w:rsidRPr="00394BB8" w14:paraId="302B47A1" w14:textId="77777777" w:rsidTr="00DB50F6">
        <w:trPr>
          <w:trHeight w:val="124"/>
        </w:trPr>
        <w:tc>
          <w:tcPr>
            <w:tcW w:w="5000" w:type="pct"/>
            <w:gridSpan w:val="7"/>
            <w:shd w:val="clear" w:color="auto" w:fill="auto"/>
            <w:tcMar>
              <w:top w:w="72" w:type="dxa"/>
              <w:left w:w="144" w:type="dxa"/>
              <w:bottom w:w="72" w:type="dxa"/>
              <w:right w:w="144" w:type="dxa"/>
            </w:tcMar>
          </w:tcPr>
          <w:p w14:paraId="17CD0AFD" w14:textId="5191029A" w:rsidR="009E21D2" w:rsidRPr="00394BB8" w:rsidRDefault="009E21D2" w:rsidP="00284627">
            <w:pPr>
              <w:jc w:val="both"/>
              <w:rPr>
                <w:lang w:val="en-GB"/>
              </w:rPr>
            </w:pPr>
            <w:r w:rsidRPr="00E9082B">
              <w:rPr>
                <w:b/>
                <w:bCs/>
                <w:i/>
                <w:sz w:val="16"/>
                <w:szCs w:val="16"/>
                <w:lang w:val="en-GB"/>
              </w:rPr>
              <w:t xml:space="preserve">UNDAF </w:t>
            </w:r>
            <w:r w:rsidR="00E9082B" w:rsidRPr="00E9082B">
              <w:rPr>
                <w:b/>
                <w:bCs/>
                <w:i/>
                <w:sz w:val="16"/>
                <w:szCs w:val="16"/>
                <w:lang w:val="en-GB"/>
              </w:rPr>
              <w:t xml:space="preserve">(or equivalent) outcome involving </w:t>
            </w:r>
            <w:r w:rsidRPr="00E9082B">
              <w:rPr>
                <w:b/>
                <w:bCs/>
                <w:i/>
                <w:sz w:val="16"/>
                <w:szCs w:val="16"/>
                <w:lang w:val="en-GB"/>
              </w:rPr>
              <w:t>UNDP</w:t>
            </w:r>
            <w:r w:rsidR="00E9082B" w:rsidRPr="00E9082B">
              <w:rPr>
                <w:b/>
                <w:bCs/>
                <w:i/>
                <w:sz w:val="16"/>
                <w:szCs w:val="16"/>
                <w:lang w:val="en-GB"/>
              </w:rPr>
              <w:t>:</w:t>
            </w:r>
            <w:r w:rsidRPr="00394BB8">
              <w:rPr>
                <w:b/>
                <w:bCs/>
                <w:sz w:val="16"/>
                <w:szCs w:val="16"/>
                <w:lang w:val="en-GB"/>
              </w:rPr>
              <w:t xml:space="preserve"> O</w:t>
            </w:r>
            <w:r w:rsidR="00E9082B" w:rsidRPr="00394BB8">
              <w:rPr>
                <w:b/>
                <w:bCs/>
                <w:sz w:val="16"/>
                <w:szCs w:val="16"/>
                <w:lang w:val="en-GB"/>
              </w:rPr>
              <w:t>utcome</w:t>
            </w:r>
            <w:r w:rsidRPr="00394BB8">
              <w:rPr>
                <w:b/>
                <w:bCs/>
                <w:sz w:val="16"/>
                <w:szCs w:val="16"/>
                <w:lang w:val="en-GB"/>
              </w:rPr>
              <w:t xml:space="preserve"> 8</w:t>
            </w:r>
            <w:r w:rsidR="00E9082B">
              <w:rPr>
                <w:b/>
                <w:bCs/>
                <w:sz w:val="16"/>
                <w:szCs w:val="16"/>
                <w:lang w:val="en-GB"/>
              </w:rPr>
              <w:t>.</w:t>
            </w:r>
            <w:r w:rsidRPr="00394BB8">
              <w:rPr>
                <w:b/>
                <w:bCs/>
                <w:sz w:val="16"/>
                <w:szCs w:val="16"/>
                <w:lang w:val="en-GB"/>
              </w:rPr>
              <w:t xml:space="preserve"> </w:t>
            </w:r>
            <w:r w:rsidRPr="00E9082B">
              <w:rPr>
                <w:b/>
                <w:sz w:val="16"/>
                <w:szCs w:val="16"/>
                <w:lang w:val="en-GB"/>
              </w:rPr>
              <w:t>Communities enjoy greater resilience through enhanced institutional and legislative systems for environment protection, sustainable management of natural resources and disaster risk reduction</w:t>
            </w:r>
          </w:p>
        </w:tc>
      </w:tr>
      <w:tr w:rsidR="009E21D2" w:rsidRPr="00394BB8" w14:paraId="31B3E894" w14:textId="77777777" w:rsidTr="00DB50F6">
        <w:trPr>
          <w:trHeight w:val="124"/>
        </w:trPr>
        <w:tc>
          <w:tcPr>
            <w:tcW w:w="5000" w:type="pct"/>
            <w:gridSpan w:val="7"/>
            <w:shd w:val="clear" w:color="auto" w:fill="auto"/>
            <w:tcMar>
              <w:top w:w="72" w:type="dxa"/>
              <w:left w:w="144" w:type="dxa"/>
              <w:bottom w:w="72" w:type="dxa"/>
              <w:right w:w="144" w:type="dxa"/>
            </w:tcMar>
          </w:tcPr>
          <w:p w14:paraId="0767BC6A" w14:textId="5AB84866" w:rsidR="009E21D2" w:rsidRPr="00394BB8" w:rsidRDefault="00E9082B" w:rsidP="0072258F">
            <w:pPr>
              <w:rPr>
                <w:b/>
                <w:bCs/>
                <w:sz w:val="16"/>
                <w:szCs w:val="16"/>
                <w:lang w:val="en-GB"/>
              </w:rPr>
            </w:pPr>
            <w:r w:rsidRPr="00E9082B">
              <w:rPr>
                <w:b/>
                <w:bCs/>
                <w:i/>
                <w:sz w:val="16"/>
                <w:szCs w:val="16"/>
                <w:lang w:val="en-GB"/>
              </w:rPr>
              <w:t>Related strategic plan outcome</w:t>
            </w:r>
            <w:r w:rsidR="009E21D2" w:rsidRPr="00E9082B">
              <w:rPr>
                <w:b/>
                <w:bCs/>
                <w:i/>
                <w:sz w:val="16"/>
                <w:szCs w:val="16"/>
                <w:lang w:val="en-GB"/>
              </w:rPr>
              <w:t>:</w:t>
            </w:r>
            <w:r w:rsidR="009E21D2" w:rsidRPr="00394BB8">
              <w:rPr>
                <w:b/>
                <w:bCs/>
                <w:sz w:val="16"/>
                <w:szCs w:val="16"/>
                <w:lang w:val="en-GB"/>
              </w:rPr>
              <w:t xml:space="preserve"> </w:t>
            </w:r>
            <w:r w:rsidR="009E21D2" w:rsidRPr="00E9082B">
              <w:rPr>
                <w:b/>
                <w:bCs/>
                <w:sz w:val="16"/>
                <w:szCs w:val="16"/>
                <w:lang w:val="en-GB"/>
              </w:rPr>
              <w:t>Outcome 5</w:t>
            </w:r>
            <w:r w:rsidRPr="00E9082B">
              <w:rPr>
                <w:b/>
                <w:bCs/>
                <w:sz w:val="16"/>
                <w:szCs w:val="16"/>
                <w:lang w:val="en-GB"/>
              </w:rPr>
              <w:t xml:space="preserve">. </w:t>
            </w:r>
            <w:r w:rsidR="009E21D2" w:rsidRPr="00E9082B">
              <w:rPr>
                <w:b/>
                <w:bCs/>
                <w:sz w:val="16"/>
                <w:szCs w:val="16"/>
                <w:lang w:val="en-GB"/>
              </w:rPr>
              <w:t>Countries are able to reduce the likelihood of conflict, and lower the risk of natural disasters, including from climate change</w:t>
            </w:r>
            <w:r>
              <w:rPr>
                <w:b/>
                <w:bCs/>
                <w:i/>
                <w:sz w:val="16"/>
                <w:szCs w:val="16"/>
                <w:lang w:val="en-GB"/>
              </w:rPr>
              <w:t>.</w:t>
            </w:r>
            <w:r w:rsidR="009E21D2" w:rsidRPr="00394BB8">
              <w:rPr>
                <w:b/>
                <w:bCs/>
                <w:i/>
                <w:sz w:val="16"/>
                <w:szCs w:val="16"/>
                <w:lang w:val="en-GB"/>
              </w:rPr>
              <w:t xml:space="preserve"> </w:t>
            </w:r>
          </w:p>
        </w:tc>
      </w:tr>
      <w:tr w:rsidR="009E21D2" w:rsidRPr="00394BB8" w14:paraId="74A8F0D0" w14:textId="77777777" w:rsidTr="00956BB5">
        <w:trPr>
          <w:trHeight w:val="413"/>
        </w:trPr>
        <w:tc>
          <w:tcPr>
            <w:tcW w:w="929" w:type="pct"/>
            <w:vMerge w:val="restart"/>
            <w:tcMar>
              <w:top w:w="72" w:type="dxa"/>
              <w:left w:w="144" w:type="dxa"/>
              <w:bottom w:w="72" w:type="dxa"/>
              <w:right w:w="144" w:type="dxa"/>
            </w:tcMar>
          </w:tcPr>
          <w:p w14:paraId="51CA0073" w14:textId="6F3A855C" w:rsidR="009E21D2" w:rsidRPr="00394BB8" w:rsidRDefault="009E21D2" w:rsidP="0072258F">
            <w:pPr>
              <w:rPr>
                <w:sz w:val="16"/>
                <w:szCs w:val="16"/>
                <w:lang w:val="en-GB"/>
              </w:rPr>
            </w:pPr>
            <w:r w:rsidRPr="00E9082B">
              <w:rPr>
                <w:sz w:val="16"/>
                <w:szCs w:val="16"/>
                <w:lang w:val="en-GB"/>
              </w:rPr>
              <w:t>1</w:t>
            </w:r>
            <w:r w:rsidR="00E9082B">
              <w:rPr>
                <w:sz w:val="16"/>
                <w:szCs w:val="16"/>
                <w:lang w:val="en-GB"/>
              </w:rPr>
              <w:t>.</w:t>
            </w:r>
            <w:r w:rsidRPr="00394BB8">
              <w:rPr>
                <w:b/>
                <w:sz w:val="16"/>
                <w:szCs w:val="16"/>
                <w:lang w:val="en-GB"/>
              </w:rPr>
              <w:t xml:space="preserve"> </w:t>
            </w:r>
            <w:r w:rsidRPr="00394BB8">
              <w:rPr>
                <w:sz w:val="16"/>
                <w:szCs w:val="16"/>
                <w:lang w:val="en-GB"/>
              </w:rPr>
              <w:t>Legislative, institutional and policy frameworks for disaster and climat</w:t>
            </w:r>
            <w:r w:rsidR="0077308D">
              <w:rPr>
                <w:sz w:val="16"/>
                <w:szCs w:val="16"/>
                <w:lang w:val="en-GB"/>
              </w:rPr>
              <w:t>e</w:t>
            </w:r>
            <w:r w:rsidR="00E9082B">
              <w:rPr>
                <w:sz w:val="16"/>
                <w:szCs w:val="16"/>
                <w:lang w:val="en-GB"/>
              </w:rPr>
              <w:t>-</w:t>
            </w:r>
            <w:r w:rsidRPr="00394BB8">
              <w:rPr>
                <w:sz w:val="16"/>
                <w:szCs w:val="16"/>
                <w:lang w:val="en-GB"/>
              </w:rPr>
              <w:t xml:space="preserve"> risk management adopted in line with international standards</w:t>
            </w:r>
          </w:p>
          <w:p w14:paraId="4D801803" w14:textId="658A40E7" w:rsidR="009E21D2" w:rsidRPr="00394BB8" w:rsidRDefault="009E21D2" w:rsidP="0072258F">
            <w:pPr>
              <w:rPr>
                <w:sz w:val="16"/>
                <w:szCs w:val="16"/>
                <w:lang w:val="en-GB"/>
              </w:rPr>
            </w:pPr>
            <w:r w:rsidRPr="00E9082B">
              <w:rPr>
                <w:i/>
                <w:sz w:val="16"/>
                <w:szCs w:val="16"/>
                <w:lang w:val="en-GB"/>
              </w:rPr>
              <w:t>Baseline:</w:t>
            </w:r>
            <w:r w:rsidRPr="00394BB8">
              <w:rPr>
                <w:sz w:val="16"/>
                <w:szCs w:val="16"/>
                <w:lang w:val="en-GB"/>
              </w:rPr>
              <w:t xml:space="preserve"> </w:t>
            </w:r>
            <w:r w:rsidR="00E9082B">
              <w:rPr>
                <w:sz w:val="16"/>
                <w:szCs w:val="16"/>
                <w:lang w:val="en-GB"/>
              </w:rPr>
              <w:t>Second national environmental action plan (</w:t>
            </w:r>
            <w:r w:rsidRPr="00394BB8">
              <w:rPr>
                <w:sz w:val="16"/>
                <w:szCs w:val="16"/>
                <w:lang w:val="en-GB"/>
              </w:rPr>
              <w:t>NEAP</w:t>
            </w:r>
            <w:r w:rsidR="00E9082B">
              <w:rPr>
                <w:sz w:val="16"/>
                <w:szCs w:val="16"/>
                <w:lang w:val="en-GB"/>
              </w:rPr>
              <w:t>-</w:t>
            </w:r>
            <w:r w:rsidRPr="00394BB8">
              <w:rPr>
                <w:sz w:val="16"/>
                <w:szCs w:val="16"/>
                <w:lang w:val="en-GB"/>
              </w:rPr>
              <w:t>2</w:t>
            </w:r>
            <w:r w:rsidR="00E9082B">
              <w:rPr>
                <w:sz w:val="16"/>
                <w:szCs w:val="16"/>
                <w:lang w:val="en-GB"/>
              </w:rPr>
              <w:t>)</w:t>
            </w:r>
            <w:r w:rsidRPr="00394BB8">
              <w:rPr>
                <w:sz w:val="16"/>
                <w:szCs w:val="16"/>
                <w:lang w:val="en-GB"/>
              </w:rPr>
              <w:t xml:space="preserve"> developed, but no </w:t>
            </w:r>
            <w:r w:rsidR="00E9082B">
              <w:rPr>
                <w:sz w:val="16"/>
                <w:szCs w:val="16"/>
                <w:lang w:val="en-GB"/>
              </w:rPr>
              <w:t>disaster-risk reduction (</w:t>
            </w:r>
            <w:r w:rsidRPr="00394BB8">
              <w:rPr>
                <w:sz w:val="16"/>
                <w:szCs w:val="16"/>
                <w:lang w:val="en-GB"/>
              </w:rPr>
              <w:t>DRR</w:t>
            </w:r>
            <w:r w:rsidR="00E9082B">
              <w:rPr>
                <w:sz w:val="16"/>
                <w:szCs w:val="16"/>
                <w:lang w:val="en-GB"/>
              </w:rPr>
              <w:t>)</w:t>
            </w:r>
            <w:r w:rsidRPr="00394BB8">
              <w:rPr>
                <w:rFonts w:eastAsia="Calibri"/>
                <w:sz w:val="16"/>
                <w:szCs w:val="16"/>
                <w:lang w:val="en-GB"/>
              </w:rPr>
              <w:t xml:space="preserve"> or integrated DRR and adaptation strategy and</w:t>
            </w:r>
            <w:r w:rsidRPr="00394BB8">
              <w:rPr>
                <w:sz w:val="16"/>
                <w:szCs w:val="16"/>
                <w:lang w:val="en-GB"/>
              </w:rPr>
              <w:t xml:space="preserve"> </w:t>
            </w:r>
            <w:r w:rsidRPr="00394BB8">
              <w:rPr>
                <w:rFonts w:eastAsia="Calibri"/>
                <w:sz w:val="16"/>
                <w:szCs w:val="16"/>
                <w:lang w:val="en-GB"/>
              </w:rPr>
              <w:t xml:space="preserve">action plan </w:t>
            </w:r>
            <w:r w:rsidRPr="00394BB8">
              <w:rPr>
                <w:sz w:val="16"/>
                <w:szCs w:val="16"/>
                <w:lang w:val="en-GB"/>
              </w:rPr>
              <w:t>in place</w:t>
            </w:r>
          </w:p>
          <w:p w14:paraId="0D551E2E" w14:textId="3835A3F6" w:rsidR="009E21D2" w:rsidRPr="00394BB8" w:rsidRDefault="009E21D2" w:rsidP="00E9082B">
            <w:pPr>
              <w:contextualSpacing/>
              <w:rPr>
                <w:sz w:val="16"/>
                <w:szCs w:val="16"/>
                <w:lang w:val="en-GB"/>
              </w:rPr>
            </w:pPr>
            <w:r w:rsidRPr="00E9082B">
              <w:rPr>
                <w:i/>
                <w:sz w:val="16"/>
                <w:szCs w:val="16"/>
                <w:lang w:val="en-GB"/>
              </w:rPr>
              <w:t>Target:</w:t>
            </w:r>
            <w:r w:rsidRPr="00394BB8">
              <w:rPr>
                <w:sz w:val="16"/>
                <w:szCs w:val="16"/>
                <w:lang w:val="en-GB"/>
              </w:rPr>
              <w:t xml:space="preserve"> I</w:t>
            </w:r>
            <w:r w:rsidRPr="00394BB8">
              <w:rPr>
                <w:rFonts w:eastAsia="Calibri"/>
                <w:sz w:val="16"/>
                <w:szCs w:val="16"/>
                <w:lang w:val="en-GB"/>
              </w:rPr>
              <w:t>ntegrated DRR and adaptation strategy/</w:t>
            </w:r>
            <w:r w:rsidRPr="00394BB8">
              <w:rPr>
                <w:sz w:val="16"/>
                <w:szCs w:val="16"/>
                <w:lang w:val="en-GB"/>
              </w:rPr>
              <w:t xml:space="preserve"> </w:t>
            </w:r>
            <w:r w:rsidRPr="00394BB8">
              <w:rPr>
                <w:rFonts w:eastAsia="Calibri"/>
                <w:sz w:val="16"/>
                <w:szCs w:val="16"/>
                <w:lang w:val="en-GB"/>
              </w:rPr>
              <w:t xml:space="preserve">action plan </w:t>
            </w:r>
            <w:r w:rsidRPr="00394BB8">
              <w:rPr>
                <w:sz w:val="16"/>
                <w:szCs w:val="16"/>
                <w:lang w:val="en-GB"/>
              </w:rPr>
              <w:t>in place addressing</w:t>
            </w:r>
            <w:r w:rsidRPr="00394BB8">
              <w:rPr>
                <w:rFonts w:eastAsia="Calibri"/>
                <w:sz w:val="16"/>
                <w:szCs w:val="16"/>
                <w:lang w:val="en-GB"/>
              </w:rPr>
              <w:t xml:space="preserve"> equity and gender considerations</w:t>
            </w:r>
            <w:r w:rsidR="00E9082B">
              <w:rPr>
                <w:rFonts w:eastAsia="Calibri"/>
                <w:sz w:val="16"/>
                <w:szCs w:val="16"/>
                <w:lang w:val="en-GB"/>
              </w:rPr>
              <w:t xml:space="preserve">; </w:t>
            </w:r>
            <w:r w:rsidRPr="00394BB8">
              <w:rPr>
                <w:sz w:val="16"/>
                <w:szCs w:val="16"/>
                <w:lang w:val="en-GB"/>
              </w:rPr>
              <w:t xml:space="preserve">Legislative and institutional set up defined, including legally binding protocols and division of labour among key national stakeholders </w:t>
            </w:r>
          </w:p>
          <w:p w14:paraId="15737280" w14:textId="77777777" w:rsidR="009E21D2" w:rsidRPr="00394BB8" w:rsidRDefault="009E21D2" w:rsidP="0072258F">
            <w:pPr>
              <w:jc w:val="both"/>
              <w:rPr>
                <w:sz w:val="16"/>
                <w:szCs w:val="16"/>
                <w:lang w:val="en-GB"/>
              </w:rPr>
            </w:pPr>
          </w:p>
          <w:p w14:paraId="08FC5D4A" w14:textId="7CDFE8BC" w:rsidR="009E21D2" w:rsidRPr="00394BB8" w:rsidRDefault="009E21D2" w:rsidP="0072258F">
            <w:pPr>
              <w:contextualSpacing/>
              <w:rPr>
                <w:sz w:val="16"/>
                <w:szCs w:val="16"/>
                <w:lang w:val="en-GB"/>
              </w:rPr>
            </w:pPr>
            <w:r w:rsidRPr="00394BB8">
              <w:rPr>
                <w:sz w:val="16"/>
                <w:szCs w:val="16"/>
                <w:lang w:val="en-GB"/>
              </w:rPr>
              <w:t>Institutional systems and capacities in place for implementing environmental commitments to international agreements on climate change, biodiversity, land degradation, ozone layer and chemicals (UNFCCC, Montreal Protocol, Stockholm and Minamata Conventions)</w:t>
            </w:r>
          </w:p>
          <w:p w14:paraId="5493899E" w14:textId="34F0625E" w:rsidR="009E21D2" w:rsidRPr="00394BB8" w:rsidRDefault="009E21D2" w:rsidP="0072258F">
            <w:pPr>
              <w:jc w:val="both"/>
              <w:rPr>
                <w:sz w:val="16"/>
                <w:szCs w:val="16"/>
                <w:lang w:val="en-GB"/>
              </w:rPr>
            </w:pPr>
            <w:r w:rsidRPr="00D7532D">
              <w:rPr>
                <w:i/>
                <w:sz w:val="16"/>
                <w:szCs w:val="16"/>
                <w:lang w:val="en-GB"/>
              </w:rPr>
              <w:t>Baseline (2014):</w:t>
            </w:r>
            <w:r w:rsidRPr="00394BB8">
              <w:rPr>
                <w:sz w:val="16"/>
                <w:szCs w:val="16"/>
                <w:lang w:val="en-GB"/>
              </w:rPr>
              <w:t xml:space="preserve"> No </w:t>
            </w:r>
          </w:p>
          <w:p w14:paraId="4ACCF757" w14:textId="04FA838C" w:rsidR="009E21D2" w:rsidRPr="00394BB8" w:rsidRDefault="009E21D2" w:rsidP="00284627">
            <w:pPr>
              <w:jc w:val="both"/>
              <w:rPr>
                <w:sz w:val="16"/>
                <w:szCs w:val="16"/>
                <w:lang w:val="en-GB"/>
              </w:rPr>
            </w:pPr>
            <w:r w:rsidRPr="00D7532D">
              <w:rPr>
                <w:i/>
                <w:sz w:val="16"/>
                <w:szCs w:val="16"/>
                <w:lang w:val="en-GB"/>
              </w:rPr>
              <w:t>Target (2020):</w:t>
            </w:r>
            <w:r w:rsidRPr="00394BB8">
              <w:rPr>
                <w:sz w:val="16"/>
                <w:szCs w:val="16"/>
                <w:lang w:val="en-GB"/>
              </w:rPr>
              <w:t xml:space="preserve"> Yes </w:t>
            </w:r>
          </w:p>
        </w:tc>
        <w:tc>
          <w:tcPr>
            <w:tcW w:w="945" w:type="pct"/>
            <w:gridSpan w:val="2"/>
            <w:vMerge w:val="restart"/>
          </w:tcPr>
          <w:p w14:paraId="34399827" w14:textId="316DD7F0" w:rsidR="009E21D2" w:rsidRPr="0077308D" w:rsidRDefault="009E21D2" w:rsidP="005533B9">
            <w:pPr>
              <w:pStyle w:val="Heading3"/>
              <w:shd w:val="clear" w:color="auto" w:fill="FFFFFF"/>
              <w:spacing w:before="0"/>
              <w:rPr>
                <w:rFonts w:ascii="Times New Roman" w:eastAsia="Times New Roman" w:hAnsi="Times New Roman" w:cs="Times New Roman"/>
                <w:color w:val="auto"/>
                <w:sz w:val="16"/>
                <w:szCs w:val="16"/>
                <w:lang w:val="en-GB"/>
              </w:rPr>
            </w:pPr>
            <w:r w:rsidRPr="0077308D">
              <w:rPr>
                <w:rFonts w:ascii="Times New Roman" w:eastAsia="Times New Roman" w:hAnsi="Times New Roman" w:cs="Times New Roman"/>
                <w:color w:val="auto"/>
                <w:sz w:val="16"/>
                <w:szCs w:val="16"/>
                <w:lang w:val="en-GB"/>
              </w:rPr>
              <w:lastRenderedPageBreak/>
              <w:t>Reports under international agreements (</w:t>
            </w:r>
            <w:r w:rsidR="00D7532D" w:rsidRPr="0077308D">
              <w:rPr>
                <w:rFonts w:ascii="Times New Roman" w:eastAsia="Times New Roman" w:hAnsi="Times New Roman" w:cs="Times New Roman"/>
                <w:color w:val="auto"/>
                <w:sz w:val="16"/>
                <w:szCs w:val="16"/>
                <w:lang w:val="en-GB"/>
              </w:rPr>
              <w:t>n</w:t>
            </w:r>
            <w:r w:rsidRPr="0077308D">
              <w:rPr>
                <w:rFonts w:ascii="Times New Roman" w:eastAsia="Times New Roman" w:hAnsi="Times New Roman" w:cs="Times New Roman"/>
                <w:color w:val="auto"/>
                <w:sz w:val="16"/>
                <w:szCs w:val="16"/>
                <w:lang w:val="en-GB"/>
              </w:rPr>
              <w:t>ational H</w:t>
            </w:r>
            <w:r w:rsidR="00EB1743" w:rsidRPr="0077308D">
              <w:rPr>
                <w:rFonts w:ascii="Times New Roman" w:eastAsia="Times New Roman" w:hAnsi="Times New Roman" w:cs="Times New Roman"/>
                <w:color w:val="auto"/>
                <w:sz w:val="16"/>
                <w:szCs w:val="16"/>
                <w:lang w:val="en-GB"/>
              </w:rPr>
              <w:t>yogo Framework for Action (HFA)</w:t>
            </w:r>
            <w:r w:rsidRPr="0077308D">
              <w:rPr>
                <w:rFonts w:ascii="Times New Roman" w:eastAsia="Times New Roman" w:hAnsi="Times New Roman" w:cs="Times New Roman"/>
                <w:color w:val="auto"/>
                <w:sz w:val="16"/>
                <w:szCs w:val="16"/>
                <w:lang w:val="en-GB"/>
              </w:rPr>
              <w:t>/post-HFA progress reports</w:t>
            </w:r>
            <w:r w:rsidR="00D7532D" w:rsidRPr="0077308D">
              <w:rPr>
                <w:rFonts w:ascii="Times New Roman" w:eastAsia="Times New Roman" w:hAnsi="Times New Roman" w:cs="Times New Roman"/>
                <w:color w:val="auto"/>
                <w:sz w:val="16"/>
                <w:szCs w:val="16"/>
                <w:lang w:val="en-GB"/>
              </w:rPr>
              <w:t>;</w:t>
            </w:r>
            <w:r w:rsidRPr="0077308D">
              <w:rPr>
                <w:rFonts w:ascii="Times New Roman" w:eastAsia="Times New Roman" w:hAnsi="Times New Roman" w:cs="Times New Roman"/>
                <w:color w:val="auto"/>
                <w:sz w:val="16"/>
                <w:szCs w:val="16"/>
                <w:lang w:val="en-GB"/>
              </w:rPr>
              <w:t xml:space="preserve"> </w:t>
            </w:r>
            <w:r w:rsidR="00D7532D" w:rsidRPr="0077308D">
              <w:rPr>
                <w:rFonts w:ascii="Times New Roman" w:eastAsia="Times New Roman" w:hAnsi="Times New Roman" w:cs="Times New Roman"/>
                <w:color w:val="auto"/>
                <w:sz w:val="16"/>
                <w:szCs w:val="16"/>
                <w:lang w:val="en-GB"/>
              </w:rPr>
              <w:t>b</w:t>
            </w:r>
            <w:r w:rsidRPr="0077308D">
              <w:rPr>
                <w:rFonts w:ascii="Times New Roman" w:eastAsia="Times New Roman" w:hAnsi="Times New Roman" w:cs="Times New Roman"/>
                <w:color w:val="auto"/>
                <w:sz w:val="16"/>
                <w:szCs w:val="16"/>
                <w:lang w:val="en-GB"/>
              </w:rPr>
              <w:t xml:space="preserve">iannual </w:t>
            </w:r>
            <w:r w:rsidR="00D7532D" w:rsidRPr="0077308D">
              <w:rPr>
                <w:rFonts w:ascii="Times New Roman" w:eastAsia="Times New Roman" w:hAnsi="Times New Roman" w:cs="Times New Roman"/>
                <w:color w:val="auto"/>
                <w:sz w:val="16"/>
                <w:szCs w:val="16"/>
                <w:lang w:val="en-GB"/>
              </w:rPr>
              <w:t>u</w:t>
            </w:r>
            <w:r w:rsidRPr="0077308D">
              <w:rPr>
                <w:rFonts w:ascii="Times New Roman" w:eastAsia="Times New Roman" w:hAnsi="Times New Roman" w:cs="Times New Roman"/>
                <w:color w:val="auto"/>
                <w:sz w:val="16"/>
                <w:szCs w:val="16"/>
                <w:lang w:val="en-GB"/>
              </w:rPr>
              <w:t xml:space="preserve">pdate </w:t>
            </w:r>
            <w:r w:rsidR="00D7532D" w:rsidRPr="0077308D">
              <w:rPr>
                <w:rFonts w:ascii="Times New Roman" w:eastAsia="Times New Roman" w:hAnsi="Times New Roman" w:cs="Times New Roman"/>
                <w:color w:val="auto"/>
                <w:sz w:val="16"/>
                <w:szCs w:val="16"/>
                <w:lang w:val="en-GB"/>
              </w:rPr>
              <w:t>r</w:t>
            </w:r>
            <w:r w:rsidRPr="0077308D">
              <w:rPr>
                <w:rFonts w:ascii="Times New Roman" w:eastAsia="Times New Roman" w:hAnsi="Times New Roman" w:cs="Times New Roman"/>
                <w:color w:val="auto"/>
                <w:sz w:val="16"/>
                <w:szCs w:val="16"/>
                <w:lang w:val="en-GB"/>
              </w:rPr>
              <w:t xml:space="preserve">eports to </w:t>
            </w:r>
            <w:r w:rsidR="00D7532D" w:rsidRPr="0077308D">
              <w:rPr>
                <w:rFonts w:ascii="Times New Roman" w:eastAsia="Times New Roman" w:hAnsi="Times New Roman" w:cs="Times New Roman"/>
                <w:color w:val="auto"/>
                <w:sz w:val="16"/>
                <w:szCs w:val="16"/>
                <w:lang w:val="en-GB"/>
              </w:rPr>
              <w:t xml:space="preserve">the </w:t>
            </w:r>
            <w:hyperlink r:id="rId20" w:history="1">
              <w:r w:rsidR="00D7532D" w:rsidRPr="0077308D">
                <w:rPr>
                  <w:rFonts w:ascii="Times New Roman" w:eastAsia="Times New Roman" w:hAnsi="Times New Roman" w:cs="Times New Roman"/>
                  <w:color w:val="auto"/>
                  <w:sz w:val="16"/>
                  <w:szCs w:val="16"/>
                  <w:lang w:val="en-GB"/>
                </w:rPr>
                <w:t>United Nations Framework Convention on Climate Change</w:t>
              </w:r>
            </w:hyperlink>
            <w:r w:rsidR="00D7532D" w:rsidRPr="0077308D">
              <w:rPr>
                <w:rFonts w:ascii="Times New Roman" w:eastAsia="Times New Roman" w:hAnsi="Times New Roman" w:cs="Times New Roman"/>
                <w:color w:val="auto"/>
                <w:sz w:val="16"/>
                <w:szCs w:val="16"/>
                <w:lang w:val="en-GB"/>
              </w:rPr>
              <w:t xml:space="preserve"> (UN</w:t>
            </w:r>
            <w:r w:rsidRPr="0077308D">
              <w:rPr>
                <w:rFonts w:ascii="Times New Roman" w:eastAsia="Times New Roman" w:hAnsi="Times New Roman" w:cs="Times New Roman"/>
                <w:color w:val="auto"/>
                <w:sz w:val="16"/>
                <w:szCs w:val="16"/>
                <w:lang w:val="en-GB"/>
              </w:rPr>
              <w:t>FCCC</w:t>
            </w:r>
            <w:r w:rsidR="00D7532D" w:rsidRPr="0077308D">
              <w:rPr>
                <w:rFonts w:ascii="Times New Roman" w:eastAsia="Times New Roman" w:hAnsi="Times New Roman" w:cs="Times New Roman"/>
                <w:color w:val="auto"/>
                <w:sz w:val="16"/>
                <w:szCs w:val="16"/>
                <w:lang w:val="en-GB"/>
              </w:rPr>
              <w:t>);</w:t>
            </w:r>
            <w:r w:rsidRPr="0077308D">
              <w:rPr>
                <w:rFonts w:ascii="Times New Roman" w:eastAsia="Times New Roman" w:hAnsi="Times New Roman" w:cs="Times New Roman"/>
                <w:color w:val="auto"/>
                <w:sz w:val="16"/>
                <w:szCs w:val="16"/>
                <w:lang w:val="en-GB"/>
              </w:rPr>
              <w:t xml:space="preserve"> reports to Montreal Protocol </w:t>
            </w:r>
          </w:p>
          <w:p w14:paraId="75C3BF01" w14:textId="44F45347" w:rsidR="005533B9" w:rsidRDefault="009E21D2" w:rsidP="005533B9">
            <w:pPr>
              <w:ind w:right="-749"/>
              <w:rPr>
                <w:sz w:val="16"/>
                <w:szCs w:val="16"/>
                <w:lang w:val="en-GB"/>
              </w:rPr>
            </w:pPr>
            <w:r w:rsidRPr="00E9082B">
              <w:rPr>
                <w:sz w:val="16"/>
                <w:szCs w:val="16"/>
                <w:lang w:val="en-GB"/>
              </w:rPr>
              <w:t>Nat</w:t>
            </w:r>
            <w:r w:rsidR="005533B9">
              <w:rPr>
                <w:sz w:val="16"/>
                <w:szCs w:val="16"/>
                <w:lang w:val="en-GB"/>
              </w:rPr>
              <w:t>iona</w:t>
            </w:r>
            <w:r w:rsidRPr="00E9082B">
              <w:rPr>
                <w:sz w:val="16"/>
                <w:szCs w:val="16"/>
                <w:lang w:val="en-GB"/>
              </w:rPr>
              <w:t xml:space="preserve">l laws and normative </w:t>
            </w:r>
          </w:p>
          <w:p w14:paraId="22FF5F91" w14:textId="71838B36" w:rsidR="009E21D2" w:rsidRPr="00E9082B" w:rsidRDefault="009E21D2" w:rsidP="005533B9">
            <w:pPr>
              <w:ind w:right="-749"/>
              <w:rPr>
                <w:sz w:val="16"/>
                <w:szCs w:val="16"/>
                <w:lang w:val="en-GB"/>
              </w:rPr>
            </w:pPr>
            <w:r w:rsidRPr="00E9082B">
              <w:rPr>
                <w:sz w:val="16"/>
                <w:szCs w:val="16"/>
                <w:lang w:val="en-GB"/>
              </w:rPr>
              <w:t>acts;</w:t>
            </w:r>
          </w:p>
          <w:p w14:paraId="7C97DCC5" w14:textId="0F861AED" w:rsidR="009E21D2" w:rsidRDefault="009E21D2" w:rsidP="006F51BC">
            <w:pPr>
              <w:ind w:right="-749"/>
              <w:rPr>
                <w:sz w:val="16"/>
                <w:szCs w:val="16"/>
                <w:lang w:val="en-GB"/>
              </w:rPr>
            </w:pPr>
            <w:r w:rsidRPr="00E9082B">
              <w:rPr>
                <w:sz w:val="16"/>
                <w:szCs w:val="16"/>
                <w:lang w:val="en-GB"/>
              </w:rPr>
              <w:t xml:space="preserve">Environment </w:t>
            </w:r>
            <w:r w:rsidR="00D7532D">
              <w:rPr>
                <w:sz w:val="16"/>
                <w:szCs w:val="16"/>
                <w:lang w:val="en-GB"/>
              </w:rPr>
              <w:t>p</w:t>
            </w:r>
            <w:r w:rsidRPr="00E9082B">
              <w:rPr>
                <w:sz w:val="16"/>
                <w:szCs w:val="16"/>
                <w:lang w:val="en-GB"/>
              </w:rPr>
              <w:t xml:space="preserve">erformance </w:t>
            </w:r>
            <w:r w:rsidR="00D7532D">
              <w:rPr>
                <w:sz w:val="16"/>
                <w:szCs w:val="16"/>
                <w:lang w:val="en-GB"/>
              </w:rPr>
              <w:t>r</w:t>
            </w:r>
            <w:r w:rsidRPr="00E9082B">
              <w:rPr>
                <w:sz w:val="16"/>
                <w:szCs w:val="16"/>
                <w:lang w:val="en-GB"/>
              </w:rPr>
              <w:t>eviews</w:t>
            </w:r>
          </w:p>
          <w:p w14:paraId="53DF24F4" w14:textId="77777777" w:rsidR="006F51BC" w:rsidRPr="00E9082B" w:rsidRDefault="006F51BC" w:rsidP="006F51BC">
            <w:pPr>
              <w:ind w:right="-749"/>
              <w:rPr>
                <w:sz w:val="16"/>
                <w:szCs w:val="16"/>
                <w:lang w:val="en-GB"/>
              </w:rPr>
            </w:pPr>
          </w:p>
          <w:p w14:paraId="4DD581F0" w14:textId="77777777" w:rsidR="00755F22" w:rsidRPr="0077308D" w:rsidRDefault="009E21D2" w:rsidP="00D7532D">
            <w:pPr>
              <w:ind w:right="-749"/>
              <w:rPr>
                <w:sz w:val="16"/>
                <w:szCs w:val="16"/>
                <w:lang w:val="en-GB"/>
              </w:rPr>
            </w:pPr>
            <w:r w:rsidRPr="0077308D">
              <w:rPr>
                <w:sz w:val="16"/>
                <w:szCs w:val="16"/>
                <w:lang w:val="en-GB"/>
              </w:rPr>
              <w:t xml:space="preserve">Regular (annual and biannual) </w:t>
            </w:r>
          </w:p>
          <w:p w14:paraId="654F50BF" w14:textId="77777777" w:rsidR="00755F22" w:rsidRPr="0077308D" w:rsidRDefault="009E21D2" w:rsidP="00D7532D">
            <w:pPr>
              <w:ind w:right="-749"/>
              <w:rPr>
                <w:sz w:val="16"/>
                <w:szCs w:val="16"/>
                <w:lang w:val="en-GB"/>
              </w:rPr>
            </w:pPr>
            <w:r w:rsidRPr="0077308D">
              <w:rPr>
                <w:sz w:val="16"/>
                <w:szCs w:val="16"/>
                <w:lang w:val="en-GB"/>
              </w:rPr>
              <w:t xml:space="preserve">reports of the Government and </w:t>
            </w:r>
          </w:p>
          <w:p w14:paraId="055298EA" w14:textId="2ED995E4" w:rsidR="00D7532D" w:rsidRPr="0077308D" w:rsidRDefault="009E21D2" w:rsidP="00D7532D">
            <w:pPr>
              <w:ind w:right="-749"/>
              <w:rPr>
                <w:sz w:val="16"/>
                <w:szCs w:val="16"/>
                <w:lang w:val="en-GB"/>
              </w:rPr>
            </w:pPr>
            <w:r w:rsidRPr="0077308D">
              <w:rPr>
                <w:sz w:val="16"/>
                <w:szCs w:val="16"/>
                <w:lang w:val="en-GB"/>
              </w:rPr>
              <w:t>line ministries on implementing</w:t>
            </w:r>
            <w:r w:rsidR="0059256B" w:rsidRPr="0077308D">
              <w:rPr>
                <w:sz w:val="16"/>
                <w:szCs w:val="16"/>
                <w:lang w:val="en-GB"/>
              </w:rPr>
              <w:t xml:space="preserve"> </w:t>
            </w:r>
          </w:p>
          <w:p w14:paraId="7A979A26" w14:textId="2B3F0646" w:rsidR="00755F22" w:rsidRPr="0077308D" w:rsidRDefault="009E21D2" w:rsidP="00D7532D">
            <w:pPr>
              <w:ind w:right="-749"/>
              <w:rPr>
                <w:sz w:val="16"/>
                <w:szCs w:val="16"/>
                <w:lang w:val="en-GB"/>
              </w:rPr>
            </w:pPr>
            <w:r w:rsidRPr="0077308D">
              <w:rPr>
                <w:sz w:val="16"/>
                <w:szCs w:val="16"/>
                <w:lang w:val="en-GB"/>
              </w:rPr>
              <w:t xml:space="preserve">the </w:t>
            </w:r>
            <w:r w:rsidR="00755F22" w:rsidRPr="0077308D">
              <w:rPr>
                <w:sz w:val="16"/>
                <w:szCs w:val="16"/>
                <w:lang w:val="en-GB"/>
              </w:rPr>
              <w:t>n</w:t>
            </w:r>
            <w:r w:rsidRPr="0077308D">
              <w:rPr>
                <w:sz w:val="16"/>
                <w:szCs w:val="16"/>
                <w:lang w:val="en-GB"/>
              </w:rPr>
              <w:t xml:space="preserve">ational </w:t>
            </w:r>
            <w:r w:rsidR="00755F22" w:rsidRPr="0077308D">
              <w:rPr>
                <w:sz w:val="16"/>
                <w:szCs w:val="16"/>
                <w:lang w:val="en-GB"/>
              </w:rPr>
              <w:t>s</w:t>
            </w:r>
            <w:r w:rsidRPr="0077308D">
              <w:rPr>
                <w:sz w:val="16"/>
                <w:szCs w:val="16"/>
                <w:lang w:val="en-GB"/>
              </w:rPr>
              <w:t>trategies and</w:t>
            </w:r>
          </w:p>
          <w:p w14:paraId="185E92DB" w14:textId="132A3C54" w:rsidR="00755F22" w:rsidRDefault="00755F22" w:rsidP="00D7532D">
            <w:pPr>
              <w:ind w:right="-749"/>
              <w:rPr>
                <w:sz w:val="16"/>
                <w:szCs w:val="16"/>
                <w:lang w:val="en-GB"/>
              </w:rPr>
            </w:pPr>
            <w:r w:rsidRPr="0077308D">
              <w:rPr>
                <w:sz w:val="16"/>
                <w:szCs w:val="16"/>
                <w:lang w:val="en-GB"/>
              </w:rPr>
              <w:t>p</w:t>
            </w:r>
            <w:r w:rsidR="009E21D2" w:rsidRPr="0077308D">
              <w:rPr>
                <w:sz w:val="16"/>
                <w:szCs w:val="16"/>
                <w:lang w:val="en-GB"/>
              </w:rPr>
              <w:t>rogrammes in</w:t>
            </w:r>
            <w:r w:rsidRPr="0077308D">
              <w:rPr>
                <w:sz w:val="16"/>
                <w:szCs w:val="16"/>
                <w:lang w:val="en-GB"/>
              </w:rPr>
              <w:t xml:space="preserve"> </w:t>
            </w:r>
            <w:r w:rsidR="009E21D2" w:rsidRPr="00E9082B">
              <w:rPr>
                <w:sz w:val="16"/>
                <w:szCs w:val="16"/>
                <w:lang w:val="en-GB"/>
              </w:rPr>
              <w:t xml:space="preserve">related sectors </w:t>
            </w:r>
          </w:p>
          <w:p w14:paraId="5C9B1467" w14:textId="56592414" w:rsidR="009E21D2" w:rsidRPr="00E9082B" w:rsidRDefault="00755F22" w:rsidP="00D7532D">
            <w:pPr>
              <w:ind w:right="-749"/>
              <w:rPr>
                <w:sz w:val="16"/>
                <w:szCs w:val="16"/>
                <w:lang w:val="en-GB"/>
              </w:rPr>
            </w:pPr>
            <w:r>
              <w:rPr>
                <w:sz w:val="16"/>
                <w:szCs w:val="16"/>
                <w:lang w:val="en-GB"/>
              </w:rPr>
              <w:t>(</w:t>
            </w:r>
            <w:r w:rsidR="009E21D2" w:rsidRPr="00E9082B">
              <w:rPr>
                <w:sz w:val="16"/>
                <w:szCs w:val="16"/>
                <w:lang w:val="en-GB"/>
              </w:rPr>
              <w:t>NEAP</w:t>
            </w:r>
            <w:r w:rsidR="00D7532D">
              <w:rPr>
                <w:sz w:val="16"/>
                <w:szCs w:val="16"/>
                <w:lang w:val="en-GB"/>
              </w:rPr>
              <w:t>,</w:t>
            </w:r>
            <w:r w:rsidR="009E21D2" w:rsidRPr="00E9082B">
              <w:rPr>
                <w:sz w:val="16"/>
                <w:szCs w:val="16"/>
                <w:lang w:val="en-GB"/>
              </w:rPr>
              <w:t xml:space="preserve"> 2016-2020</w:t>
            </w:r>
            <w:r>
              <w:rPr>
                <w:sz w:val="16"/>
                <w:szCs w:val="16"/>
                <w:lang w:val="en-GB"/>
              </w:rPr>
              <w:t>)</w:t>
            </w:r>
          </w:p>
          <w:p w14:paraId="446A9D37" w14:textId="77777777" w:rsidR="009E21D2" w:rsidRPr="00394BB8" w:rsidRDefault="009E21D2" w:rsidP="0072258F">
            <w:pPr>
              <w:ind w:left="249" w:right="-751" w:hanging="180"/>
              <w:rPr>
                <w:sz w:val="16"/>
                <w:szCs w:val="16"/>
                <w:lang w:val="en-GB"/>
              </w:rPr>
            </w:pPr>
          </w:p>
          <w:p w14:paraId="339E7E98" w14:textId="0B8AA088" w:rsidR="00755F22" w:rsidRDefault="009E21D2" w:rsidP="00E9082B">
            <w:pPr>
              <w:ind w:right="-751"/>
              <w:rPr>
                <w:sz w:val="16"/>
                <w:szCs w:val="16"/>
                <w:lang w:val="en-GB"/>
              </w:rPr>
            </w:pPr>
            <w:r w:rsidRPr="00E9082B">
              <w:rPr>
                <w:sz w:val="16"/>
                <w:szCs w:val="16"/>
                <w:lang w:val="en-GB"/>
              </w:rPr>
              <w:t xml:space="preserve">National </w:t>
            </w:r>
            <w:r w:rsidR="00755F22">
              <w:rPr>
                <w:sz w:val="16"/>
                <w:szCs w:val="16"/>
                <w:lang w:val="en-GB"/>
              </w:rPr>
              <w:t>p</w:t>
            </w:r>
            <w:r w:rsidRPr="00E9082B">
              <w:rPr>
                <w:sz w:val="16"/>
                <w:szCs w:val="16"/>
                <w:lang w:val="en-GB"/>
              </w:rPr>
              <w:t xml:space="preserve">lan of </w:t>
            </w:r>
            <w:r w:rsidR="00755F22">
              <w:rPr>
                <w:sz w:val="16"/>
                <w:szCs w:val="16"/>
                <w:lang w:val="en-GB"/>
              </w:rPr>
              <w:t>a</w:t>
            </w:r>
            <w:r w:rsidRPr="00E9082B">
              <w:rPr>
                <w:sz w:val="16"/>
                <w:szCs w:val="16"/>
                <w:lang w:val="en-GB"/>
              </w:rPr>
              <w:t>ction/</w:t>
            </w:r>
            <w:r w:rsidR="00755F22">
              <w:rPr>
                <w:sz w:val="16"/>
                <w:szCs w:val="16"/>
                <w:lang w:val="en-GB"/>
              </w:rPr>
              <w:t>s</w:t>
            </w:r>
            <w:r w:rsidRPr="00E9082B">
              <w:rPr>
                <w:sz w:val="16"/>
                <w:szCs w:val="16"/>
                <w:lang w:val="en-GB"/>
              </w:rPr>
              <w:t xml:space="preserve">trategy </w:t>
            </w:r>
          </w:p>
          <w:p w14:paraId="141B5C95" w14:textId="5CA13597" w:rsidR="00755F22" w:rsidRDefault="009E21D2" w:rsidP="00755F22">
            <w:pPr>
              <w:ind w:right="-751"/>
              <w:rPr>
                <w:sz w:val="16"/>
                <w:szCs w:val="16"/>
                <w:lang w:val="en-GB"/>
              </w:rPr>
            </w:pPr>
            <w:r w:rsidRPr="00E9082B">
              <w:rPr>
                <w:sz w:val="16"/>
                <w:szCs w:val="16"/>
                <w:lang w:val="en-GB"/>
              </w:rPr>
              <w:lastRenderedPageBreak/>
              <w:t>for DRR</w:t>
            </w:r>
            <w:r w:rsidR="00755F22">
              <w:rPr>
                <w:sz w:val="16"/>
                <w:szCs w:val="16"/>
                <w:lang w:val="en-GB"/>
              </w:rPr>
              <w:t xml:space="preserve"> n</w:t>
            </w:r>
            <w:r w:rsidRPr="00D7532D">
              <w:rPr>
                <w:sz w:val="16"/>
                <w:szCs w:val="16"/>
                <w:lang w:val="en-GB"/>
              </w:rPr>
              <w:t xml:space="preserve">ational </w:t>
            </w:r>
            <w:r w:rsidR="00755F22">
              <w:rPr>
                <w:sz w:val="16"/>
                <w:szCs w:val="16"/>
                <w:lang w:val="en-GB"/>
              </w:rPr>
              <w:t>b</w:t>
            </w:r>
            <w:r w:rsidRPr="00D7532D">
              <w:rPr>
                <w:sz w:val="16"/>
                <w:szCs w:val="16"/>
                <w:lang w:val="en-GB"/>
              </w:rPr>
              <w:t xml:space="preserve">iodiversity </w:t>
            </w:r>
          </w:p>
          <w:p w14:paraId="269B4A68" w14:textId="0195DEEC" w:rsidR="009E21D2" w:rsidRPr="00D7532D" w:rsidRDefault="00755F22" w:rsidP="00755F22">
            <w:pPr>
              <w:ind w:right="-751"/>
              <w:rPr>
                <w:sz w:val="16"/>
                <w:szCs w:val="16"/>
                <w:lang w:val="en-GB"/>
              </w:rPr>
            </w:pPr>
            <w:r>
              <w:rPr>
                <w:sz w:val="16"/>
                <w:szCs w:val="16"/>
                <w:lang w:val="en-GB"/>
              </w:rPr>
              <w:t>a</w:t>
            </w:r>
            <w:r w:rsidR="009E21D2" w:rsidRPr="00D7532D">
              <w:rPr>
                <w:sz w:val="16"/>
                <w:szCs w:val="16"/>
                <w:lang w:val="en-GB"/>
              </w:rPr>
              <w:t xml:space="preserve">ction </w:t>
            </w:r>
            <w:r>
              <w:rPr>
                <w:sz w:val="16"/>
                <w:szCs w:val="16"/>
                <w:lang w:val="en-GB"/>
              </w:rPr>
              <w:t>p</w:t>
            </w:r>
            <w:r w:rsidR="009E21D2" w:rsidRPr="00D7532D">
              <w:rPr>
                <w:sz w:val="16"/>
                <w:szCs w:val="16"/>
                <w:lang w:val="en-GB"/>
              </w:rPr>
              <w:t xml:space="preserve">lan </w:t>
            </w:r>
          </w:p>
          <w:p w14:paraId="2E824914" w14:textId="77777777" w:rsidR="009E21D2" w:rsidRPr="00394BB8" w:rsidRDefault="009E21D2" w:rsidP="0072258F">
            <w:pPr>
              <w:ind w:left="249" w:right="-751" w:hanging="180"/>
              <w:jc w:val="both"/>
              <w:rPr>
                <w:sz w:val="16"/>
                <w:szCs w:val="16"/>
                <w:lang w:val="en-GB"/>
              </w:rPr>
            </w:pPr>
          </w:p>
          <w:p w14:paraId="2BFDCEF6" w14:textId="693F193D" w:rsidR="00755F22" w:rsidRDefault="009E21D2" w:rsidP="00E9082B">
            <w:pPr>
              <w:ind w:right="-751"/>
              <w:jc w:val="both"/>
              <w:rPr>
                <w:sz w:val="16"/>
                <w:szCs w:val="16"/>
                <w:lang w:val="en-GB"/>
              </w:rPr>
            </w:pPr>
            <w:r w:rsidRPr="00E9082B">
              <w:rPr>
                <w:sz w:val="16"/>
                <w:szCs w:val="16"/>
                <w:lang w:val="en-GB"/>
              </w:rPr>
              <w:t xml:space="preserve">National </w:t>
            </w:r>
            <w:r w:rsidR="00755F22">
              <w:rPr>
                <w:sz w:val="16"/>
                <w:szCs w:val="16"/>
                <w:lang w:val="en-GB"/>
              </w:rPr>
              <w:t>c</w:t>
            </w:r>
            <w:r w:rsidRPr="00E9082B">
              <w:rPr>
                <w:sz w:val="16"/>
                <w:szCs w:val="16"/>
                <w:lang w:val="en-GB"/>
              </w:rPr>
              <w:t xml:space="preserve">ountry </w:t>
            </w:r>
            <w:r w:rsidR="00755F22">
              <w:rPr>
                <w:sz w:val="16"/>
                <w:szCs w:val="16"/>
                <w:lang w:val="en-GB"/>
              </w:rPr>
              <w:t>a</w:t>
            </w:r>
            <w:r w:rsidRPr="00E9082B">
              <w:rPr>
                <w:sz w:val="16"/>
                <w:szCs w:val="16"/>
                <w:lang w:val="en-GB"/>
              </w:rPr>
              <w:t xml:space="preserve">ction </w:t>
            </w:r>
            <w:r w:rsidR="00755F22">
              <w:rPr>
                <w:sz w:val="16"/>
                <w:szCs w:val="16"/>
                <w:lang w:val="en-GB"/>
              </w:rPr>
              <w:t>p</w:t>
            </w:r>
            <w:r w:rsidRPr="00E9082B">
              <w:rPr>
                <w:sz w:val="16"/>
                <w:szCs w:val="16"/>
                <w:lang w:val="en-GB"/>
              </w:rPr>
              <w:t xml:space="preserve">lan to </w:t>
            </w:r>
          </w:p>
          <w:p w14:paraId="573A612D" w14:textId="34C9EAA2" w:rsidR="009E21D2" w:rsidRPr="00E9082B" w:rsidRDefault="00755F22" w:rsidP="00E9082B">
            <w:pPr>
              <w:ind w:right="-751"/>
              <w:jc w:val="both"/>
              <w:rPr>
                <w:sz w:val="16"/>
                <w:szCs w:val="16"/>
                <w:lang w:val="en-GB"/>
              </w:rPr>
            </w:pPr>
            <w:r>
              <w:rPr>
                <w:sz w:val="16"/>
                <w:szCs w:val="16"/>
                <w:lang w:val="en-GB"/>
              </w:rPr>
              <w:t>c</w:t>
            </w:r>
            <w:r w:rsidR="009E21D2" w:rsidRPr="00E9082B">
              <w:rPr>
                <w:sz w:val="16"/>
                <w:szCs w:val="16"/>
                <w:lang w:val="en-GB"/>
              </w:rPr>
              <w:t xml:space="preserve">ombat </w:t>
            </w:r>
            <w:r>
              <w:rPr>
                <w:sz w:val="16"/>
                <w:szCs w:val="16"/>
                <w:lang w:val="en-GB"/>
              </w:rPr>
              <w:t>d</w:t>
            </w:r>
            <w:r w:rsidR="009E21D2" w:rsidRPr="00E9082B">
              <w:rPr>
                <w:sz w:val="16"/>
                <w:szCs w:val="16"/>
                <w:lang w:val="en-GB"/>
              </w:rPr>
              <w:t>esertification</w:t>
            </w:r>
          </w:p>
          <w:p w14:paraId="75AEDE2D" w14:textId="77777777" w:rsidR="009E21D2" w:rsidRPr="00394BB8" w:rsidRDefault="009E21D2" w:rsidP="0072258F">
            <w:pPr>
              <w:pStyle w:val="ListParagraph"/>
              <w:rPr>
                <w:sz w:val="16"/>
                <w:szCs w:val="16"/>
                <w:lang w:val="en-GB"/>
              </w:rPr>
            </w:pPr>
          </w:p>
          <w:p w14:paraId="653B9F2A" w14:textId="13A5DFB7" w:rsidR="009E21D2" w:rsidRPr="00E9082B" w:rsidRDefault="009E21D2" w:rsidP="00E9082B">
            <w:pPr>
              <w:ind w:right="-751"/>
              <w:jc w:val="both"/>
              <w:rPr>
                <w:sz w:val="16"/>
                <w:szCs w:val="16"/>
                <w:lang w:val="en-GB"/>
              </w:rPr>
            </w:pPr>
            <w:r w:rsidRPr="00E9082B">
              <w:rPr>
                <w:sz w:val="16"/>
                <w:szCs w:val="16"/>
                <w:lang w:val="en-GB"/>
              </w:rPr>
              <w:t>Project evaluation reports</w:t>
            </w:r>
          </w:p>
        </w:tc>
        <w:tc>
          <w:tcPr>
            <w:tcW w:w="1434" w:type="pct"/>
            <w:vMerge w:val="restart"/>
            <w:tcMar>
              <w:top w:w="72" w:type="dxa"/>
              <w:left w:w="144" w:type="dxa"/>
              <w:bottom w:w="72" w:type="dxa"/>
              <w:right w:w="144" w:type="dxa"/>
            </w:tcMar>
          </w:tcPr>
          <w:p w14:paraId="3B55EF37" w14:textId="0911F576" w:rsidR="009E21D2" w:rsidRPr="0077308D" w:rsidRDefault="009E21D2" w:rsidP="00755F22">
            <w:pPr>
              <w:spacing w:after="120"/>
              <w:rPr>
                <w:sz w:val="16"/>
                <w:szCs w:val="16"/>
                <w:lang w:val="en-GB"/>
              </w:rPr>
            </w:pPr>
            <w:r w:rsidRPr="0077308D">
              <w:rPr>
                <w:sz w:val="16"/>
                <w:szCs w:val="16"/>
                <w:lang w:val="en-GB"/>
              </w:rPr>
              <w:lastRenderedPageBreak/>
              <w:t>4.1</w:t>
            </w:r>
            <w:r w:rsidR="00D7532D" w:rsidRPr="0077308D">
              <w:rPr>
                <w:sz w:val="16"/>
                <w:szCs w:val="16"/>
                <w:lang w:val="en-GB"/>
              </w:rPr>
              <w:t>.</w:t>
            </w:r>
            <w:r w:rsidRPr="0077308D">
              <w:rPr>
                <w:sz w:val="16"/>
                <w:szCs w:val="16"/>
                <w:lang w:val="en-GB"/>
              </w:rPr>
              <w:t xml:space="preserve"> By 2020, policy formulation enabled and institutional and legal systems enhanced for environmental governance, including DRR, climate change, ecosystem services, chemicals, and energy efficiency</w:t>
            </w:r>
          </w:p>
          <w:p w14:paraId="4E1B0F5A" w14:textId="137DFFAF" w:rsidR="009E21D2" w:rsidRPr="0077308D" w:rsidRDefault="009E21D2" w:rsidP="0072258F">
            <w:pPr>
              <w:rPr>
                <w:sz w:val="16"/>
                <w:szCs w:val="16"/>
                <w:lang w:val="en-GB"/>
              </w:rPr>
            </w:pPr>
            <w:r w:rsidRPr="00D7532D">
              <w:rPr>
                <w:sz w:val="16"/>
                <w:szCs w:val="16"/>
                <w:lang w:val="en-GB"/>
              </w:rPr>
              <w:t>4.1.1</w:t>
            </w:r>
            <w:r w:rsidR="00D7532D" w:rsidRPr="00D7532D">
              <w:rPr>
                <w:sz w:val="16"/>
                <w:szCs w:val="16"/>
                <w:lang w:val="en-GB"/>
              </w:rPr>
              <w:t>.</w:t>
            </w:r>
            <w:r w:rsidRPr="0077308D">
              <w:rPr>
                <w:sz w:val="16"/>
                <w:szCs w:val="16"/>
                <w:lang w:val="en-GB"/>
              </w:rPr>
              <w:t xml:space="preserve"> </w:t>
            </w:r>
            <w:r w:rsidRPr="00394BB8">
              <w:rPr>
                <w:sz w:val="16"/>
                <w:szCs w:val="16"/>
                <w:lang w:val="en-GB"/>
              </w:rPr>
              <w:t xml:space="preserve">Number of policy and  legal documents addressing environmental sustainability and resilience, including DRR and adaptation  strategies (IRRF </w:t>
            </w:r>
            <w:r w:rsidR="00D7532D">
              <w:rPr>
                <w:sz w:val="16"/>
                <w:szCs w:val="16"/>
                <w:lang w:val="en-GB"/>
              </w:rPr>
              <w:t>i</w:t>
            </w:r>
            <w:r w:rsidRPr="00394BB8">
              <w:rPr>
                <w:sz w:val="16"/>
                <w:szCs w:val="16"/>
                <w:lang w:val="en-GB"/>
              </w:rPr>
              <w:t>ndicator</w:t>
            </w:r>
            <w:r w:rsidR="00D7532D">
              <w:rPr>
                <w:sz w:val="16"/>
                <w:szCs w:val="16"/>
                <w:lang w:val="en-GB"/>
              </w:rPr>
              <w:t>s</w:t>
            </w:r>
            <w:r w:rsidRPr="00394BB8">
              <w:rPr>
                <w:sz w:val="16"/>
                <w:szCs w:val="16"/>
                <w:lang w:val="en-GB"/>
              </w:rPr>
              <w:t xml:space="preserve"> 5.2.1, and  5.2.2</w:t>
            </w:r>
            <w:r w:rsidRPr="0077308D" w:rsidDel="0033658C">
              <w:rPr>
                <w:sz w:val="16"/>
                <w:szCs w:val="16"/>
                <w:lang w:val="en-GB"/>
              </w:rPr>
              <w:t xml:space="preserve"> </w:t>
            </w:r>
            <w:r w:rsidRPr="0077308D">
              <w:rPr>
                <w:sz w:val="16"/>
                <w:szCs w:val="16"/>
                <w:lang w:val="en-GB"/>
              </w:rPr>
              <w:t>)</w:t>
            </w:r>
          </w:p>
          <w:p w14:paraId="5FC1BB40" w14:textId="63C69E6F" w:rsidR="009E21D2" w:rsidRPr="005533B9" w:rsidRDefault="009E21D2" w:rsidP="005533B9">
            <w:pPr>
              <w:rPr>
                <w:sz w:val="16"/>
                <w:szCs w:val="16"/>
                <w:lang w:val="en-GB"/>
              </w:rPr>
            </w:pPr>
            <w:r w:rsidRPr="0077308D">
              <w:rPr>
                <w:sz w:val="16"/>
                <w:szCs w:val="16"/>
                <w:lang w:val="en-GB"/>
              </w:rPr>
              <w:t xml:space="preserve">Baseline: </w:t>
            </w:r>
            <w:r w:rsidRPr="005533B9">
              <w:rPr>
                <w:sz w:val="16"/>
                <w:szCs w:val="16"/>
                <w:lang w:val="en-GB"/>
              </w:rPr>
              <w:t>Insufficient number of policies (2014) include gender sensitive disaster risk reduction and climate change issues</w:t>
            </w:r>
          </w:p>
          <w:p w14:paraId="7329FFD3" w14:textId="10810B14" w:rsidR="009E21D2" w:rsidRPr="00394BB8" w:rsidRDefault="009E21D2" w:rsidP="005533B9">
            <w:pPr>
              <w:rPr>
                <w:sz w:val="16"/>
                <w:szCs w:val="16"/>
                <w:lang w:val="en-GB"/>
              </w:rPr>
            </w:pPr>
            <w:r w:rsidRPr="0077308D">
              <w:rPr>
                <w:sz w:val="16"/>
                <w:szCs w:val="16"/>
                <w:lang w:val="en-GB"/>
              </w:rPr>
              <w:t xml:space="preserve">Target: </w:t>
            </w:r>
            <w:r w:rsidRPr="005533B9">
              <w:rPr>
                <w:sz w:val="16"/>
                <w:szCs w:val="16"/>
                <w:lang w:val="en-GB"/>
              </w:rPr>
              <w:t>At least 5 national development plans address gender</w:t>
            </w:r>
            <w:r w:rsidR="005533B9">
              <w:rPr>
                <w:sz w:val="16"/>
                <w:szCs w:val="16"/>
                <w:lang w:val="en-GB"/>
              </w:rPr>
              <w:t>-</w:t>
            </w:r>
            <w:r w:rsidRPr="005533B9">
              <w:rPr>
                <w:sz w:val="16"/>
                <w:szCs w:val="16"/>
                <w:lang w:val="en-GB"/>
              </w:rPr>
              <w:t>sensitive disaster</w:t>
            </w:r>
            <w:r w:rsidR="005533B9">
              <w:rPr>
                <w:sz w:val="16"/>
                <w:szCs w:val="16"/>
                <w:lang w:val="en-GB"/>
              </w:rPr>
              <w:t>-</w:t>
            </w:r>
            <w:r w:rsidRPr="005533B9">
              <w:rPr>
                <w:sz w:val="16"/>
                <w:szCs w:val="16"/>
                <w:lang w:val="en-GB"/>
              </w:rPr>
              <w:t>risk reduction and climate change issues</w:t>
            </w:r>
          </w:p>
          <w:p w14:paraId="2D484407" w14:textId="4192C72C" w:rsidR="009E21D2" w:rsidRPr="005533B9" w:rsidRDefault="005533B9" w:rsidP="005533B9">
            <w:pPr>
              <w:spacing w:after="120"/>
              <w:rPr>
                <w:sz w:val="16"/>
                <w:szCs w:val="16"/>
                <w:lang w:val="en-GB"/>
              </w:rPr>
            </w:pPr>
            <w:r w:rsidRPr="0077308D">
              <w:rPr>
                <w:sz w:val="16"/>
                <w:szCs w:val="16"/>
                <w:lang w:val="en-GB"/>
              </w:rPr>
              <w:t xml:space="preserve">Source: </w:t>
            </w:r>
            <w:r w:rsidRPr="005533B9">
              <w:rPr>
                <w:sz w:val="16"/>
                <w:szCs w:val="16"/>
                <w:lang w:val="en-GB"/>
              </w:rPr>
              <w:t>N</w:t>
            </w:r>
            <w:r w:rsidR="009E21D2" w:rsidRPr="005533B9">
              <w:rPr>
                <w:sz w:val="16"/>
                <w:szCs w:val="16"/>
                <w:lang w:val="en-GB"/>
              </w:rPr>
              <w:t>ational policies and development plans, NEAP</w:t>
            </w:r>
            <w:r w:rsidRPr="005533B9">
              <w:rPr>
                <w:sz w:val="16"/>
                <w:szCs w:val="16"/>
                <w:lang w:val="en-GB"/>
              </w:rPr>
              <w:t>-</w:t>
            </w:r>
            <w:r w:rsidR="009E21D2" w:rsidRPr="005533B9">
              <w:rPr>
                <w:sz w:val="16"/>
                <w:szCs w:val="16"/>
                <w:lang w:val="en-GB"/>
              </w:rPr>
              <w:t xml:space="preserve">3, </w:t>
            </w:r>
            <w:r>
              <w:rPr>
                <w:sz w:val="16"/>
                <w:szCs w:val="16"/>
                <w:lang w:val="en-GB"/>
              </w:rPr>
              <w:t>n</w:t>
            </w:r>
            <w:r w:rsidR="009E21D2" w:rsidRPr="005533B9">
              <w:rPr>
                <w:sz w:val="16"/>
                <w:szCs w:val="16"/>
                <w:lang w:val="en-GB"/>
              </w:rPr>
              <w:t>at</w:t>
            </w:r>
            <w:r>
              <w:rPr>
                <w:sz w:val="16"/>
                <w:szCs w:val="16"/>
                <w:lang w:val="en-GB"/>
              </w:rPr>
              <w:t xml:space="preserve">ional </w:t>
            </w:r>
            <w:r w:rsidR="009E21D2" w:rsidRPr="005533B9">
              <w:rPr>
                <w:sz w:val="16"/>
                <w:szCs w:val="16"/>
                <w:lang w:val="en-GB"/>
              </w:rPr>
              <w:t xml:space="preserve">DRR </w:t>
            </w:r>
            <w:r>
              <w:rPr>
                <w:sz w:val="16"/>
                <w:szCs w:val="16"/>
                <w:lang w:val="en-GB"/>
              </w:rPr>
              <w:t>s</w:t>
            </w:r>
            <w:r w:rsidR="009E21D2" w:rsidRPr="005533B9">
              <w:rPr>
                <w:sz w:val="16"/>
                <w:szCs w:val="16"/>
                <w:lang w:val="en-GB"/>
              </w:rPr>
              <w:t>trategy/</w:t>
            </w:r>
            <w:r>
              <w:rPr>
                <w:sz w:val="16"/>
                <w:szCs w:val="16"/>
                <w:lang w:val="en-GB"/>
              </w:rPr>
              <w:t>a</w:t>
            </w:r>
            <w:r w:rsidR="009E21D2" w:rsidRPr="005533B9">
              <w:rPr>
                <w:sz w:val="16"/>
                <w:szCs w:val="16"/>
                <w:lang w:val="en-GB"/>
              </w:rPr>
              <w:t xml:space="preserve">ction </w:t>
            </w:r>
            <w:r>
              <w:rPr>
                <w:sz w:val="16"/>
                <w:szCs w:val="16"/>
                <w:lang w:val="en-GB"/>
              </w:rPr>
              <w:t>p</w:t>
            </w:r>
            <w:r w:rsidR="009E21D2" w:rsidRPr="005533B9">
              <w:rPr>
                <w:sz w:val="16"/>
                <w:szCs w:val="16"/>
                <w:lang w:val="en-GB"/>
              </w:rPr>
              <w:t xml:space="preserve">lan  </w:t>
            </w:r>
          </w:p>
          <w:p w14:paraId="238DEFA8" w14:textId="7E098123" w:rsidR="009E21D2" w:rsidRPr="0077308D" w:rsidRDefault="009E21D2" w:rsidP="0072258F">
            <w:pPr>
              <w:rPr>
                <w:sz w:val="16"/>
                <w:szCs w:val="16"/>
                <w:lang w:val="en-GB"/>
              </w:rPr>
            </w:pPr>
            <w:r w:rsidRPr="0077308D">
              <w:rPr>
                <w:sz w:val="16"/>
                <w:szCs w:val="16"/>
                <w:lang w:val="en-GB"/>
              </w:rPr>
              <w:lastRenderedPageBreak/>
              <w:t xml:space="preserve">4.1.2. Degree of compliance of national legislation with </w:t>
            </w:r>
            <w:r w:rsidR="0077308D">
              <w:rPr>
                <w:sz w:val="16"/>
                <w:szCs w:val="16"/>
                <w:lang w:val="en-GB"/>
              </w:rPr>
              <w:t xml:space="preserve">the </w:t>
            </w:r>
            <w:r w:rsidRPr="0077308D">
              <w:rPr>
                <w:sz w:val="16"/>
                <w:szCs w:val="16"/>
                <w:lang w:val="en-GB"/>
              </w:rPr>
              <w:t>E</w:t>
            </w:r>
            <w:r w:rsidR="0077308D">
              <w:rPr>
                <w:sz w:val="16"/>
                <w:szCs w:val="16"/>
                <w:lang w:val="en-GB"/>
              </w:rPr>
              <w:t xml:space="preserve">uropean </w:t>
            </w:r>
            <w:r w:rsidRPr="0077308D">
              <w:rPr>
                <w:sz w:val="16"/>
                <w:szCs w:val="16"/>
                <w:lang w:val="en-GB"/>
              </w:rPr>
              <w:t>U</w:t>
            </w:r>
            <w:r w:rsidR="0077308D">
              <w:rPr>
                <w:sz w:val="16"/>
                <w:szCs w:val="16"/>
                <w:lang w:val="en-GB"/>
              </w:rPr>
              <w:t>nion</w:t>
            </w:r>
            <w:r w:rsidRPr="0077308D">
              <w:rPr>
                <w:sz w:val="16"/>
                <w:szCs w:val="16"/>
                <w:lang w:val="en-GB"/>
              </w:rPr>
              <w:t xml:space="preserve"> and other international directives</w:t>
            </w:r>
          </w:p>
          <w:p w14:paraId="172FB2C3" w14:textId="77777777" w:rsidR="009E21D2" w:rsidRPr="00394BB8" w:rsidRDefault="009E21D2" w:rsidP="0072258F">
            <w:pPr>
              <w:rPr>
                <w:sz w:val="16"/>
                <w:szCs w:val="16"/>
                <w:lang w:val="en-GB"/>
              </w:rPr>
            </w:pPr>
            <w:r w:rsidRPr="00394BB8">
              <w:rPr>
                <w:sz w:val="16"/>
                <w:szCs w:val="16"/>
                <w:lang w:val="en-GB"/>
              </w:rPr>
              <w:t>Baseline: Not in line with EU and other international standards</w:t>
            </w:r>
          </w:p>
          <w:p w14:paraId="1BE99532" w14:textId="272CF803" w:rsidR="009E21D2" w:rsidRPr="00394BB8" w:rsidRDefault="009E21D2" w:rsidP="0072258F">
            <w:pPr>
              <w:rPr>
                <w:sz w:val="16"/>
                <w:szCs w:val="16"/>
                <w:lang w:val="en-GB"/>
              </w:rPr>
            </w:pPr>
            <w:r w:rsidRPr="00394BB8">
              <w:rPr>
                <w:sz w:val="16"/>
                <w:szCs w:val="16"/>
                <w:lang w:val="en-GB"/>
              </w:rPr>
              <w:t xml:space="preserve">Target: Legislative and procedural amendments developed and adopted in line </w:t>
            </w:r>
            <w:r w:rsidR="0077308D">
              <w:rPr>
                <w:sz w:val="16"/>
                <w:szCs w:val="16"/>
                <w:lang w:val="en-GB"/>
              </w:rPr>
              <w:t xml:space="preserve">the </w:t>
            </w:r>
            <w:r w:rsidR="0077308D" w:rsidRPr="0077308D">
              <w:rPr>
                <w:sz w:val="16"/>
                <w:szCs w:val="16"/>
                <w:lang w:val="en-GB"/>
              </w:rPr>
              <w:t>E</w:t>
            </w:r>
            <w:r w:rsidR="0077308D">
              <w:rPr>
                <w:sz w:val="16"/>
                <w:szCs w:val="16"/>
                <w:lang w:val="en-GB"/>
              </w:rPr>
              <w:t xml:space="preserve">uropean </w:t>
            </w:r>
            <w:r w:rsidR="0077308D" w:rsidRPr="0077308D">
              <w:rPr>
                <w:sz w:val="16"/>
                <w:szCs w:val="16"/>
                <w:lang w:val="en-GB"/>
              </w:rPr>
              <w:t>U</w:t>
            </w:r>
            <w:r w:rsidR="0077308D">
              <w:rPr>
                <w:sz w:val="16"/>
                <w:szCs w:val="16"/>
                <w:lang w:val="en-GB"/>
              </w:rPr>
              <w:t>nion</w:t>
            </w:r>
            <w:r w:rsidRPr="00394BB8">
              <w:rPr>
                <w:sz w:val="16"/>
                <w:szCs w:val="16"/>
                <w:lang w:val="en-GB"/>
              </w:rPr>
              <w:t xml:space="preserve"> and other international directives</w:t>
            </w:r>
          </w:p>
          <w:p w14:paraId="6B0D5509" w14:textId="746F5C72" w:rsidR="009E21D2" w:rsidRPr="0077308D" w:rsidRDefault="0077308D" w:rsidP="0072258F">
            <w:pPr>
              <w:rPr>
                <w:sz w:val="16"/>
                <w:szCs w:val="16"/>
                <w:lang w:val="en-GB"/>
              </w:rPr>
            </w:pPr>
            <w:r w:rsidRPr="0077308D">
              <w:rPr>
                <w:sz w:val="16"/>
                <w:szCs w:val="16"/>
                <w:lang w:val="en-GB"/>
              </w:rPr>
              <w:t>Means verification:</w:t>
            </w:r>
            <w:r>
              <w:rPr>
                <w:sz w:val="16"/>
                <w:szCs w:val="16"/>
                <w:lang w:val="en-GB"/>
              </w:rPr>
              <w:t xml:space="preserve"> National plan of a</w:t>
            </w:r>
            <w:r w:rsidR="009E21D2" w:rsidRPr="0077308D">
              <w:rPr>
                <w:sz w:val="16"/>
                <w:szCs w:val="16"/>
                <w:lang w:val="en-GB"/>
              </w:rPr>
              <w:t xml:space="preserve">ction for implementation of </w:t>
            </w:r>
            <w:r>
              <w:rPr>
                <w:sz w:val="16"/>
                <w:szCs w:val="16"/>
                <w:lang w:val="en-GB"/>
              </w:rPr>
              <w:t>association agreement</w:t>
            </w:r>
            <w:r w:rsidR="009E21D2" w:rsidRPr="0077308D">
              <w:rPr>
                <w:sz w:val="16"/>
                <w:szCs w:val="16"/>
                <w:lang w:val="en-GB"/>
              </w:rPr>
              <w:t xml:space="preserve"> between </w:t>
            </w:r>
            <w:r>
              <w:rPr>
                <w:sz w:val="16"/>
                <w:szCs w:val="16"/>
                <w:lang w:val="en-GB"/>
              </w:rPr>
              <w:t xml:space="preserve">the </w:t>
            </w:r>
            <w:r w:rsidR="009E21D2" w:rsidRPr="0077308D">
              <w:rPr>
                <w:sz w:val="16"/>
                <w:szCs w:val="16"/>
                <w:lang w:val="en-GB"/>
              </w:rPr>
              <w:t>E</w:t>
            </w:r>
            <w:r>
              <w:rPr>
                <w:sz w:val="16"/>
                <w:szCs w:val="16"/>
                <w:lang w:val="en-GB"/>
              </w:rPr>
              <w:t xml:space="preserve">uropean </w:t>
            </w:r>
            <w:r w:rsidR="009E21D2" w:rsidRPr="0077308D">
              <w:rPr>
                <w:sz w:val="16"/>
                <w:szCs w:val="16"/>
                <w:lang w:val="en-GB"/>
              </w:rPr>
              <w:t>U</w:t>
            </w:r>
            <w:r>
              <w:rPr>
                <w:sz w:val="16"/>
                <w:szCs w:val="16"/>
                <w:lang w:val="en-GB"/>
              </w:rPr>
              <w:t>nion</w:t>
            </w:r>
            <w:r w:rsidR="009E21D2" w:rsidRPr="0077308D">
              <w:rPr>
                <w:sz w:val="16"/>
                <w:szCs w:val="16"/>
                <w:lang w:val="en-GB"/>
              </w:rPr>
              <w:t xml:space="preserve"> and Georgia </w:t>
            </w:r>
          </w:p>
          <w:p w14:paraId="0CB5FF5F" w14:textId="77777777" w:rsidR="009E21D2" w:rsidRPr="0077308D" w:rsidRDefault="009E21D2" w:rsidP="0072258F">
            <w:pPr>
              <w:rPr>
                <w:sz w:val="16"/>
                <w:szCs w:val="16"/>
                <w:lang w:val="en-GB"/>
              </w:rPr>
            </w:pPr>
            <w:r w:rsidRPr="0077308D">
              <w:rPr>
                <w:sz w:val="16"/>
                <w:szCs w:val="16"/>
                <w:lang w:val="en-GB"/>
              </w:rPr>
              <w:t xml:space="preserve">4.2. By 2020, environmental knowledge and information systems enhanced, including capacities for regular reporting to international treaties </w:t>
            </w:r>
          </w:p>
          <w:p w14:paraId="0BE8ADBC" w14:textId="77777777" w:rsidR="009E21D2" w:rsidRPr="0077308D" w:rsidRDefault="009E21D2" w:rsidP="0072258F">
            <w:pPr>
              <w:pStyle w:val="Caption"/>
              <w:rPr>
                <w:rFonts w:ascii="Times New Roman" w:hAnsi="Times New Roman"/>
                <w:b w:val="0"/>
                <w:bCs w:val="0"/>
                <w:caps w:val="0"/>
                <w:sz w:val="16"/>
                <w:szCs w:val="16"/>
                <w:lang w:val="en-GB"/>
              </w:rPr>
            </w:pPr>
            <w:r w:rsidRPr="0077308D">
              <w:rPr>
                <w:rFonts w:ascii="Times New Roman" w:hAnsi="Times New Roman"/>
                <w:b w:val="0"/>
                <w:bCs w:val="0"/>
                <w:caps w:val="0"/>
                <w:sz w:val="16"/>
                <w:szCs w:val="16"/>
                <w:lang w:val="en-GB"/>
              </w:rPr>
              <w:t xml:space="preserve">4.2.1. </w:t>
            </w:r>
            <w:r w:rsidRPr="00394BB8">
              <w:rPr>
                <w:rFonts w:ascii="Times New Roman" w:hAnsi="Times New Roman"/>
                <w:b w:val="0"/>
                <w:bCs w:val="0"/>
                <w:caps w:val="0"/>
                <w:sz w:val="16"/>
                <w:szCs w:val="16"/>
                <w:lang w:val="en-GB"/>
              </w:rPr>
              <w:t>Existence of standardized environmental and  disaster risk data/information management system (IRRF Indicator: 5.1.1)</w:t>
            </w:r>
          </w:p>
          <w:p w14:paraId="3D1F05C5" w14:textId="77777777" w:rsidR="009E21D2" w:rsidRPr="00394BB8" w:rsidRDefault="009E21D2" w:rsidP="0072258F">
            <w:pPr>
              <w:rPr>
                <w:sz w:val="16"/>
                <w:szCs w:val="16"/>
                <w:lang w:val="en-GB"/>
              </w:rPr>
            </w:pPr>
            <w:r w:rsidRPr="0077308D">
              <w:rPr>
                <w:sz w:val="16"/>
                <w:szCs w:val="16"/>
                <w:lang w:val="en-GB"/>
              </w:rPr>
              <w:t>Baseline:</w:t>
            </w:r>
            <w:r w:rsidRPr="00394BB8">
              <w:rPr>
                <w:sz w:val="16"/>
                <w:szCs w:val="16"/>
                <w:lang w:val="en-GB"/>
              </w:rPr>
              <w:t xml:space="preserve"> inconsistent, non-unified system; data not easily accessible</w:t>
            </w:r>
          </w:p>
          <w:p w14:paraId="6A2D1A13" w14:textId="77777777" w:rsidR="009E21D2" w:rsidRPr="00394BB8" w:rsidRDefault="009E21D2" w:rsidP="0072258F">
            <w:pPr>
              <w:rPr>
                <w:sz w:val="16"/>
                <w:szCs w:val="16"/>
                <w:lang w:val="en-GB"/>
              </w:rPr>
            </w:pPr>
            <w:r w:rsidRPr="0077308D">
              <w:rPr>
                <w:sz w:val="16"/>
                <w:szCs w:val="16"/>
                <w:lang w:val="en-GB"/>
              </w:rPr>
              <w:t>Target:</w:t>
            </w:r>
            <w:r w:rsidRPr="00394BB8">
              <w:rPr>
                <w:sz w:val="16"/>
                <w:szCs w:val="16"/>
                <w:lang w:val="en-GB"/>
              </w:rPr>
              <w:t xml:space="preserve"> A unified system for data collection, analysis and sharing established and functional; Sectoral environmental data accessible to end users </w:t>
            </w:r>
          </w:p>
          <w:p w14:paraId="1994C245" w14:textId="77777777" w:rsidR="0077308D" w:rsidRPr="0077308D" w:rsidRDefault="009E21D2" w:rsidP="0077308D">
            <w:pPr>
              <w:rPr>
                <w:sz w:val="16"/>
                <w:szCs w:val="16"/>
                <w:lang w:val="en-GB"/>
              </w:rPr>
            </w:pPr>
            <w:r w:rsidRPr="0077308D">
              <w:rPr>
                <w:sz w:val="16"/>
                <w:szCs w:val="16"/>
                <w:lang w:val="en-GB"/>
              </w:rPr>
              <w:t xml:space="preserve">Means verification: </w:t>
            </w:r>
          </w:p>
          <w:p w14:paraId="5F4E3DFE" w14:textId="7D0B7858" w:rsidR="009E21D2" w:rsidRPr="00394BB8" w:rsidRDefault="006E128A" w:rsidP="005533B9">
            <w:pPr>
              <w:spacing w:after="120"/>
              <w:rPr>
                <w:sz w:val="16"/>
                <w:szCs w:val="16"/>
                <w:lang w:val="en-GB"/>
              </w:rPr>
            </w:pPr>
            <w:r w:rsidRPr="00E9082B">
              <w:rPr>
                <w:sz w:val="16"/>
                <w:szCs w:val="16"/>
                <w:lang w:val="en-GB"/>
              </w:rPr>
              <w:t xml:space="preserve">Environment </w:t>
            </w:r>
            <w:r>
              <w:rPr>
                <w:sz w:val="16"/>
                <w:szCs w:val="16"/>
                <w:lang w:val="en-GB"/>
              </w:rPr>
              <w:t>p</w:t>
            </w:r>
            <w:r w:rsidRPr="00E9082B">
              <w:rPr>
                <w:sz w:val="16"/>
                <w:szCs w:val="16"/>
                <w:lang w:val="en-GB"/>
              </w:rPr>
              <w:t xml:space="preserve">erformance </w:t>
            </w:r>
            <w:r>
              <w:rPr>
                <w:sz w:val="16"/>
                <w:szCs w:val="16"/>
                <w:lang w:val="en-GB"/>
              </w:rPr>
              <w:t xml:space="preserve">review </w:t>
            </w:r>
            <w:r w:rsidR="009E21D2" w:rsidRPr="0077308D">
              <w:rPr>
                <w:sz w:val="16"/>
                <w:szCs w:val="16"/>
                <w:lang w:val="en-GB"/>
              </w:rPr>
              <w:t>3</w:t>
            </w:r>
          </w:p>
          <w:p w14:paraId="25C31135" w14:textId="77777777" w:rsidR="009E21D2" w:rsidRPr="00394BB8" w:rsidRDefault="009E21D2" w:rsidP="0072258F">
            <w:pPr>
              <w:rPr>
                <w:sz w:val="16"/>
                <w:szCs w:val="16"/>
                <w:lang w:val="en-GB"/>
              </w:rPr>
            </w:pPr>
            <w:r w:rsidRPr="0077308D">
              <w:rPr>
                <w:sz w:val="16"/>
                <w:szCs w:val="16"/>
                <w:lang w:val="en-GB"/>
              </w:rPr>
              <w:t>4.2.2. By 2020, unified multi-hazard risk assessment methodology and staff training programme adopted</w:t>
            </w:r>
            <w:r w:rsidRPr="0077308D" w:rsidDel="00A20473">
              <w:rPr>
                <w:sz w:val="16"/>
                <w:szCs w:val="16"/>
                <w:lang w:val="en-GB"/>
              </w:rPr>
              <w:t xml:space="preserve"> </w:t>
            </w:r>
          </w:p>
          <w:p w14:paraId="4777F7A5" w14:textId="77777777" w:rsidR="009E21D2" w:rsidRPr="00394BB8" w:rsidRDefault="009E21D2" w:rsidP="0072258F">
            <w:pPr>
              <w:rPr>
                <w:sz w:val="16"/>
                <w:szCs w:val="16"/>
                <w:lang w:val="en-GB"/>
              </w:rPr>
            </w:pPr>
            <w:r w:rsidRPr="0077308D">
              <w:rPr>
                <w:sz w:val="16"/>
                <w:szCs w:val="16"/>
                <w:lang w:val="en-GB"/>
              </w:rPr>
              <w:t>Baseline:</w:t>
            </w:r>
            <w:r w:rsidRPr="00394BB8">
              <w:rPr>
                <w:sz w:val="16"/>
                <w:szCs w:val="16"/>
                <w:lang w:val="en-GB"/>
              </w:rPr>
              <w:t xml:space="preserve"> Methodology and training plan not in place;</w:t>
            </w:r>
          </w:p>
          <w:p w14:paraId="01719461" w14:textId="77777777" w:rsidR="009E21D2" w:rsidRPr="00394BB8" w:rsidRDefault="009E21D2" w:rsidP="0072258F">
            <w:pPr>
              <w:rPr>
                <w:sz w:val="16"/>
                <w:szCs w:val="16"/>
                <w:lang w:val="en-GB"/>
              </w:rPr>
            </w:pPr>
            <w:r w:rsidRPr="0077308D">
              <w:rPr>
                <w:sz w:val="16"/>
                <w:szCs w:val="16"/>
                <w:lang w:val="en-GB"/>
              </w:rPr>
              <w:t>Target:</w:t>
            </w:r>
            <w:r w:rsidRPr="00394BB8">
              <w:rPr>
                <w:sz w:val="16"/>
                <w:szCs w:val="16"/>
                <w:lang w:val="en-GB"/>
              </w:rPr>
              <w:t xml:space="preserve"> Methodology adopted, at least 70 government staff trained/equipped relevant knowledge / skills for disaster risk assessment and DRR</w:t>
            </w:r>
            <w:r w:rsidRPr="00394BB8" w:rsidDel="00A20473">
              <w:rPr>
                <w:sz w:val="16"/>
                <w:szCs w:val="16"/>
                <w:lang w:val="en-GB"/>
              </w:rPr>
              <w:t xml:space="preserve"> </w:t>
            </w:r>
          </w:p>
          <w:p w14:paraId="0102A501" w14:textId="761B9718" w:rsidR="009E21D2" w:rsidRPr="0077308D" w:rsidRDefault="005533B9" w:rsidP="00A862CD">
            <w:pPr>
              <w:rPr>
                <w:sz w:val="16"/>
                <w:szCs w:val="16"/>
                <w:lang w:val="en-GB"/>
              </w:rPr>
            </w:pPr>
            <w:r w:rsidRPr="0077308D">
              <w:rPr>
                <w:sz w:val="16"/>
                <w:szCs w:val="16"/>
                <w:lang w:val="en-GB"/>
              </w:rPr>
              <w:t>Source:</w:t>
            </w:r>
            <w:r w:rsidR="009E21D2" w:rsidRPr="0077308D">
              <w:rPr>
                <w:sz w:val="16"/>
                <w:szCs w:val="16"/>
                <w:lang w:val="en-GB"/>
              </w:rPr>
              <w:t xml:space="preserve"> </w:t>
            </w:r>
            <w:r w:rsidR="006E128A" w:rsidRPr="00E9082B">
              <w:rPr>
                <w:sz w:val="16"/>
                <w:szCs w:val="16"/>
                <w:lang w:val="en-GB"/>
              </w:rPr>
              <w:t xml:space="preserve">Environment </w:t>
            </w:r>
            <w:r w:rsidR="006E128A">
              <w:rPr>
                <w:sz w:val="16"/>
                <w:szCs w:val="16"/>
                <w:lang w:val="en-GB"/>
              </w:rPr>
              <w:t>p</w:t>
            </w:r>
            <w:r w:rsidR="006E128A" w:rsidRPr="00E9082B">
              <w:rPr>
                <w:sz w:val="16"/>
                <w:szCs w:val="16"/>
                <w:lang w:val="en-GB"/>
              </w:rPr>
              <w:t xml:space="preserve">erformance </w:t>
            </w:r>
            <w:r w:rsidR="006E128A">
              <w:rPr>
                <w:sz w:val="16"/>
                <w:szCs w:val="16"/>
                <w:lang w:val="en-GB"/>
              </w:rPr>
              <w:t>r</w:t>
            </w:r>
            <w:r w:rsidR="006E128A" w:rsidRPr="00E9082B">
              <w:rPr>
                <w:sz w:val="16"/>
                <w:szCs w:val="16"/>
                <w:lang w:val="en-GB"/>
              </w:rPr>
              <w:t>eviews</w:t>
            </w:r>
            <w:r w:rsidR="006E128A">
              <w:rPr>
                <w:sz w:val="16"/>
                <w:szCs w:val="16"/>
                <w:lang w:val="en-GB"/>
              </w:rPr>
              <w:t xml:space="preserve"> </w:t>
            </w:r>
            <w:r w:rsidR="009E21D2" w:rsidRPr="005533B9">
              <w:rPr>
                <w:sz w:val="16"/>
                <w:szCs w:val="16"/>
                <w:lang w:val="en-GB"/>
              </w:rPr>
              <w:t xml:space="preserve">3, </w:t>
            </w:r>
            <w:r>
              <w:rPr>
                <w:sz w:val="16"/>
                <w:szCs w:val="16"/>
                <w:lang w:val="en-GB"/>
              </w:rPr>
              <w:t>n</w:t>
            </w:r>
            <w:r w:rsidR="009E21D2" w:rsidRPr="005533B9">
              <w:rPr>
                <w:sz w:val="16"/>
                <w:szCs w:val="16"/>
                <w:lang w:val="en-GB"/>
              </w:rPr>
              <w:t>at</w:t>
            </w:r>
            <w:r>
              <w:rPr>
                <w:sz w:val="16"/>
                <w:szCs w:val="16"/>
                <w:lang w:val="en-GB"/>
              </w:rPr>
              <w:t>ional</w:t>
            </w:r>
            <w:r w:rsidR="009E21D2" w:rsidRPr="005533B9">
              <w:rPr>
                <w:sz w:val="16"/>
                <w:szCs w:val="16"/>
                <w:lang w:val="en-GB"/>
              </w:rPr>
              <w:t xml:space="preserve"> DRR </w:t>
            </w:r>
            <w:r>
              <w:rPr>
                <w:sz w:val="16"/>
                <w:szCs w:val="16"/>
                <w:lang w:val="en-GB"/>
              </w:rPr>
              <w:t>s</w:t>
            </w:r>
            <w:r w:rsidR="009E21D2" w:rsidRPr="005533B9">
              <w:rPr>
                <w:sz w:val="16"/>
                <w:szCs w:val="16"/>
                <w:lang w:val="en-GB"/>
              </w:rPr>
              <w:t>trategy/</w:t>
            </w:r>
            <w:r>
              <w:rPr>
                <w:sz w:val="16"/>
                <w:szCs w:val="16"/>
                <w:lang w:val="en-GB"/>
              </w:rPr>
              <w:t>a</w:t>
            </w:r>
            <w:r w:rsidR="009E21D2" w:rsidRPr="005533B9">
              <w:rPr>
                <w:sz w:val="16"/>
                <w:szCs w:val="16"/>
                <w:lang w:val="en-GB"/>
              </w:rPr>
              <w:t xml:space="preserve">ction </w:t>
            </w:r>
            <w:r>
              <w:rPr>
                <w:sz w:val="16"/>
                <w:szCs w:val="16"/>
                <w:lang w:val="en-GB"/>
              </w:rPr>
              <w:t>p</w:t>
            </w:r>
            <w:r w:rsidR="009E21D2" w:rsidRPr="005533B9">
              <w:rPr>
                <w:sz w:val="16"/>
                <w:szCs w:val="16"/>
                <w:lang w:val="en-GB"/>
              </w:rPr>
              <w:t>lan</w:t>
            </w:r>
            <w:r w:rsidR="009E21D2" w:rsidRPr="0077308D">
              <w:rPr>
                <w:sz w:val="16"/>
                <w:szCs w:val="16"/>
                <w:lang w:val="en-GB"/>
              </w:rPr>
              <w:t xml:space="preserve"> </w:t>
            </w:r>
          </w:p>
        </w:tc>
        <w:tc>
          <w:tcPr>
            <w:tcW w:w="887" w:type="pct"/>
            <w:vMerge w:val="restart"/>
          </w:tcPr>
          <w:p w14:paraId="5D80BB54" w14:textId="77777777" w:rsidR="009E21D2" w:rsidRPr="00D7532D" w:rsidRDefault="009E21D2" w:rsidP="00D7532D">
            <w:pPr>
              <w:contextualSpacing/>
              <w:rPr>
                <w:sz w:val="16"/>
                <w:szCs w:val="16"/>
                <w:lang w:val="en-GB"/>
              </w:rPr>
            </w:pPr>
            <w:r w:rsidRPr="00D7532D">
              <w:rPr>
                <w:sz w:val="16"/>
                <w:szCs w:val="16"/>
                <w:lang w:val="en-GB"/>
              </w:rPr>
              <w:lastRenderedPageBreak/>
              <w:t>Ministry of environment and natural resources</w:t>
            </w:r>
          </w:p>
          <w:p w14:paraId="2E9F668D" w14:textId="1466514A" w:rsidR="009E21D2" w:rsidRPr="00D7532D" w:rsidRDefault="009B591F" w:rsidP="00D7532D">
            <w:pPr>
              <w:contextualSpacing/>
              <w:rPr>
                <w:sz w:val="16"/>
                <w:szCs w:val="16"/>
                <w:lang w:val="en-GB"/>
              </w:rPr>
            </w:pPr>
            <w:r w:rsidRPr="009B591F">
              <w:rPr>
                <w:sz w:val="16"/>
                <w:szCs w:val="16"/>
                <w:lang w:val="en-GB"/>
              </w:rPr>
              <w:t>State Security and Crisis Management Council</w:t>
            </w:r>
            <w:r w:rsidR="009E21D2" w:rsidRPr="00D7532D">
              <w:rPr>
                <w:sz w:val="16"/>
                <w:szCs w:val="16"/>
                <w:lang w:val="en-GB"/>
              </w:rPr>
              <w:t xml:space="preserve"> under the Prime Minister</w:t>
            </w:r>
          </w:p>
          <w:p w14:paraId="342DF6C8" w14:textId="5D0047B7" w:rsidR="009E21D2" w:rsidRPr="009B591F" w:rsidRDefault="009E21D2" w:rsidP="00D7532D">
            <w:pPr>
              <w:contextualSpacing/>
              <w:rPr>
                <w:sz w:val="16"/>
                <w:szCs w:val="16"/>
                <w:lang w:val="en-GB"/>
              </w:rPr>
            </w:pPr>
            <w:r w:rsidRPr="00D7532D">
              <w:rPr>
                <w:sz w:val="16"/>
                <w:szCs w:val="16"/>
                <w:lang w:val="en-GB"/>
              </w:rPr>
              <w:t>Other line ministries</w:t>
            </w:r>
            <w:r w:rsidR="00D7532D">
              <w:rPr>
                <w:sz w:val="16"/>
                <w:szCs w:val="16"/>
                <w:lang w:val="en-GB"/>
              </w:rPr>
              <w:t>,</w:t>
            </w:r>
            <w:r w:rsidRPr="00D7532D">
              <w:rPr>
                <w:sz w:val="16"/>
                <w:szCs w:val="16"/>
                <w:lang w:val="en-GB"/>
              </w:rPr>
              <w:t xml:space="preserve"> as </w:t>
            </w:r>
            <w:r w:rsidRPr="009B591F">
              <w:rPr>
                <w:sz w:val="16"/>
                <w:szCs w:val="16"/>
                <w:lang w:val="en-GB"/>
              </w:rPr>
              <w:t>appropriate</w:t>
            </w:r>
          </w:p>
          <w:p w14:paraId="62611C0A" w14:textId="1B805E6B" w:rsidR="009E21D2" w:rsidRPr="00D7532D" w:rsidRDefault="00F62CEE" w:rsidP="00D7532D">
            <w:pPr>
              <w:contextualSpacing/>
              <w:rPr>
                <w:sz w:val="16"/>
                <w:szCs w:val="16"/>
                <w:lang w:val="en-GB"/>
              </w:rPr>
            </w:pPr>
            <w:r w:rsidRPr="009B591F">
              <w:rPr>
                <w:sz w:val="16"/>
                <w:szCs w:val="16"/>
                <w:lang w:val="en-GB"/>
              </w:rPr>
              <w:t xml:space="preserve">Ministry of Regional Development and Infrastructure </w:t>
            </w:r>
          </w:p>
          <w:p w14:paraId="427D8D1D" w14:textId="77777777" w:rsidR="009E21D2" w:rsidRPr="00D7532D" w:rsidRDefault="009E21D2" w:rsidP="00D7532D">
            <w:pPr>
              <w:contextualSpacing/>
              <w:rPr>
                <w:sz w:val="16"/>
                <w:szCs w:val="16"/>
                <w:lang w:val="en-GB"/>
              </w:rPr>
            </w:pPr>
            <w:r w:rsidRPr="00D7532D">
              <w:rPr>
                <w:sz w:val="16"/>
                <w:szCs w:val="16"/>
                <w:lang w:val="en-GB"/>
              </w:rPr>
              <w:t>Local authorities</w:t>
            </w:r>
          </w:p>
          <w:p w14:paraId="659B7770" w14:textId="77777777" w:rsidR="009E21D2" w:rsidRPr="00D7532D" w:rsidRDefault="009E21D2" w:rsidP="00D7532D">
            <w:pPr>
              <w:contextualSpacing/>
              <w:rPr>
                <w:sz w:val="16"/>
                <w:szCs w:val="16"/>
                <w:lang w:val="en-GB"/>
              </w:rPr>
            </w:pPr>
            <w:r w:rsidRPr="00D7532D">
              <w:rPr>
                <w:sz w:val="16"/>
                <w:szCs w:val="16"/>
                <w:lang w:val="en-GB"/>
              </w:rPr>
              <w:t>Communities at large</w:t>
            </w:r>
          </w:p>
          <w:p w14:paraId="1841DEBA" w14:textId="3B68168D" w:rsidR="009E21D2" w:rsidRPr="00D7532D" w:rsidRDefault="00F62CEE" w:rsidP="00D7532D">
            <w:pPr>
              <w:contextualSpacing/>
              <w:rPr>
                <w:sz w:val="16"/>
                <w:szCs w:val="16"/>
                <w:lang w:val="en-GB"/>
              </w:rPr>
            </w:pPr>
            <w:r w:rsidRPr="009B591F">
              <w:rPr>
                <w:sz w:val="16"/>
                <w:szCs w:val="16"/>
                <w:lang w:val="en-GB"/>
              </w:rPr>
              <w:t xml:space="preserve">Emergency </w:t>
            </w:r>
            <w:r w:rsidR="006F51BC">
              <w:rPr>
                <w:sz w:val="16"/>
                <w:szCs w:val="16"/>
                <w:lang w:val="en-GB"/>
              </w:rPr>
              <w:t>M</w:t>
            </w:r>
            <w:r w:rsidRPr="009B591F">
              <w:rPr>
                <w:sz w:val="16"/>
                <w:szCs w:val="16"/>
                <w:lang w:val="en-GB"/>
              </w:rPr>
              <w:t>anagement Agency/Ministry of Internal Affairs</w:t>
            </w:r>
          </w:p>
          <w:p w14:paraId="320A53A6" w14:textId="77777777" w:rsidR="009E21D2" w:rsidRPr="00D7532D" w:rsidRDefault="009E21D2" w:rsidP="00D7532D">
            <w:pPr>
              <w:contextualSpacing/>
              <w:rPr>
                <w:sz w:val="16"/>
                <w:szCs w:val="16"/>
                <w:lang w:val="en-GB"/>
              </w:rPr>
            </w:pPr>
            <w:r w:rsidRPr="00D7532D">
              <w:rPr>
                <w:sz w:val="16"/>
                <w:szCs w:val="16"/>
                <w:lang w:val="en-GB"/>
              </w:rPr>
              <w:t>Parliamentary committees</w:t>
            </w:r>
          </w:p>
          <w:p w14:paraId="5137C51F" w14:textId="77777777" w:rsidR="009E21D2" w:rsidRPr="00394BB8" w:rsidRDefault="009E21D2" w:rsidP="0072258F">
            <w:pPr>
              <w:rPr>
                <w:iCs/>
                <w:sz w:val="16"/>
                <w:szCs w:val="16"/>
                <w:lang w:val="en-GB"/>
              </w:rPr>
            </w:pPr>
          </w:p>
        </w:tc>
        <w:tc>
          <w:tcPr>
            <w:tcW w:w="806" w:type="pct"/>
            <w:gridSpan w:val="2"/>
            <w:tcMar>
              <w:top w:w="15" w:type="dxa"/>
              <w:left w:w="108" w:type="dxa"/>
              <w:bottom w:w="0" w:type="dxa"/>
              <w:right w:w="108" w:type="dxa"/>
            </w:tcMar>
          </w:tcPr>
          <w:p w14:paraId="6DBFC7C0" w14:textId="77777777" w:rsidR="00755F22" w:rsidRDefault="000B2B8B" w:rsidP="0072258F">
            <w:pPr>
              <w:rPr>
                <w:b/>
                <w:sz w:val="16"/>
                <w:szCs w:val="16"/>
                <w:lang w:val="en-GB"/>
              </w:rPr>
            </w:pPr>
            <w:r w:rsidRPr="00394BB8">
              <w:rPr>
                <w:b/>
                <w:sz w:val="16"/>
                <w:szCs w:val="16"/>
                <w:lang w:val="en-GB"/>
              </w:rPr>
              <w:t>Regular</w:t>
            </w:r>
          </w:p>
          <w:p w14:paraId="022F7D42" w14:textId="30B48296" w:rsidR="00755F22" w:rsidRPr="00956BB5" w:rsidRDefault="00755F22" w:rsidP="00956BB5">
            <w:pPr>
              <w:rPr>
                <w:b/>
                <w:sz w:val="16"/>
                <w:szCs w:val="16"/>
                <w:lang w:val="en-GB"/>
              </w:rPr>
            </w:pPr>
            <w:r>
              <w:rPr>
                <w:b/>
                <w:sz w:val="16"/>
                <w:szCs w:val="16"/>
                <w:lang w:val="en-GB"/>
              </w:rPr>
              <w:t>500</w:t>
            </w:r>
          </w:p>
        </w:tc>
      </w:tr>
      <w:tr w:rsidR="009E21D2" w:rsidRPr="00394BB8" w14:paraId="514BDC4E" w14:textId="77777777" w:rsidTr="00956BB5">
        <w:trPr>
          <w:trHeight w:val="260"/>
        </w:trPr>
        <w:tc>
          <w:tcPr>
            <w:tcW w:w="929" w:type="pct"/>
            <w:vMerge/>
            <w:tcMar>
              <w:top w:w="72" w:type="dxa"/>
              <w:left w:w="144" w:type="dxa"/>
              <w:bottom w:w="72" w:type="dxa"/>
              <w:right w:w="144" w:type="dxa"/>
            </w:tcMar>
          </w:tcPr>
          <w:p w14:paraId="102B5D7E" w14:textId="77777777" w:rsidR="009E21D2" w:rsidRPr="00394BB8" w:rsidRDefault="009E21D2" w:rsidP="0072258F">
            <w:pPr>
              <w:rPr>
                <w:i/>
                <w:iCs/>
                <w:sz w:val="16"/>
                <w:szCs w:val="16"/>
                <w:lang w:val="en-GB"/>
              </w:rPr>
            </w:pPr>
          </w:p>
        </w:tc>
        <w:tc>
          <w:tcPr>
            <w:tcW w:w="945" w:type="pct"/>
            <w:gridSpan w:val="2"/>
            <w:vMerge/>
          </w:tcPr>
          <w:p w14:paraId="6AAE5CE6" w14:textId="77777777" w:rsidR="009E21D2" w:rsidRPr="00394BB8" w:rsidRDefault="009E21D2" w:rsidP="0072258F">
            <w:pPr>
              <w:rPr>
                <w:i/>
                <w:iCs/>
                <w:sz w:val="16"/>
                <w:szCs w:val="16"/>
                <w:lang w:val="en-GB"/>
              </w:rPr>
            </w:pPr>
          </w:p>
        </w:tc>
        <w:tc>
          <w:tcPr>
            <w:tcW w:w="1434" w:type="pct"/>
            <w:vMerge/>
            <w:tcMar>
              <w:top w:w="72" w:type="dxa"/>
              <w:left w:w="144" w:type="dxa"/>
              <w:bottom w:w="72" w:type="dxa"/>
              <w:right w:w="144" w:type="dxa"/>
            </w:tcMar>
          </w:tcPr>
          <w:p w14:paraId="3E2ED140" w14:textId="77777777" w:rsidR="009E21D2" w:rsidRPr="00394BB8" w:rsidRDefault="009E21D2" w:rsidP="0072258F">
            <w:pPr>
              <w:rPr>
                <w:i/>
                <w:iCs/>
                <w:sz w:val="16"/>
                <w:szCs w:val="16"/>
                <w:lang w:val="en-GB"/>
              </w:rPr>
            </w:pPr>
          </w:p>
        </w:tc>
        <w:tc>
          <w:tcPr>
            <w:tcW w:w="887" w:type="pct"/>
            <w:vMerge/>
          </w:tcPr>
          <w:p w14:paraId="251E5B18" w14:textId="77777777" w:rsidR="009E21D2" w:rsidRPr="00394BB8" w:rsidRDefault="009E21D2" w:rsidP="0072258F">
            <w:pPr>
              <w:rPr>
                <w:i/>
                <w:iCs/>
                <w:sz w:val="16"/>
                <w:szCs w:val="16"/>
                <w:lang w:val="en-GB"/>
              </w:rPr>
            </w:pPr>
          </w:p>
        </w:tc>
        <w:tc>
          <w:tcPr>
            <w:tcW w:w="806" w:type="pct"/>
            <w:gridSpan w:val="2"/>
            <w:tcMar>
              <w:top w:w="15" w:type="dxa"/>
              <w:left w:w="108" w:type="dxa"/>
              <w:bottom w:w="0" w:type="dxa"/>
              <w:right w:w="108" w:type="dxa"/>
            </w:tcMar>
          </w:tcPr>
          <w:p w14:paraId="0CD636E8" w14:textId="77777777" w:rsidR="00956BB5" w:rsidRPr="00956BB5" w:rsidRDefault="00956BB5" w:rsidP="00956BB5">
            <w:pPr>
              <w:rPr>
                <w:b/>
                <w:sz w:val="16"/>
                <w:szCs w:val="16"/>
                <w:lang w:val="en-GB"/>
              </w:rPr>
            </w:pPr>
            <w:r w:rsidRPr="00956BB5">
              <w:rPr>
                <w:b/>
                <w:sz w:val="16"/>
                <w:szCs w:val="16"/>
                <w:lang w:val="en-GB"/>
              </w:rPr>
              <w:t xml:space="preserve">Other </w:t>
            </w:r>
          </w:p>
          <w:p w14:paraId="18996F34" w14:textId="1105183C" w:rsidR="009E21D2" w:rsidRPr="00394BB8" w:rsidRDefault="00956BB5" w:rsidP="00956BB5">
            <w:pPr>
              <w:rPr>
                <w:b/>
                <w:sz w:val="16"/>
                <w:szCs w:val="16"/>
                <w:lang w:val="en-GB"/>
              </w:rPr>
            </w:pPr>
            <w:r w:rsidRPr="00956BB5">
              <w:rPr>
                <w:b/>
                <w:sz w:val="16"/>
                <w:szCs w:val="16"/>
                <w:lang w:val="en-GB"/>
              </w:rPr>
              <w:t>2,500</w:t>
            </w:r>
          </w:p>
        </w:tc>
      </w:tr>
      <w:tr w:rsidR="00FB5847" w:rsidRPr="00394BB8" w14:paraId="160287E8" w14:textId="77777777" w:rsidTr="00956BB5">
        <w:trPr>
          <w:trHeight w:val="1680"/>
        </w:trPr>
        <w:tc>
          <w:tcPr>
            <w:tcW w:w="929" w:type="pct"/>
            <w:vMerge/>
            <w:tcMar>
              <w:top w:w="72" w:type="dxa"/>
              <w:left w:w="144" w:type="dxa"/>
              <w:bottom w:w="72" w:type="dxa"/>
              <w:right w:w="144" w:type="dxa"/>
            </w:tcMar>
          </w:tcPr>
          <w:p w14:paraId="664F81F0" w14:textId="77777777" w:rsidR="00FB5847" w:rsidRPr="00394BB8" w:rsidRDefault="00FB5847" w:rsidP="0072258F">
            <w:pPr>
              <w:rPr>
                <w:i/>
                <w:iCs/>
                <w:sz w:val="16"/>
                <w:szCs w:val="16"/>
                <w:lang w:val="en-GB"/>
              </w:rPr>
            </w:pPr>
          </w:p>
        </w:tc>
        <w:tc>
          <w:tcPr>
            <w:tcW w:w="945" w:type="pct"/>
            <w:gridSpan w:val="2"/>
            <w:vMerge/>
          </w:tcPr>
          <w:p w14:paraId="1338B9B8" w14:textId="77777777" w:rsidR="00FB5847" w:rsidRPr="00394BB8" w:rsidRDefault="00FB5847" w:rsidP="0072258F">
            <w:pPr>
              <w:rPr>
                <w:i/>
                <w:iCs/>
                <w:sz w:val="16"/>
                <w:szCs w:val="16"/>
                <w:lang w:val="en-GB"/>
              </w:rPr>
            </w:pPr>
          </w:p>
        </w:tc>
        <w:tc>
          <w:tcPr>
            <w:tcW w:w="1434" w:type="pct"/>
            <w:vMerge/>
            <w:tcMar>
              <w:top w:w="72" w:type="dxa"/>
              <w:left w:w="144" w:type="dxa"/>
              <w:bottom w:w="72" w:type="dxa"/>
              <w:right w:w="144" w:type="dxa"/>
            </w:tcMar>
          </w:tcPr>
          <w:p w14:paraId="0239800B" w14:textId="77777777" w:rsidR="00FB5847" w:rsidRPr="00394BB8" w:rsidRDefault="00FB5847" w:rsidP="0072258F">
            <w:pPr>
              <w:rPr>
                <w:i/>
                <w:iCs/>
                <w:sz w:val="16"/>
                <w:szCs w:val="16"/>
                <w:lang w:val="en-GB"/>
              </w:rPr>
            </w:pPr>
          </w:p>
        </w:tc>
        <w:tc>
          <w:tcPr>
            <w:tcW w:w="887" w:type="pct"/>
            <w:vMerge/>
          </w:tcPr>
          <w:p w14:paraId="72F1E250" w14:textId="77777777" w:rsidR="00FB5847" w:rsidRPr="00394BB8" w:rsidRDefault="00FB5847" w:rsidP="0072258F">
            <w:pPr>
              <w:rPr>
                <w:i/>
                <w:iCs/>
                <w:sz w:val="16"/>
                <w:szCs w:val="16"/>
                <w:lang w:val="en-GB"/>
              </w:rPr>
            </w:pPr>
          </w:p>
        </w:tc>
        <w:tc>
          <w:tcPr>
            <w:tcW w:w="806" w:type="pct"/>
            <w:gridSpan w:val="2"/>
            <w:tcMar>
              <w:top w:w="15" w:type="dxa"/>
              <w:left w:w="108" w:type="dxa"/>
              <w:bottom w:w="0" w:type="dxa"/>
              <w:right w:w="108" w:type="dxa"/>
            </w:tcMar>
          </w:tcPr>
          <w:p w14:paraId="4483F95F" w14:textId="77777777" w:rsidR="00FB5847" w:rsidRPr="00394BB8" w:rsidRDefault="00FB5847" w:rsidP="0072258F">
            <w:pPr>
              <w:rPr>
                <w:b/>
                <w:sz w:val="16"/>
                <w:szCs w:val="16"/>
                <w:lang w:val="en-GB"/>
              </w:rPr>
            </w:pPr>
          </w:p>
        </w:tc>
      </w:tr>
    </w:tbl>
    <w:p w14:paraId="7A249350" w14:textId="77777777" w:rsidR="009E21D2" w:rsidRPr="00394BB8" w:rsidRDefault="009E21D2" w:rsidP="009E21D2">
      <w:pPr>
        <w:rPr>
          <w:lang w:val="en-GB"/>
        </w:rPr>
      </w:pPr>
    </w:p>
    <w:p w14:paraId="68346191" w14:textId="22D23F0E" w:rsidR="009E21D2" w:rsidRPr="00394BB8" w:rsidRDefault="00284627" w:rsidP="009E21D2">
      <w:pPr>
        <w:jc w:val="center"/>
        <w:rPr>
          <w:lang w:val="en-GB"/>
        </w:rPr>
      </w:pPr>
      <w:r w:rsidRPr="00394BB8">
        <w:rPr>
          <w:noProof/>
        </w:rPr>
        <w:drawing>
          <wp:inline distT="0" distB="0" distL="0" distR="0" wp14:anchorId="76C9C5F6" wp14:editId="35BC7251">
            <wp:extent cx="933450" cy="28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28575"/>
                    </a:xfrm>
                    <a:prstGeom prst="rect">
                      <a:avLst/>
                    </a:prstGeom>
                    <a:noFill/>
                  </pic:spPr>
                </pic:pic>
              </a:graphicData>
            </a:graphic>
          </wp:inline>
        </w:drawing>
      </w:r>
    </w:p>
    <w:p w14:paraId="3C8FDB1B" w14:textId="77777777" w:rsidR="009C4B4B" w:rsidRPr="00394BB8" w:rsidRDefault="009C4B4B" w:rsidP="009E21D2">
      <w:pPr>
        <w:pStyle w:val="Heading4"/>
        <w:spacing w:after="120"/>
        <w:rPr>
          <w:lang w:val="en-GB"/>
        </w:rPr>
      </w:pPr>
    </w:p>
    <w:sectPr w:rsidR="009C4B4B" w:rsidRPr="00394BB8" w:rsidSect="00DB50F6">
      <w:headerReference w:type="even" r:id="rId22"/>
      <w:headerReference w:type="default" r:id="rId23"/>
      <w:footerReference w:type="default" r:id="rId24"/>
      <w:pgSz w:w="15840" w:h="12240" w:orient="landscape"/>
      <w:pgMar w:top="1260" w:right="1152" w:bottom="144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FBFD9" w14:textId="77777777" w:rsidR="00EE41A5" w:rsidRDefault="00EE41A5" w:rsidP="00441061">
      <w:r>
        <w:separator/>
      </w:r>
    </w:p>
  </w:endnote>
  <w:endnote w:type="continuationSeparator" w:id="0">
    <w:p w14:paraId="7D121897" w14:textId="77777777" w:rsidR="00EE41A5" w:rsidRDefault="00EE41A5" w:rsidP="00441061">
      <w:r>
        <w:continuationSeparator/>
      </w:r>
    </w:p>
  </w:endnote>
  <w:endnote w:type="continuationNotice" w:id="1">
    <w:p w14:paraId="34808C7A" w14:textId="77777777" w:rsidR="00EE41A5" w:rsidRDefault="00EE4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834180"/>
      <w:docPartObj>
        <w:docPartGallery w:val="Page Numbers (Bottom of Page)"/>
        <w:docPartUnique/>
      </w:docPartObj>
    </w:sdtPr>
    <w:sdtEndPr>
      <w:rPr>
        <w:b/>
        <w:noProof/>
        <w:sz w:val="17"/>
        <w:szCs w:val="17"/>
      </w:rPr>
    </w:sdtEndPr>
    <w:sdtContent>
      <w:p w14:paraId="5C50FECB" w14:textId="0D478584" w:rsidR="006F51BC" w:rsidRPr="00FD726E" w:rsidRDefault="006F51BC" w:rsidP="00FD726E">
        <w:pPr>
          <w:pStyle w:val="Footer"/>
          <w:rPr>
            <w:b/>
            <w:sz w:val="17"/>
            <w:szCs w:val="17"/>
          </w:rPr>
        </w:pPr>
        <w:r w:rsidRPr="00FD726E">
          <w:rPr>
            <w:b/>
            <w:sz w:val="17"/>
            <w:szCs w:val="17"/>
          </w:rPr>
          <w:fldChar w:fldCharType="begin"/>
        </w:r>
        <w:r w:rsidRPr="00FD726E">
          <w:rPr>
            <w:b/>
            <w:sz w:val="17"/>
            <w:szCs w:val="17"/>
          </w:rPr>
          <w:instrText xml:space="preserve"> PAGE   \* MERGEFORMAT </w:instrText>
        </w:r>
        <w:r w:rsidRPr="00FD726E">
          <w:rPr>
            <w:b/>
            <w:sz w:val="17"/>
            <w:szCs w:val="17"/>
          </w:rPr>
          <w:fldChar w:fldCharType="separate"/>
        </w:r>
        <w:r w:rsidR="00234027">
          <w:rPr>
            <w:b/>
            <w:noProof/>
            <w:sz w:val="17"/>
            <w:szCs w:val="17"/>
          </w:rPr>
          <w:t>12</w:t>
        </w:r>
        <w:r w:rsidRPr="00FD726E">
          <w:rPr>
            <w:b/>
            <w:noProof/>
            <w:sz w:val="17"/>
            <w:szCs w:val="17"/>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035104"/>
      <w:docPartObj>
        <w:docPartGallery w:val="Page Numbers (Bottom of Page)"/>
        <w:docPartUnique/>
      </w:docPartObj>
    </w:sdtPr>
    <w:sdtEndPr>
      <w:rPr>
        <w:b/>
        <w:noProof/>
        <w:sz w:val="17"/>
        <w:szCs w:val="17"/>
      </w:rPr>
    </w:sdtEndPr>
    <w:sdtContent>
      <w:p w14:paraId="65A67063" w14:textId="1804B585" w:rsidR="006F51BC" w:rsidRPr="006A6FA5" w:rsidRDefault="006F51BC" w:rsidP="00234027">
        <w:pPr>
          <w:pStyle w:val="Footer"/>
          <w:tabs>
            <w:tab w:val="clear" w:pos="8640"/>
            <w:tab w:val="right" w:pos="8460"/>
          </w:tabs>
          <w:ind w:right="-450"/>
          <w:jc w:val="right"/>
          <w:rPr>
            <w:b/>
            <w:sz w:val="17"/>
            <w:szCs w:val="17"/>
          </w:rPr>
        </w:pPr>
        <w:r w:rsidRPr="006A6FA5">
          <w:rPr>
            <w:b/>
            <w:sz w:val="17"/>
            <w:szCs w:val="17"/>
          </w:rPr>
          <w:fldChar w:fldCharType="begin"/>
        </w:r>
        <w:r w:rsidRPr="006A6FA5">
          <w:rPr>
            <w:b/>
            <w:sz w:val="17"/>
            <w:szCs w:val="17"/>
          </w:rPr>
          <w:instrText xml:space="preserve"> PAGE   \* MERGEFORMAT </w:instrText>
        </w:r>
        <w:r w:rsidRPr="006A6FA5">
          <w:rPr>
            <w:b/>
            <w:sz w:val="17"/>
            <w:szCs w:val="17"/>
          </w:rPr>
          <w:fldChar w:fldCharType="separate"/>
        </w:r>
        <w:r w:rsidR="00234027">
          <w:rPr>
            <w:b/>
            <w:noProof/>
            <w:sz w:val="17"/>
            <w:szCs w:val="17"/>
          </w:rPr>
          <w:t>7</w:t>
        </w:r>
        <w:r w:rsidRPr="006A6FA5">
          <w:rPr>
            <w:b/>
            <w:noProof/>
            <w:sz w:val="17"/>
            <w:szCs w:val="17"/>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739217"/>
      <w:docPartObj>
        <w:docPartGallery w:val="Page Numbers (Bottom of Page)"/>
        <w:docPartUnique/>
      </w:docPartObj>
    </w:sdtPr>
    <w:sdtEndPr>
      <w:rPr>
        <w:b/>
        <w:noProof/>
        <w:sz w:val="17"/>
        <w:szCs w:val="17"/>
      </w:rPr>
    </w:sdtEndPr>
    <w:sdtContent>
      <w:p w14:paraId="0A7F6285" w14:textId="77777777" w:rsidR="00234027" w:rsidRPr="006A6FA5" w:rsidRDefault="00234027" w:rsidP="00234027">
        <w:pPr>
          <w:pStyle w:val="Footer"/>
          <w:tabs>
            <w:tab w:val="clear" w:pos="8640"/>
            <w:tab w:val="right" w:pos="8460"/>
          </w:tabs>
          <w:ind w:right="306"/>
          <w:jc w:val="right"/>
          <w:rPr>
            <w:b/>
            <w:sz w:val="17"/>
            <w:szCs w:val="17"/>
          </w:rPr>
        </w:pPr>
        <w:r w:rsidRPr="006A6FA5">
          <w:rPr>
            <w:b/>
            <w:sz w:val="17"/>
            <w:szCs w:val="17"/>
          </w:rPr>
          <w:fldChar w:fldCharType="begin"/>
        </w:r>
        <w:r w:rsidRPr="006A6FA5">
          <w:rPr>
            <w:b/>
            <w:sz w:val="17"/>
            <w:szCs w:val="17"/>
          </w:rPr>
          <w:instrText xml:space="preserve"> PAGE   \* MERGEFORMAT </w:instrText>
        </w:r>
        <w:r w:rsidRPr="006A6FA5">
          <w:rPr>
            <w:b/>
            <w:sz w:val="17"/>
            <w:szCs w:val="17"/>
          </w:rPr>
          <w:fldChar w:fldCharType="separate"/>
        </w:r>
        <w:r>
          <w:rPr>
            <w:b/>
            <w:noProof/>
            <w:sz w:val="17"/>
            <w:szCs w:val="17"/>
          </w:rPr>
          <w:t>13</w:t>
        </w:r>
        <w:r w:rsidRPr="006A6FA5">
          <w:rPr>
            <w:b/>
            <w:noProof/>
            <w:sz w:val="17"/>
            <w:szCs w:val="17"/>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6C06F" w14:textId="77777777" w:rsidR="00EE41A5" w:rsidRDefault="00EE41A5" w:rsidP="00441061">
      <w:r>
        <w:separator/>
      </w:r>
    </w:p>
  </w:footnote>
  <w:footnote w:type="continuationSeparator" w:id="0">
    <w:p w14:paraId="0DBF0D33" w14:textId="77777777" w:rsidR="00EE41A5" w:rsidRDefault="00EE41A5" w:rsidP="00441061">
      <w:r>
        <w:continuationSeparator/>
      </w:r>
    </w:p>
  </w:footnote>
  <w:footnote w:type="continuationNotice" w:id="1">
    <w:p w14:paraId="042BE1BC" w14:textId="77777777" w:rsidR="00EE41A5" w:rsidRDefault="00EE41A5"/>
  </w:footnote>
  <w:footnote w:id="2">
    <w:p w14:paraId="363E7521" w14:textId="0B7A1E47" w:rsidR="006F51BC" w:rsidRPr="008B1AEE" w:rsidRDefault="006F51BC" w:rsidP="001A2475">
      <w:pPr>
        <w:pStyle w:val="FootnoteText"/>
        <w:tabs>
          <w:tab w:val="left" w:pos="0"/>
        </w:tabs>
      </w:pPr>
      <w:r w:rsidRPr="0087219F">
        <w:rPr>
          <w:rStyle w:val="FootnoteReference"/>
          <w:rFonts w:ascii="Times New Roman" w:hAnsi="Times New Roman"/>
          <w:sz w:val="16"/>
          <w:szCs w:val="16"/>
        </w:rPr>
        <w:footnoteRef/>
      </w:r>
      <w:r>
        <w:rPr>
          <w:rFonts w:ascii="Times New Roman" w:hAnsi="Times New Roman"/>
          <w:sz w:val="16"/>
          <w:szCs w:val="16"/>
        </w:rPr>
        <w:t xml:space="preserve"> </w:t>
      </w:r>
      <w:r w:rsidRPr="008B1AEE">
        <w:rPr>
          <w:rFonts w:ascii="Times New Roman" w:hAnsi="Times New Roman"/>
          <w:sz w:val="16"/>
          <w:szCs w:val="16"/>
        </w:rPr>
        <w:t>Statement of the Government of Georgia</w:t>
      </w:r>
      <w:r>
        <w:rPr>
          <w:rFonts w:ascii="Times New Roman" w:hAnsi="Times New Roman"/>
          <w:sz w:val="16"/>
          <w:szCs w:val="16"/>
        </w:rPr>
        <w:t>,</w:t>
      </w:r>
      <w:r w:rsidRPr="008B1AEE">
        <w:rPr>
          <w:rFonts w:ascii="Times New Roman" w:hAnsi="Times New Roman"/>
          <w:sz w:val="16"/>
          <w:szCs w:val="16"/>
        </w:rPr>
        <w:t xml:space="preserve"> Third U</w:t>
      </w:r>
      <w:r>
        <w:rPr>
          <w:rFonts w:ascii="Times New Roman" w:hAnsi="Times New Roman"/>
          <w:sz w:val="16"/>
          <w:szCs w:val="16"/>
        </w:rPr>
        <w:t>nited Nations</w:t>
      </w:r>
      <w:r w:rsidRPr="008B1AEE">
        <w:rPr>
          <w:rFonts w:ascii="Times New Roman" w:hAnsi="Times New Roman"/>
          <w:sz w:val="16"/>
          <w:szCs w:val="16"/>
        </w:rPr>
        <w:t xml:space="preserve"> World Conference on Disaster Risk Reduction, March 2015, Sendai, Japan, http://www.preventionweb.net/files/globalplatform/georgiafinal.pdf</w:t>
      </w:r>
    </w:p>
  </w:footnote>
  <w:footnote w:id="3">
    <w:p w14:paraId="631F6071" w14:textId="034D54EB" w:rsidR="006F51BC" w:rsidRDefault="006F51BC" w:rsidP="001A2475">
      <w:pPr>
        <w:pStyle w:val="FootnoteText"/>
        <w:ind w:left="720" w:hanging="720"/>
        <w:rPr>
          <w:rFonts w:ascii="Times New Roman" w:hAnsi="Times New Roman"/>
          <w:sz w:val="16"/>
          <w:szCs w:val="16"/>
        </w:rPr>
      </w:pPr>
      <w:r w:rsidRPr="008B1AEE">
        <w:rPr>
          <w:rStyle w:val="FootnoteReference"/>
          <w:rFonts w:ascii="Times New Roman" w:hAnsi="Times New Roman"/>
          <w:sz w:val="16"/>
          <w:szCs w:val="16"/>
        </w:rPr>
        <w:footnoteRef/>
      </w:r>
      <w:r w:rsidRPr="008B1AEE">
        <w:rPr>
          <w:rFonts w:ascii="Times New Roman" w:hAnsi="Times New Roman"/>
          <w:sz w:val="16"/>
          <w:szCs w:val="16"/>
        </w:rPr>
        <w:t xml:space="preserve"> I</w:t>
      </w:r>
      <w:r>
        <w:rPr>
          <w:rFonts w:ascii="Times New Roman" w:hAnsi="Times New Roman"/>
          <w:sz w:val="16"/>
          <w:szCs w:val="16"/>
        </w:rPr>
        <w:t>ndex for Risk Management</w:t>
      </w:r>
      <w:r w:rsidRPr="008B1AEE">
        <w:rPr>
          <w:rFonts w:ascii="Times New Roman" w:hAnsi="Times New Roman"/>
          <w:sz w:val="16"/>
          <w:szCs w:val="16"/>
        </w:rPr>
        <w:t xml:space="preserve"> </w:t>
      </w:r>
      <w:r>
        <w:rPr>
          <w:rFonts w:ascii="Times New Roman" w:hAnsi="Times New Roman"/>
          <w:sz w:val="16"/>
          <w:szCs w:val="16"/>
        </w:rPr>
        <w:t>c</w:t>
      </w:r>
      <w:r w:rsidRPr="008B1AEE">
        <w:rPr>
          <w:rFonts w:ascii="Times New Roman" w:hAnsi="Times New Roman"/>
          <w:sz w:val="16"/>
          <w:szCs w:val="16"/>
        </w:rPr>
        <w:t xml:space="preserve">ountry </w:t>
      </w:r>
      <w:r>
        <w:rPr>
          <w:rFonts w:ascii="Times New Roman" w:hAnsi="Times New Roman"/>
          <w:sz w:val="16"/>
          <w:szCs w:val="16"/>
        </w:rPr>
        <w:t>r</w:t>
      </w:r>
      <w:r w:rsidRPr="008B1AEE">
        <w:rPr>
          <w:rFonts w:ascii="Times New Roman" w:hAnsi="Times New Roman"/>
          <w:sz w:val="16"/>
          <w:szCs w:val="16"/>
        </w:rPr>
        <w:t xml:space="preserve">isk </w:t>
      </w:r>
      <w:r>
        <w:rPr>
          <w:rFonts w:ascii="Times New Roman" w:hAnsi="Times New Roman"/>
          <w:sz w:val="16"/>
          <w:szCs w:val="16"/>
        </w:rPr>
        <w:t>p</w:t>
      </w:r>
      <w:r w:rsidRPr="008B1AEE">
        <w:rPr>
          <w:rFonts w:ascii="Times New Roman" w:hAnsi="Times New Roman"/>
          <w:sz w:val="16"/>
          <w:szCs w:val="16"/>
        </w:rPr>
        <w:t>rofile</w:t>
      </w:r>
      <w:r>
        <w:rPr>
          <w:rFonts w:ascii="Times New Roman" w:hAnsi="Times New Roman"/>
          <w:sz w:val="16"/>
          <w:szCs w:val="16"/>
        </w:rPr>
        <w:t>,</w:t>
      </w:r>
      <w:r w:rsidRPr="008B1AEE">
        <w:rPr>
          <w:rFonts w:ascii="Times New Roman" w:hAnsi="Times New Roman"/>
          <w:sz w:val="16"/>
          <w:szCs w:val="16"/>
        </w:rPr>
        <w:t xml:space="preserve"> 2015</w:t>
      </w:r>
      <w:r>
        <w:rPr>
          <w:rFonts w:ascii="Times New Roman" w:hAnsi="Times New Roman"/>
          <w:sz w:val="16"/>
          <w:szCs w:val="16"/>
        </w:rPr>
        <w:t>,</w:t>
      </w:r>
      <w:r w:rsidRPr="008B1AEE">
        <w:rPr>
          <w:rFonts w:ascii="Times New Roman" w:hAnsi="Times New Roman"/>
          <w:sz w:val="16"/>
          <w:szCs w:val="16"/>
        </w:rPr>
        <w:t xml:space="preserve"> www.inform-index.org/Portals/0/Inform/2015/country_profiles/</w:t>
      </w:r>
    </w:p>
    <w:p w14:paraId="152047F6" w14:textId="45C3BF4B" w:rsidR="006F51BC" w:rsidRPr="00B2592F" w:rsidRDefault="006F51BC" w:rsidP="001A2475">
      <w:pPr>
        <w:pStyle w:val="FootnoteText"/>
        <w:ind w:left="720" w:hanging="720"/>
        <w:rPr>
          <w:rFonts w:ascii="Times New Roman" w:hAnsi="Times New Roman"/>
          <w:sz w:val="16"/>
          <w:szCs w:val="16"/>
        </w:rPr>
      </w:pPr>
      <w:r w:rsidRPr="008B1AEE">
        <w:rPr>
          <w:rFonts w:ascii="Times New Roman" w:hAnsi="Times New Roman"/>
          <w:sz w:val="16"/>
          <w:szCs w:val="16"/>
        </w:rPr>
        <w:t>GEO.pdf</w:t>
      </w:r>
    </w:p>
  </w:footnote>
  <w:footnote w:id="4">
    <w:p w14:paraId="12755B19" w14:textId="77777777" w:rsidR="006F51BC" w:rsidRPr="00E9082B" w:rsidRDefault="006F51BC" w:rsidP="009E21D2">
      <w:pPr>
        <w:pStyle w:val="FootnoteText"/>
        <w:rPr>
          <w:rFonts w:ascii="Times New Roman" w:hAnsi="Times New Roman"/>
          <w:sz w:val="14"/>
          <w:szCs w:val="14"/>
        </w:rPr>
      </w:pPr>
      <w:r w:rsidRPr="00E9082B">
        <w:rPr>
          <w:rStyle w:val="FootnoteReference"/>
          <w:rFonts w:ascii="Times New Roman" w:hAnsi="Times New Roman"/>
          <w:sz w:val="14"/>
          <w:szCs w:val="14"/>
        </w:rPr>
        <w:footnoteRef/>
      </w:r>
      <w:r w:rsidRPr="00E9082B">
        <w:rPr>
          <w:rFonts w:ascii="Times New Roman" w:hAnsi="Times New Roman"/>
          <w:sz w:val="14"/>
          <w:szCs w:val="14"/>
        </w:rPr>
        <w:t xml:space="preserve"> http://government.gov.ge/files/41_35183_108931_4.pdf</w:t>
      </w:r>
    </w:p>
  </w:footnote>
  <w:footnote w:id="5">
    <w:p w14:paraId="3B34806F" w14:textId="750856D0" w:rsidR="006F51BC" w:rsidRPr="00E9082B" w:rsidRDefault="006F51BC" w:rsidP="009E21D2">
      <w:pPr>
        <w:rPr>
          <w:sz w:val="14"/>
          <w:szCs w:val="14"/>
        </w:rPr>
      </w:pPr>
      <w:r w:rsidRPr="00E9082B">
        <w:rPr>
          <w:rStyle w:val="FootnoteReference"/>
          <w:sz w:val="14"/>
          <w:szCs w:val="14"/>
        </w:rPr>
        <w:footnoteRef/>
      </w:r>
      <w:r w:rsidRPr="00E9082B">
        <w:rPr>
          <w:sz w:val="14"/>
          <w:szCs w:val="14"/>
        </w:rPr>
        <w:t xml:space="preserve"> Also refers to measurement progress in outcome 2. By 2020 all living in Georgia - including minorities, people with disabilities, vulnerable women, migrants, internally displaced persons and persons in need of international protection – have trust in and improved access to the justice system, which is </w:t>
      </w:r>
      <w:r w:rsidRPr="00E9082B">
        <w:rPr>
          <w:bCs/>
          <w:iCs/>
          <w:sz w:val="14"/>
          <w:szCs w:val="14"/>
        </w:rPr>
        <w:t xml:space="preserve">child-friendly, </w:t>
      </w:r>
      <w:r w:rsidRPr="00E9082B">
        <w:rPr>
          <w:sz w:val="14"/>
          <w:szCs w:val="14"/>
        </w:rPr>
        <w:t xml:space="preserve">enforces national strategies and operates in accordance with United Nations human rights standards. </w:t>
      </w:r>
    </w:p>
    <w:p w14:paraId="682FFE8F" w14:textId="77777777" w:rsidR="006F51BC" w:rsidRPr="00FA5B9A" w:rsidRDefault="006F51BC" w:rsidP="009E21D2">
      <w:pPr>
        <w:pStyle w:val="FootnoteText"/>
        <w:rPr>
          <w:sz w:val="14"/>
          <w:szCs w:val="14"/>
        </w:rPr>
      </w:pPr>
    </w:p>
  </w:footnote>
  <w:footnote w:id="6">
    <w:p w14:paraId="1445A4CB" w14:textId="2C63CD2C" w:rsidR="006F51BC" w:rsidRPr="00C831CA" w:rsidRDefault="006F51BC" w:rsidP="009E21D2">
      <w:pPr>
        <w:pStyle w:val="FootnoteText"/>
        <w:rPr>
          <w:rFonts w:ascii="Times New Roman" w:hAnsi="Times New Roman"/>
          <w:sz w:val="14"/>
          <w:szCs w:val="14"/>
        </w:rPr>
      </w:pPr>
      <w:r w:rsidRPr="00C831CA">
        <w:rPr>
          <w:rStyle w:val="FootnoteReference"/>
          <w:rFonts w:ascii="Times New Roman" w:hAnsi="Times New Roman"/>
          <w:sz w:val="14"/>
          <w:szCs w:val="14"/>
        </w:rPr>
        <w:footnoteRef/>
      </w:r>
      <w:r w:rsidRPr="00C831CA">
        <w:rPr>
          <w:rFonts w:ascii="Times New Roman" w:hAnsi="Times New Roman"/>
          <w:sz w:val="14"/>
          <w:szCs w:val="14"/>
        </w:rPr>
        <w:t xml:space="preserve"> Socio-Economic Development Strategy, Georgia 2020, Ministry of Economy and Sustainable Development. http://www.economy.ge/uploads/news/giorgi_kvirikashvili/Strategy2020.pdf</w:t>
      </w:r>
    </w:p>
  </w:footnote>
  <w:footnote w:id="7">
    <w:p w14:paraId="4ECFC85A" w14:textId="7347FF35" w:rsidR="006F51BC" w:rsidRPr="00B03AD1" w:rsidRDefault="006F51BC" w:rsidP="009E21D2">
      <w:pPr>
        <w:pStyle w:val="FootnoteText"/>
        <w:rPr>
          <w:rFonts w:ascii="Times New Roman" w:hAnsi="Times New Roman"/>
          <w:sz w:val="16"/>
          <w:szCs w:val="16"/>
        </w:rPr>
      </w:pPr>
      <w:r w:rsidRPr="00C831CA">
        <w:rPr>
          <w:rStyle w:val="FootnoteReference"/>
          <w:rFonts w:ascii="Times New Roman" w:hAnsi="Times New Roman"/>
          <w:sz w:val="14"/>
          <w:szCs w:val="14"/>
        </w:rPr>
        <w:footnoteRef/>
      </w:r>
      <w:r w:rsidRPr="00C831CA">
        <w:rPr>
          <w:rFonts w:ascii="Times New Roman" w:hAnsi="Times New Roman"/>
          <w:sz w:val="14"/>
          <w:szCs w:val="14"/>
        </w:rPr>
        <w:t xml:space="preserve"> Includes minorities, people with disabilities, women, youth, rural poor, migrants, internally displaced persons and persons in need of international protection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78" w:type="dxa"/>
      <w:tblBorders>
        <w:bottom w:val="single" w:sz="4" w:space="0" w:color="auto"/>
      </w:tblBorders>
      <w:tblLayout w:type="fixed"/>
      <w:tblCellMar>
        <w:left w:w="0" w:type="dxa"/>
        <w:right w:w="0" w:type="dxa"/>
      </w:tblCellMar>
      <w:tblLook w:val="0000" w:firstRow="0" w:lastRow="0" w:firstColumn="0" w:lastColumn="0" w:noHBand="0" w:noVBand="0"/>
    </w:tblPr>
    <w:tblGrid>
      <w:gridCol w:w="4523"/>
      <w:gridCol w:w="4855"/>
    </w:tblGrid>
    <w:tr w:rsidR="006F51BC" w:rsidRPr="00BC1B28" w14:paraId="103201CB" w14:textId="77777777" w:rsidTr="00FD7F7B">
      <w:trPr>
        <w:trHeight w:val="387"/>
      </w:trPr>
      <w:tc>
        <w:tcPr>
          <w:tcW w:w="4523" w:type="dxa"/>
          <w:vAlign w:val="bottom"/>
        </w:tcPr>
        <w:p w14:paraId="23FE6A72" w14:textId="5B14BF50" w:rsidR="006F51BC" w:rsidRPr="00BC1B28" w:rsidRDefault="006F51BC" w:rsidP="00FD726E">
          <w:pPr>
            <w:widowControl w:val="0"/>
            <w:tabs>
              <w:tab w:val="center" w:pos="4320"/>
              <w:tab w:val="right" w:pos="8640"/>
            </w:tabs>
            <w:spacing w:after="80"/>
            <w:rPr>
              <w:b/>
              <w:sz w:val="17"/>
              <w:szCs w:val="17"/>
              <w:lang w:val="en-GB"/>
            </w:rPr>
          </w:pPr>
          <w:r w:rsidRPr="00BC1B28">
            <w:rPr>
              <w:b/>
              <w:sz w:val="17"/>
              <w:szCs w:val="17"/>
              <w:lang w:val="en-GB"/>
            </w:rPr>
            <w:t>DP/DCP/</w:t>
          </w:r>
          <w:r>
            <w:rPr>
              <w:b/>
              <w:sz w:val="17"/>
              <w:szCs w:val="17"/>
              <w:lang w:val="en-GB"/>
            </w:rPr>
            <w:t>GEO/3</w:t>
          </w:r>
        </w:p>
      </w:tc>
      <w:tc>
        <w:tcPr>
          <w:tcW w:w="4855" w:type="dxa"/>
          <w:vAlign w:val="bottom"/>
        </w:tcPr>
        <w:p w14:paraId="72465B85" w14:textId="77777777" w:rsidR="006F51BC" w:rsidRPr="00BC1B28" w:rsidRDefault="006F51BC" w:rsidP="00FD7F7B">
          <w:pPr>
            <w:widowControl w:val="0"/>
            <w:tabs>
              <w:tab w:val="center" w:pos="4320"/>
              <w:tab w:val="right" w:pos="8640"/>
            </w:tabs>
            <w:rPr>
              <w:sz w:val="17"/>
              <w:szCs w:val="17"/>
              <w:lang w:val="en-GB"/>
            </w:rPr>
          </w:pPr>
        </w:p>
      </w:tc>
    </w:tr>
  </w:tbl>
  <w:p w14:paraId="6C94F7E5" w14:textId="77777777" w:rsidR="006F51BC" w:rsidRDefault="006F5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78" w:type="dxa"/>
      <w:tblBorders>
        <w:bottom w:val="single" w:sz="4" w:space="0" w:color="auto"/>
      </w:tblBorders>
      <w:tblLayout w:type="fixed"/>
      <w:tblCellMar>
        <w:left w:w="0" w:type="dxa"/>
        <w:right w:w="0" w:type="dxa"/>
      </w:tblCellMar>
      <w:tblLook w:val="0000" w:firstRow="0" w:lastRow="0" w:firstColumn="0" w:lastColumn="0" w:noHBand="0" w:noVBand="0"/>
    </w:tblPr>
    <w:tblGrid>
      <w:gridCol w:w="4523"/>
      <w:gridCol w:w="4855"/>
    </w:tblGrid>
    <w:tr w:rsidR="006F51BC" w:rsidRPr="003941E1" w14:paraId="225FBFE4" w14:textId="77777777" w:rsidTr="00FD7F7B">
      <w:trPr>
        <w:trHeight w:val="387"/>
      </w:trPr>
      <w:tc>
        <w:tcPr>
          <w:tcW w:w="4523" w:type="dxa"/>
          <w:vAlign w:val="bottom"/>
        </w:tcPr>
        <w:p w14:paraId="4402554E" w14:textId="77777777" w:rsidR="006F51BC" w:rsidRPr="003941E1" w:rsidRDefault="006F51BC" w:rsidP="00FD7F7B">
          <w:pPr>
            <w:widowControl w:val="0"/>
            <w:tabs>
              <w:tab w:val="center" w:pos="4320"/>
              <w:tab w:val="right" w:pos="8640"/>
            </w:tabs>
            <w:spacing w:after="80"/>
            <w:rPr>
              <w:b/>
              <w:sz w:val="17"/>
              <w:szCs w:val="17"/>
              <w:lang w:val="en-GB"/>
            </w:rPr>
          </w:pPr>
        </w:p>
      </w:tc>
      <w:tc>
        <w:tcPr>
          <w:tcW w:w="4855" w:type="dxa"/>
          <w:vAlign w:val="bottom"/>
        </w:tcPr>
        <w:p w14:paraId="288F73F1" w14:textId="73C5E1B5" w:rsidR="006F51BC" w:rsidRPr="003941E1" w:rsidRDefault="006F51BC" w:rsidP="006A6FA5">
          <w:pPr>
            <w:widowControl w:val="0"/>
            <w:tabs>
              <w:tab w:val="center" w:pos="4320"/>
              <w:tab w:val="right" w:pos="8640"/>
            </w:tabs>
            <w:jc w:val="right"/>
            <w:rPr>
              <w:sz w:val="17"/>
              <w:szCs w:val="17"/>
              <w:lang w:val="en-GB"/>
            </w:rPr>
          </w:pPr>
          <w:r>
            <w:rPr>
              <w:b/>
              <w:sz w:val="17"/>
              <w:szCs w:val="17"/>
              <w:lang w:val="en-GB"/>
            </w:rPr>
            <w:t>DP/DCP/GEO</w:t>
          </w:r>
          <w:r w:rsidRPr="003941E1">
            <w:rPr>
              <w:b/>
              <w:sz w:val="17"/>
              <w:szCs w:val="17"/>
              <w:lang w:val="en-GB"/>
            </w:rPr>
            <w:t>/</w:t>
          </w:r>
          <w:r>
            <w:rPr>
              <w:b/>
              <w:sz w:val="17"/>
              <w:szCs w:val="17"/>
              <w:lang w:val="en-GB"/>
            </w:rPr>
            <w:t>3</w:t>
          </w:r>
        </w:p>
      </w:tc>
    </w:tr>
  </w:tbl>
  <w:p w14:paraId="03504B23" w14:textId="77777777" w:rsidR="006F51BC" w:rsidRDefault="006F51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521"/>
    </w:tblGrid>
    <w:tr w:rsidR="006F51BC" w:rsidRPr="007228CD" w14:paraId="0131110E" w14:textId="77777777" w:rsidTr="00FD7F7B">
      <w:trPr>
        <w:trHeight w:hRule="exact" w:val="864"/>
      </w:trPr>
      <w:tc>
        <w:tcPr>
          <w:tcW w:w="1267" w:type="dxa"/>
          <w:tcBorders>
            <w:top w:val="nil"/>
            <w:left w:val="nil"/>
            <w:bottom w:val="nil"/>
            <w:right w:val="nil"/>
          </w:tcBorders>
          <w:vAlign w:val="bottom"/>
        </w:tcPr>
        <w:p w14:paraId="02090DEA" w14:textId="77777777" w:rsidR="006F51BC" w:rsidRPr="00DC3F28" w:rsidRDefault="006F51BC" w:rsidP="00FD7F7B">
          <w:pPr>
            <w:pStyle w:val="Header"/>
            <w:spacing w:after="120"/>
            <w:rPr>
              <w:rFonts w:ascii="Times New Roman" w:hAnsi="Times New Roman"/>
            </w:rPr>
          </w:pPr>
        </w:p>
      </w:tc>
      <w:tc>
        <w:tcPr>
          <w:tcW w:w="1872" w:type="dxa"/>
          <w:tcBorders>
            <w:top w:val="nil"/>
            <w:left w:val="nil"/>
            <w:bottom w:val="nil"/>
            <w:right w:val="nil"/>
          </w:tcBorders>
          <w:vAlign w:val="bottom"/>
        </w:tcPr>
        <w:p w14:paraId="30678115" w14:textId="77777777" w:rsidR="006F51BC" w:rsidRPr="007228CD" w:rsidRDefault="006F51BC" w:rsidP="00FD7F7B">
          <w:pPr>
            <w:pStyle w:val="HCh"/>
            <w:spacing w:after="80"/>
            <w:rPr>
              <w:b w:val="0"/>
              <w:spacing w:val="2"/>
              <w:w w:val="96"/>
            </w:rPr>
          </w:pPr>
          <w:r w:rsidRPr="007228CD">
            <w:rPr>
              <w:b w:val="0"/>
              <w:spacing w:val="2"/>
              <w:w w:val="96"/>
            </w:rPr>
            <w:t>United Nations</w:t>
          </w:r>
        </w:p>
      </w:tc>
      <w:tc>
        <w:tcPr>
          <w:tcW w:w="245" w:type="dxa"/>
          <w:tcBorders>
            <w:top w:val="nil"/>
            <w:left w:val="nil"/>
            <w:bottom w:val="nil"/>
            <w:right w:val="nil"/>
          </w:tcBorders>
          <w:vAlign w:val="bottom"/>
        </w:tcPr>
        <w:p w14:paraId="0DCFC984" w14:textId="77777777" w:rsidR="006F51BC" w:rsidRPr="007228CD" w:rsidRDefault="006F51BC" w:rsidP="00FD7F7B">
          <w:pPr>
            <w:pStyle w:val="Header"/>
            <w:spacing w:after="120"/>
            <w:rPr>
              <w:rFonts w:ascii="Times New Roman" w:hAnsi="Times New Roman"/>
            </w:rPr>
          </w:pPr>
        </w:p>
      </w:tc>
      <w:tc>
        <w:tcPr>
          <w:tcW w:w="6876" w:type="dxa"/>
          <w:gridSpan w:val="3"/>
          <w:tcBorders>
            <w:top w:val="nil"/>
            <w:left w:val="nil"/>
            <w:bottom w:val="nil"/>
            <w:right w:val="nil"/>
          </w:tcBorders>
          <w:vAlign w:val="bottom"/>
        </w:tcPr>
        <w:p w14:paraId="777290FC" w14:textId="79A7BDD9" w:rsidR="006F51BC" w:rsidRPr="007228CD" w:rsidRDefault="006F51BC" w:rsidP="001F1FC3">
          <w:pPr>
            <w:spacing w:after="80"/>
            <w:jc w:val="right"/>
            <w:rPr>
              <w:position w:val="-4"/>
            </w:rPr>
          </w:pPr>
          <w:r w:rsidRPr="007228CD">
            <w:rPr>
              <w:position w:val="-4"/>
              <w:sz w:val="40"/>
            </w:rPr>
            <w:t>DP</w:t>
          </w:r>
          <w:r w:rsidRPr="007228CD">
            <w:rPr>
              <w:position w:val="-4"/>
            </w:rPr>
            <w:t>/DCP/</w:t>
          </w:r>
          <w:r>
            <w:rPr>
              <w:position w:val="-4"/>
            </w:rPr>
            <w:t>GEO/3</w:t>
          </w:r>
        </w:p>
      </w:tc>
    </w:tr>
    <w:tr w:rsidR="006F51BC" w:rsidRPr="007228CD" w14:paraId="738ACD1B" w14:textId="77777777" w:rsidTr="00FD7F7B">
      <w:trPr>
        <w:trHeight w:hRule="exact" w:val="2880"/>
      </w:trPr>
      <w:tc>
        <w:tcPr>
          <w:tcW w:w="1267" w:type="dxa"/>
          <w:tcBorders>
            <w:top w:val="single" w:sz="4" w:space="0" w:color="auto"/>
            <w:left w:val="nil"/>
            <w:bottom w:val="single" w:sz="12" w:space="0" w:color="auto"/>
            <w:right w:val="nil"/>
          </w:tcBorders>
        </w:tcPr>
        <w:p w14:paraId="52680327" w14:textId="77777777" w:rsidR="006F51BC" w:rsidRPr="007228CD" w:rsidRDefault="006F51BC" w:rsidP="00FD7F7B">
          <w:pPr>
            <w:pStyle w:val="Header"/>
            <w:spacing w:before="109"/>
            <w:rPr>
              <w:rFonts w:ascii="Times New Roman" w:hAnsi="Times New Roman"/>
            </w:rPr>
          </w:pPr>
          <w:r w:rsidRPr="007228CD">
            <w:rPr>
              <w:rFonts w:ascii="Times New Roman" w:hAnsi="Times New Roman"/>
              <w:noProof/>
              <w:lang w:val="en-US" w:eastAsia="en-US"/>
            </w:rPr>
            <w:drawing>
              <wp:inline distT="0" distB="0" distL="0" distR="0" wp14:anchorId="2EEB88FC" wp14:editId="1CF2EEE9">
                <wp:extent cx="716280" cy="586740"/>
                <wp:effectExtent l="0" t="0" r="7620" b="3810"/>
                <wp:docPr id="4" name="Picture 4"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p w14:paraId="7B4DCA6E" w14:textId="77777777" w:rsidR="006F51BC" w:rsidRPr="007228CD" w:rsidRDefault="006F51BC" w:rsidP="00FD7F7B">
          <w:pPr>
            <w:pStyle w:val="Header"/>
            <w:spacing w:before="109"/>
            <w:rPr>
              <w:rFonts w:ascii="Times New Roman" w:hAnsi="Times New Roman"/>
            </w:rPr>
          </w:pPr>
        </w:p>
      </w:tc>
      <w:tc>
        <w:tcPr>
          <w:tcW w:w="5227" w:type="dxa"/>
          <w:gridSpan w:val="3"/>
          <w:tcBorders>
            <w:top w:val="single" w:sz="4" w:space="0" w:color="auto"/>
            <w:left w:val="nil"/>
            <w:bottom w:val="single" w:sz="12" w:space="0" w:color="auto"/>
            <w:right w:val="nil"/>
          </w:tcBorders>
        </w:tcPr>
        <w:p w14:paraId="725BCC67" w14:textId="77777777" w:rsidR="006F51BC" w:rsidRPr="007228CD" w:rsidRDefault="006F51BC" w:rsidP="00FD7F7B">
          <w:pPr>
            <w:pStyle w:val="XLarge"/>
            <w:spacing w:before="109" w:line="330" w:lineRule="exact"/>
            <w:rPr>
              <w:sz w:val="34"/>
            </w:rPr>
          </w:pPr>
          <w:r>
            <w:rPr>
              <w:sz w:val="34"/>
            </w:rPr>
            <w:t>Executive Board of the</w:t>
          </w:r>
          <w:r>
            <w:rPr>
              <w:sz w:val="34"/>
            </w:rPr>
            <w:br/>
            <w:t>United Nations Development</w:t>
          </w:r>
          <w:r>
            <w:rPr>
              <w:sz w:val="34"/>
            </w:rPr>
            <w:br/>
            <w:t>Programme, the United Nations Population Fund and the United Nations Office for Project Services</w:t>
          </w:r>
        </w:p>
      </w:tc>
      <w:tc>
        <w:tcPr>
          <w:tcW w:w="245" w:type="dxa"/>
          <w:tcBorders>
            <w:top w:val="single" w:sz="4" w:space="0" w:color="auto"/>
            <w:left w:val="nil"/>
            <w:bottom w:val="single" w:sz="12" w:space="0" w:color="auto"/>
            <w:right w:val="nil"/>
          </w:tcBorders>
        </w:tcPr>
        <w:p w14:paraId="46BD8194" w14:textId="77777777" w:rsidR="006F51BC" w:rsidRPr="007228CD" w:rsidRDefault="006F51BC" w:rsidP="00FD7F7B">
          <w:pPr>
            <w:pStyle w:val="Header"/>
            <w:spacing w:before="109"/>
            <w:rPr>
              <w:rFonts w:ascii="Times New Roman" w:hAnsi="Times New Roman"/>
            </w:rPr>
          </w:pPr>
        </w:p>
      </w:tc>
      <w:tc>
        <w:tcPr>
          <w:tcW w:w="3521" w:type="dxa"/>
          <w:tcBorders>
            <w:top w:val="single" w:sz="4" w:space="0" w:color="auto"/>
            <w:left w:val="nil"/>
            <w:bottom w:val="single" w:sz="12" w:space="0" w:color="auto"/>
            <w:right w:val="nil"/>
          </w:tcBorders>
        </w:tcPr>
        <w:p w14:paraId="6F20F5D6" w14:textId="77777777" w:rsidR="006F51BC" w:rsidRPr="007228CD" w:rsidRDefault="006F51BC" w:rsidP="00FD7F7B">
          <w:pPr>
            <w:spacing w:before="240"/>
          </w:pPr>
          <w:r w:rsidRPr="007228CD">
            <w:t>Distr.: General</w:t>
          </w:r>
        </w:p>
        <w:p w14:paraId="5E84023C" w14:textId="13D56CAA" w:rsidR="006F51BC" w:rsidRPr="007228CD" w:rsidRDefault="009334CD" w:rsidP="00FD7F7B">
          <w:r>
            <w:t>9</w:t>
          </w:r>
          <w:r w:rsidR="006F51BC">
            <w:t xml:space="preserve"> June 2015</w:t>
          </w:r>
        </w:p>
        <w:p w14:paraId="09569C6E" w14:textId="77777777" w:rsidR="006F51BC" w:rsidRPr="007228CD" w:rsidRDefault="006F51BC" w:rsidP="00FD7F7B"/>
        <w:p w14:paraId="5ABBD943" w14:textId="25E6D6C4" w:rsidR="006F51BC" w:rsidRPr="007228CD" w:rsidRDefault="006F51BC" w:rsidP="009334CD">
          <w:r w:rsidRPr="007228CD">
            <w:t xml:space="preserve">Original: </w:t>
          </w:r>
          <w:r w:rsidR="009334CD">
            <w:t>English</w:t>
          </w:r>
        </w:p>
      </w:tc>
    </w:tr>
  </w:tbl>
  <w:p w14:paraId="4FDDC797" w14:textId="77777777" w:rsidR="006F51BC" w:rsidRPr="006F51BC" w:rsidRDefault="006F51BC">
    <w:pPr>
      <w:pStyle w:val="Header"/>
      <w:rPr>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0EBD" w14:textId="77777777" w:rsidR="006F51BC" w:rsidRDefault="006F51BC">
    <w:pPr>
      <w:pStyle w:val="Header"/>
    </w:pPr>
    <w:r>
      <w:rPr>
        <w:noProof/>
        <w:lang w:val="en-US" w:eastAsia="en-US"/>
      </w:rPr>
      <mc:AlternateContent>
        <mc:Choice Requires="wps">
          <w:drawing>
            <wp:anchor distT="0" distB="0" distL="114300" distR="114300" simplePos="0" relativeHeight="251659776" behindDoc="0" locked="0" layoutInCell="0" allowOverlap="1" wp14:anchorId="139D8EDA" wp14:editId="1E7DFBCB">
              <wp:simplePos x="0" y="0"/>
              <wp:positionH relativeFrom="column">
                <wp:posOffset>-73025</wp:posOffset>
              </wp:positionH>
              <wp:positionV relativeFrom="paragraph">
                <wp:posOffset>-302895</wp:posOffset>
              </wp:positionV>
              <wp:extent cx="8464550" cy="6400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6F51BC" w:rsidRPr="005841A3" w14:paraId="4B44ED93" w14:textId="77777777">
                            <w:trPr>
                              <w:trHeight w:hRule="exact" w:val="864"/>
                            </w:trPr>
                            <w:tc>
                              <w:tcPr>
                                <w:tcW w:w="4838" w:type="dxa"/>
                                <w:tcBorders>
                                  <w:bottom w:val="single" w:sz="4" w:space="0" w:color="auto"/>
                                </w:tcBorders>
                                <w:vAlign w:val="bottom"/>
                              </w:tcPr>
                              <w:p w14:paraId="560CF465" w14:textId="44857E41" w:rsidR="006F51BC" w:rsidRPr="00842ED7" w:rsidRDefault="006F51BC" w:rsidP="005841A3">
                                <w:pPr>
                                  <w:pStyle w:val="Header"/>
                                  <w:spacing w:after="80"/>
                                  <w:rPr>
                                    <w:rFonts w:ascii="Times New Roman" w:hAnsi="Times New Roman"/>
                                    <w:b/>
                                    <w:sz w:val="17"/>
                                    <w:szCs w:val="17"/>
                                    <w:lang w:val="en-US"/>
                                  </w:rPr>
                                </w:pPr>
                                <w:r w:rsidRPr="007C6F85">
                                  <w:rPr>
                                    <w:rFonts w:ascii="Times New Roman" w:hAnsi="Times New Roman"/>
                                    <w:b/>
                                    <w:sz w:val="17"/>
                                    <w:szCs w:val="17"/>
                                  </w:rPr>
                                  <w:t>DP/DCP/</w:t>
                                </w:r>
                                <w:r>
                                  <w:rPr>
                                    <w:rFonts w:ascii="Times New Roman" w:hAnsi="Times New Roman"/>
                                    <w:b/>
                                    <w:sz w:val="17"/>
                                    <w:szCs w:val="17"/>
                                    <w:lang w:val="en-US"/>
                                  </w:rPr>
                                  <w:t>GEO/3</w:t>
                                </w:r>
                              </w:p>
                            </w:tc>
                            <w:tc>
                              <w:tcPr>
                                <w:tcW w:w="8276" w:type="dxa"/>
                                <w:tcBorders>
                                  <w:bottom w:val="single" w:sz="4" w:space="0" w:color="auto"/>
                                </w:tcBorders>
                                <w:vAlign w:val="bottom"/>
                              </w:tcPr>
                              <w:p w14:paraId="4A08B642" w14:textId="77777777" w:rsidR="006F51BC" w:rsidRPr="007C6F85" w:rsidRDefault="006F51BC">
                                <w:pPr>
                                  <w:pStyle w:val="Header"/>
                                  <w:rPr>
                                    <w:rFonts w:ascii="Times New Roman" w:hAnsi="Times New Roman"/>
                                    <w:sz w:val="17"/>
                                    <w:szCs w:val="17"/>
                                  </w:rPr>
                                </w:pPr>
                              </w:p>
                            </w:tc>
                          </w:tr>
                        </w:tbl>
                        <w:p w14:paraId="2E5AF3F3" w14:textId="77777777" w:rsidR="006F51BC" w:rsidRDefault="006F51BC"/>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39D8EDA" id="_x0000_t202" coordsize="21600,21600" o:spt="202" path="m,l,21600r21600,l21600,xe">
              <v:stroke joinstyle="miter"/>
              <v:path gradientshapeok="t" o:connecttype="rect"/>
            </v:shapetype>
            <v:shape id="Text Box 1" o:spid="_x0000_s1026" type="#_x0000_t202" style="position:absolute;margin-left:-5.75pt;margin-top:-23.85pt;width:666.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6F51BC" w:rsidRPr="005841A3" w14:paraId="4B44ED93" w14:textId="77777777">
                      <w:trPr>
                        <w:trHeight w:hRule="exact" w:val="864"/>
                      </w:trPr>
                      <w:tc>
                        <w:tcPr>
                          <w:tcW w:w="4838" w:type="dxa"/>
                          <w:tcBorders>
                            <w:bottom w:val="single" w:sz="4" w:space="0" w:color="auto"/>
                          </w:tcBorders>
                          <w:vAlign w:val="bottom"/>
                        </w:tcPr>
                        <w:p w14:paraId="560CF465" w14:textId="44857E41" w:rsidR="006F51BC" w:rsidRPr="00842ED7" w:rsidRDefault="006F51BC" w:rsidP="005841A3">
                          <w:pPr>
                            <w:pStyle w:val="Header"/>
                            <w:spacing w:after="80"/>
                            <w:rPr>
                              <w:rFonts w:ascii="Times New Roman" w:hAnsi="Times New Roman"/>
                              <w:b/>
                              <w:sz w:val="17"/>
                              <w:szCs w:val="17"/>
                              <w:lang w:val="en-US"/>
                            </w:rPr>
                          </w:pPr>
                          <w:r w:rsidRPr="007C6F85">
                            <w:rPr>
                              <w:rFonts w:ascii="Times New Roman" w:hAnsi="Times New Roman"/>
                              <w:b/>
                              <w:sz w:val="17"/>
                              <w:szCs w:val="17"/>
                            </w:rPr>
                            <w:t>DP/DCP/</w:t>
                          </w:r>
                          <w:r>
                            <w:rPr>
                              <w:rFonts w:ascii="Times New Roman" w:hAnsi="Times New Roman"/>
                              <w:b/>
                              <w:sz w:val="17"/>
                              <w:szCs w:val="17"/>
                              <w:lang w:val="en-US"/>
                            </w:rPr>
                            <w:t>GEO/3</w:t>
                          </w:r>
                        </w:p>
                      </w:tc>
                      <w:tc>
                        <w:tcPr>
                          <w:tcW w:w="8276" w:type="dxa"/>
                          <w:tcBorders>
                            <w:bottom w:val="single" w:sz="4" w:space="0" w:color="auto"/>
                          </w:tcBorders>
                          <w:vAlign w:val="bottom"/>
                        </w:tcPr>
                        <w:p w14:paraId="4A08B642" w14:textId="77777777" w:rsidR="006F51BC" w:rsidRPr="007C6F85" w:rsidRDefault="006F51BC">
                          <w:pPr>
                            <w:pStyle w:val="Header"/>
                            <w:rPr>
                              <w:rFonts w:ascii="Times New Roman" w:hAnsi="Times New Roman"/>
                              <w:sz w:val="17"/>
                              <w:szCs w:val="17"/>
                            </w:rPr>
                          </w:pPr>
                        </w:p>
                      </w:tc>
                    </w:tr>
                  </w:tbl>
                  <w:p w14:paraId="2E5AF3F3" w14:textId="77777777" w:rsidR="006F51BC" w:rsidRDefault="006F51BC"/>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320" w:type="dxa"/>
      <w:tblBorders>
        <w:bottom w:val="single" w:sz="4" w:space="0" w:color="auto"/>
      </w:tblBorders>
      <w:tblLayout w:type="fixed"/>
      <w:tblCellMar>
        <w:left w:w="0" w:type="dxa"/>
        <w:right w:w="0" w:type="dxa"/>
      </w:tblCellMar>
      <w:tblLook w:val="0000" w:firstRow="0" w:lastRow="0" w:firstColumn="0" w:lastColumn="0" w:noHBand="0" w:noVBand="0"/>
    </w:tblPr>
    <w:tblGrid>
      <w:gridCol w:w="4523"/>
      <w:gridCol w:w="8797"/>
    </w:tblGrid>
    <w:tr w:rsidR="006F51BC" w:rsidRPr="003941E1" w14:paraId="7A4992CF" w14:textId="77777777" w:rsidTr="00842ED7">
      <w:trPr>
        <w:trHeight w:val="387"/>
      </w:trPr>
      <w:tc>
        <w:tcPr>
          <w:tcW w:w="4523" w:type="dxa"/>
          <w:vAlign w:val="bottom"/>
        </w:tcPr>
        <w:p w14:paraId="1D1A9B01" w14:textId="77777777" w:rsidR="006F51BC" w:rsidRPr="003941E1" w:rsidRDefault="006F51BC" w:rsidP="00FD7F7B">
          <w:pPr>
            <w:widowControl w:val="0"/>
            <w:tabs>
              <w:tab w:val="center" w:pos="4320"/>
              <w:tab w:val="right" w:pos="8640"/>
            </w:tabs>
            <w:spacing w:after="80"/>
            <w:rPr>
              <w:b/>
              <w:sz w:val="17"/>
              <w:szCs w:val="17"/>
              <w:lang w:val="en-GB"/>
            </w:rPr>
          </w:pPr>
        </w:p>
      </w:tc>
      <w:tc>
        <w:tcPr>
          <w:tcW w:w="8797" w:type="dxa"/>
          <w:vAlign w:val="bottom"/>
        </w:tcPr>
        <w:p w14:paraId="20B9283E" w14:textId="77777777" w:rsidR="006F51BC" w:rsidRPr="003941E1" w:rsidRDefault="006F51BC" w:rsidP="006A6FA5">
          <w:pPr>
            <w:widowControl w:val="0"/>
            <w:tabs>
              <w:tab w:val="center" w:pos="4320"/>
              <w:tab w:val="right" w:pos="8640"/>
            </w:tabs>
            <w:jc w:val="right"/>
            <w:rPr>
              <w:sz w:val="17"/>
              <w:szCs w:val="17"/>
              <w:lang w:val="en-GB"/>
            </w:rPr>
          </w:pPr>
          <w:r>
            <w:rPr>
              <w:b/>
              <w:sz w:val="17"/>
              <w:szCs w:val="17"/>
              <w:lang w:val="en-GB"/>
            </w:rPr>
            <w:t>DP/DCP/GEO</w:t>
          </w:r>
          <w:r w:rsidRPr="003941E1">
            <w:rPr>
              <w:b/>
              <w:sz w:val="17"/>
              <w:szCs w:val="17"/>
              <w:lang w:val="en-GB"/>
            </w:rPr>
            <w:t>/</w:t>
          </w:r>
          <w:r>
            <w:rPr>
              <w:b/>
              <w:sz w:val="17"/>
              <w:szCs w:val="17"/>
              <w:lang w:val="en-GB"/>
            </w:rPr>
            <w:t>3</w:t>
          </w:r>
        </w:p>
      </w:tc>
    </w:tr>
  </w:tbl>
  <w:p w14:paraId="7392098E" w14:textId="77777777" w:rsidR="006F51BC" w:rsidRDefault="006F5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24138"/>
    <w:multiLevelType w:val="hybridMultilevel"/>
    <w:tmpl w:val="86AE2678"/>
    <w:lvl w:ilvl="0" w:tplc="48F8A390">
      <w:start w:val="3"/>
      <w:numFmt w:val="bullet"/>
      <w:lvlText w:val="-"/>
      <w:lvlJc w:val="left"/>
      <w:pPr>
        <w:ind w:left="360" w:hanging="360"/>
      </w:pPr>
      <w:rPr>
        <w:rFonts w:ascii="Calibri" w:eastAsiaTheme="minorHAnsi" w:hAnsi="Calibri" w:cstheme="minorBid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9453A7"/>
    <w:multiLevelType w:val="multilevel"/>
    <w:tmpl w:val="F716CB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363C5E6D"/>
    <w:multiLevelType w:val="hybridMultilevel"/>
    <w:tmpl w:val="D3529D00"/>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3" w15:restartNumberingAfterBreak="0">
    <w:nsid w:val="39B058C1"/>
    <w:multiLevelType w:val="hybridMultilevel"/>
    <w:tmpl w:val="6F50C6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6375E0F"/>
    <w:multiLevelType w:val="multilevel"/>
    <w:tmpl w:val="8620EF4A"/>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1422"/>
        </w:tabs>
        <w:ind w:left="1422"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5B539A7"/>
    <w:multiLevelType w:val="hybridMultilevel"/>
    <w:tmpl w:val="91166686"/>
    <w:lvl w:ilvl="0" w:tplc="5EAEA8F6">
      <w:start w:val="1"/>
      <w:numFmt w:val="upp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3B"/>
    <w:rsid w:val="00000568"/>
    <w:rsid w:val="0000085C"/>
    <w:rsid w:val="00001017"/>
    <w:rsid w:val="000010B5"/>
    <w:rsid w:val="00001AE0"/>
    <w:rsid w:val="000020D3"/>
    <w:rsid w:val="000023AB"/>
    <w:rsid w:val="000027D2"/>
    <w:rsid w:val="00005E26"/>
    <w:rsid w:val="00006B16"/>
    <w:rsid w:val="000108EA"/>
    <w:rsid w:val="000123C1"/>
    <w:rsid w:val="00013B27"/>
    <w:rsid w:val="00013F07"/>
    <w:rsid w:val="00015263"/>
    <w:rsid w:val="00015FDE"/>
    <w:rsid w:val="00016217"/>
    <w:rsid w:val="00016861"/>
    <w:rsid w:val="000200CF"/>
    <w:rsid w:val="000204FD"/>
    <w:rsid w:val="000205F1"/>
    <w:rsid w:val="000207D2"/>
    <w:rsid w:val="00020E42"/>
    <w:rsid w:val="00022047"/>
    <w:rsid w:val="00022B79"/>
    <w:rsid w:val="00023227"/>
    <w:rsid w:val="000265CC"/>
    <w:rsid w:val="00026914"/>
    <w:rsid w:val="000274B9"/>
    <w:rsid w:val="0002758B"/>
    <w:rsid w:val="000276A0"/>
    <w:rsid w:val="00032014"/>
    <w:rsid w:val="000323AF"/>
    <w:rsid w:val="000330DB"/>
    <w:rsid w:val="0003392F"/>
    <w:rsid w:val="00033A83"/>
    <w:rsid w:val="0003429F"/>
    <w:rsid w:val="00034A0D"/>
    <w:rsid w:val="00034F18"/>
    <w:rsid w:val="0003516A"/>
    <w:rsid w:val="0003562A"/>
    <w:rsid w:val="00035DE5"/>
    <w:rsid w:val="00036095"/>
    <w:rsid w:val="00036AF4"/>
    <w:rsid w:val="00041C10"/>
    <w:rsid w:val="00041EE0"/>
    <w:rsid w:val="00042225"/>
    <w:rsid w:val="00043804"/>
    <w:rsid w:val="000441A1"/>
    <w:rsid w:val="000450F1"/>
    <w:rsid w:val="000453C8"/>
    <w:rsid w:val="00045743"/>
    <w:rsid w:val="00047B40"/>
    <w:rsid w:val="00047F7C"/>
    <w:rsid w:val="00050869"/>
    <w:rsid w:val="000512B6"/>
    <w:rsid w:val="00051DA4"/>
    <w:rsid w:val="0005428C"/>
    <w:rsid w:val="00055E32"/>
    <w:rsid w:val="000561C1"/>
    <w:rsid w:val="00056204"/>
    <w:rsid w:val="000570D1"/>
    <w:rsid w:val="000571A9"/>
    <w:rsid w:val="000574F0"/>
    <w:rsid w:val="00060290"/>
    <w:rsid w:val="00062532"/>
    <w:rsid w:val="00063D9D"/>
    <w:rsid w:val="00063E24"/>
    <w:rsid w:val="00067C04"/>
    <w:rsid w:val="0007052E"/>
    <w:rsid w:val="00072229"/>
    <w:rsid w:val="00073CF1"/>
    <w:rsid w:val="00074182"/>
    <w:rsid w:val="00074BD0"/>
    <w:rsid w:val="00074D9A"/>
    <w:rsid w:val="00074DB9"/>
    <w:rsid w:val="00074E17"/>
    <w:rsid w:val="00074ED6"/>
    <w:rsid w:val="000753C4"/>
    <w:rsid w:val="00075DF0"/>
    <w:rsid w:val="000762CA"/>
    <w:rsid w:val="000768DB"/>
    <w:rsid w:val="000803A4"/>
    <w:rsid w:val="00080F6F"/>
    <w:rsid w:val="00081A90"/>
    <w:rsid w:val="000820B0"/>
    <w:rsid w:val="000821C8"/>
    <w:rsid w:val="0008339E"/>
    <w:rsid w:val="00083C04"/>
    <w:rsid w:val="00090AD1"/>
    <w:rsid w:val="00090F4F"/>
    <w:rsid w:val="00091476"/>
    <w:rsid w:val="00092879"/>
    <w:rsid w:val="000929C7"/>
    <w:rsid w:val="000933F1"/>
    <w:rsid w:val="00093A03"/>
    <w:rsid w:val="00094066"/>
    <w:rsid w:val="00094E87"/>
    <w:rsid w:val="00095F51"/>
    <w:rsid w:val="000961E2"/>
    <w:rsid w:val="000968E2"/>
    <w:rsid w:val="00097FB2"/>
    <w:rsid w:val="000A0A2C"/>
    <w:rsid w:val="000A151D"/>
    <w:rsid w:val="000A24C5"/>
    <w:rsid w:val="000A255E"/>
    <w:rsid w:val="000A2CFF"/>
    <w:rsid w:val="000A30B8"/>
    <w:rsid w:val="000A379A"/>
    <w:rsid w:val="000A3F7F"/>
    <w:rsid w:val="000A5499"/>
    <w:rsid w:val="000A69B2"/>
    <w:rsid w:val="000A7BA2"/>
    <w:rsid w:val="000B07A8"/>
    <w:rsid w:val="000B2976"/>
    <w:rsid w:val="000B2B8B"/>
    <w:rsid w:val="000B3A13"/>
    <w:rsid w:val="000B4BB2"/>
    <w:rsid w:val="000B509A"/>
    <w:rsid w:val="000B593D"/>
    <w:rsid w:val="000B6C49"/>
    <w:rsid w:val="000B7C4F"/>
    <w:rsid w:val="000C00EF"/>
    <w:rsid w:val="000C0C21"/>
    <w:rsid w:val="000C261D"/>
    <w:rsid w:val="000C2A1B"/>
    <w:rsid w:val="000C5BD3"/>
    <w:rsid w:val="000C76B0"/>
    <w:rsid w:val="000C7BBE"/>
    <w:rsid w:val="000D223B"/>
    <w:rsid w:val="000D2475"/>
    <w:rsid w:val="000D2A6A"/>
    <w:rsid w:val="000D2EE4"/>
    <w:rsid w:val="000D3441"/>
    <w:rsid w:val="000D442C"/>
    <w:rsid w:val="000D4DC4"/>
    <w:rsid w:val="000D7272"/>
    <w:rsid w:val="000D7B6F"/>
    <w:rsid w:val="000E12A8"/>
    <w:rsid w:val="000E2F8E"/>
    <w:rsid w:val="000E40FF"/>
    <w:rsid w:val="000E612D"/>
    <w:rsid w:val="000E745A"/>
    <w:rsid w:val="000E7E9E"/>
    <w:rsid w:val="000F0044"/>
    <w:rsid w:val="000F0A26"/>
    <w:rsid w:val="000F1630"/>
    <w:rsid w:val="000F1AFC"/>
    <w:rsid w:val="000F1E61"/>
    <w:rsid w:val="000F226B"/>
    <w:rsid w:val="000F505E"/>
    <w:rsid w:val="000F5B6F"/>
    <w:rsid w:val="000F703B"/>
    <w:rsid w:val="000F786F"/>
    <w:rsid w:val="001014AF"/>
    <w:rsid w:val="00102087"/>
    <w:rsid w:val="00103AAF"/>
    <w:rsid w:val="00106B5A"/>
    <w:rsid w:val="00106D07"/>
    <w:rsid w:val="00106EF8"/>
    <w:rsid w:val="00106F6F"/>
    <w:rsid w:val="001101A2"/>
    <w:rsid w:val="00111201"/>
    <w:rsid w:val="00111489"/>
    <w:rsid w:val="00111797"/>
    <w:rsid w:val="00111B19"/>
    <w:rsid w:val="00111ED7"/>
    <w:rsid w:val="00113397"/>
    <w:rsid w:val="001134D0"/>
    <w:rsid w:val="00114A64"/>
    <w:rsid w:val="00115F59"/>
    <w:rsid w:val="00116C1A"/>
    <w:rsid w:val="00117BCB"/>
    <w:rsid w:val="001204BF"/>
    <w:rsid w:val="00121F3E"/>
    <w:rsid w:val="0012229E"/>
    <w:rsid w:val="00123849"/>
    <w:rsid w:val="00123A5E"/>
    <w:rsid w:val="00125010"/>
    <w:rsid w:val="00125266"/>
    <w:rsid w:val="00125B82"/>
    <w:rsid w:val="00125C59"/>
    <w:rsid w:val="00127BC5"/>
    <w:rsid w:val="0013058C"/>
    <w:rsid w:val="001305E6"/>
    <w:rsid w:val="00131A0A"/>
    <w:rsid w:val="0013239A"/>
    <w:rsid w:val="00133085"/>
    <w:rsid w:val="001341AB"/>
    <w:rsid w:val="0013761A"/>
    <w:rsid w:val="00137A73"/>
    <w:rsid w:val="00137D64"/>
    <w:rsid w:val="00140E86"/>
    <w:rsid w:val="0014423A"/>
    <w:rsid w:val="001449ED"/>
    <w:rsid w:val="00144F9E"/>
    <w:rsid w:val="0014516F"/>
    <w:rsid w:val="0014651A"/>
    <w:rsid w:val="00147042"/>
    <w:rsid w:val="001471A7"/>
    <w:rsid w:val="00147C44"/>
    <w:rsid w:val="001506F6"/>
    <w:rsid w:val="00153234"/>
    <w:rsid w:val="00154032"/>
    <w:rsid w:val="001542EA"/>
    <w:rsid w:val="001547D3"/>
    <w:rsid w:val="001559BD"/>
    <w:rsid w:val="00156DCC"/>
    <w:rsid w:val="00157801"/>
    <w:rsid w:val="00157F79"/>
    <w:rsid w:val="00161BD2"/>
    <w:rsid w:val="00163E84"/>
    <w:rsid w:val="001658AD"/>
    <w:rsid w:val="001668AA"/>
    <w:rsid w:val="001675B1"/>
    <w:rsid w:val="0016789D"/>
    <w:rsid w:val="00167C87"/>
    <w:rsid w:val="00172EE3"/>
    <w:rsid w:val="00174E5B"/>
    <w:rsid w:val="00174F4F"/>
    <w:rsid w:val="00175B21"/>
    <w:rsid w:val="0017650E"/>
    <w:rsid w:val="0017697A"/>
    <w:rsid w:val="00177CF8"/>
    <w:rsid w:val="00177E7E"/>
    <w:rsid w:val="00180C74"/>
    <w:rsid w:val="00180F8F"/>
    <w:rsid w:val="001828D7"/>
    <w:rsid w:val="0018356F"/>
    <w:rsid w:val="001842F9"/>
    <w:rsid w:val="001847F8"/>
    <w:rsid w:val="001876C5"/>
    <w:rsid w:val="00187D68"/>
    <w:rsid w:val="00190155"/>
    <w:rsid w:val="001906B5"/>
    <w:rsid w:val="001926BE"/>
    <w:rsid w:val="00194163"/>
    <w:rsid w:val="00194FEB"/>
    <w:rsid w:val="00196E96"/>
    <w:rsid w:val="001970A4"/>
    <w:rsid w:val="00197AD1"/>
    <w:rsid w:val="001A0150"/>
    <w:rsid w:val="001A0B84"/>
    <w:rsid w:val="001A2475"/>
    <w:rsid w:val="001A306F"/>
    <w:rsid w:val="001A4522"/>
    <w:rsid w:val="001A55CD"/>
    <w:rsid w:val="001A602E"/>
    <w:rsid w:val="001B0020"/>
    <w:rsid w:val="001B1127"/>
    <w:rsid w:val="001B25B5"/>
    <w:rsid w:val="001B26AC"/>
    <w:rsid w:val="001B2C5A"/>
    <w:rsid w:val="001B3F87"/>
    <w:rsid w:val="001B4026"/>
    <w:rsid w:val="001B598C"/>
    <w:rsid w:val="001B6036"/>
    <w:rsid w:val="001B6D90"/>
    <w:rsid w:val="001B76A6"/>
    <w:rsid w:val="001B7B7F"/>
    <w:rsid w:val="001C04A5"/>
    <w:rsid w:val="001C04B4"/>
    <w:rsid w:val="001C07F8"/>
    <w:rsid w:val="001C18C9"/>
    <w:rsid w:val="001C2F59"/>
    <w:rsid w:val="001C3A42"/>
    <w:rsid w:val="001C4C1A"/>
    <w:rsid w:val="001C5F99"/>
    <w:rsid w:val="001C6C08"/>
    <w:rsid w:val="001C75AD"/>
    <w:rsid w:val="001C79FD"/>
    <w:rsid w:val="001D00A9"/>
    <w:rsid w:val="001D1347"/>
    <w:rsid w:val="001D2056"/>
    <w:rsid w:val="001D259B"/>
    <w:rsid w:val="001D2C3D"/>
    <w:rsid w:val="001D42D1"/>
    <w:rsid w:val="001D5816"/>
    <w:rsid w:val="001D64E5"/>
    <w:rsid w:val="001D6EB8"/>
    <w:rsid w:val="001D7BC7"/>
    <w:rsid w:val="001E05EC"/>
    <w:rsid w:val="001E0602"/>
    <w:rsid w:val="001E1B6B"/>
    <w:rsid w:val="001E3DE7"/>
    <w:rsid w:val="001E4809"/>
    <w:rsid w:val="001E4F4F"/>
    <w:rsid w:val="001E550B"/>
    <w:rsid w:val="001E6063"/>
    <w:rsid w:val="001E743D"/>
    <w:rsid w:val="001F07DF"/>
    <w:rsid w:val="001F136C"/>
    <w:rsid w:val="001F1FC3"/>
    <w:rsid w:val="001F2002"/>
    <w:rsid w:val="001F27F4"/>
    <w:rsid w:val="001F2849"/>
    <w:rsid w:val="001F336C"/>
    <w:rsid w:val="001F3B3E"/>
    <w:rsid w:val="001F3DC0"/>
    <w:rsid w:val="001F4BA9"/>
    <w:rsid w:val="001F4C5A"/>
    <w:rsid w:val="001F516C"/>
    <w:rsid w:val="001F6425"/>
    <w:rsid w:val="001F6772"/>
    <w:rsid w:val="001F7245"/>
    <w:rsid w:val="001F7421"/>
    <w:rsid w:val="001F75D9"/>
    <w:rsid w:val="00200195"/>
    <w:rsid w:val="00200B5F"/>
    <w:rsid w:val="00201EEF"/>
    <w:rsid w:val="0020254B"/>
    <w:rsid w:val="002042D4"/>
    <w:rsid w:val="002047C8"/>
    <w:rsid w:val="00204B6E"/>
    <w:rsid w:val="002052B3"/>
    <w:rsid w:val="002058F9"/>
    <w:rsid w:val="00211324"/>
    <w:rsid w:val="0021283E"/>
    <w:rsid w:val="00212B1F"/>
    <w:rsid w:val="00213D7C"/>
    <w:rsid w:val="00214513"/>
    <w:rsid w:val="00214BE6"/>
    <w:rsid w:val="0021520C"/>
    <w:rsid w:val="002155B7"/>
    <w:rsid w:val="00216977"/>
    <w:rsid w:val="0021766A"/>
    <w:rsid w:val="00217F4E"/>
    <w:rsid w:val="00220128"/>
    <w:rsid w:val="00220D30"/>
    <w:rsid w:val="00221C01"/>
    <w:rsid w:val="002225D3"/>
    <w:rsid w:val="00222A35"/>
    <w:rsid w:val="0022301D"/>
    <w:rsid w:val="00223936"/>
    <w:rsid w:val="00224B2C"/>
    <w:rsid w:val="00224E36"/>
    <w:rsid w:val="00227E55"/>
    <w:rsid w:val="00232AA0"/>
    <w:rsid w:val="00232D50"/>
    <w:rsid w:val="00234027"/>
    <w:rsid w:val="00234CDF"/>
    <w:rsid w:val="002360E9"/>
    <w:rsid w:val="00236B91"/>
    <w:rsid w:val="002372EA"/>
    <w:rsid w:val="00240574"/>
    <w:rsid w:val="00241763"/>
    <w:rsid w:val="002424C0"/>
    <w:rsid w:val="00242CAA"/>
    <w:rsid w:val="00243EEE"/>
    <w:rsid w:val="00244BB0"/>
    <w:rsid w:val="00244F84"/>
    <w:rsid w:val="002454B5"/>
    <w:rsid w:val="00245D74"/>
    <w:rsid w:val="00246DDF"/>
    <w:rsid w:val="00246F94"/>
    <w:rsid w:val="0024745D"/>
    <w:rsid w:val="00252ED4"/>
    <w:rsid w:val="00253FB7"/>
    <w:rsid w:val="0025701D"/>
    <w:rsid w:val="002573CC"/>
    <w:rsid w:val="00260FAA"/>
    <w:rsid w:val="002621FA"/>
    <w:rsid w:val="00262338"/>
    <w:rsid w:val="00262F3D"/>
    <w:rsid w:val="00263938"/>
    <w:rsid w:val="002646D7"/>
    <w:rsid w:val="0026539E"/>
    <w:rsid w:val="002656F2"/>
    <w:rsid w:val="00265FBF"/>
    <w:rsid w:val="002671D7"/>
    <w:rsid w:val="0026726A"/>
    <w:rsid w:val="00267C89"/>
    <w:rsid w:val="002707BB"/>
    <w:rsid w:val="0027259C"/>
    <w:rsid w:val="00272834"/>
    <w:rsid w:val="00273543"/>
    <w:rsid w:val="00274C82"/>
    <w:rsid w:val="00275D58"/>
    <w:rsid w:val="0027654D"/>
    <w:rsid w:val="0027700D"/>
    <w:rsid w:val="002810DF"/>
    <w:rsid w:val="00281251"/>
    <w:rsid w:val="002812AB"/>
    <w:rsid w:val="002816D8"/>
    <w:rsid w:val="002822CE"/>
    <w:rsid w:val="002827A0"/>
    <w:rsid w:val="00282A8C"/>
    <w:rsid w:val="00283784"/>
    <w:rsid w:val="00284627"/>
    <w:rsid w:val="002854EE"/>
    <w:rsid w:val="0028565C"/>
    <w:rsid w:val="002875DE"/>
    <w:rsid w:val="00287E07"/>
    <w:rsid w:val="00287E31"/>
    <w:rsid w:val="00290EB3"/>
    <w:rsid w:val="002920E9"/>
    <w:rsid w:val="00292846"/>
    <w:rsid w:val="00292A90"/>
    <w:rsid w:val="0029490F"/>
    <w:rsid w:val="00294F77"/>
    <w:rsid w:val="00296BB7"/>
    <w:rsid w:val="00296ED7"/>
    <w:rsid w:val="002971D6"/>
    <w:rsid w:val="002A0D82"/>
    <w:rsid w:val="002A2F08"/>
    <w:rsid w:val="002A3641"/>
    <w:rsid w:val="002A495F"/>
    <w:rsid w:val="002A4C39"/>
    <w:rsid w:val="002A6CFC"/>
    <w:rsid w:val="002A706F"/>
    <w:rsid w:val="002A70EA"/>
    <w:rsid w:val="002A7300"/>
    <w:rsid w:val="002A7363"/>
    <w:rsid w:val="002A7F43"/>
    <w:rsid w:val="002B0F38"/>
    <w:rsid w:val="002B2372"/>
    <w:rsid w:val="002B365E"/>
    <w:rsid w:val="002B368B"/>
    <w:rsid w:val="002B489A"/>
    <w:rsid w:val="002B6341"/>
    <w:rsid w:val="002B6640"/>
    <w:rsid w:val="002B6CE0"/>
    <w:rsid w:val="002B7668"/>
    <w:rsid w:val="002B7B91"/>
    <w:rsid w:val="002C0526"/>
    <w:rsid w:val="002C0748"/>
    <w:rsid w:val="002C1144"/>
    <w:rsid w:val="002C232C"/>
    <w:rsid w:val="002C24D6"/>
    <w:rsid w:val="002C2504"/>
    <w:rsid w:val="002C27A8"/>
    <w:rsid w:val="002C333E"/>
    <w:rsid w:val="002C34D6"/>
    <w:rsid w:val="002C36C8"/>
    <w:rsid w:val="002C4D91"/>
    <w:rsid w:val="002C51A0"/>
    <w:rsid w:val="002C57A1"/>
    <w:rsid w:val="002C6593"/>
    <w:rsid w:val="002C6ECA"/>
    <w:rsid w:val="002C7108"/>
    <w:rsid w:val="002D0584"/>
    <w:rsid w:val="002D0F68"/>
    <w:rsid w:val="002D2E2A"/>
    <w:rsid w:val="002D3244"/>
    <w:rsid w:val="002D3D73"/>
    <w:rsid w:val="002D4425"/>
    <w:rsid w:val="002D480D"/>
    <w:rsid w:val="002D4B4A"/>
    <w:rsid w:val="002D51B3"/>
    <w:rsid w:val="002D5295"/>
    <w:rsid w:val="002D52BF"/>
    <w:rsid w:val="002D53F8"/>
    <w:rsid w:val="002D68FA"/>
    <w:rsid w:val="002D6EBB"/>
    <w:rsid w:val="002D7667"/>
    <w:rsid w:val="002D77D8"/>
    <w:rsid w:val="002D7BC7"/>
    <w:rsid w:val="002D7ECA"/>
    <w:rsid w:val="002E0141"/>
    <w:rsid w:val="002E0B5D"/>
    <w:rsid w:val="002E0E85"/>
    <w:rsid w:val="002E1495"/>
    <w:rsid w:val="002E2016"/>
    <w:rsid w:val="002E2900"/>
    <w:rsid w:val="002E3408"/>
    <w:rsid w:val="002E3C0D"/>
    <w:rsid w:val="002E3CD0"/>
    <w:rsid w:val="002E43EC"/>
    <w:rsid w:val="002E5B3C"/>
    <w:rsid w:val="002E7A79"/>
    <w:rsid w:val="002F2C6E"/>
    <w:rsid w:val="002F3819"/>
    <w:rsid w:val="002F3C88"/>
    <w:rsid w:val="002F4067"/>
    <w:rsid w:val="002F6C1F"/>
    <w:rsid w:val="002F7339"/>
    <w:rsid w:val="002F7461"/>
    <w:rsid w:val="002F7C6E"/>
    <w:rsid w:val="00300244"/>
    <w:rsid w:val="00301193"/>
    <w:rsid w:val="003025E2"/>
    <w:rsid w:val="00305F0A"/>
    <w:rsid w:val="00306D24"/>
    <w:rsid w:val="00307712"/>
    <w:rsid w:val="003116CC"/>
    <w:rsid w:val="00311BE8"/>
    <w:rsid w:val="00312C1F"/>
    <w:rsid w:val="0031404A"/>
    <w:rsid w:val="00314886"/>
    <w:rsid w:val="00314B7C"/>
    <w:rsid w:val="00314E49"/>
    <w:rsid w:val="003152C4"/>
    <w:rsid w:val="00315445"/>
    <w:rsid w:val="003155F6"/>
    <w:rsid w:val="003170D1"/>
    <w:rsid w:val="00317183"/>
    <w:rsid w:val="003171AD"/>
    <w:rsid w:val="00317452"/>
    <w:rsid w:val="003204AE"/>
    <w:rsid w:val="003208EF"/>
    <w:rsid w:val="00324846"/>
    <w:rsid w:val="00324ABD"/>
    <w:rsid w:val="00324D9B"/>
    <w:rsid w:val="003272A6"/>
    <w:rsid w:val="003273CB"/>
    <w:rsid w:val="00330325"/>
    <w:rsid w:val="0033125E"/>
    <w:rsid w:val="003316A0"/>
    <w:rsid w:val="00336913"/>
    <w:rsid w:val="0033718C"/>
    <w:rsid w:val="00337407"/>
    <w:rsid w:val="0033781E"/>
    <w:rsid w:val="00337DD1"/>
    <w:rsid w:val="00340B29"/>
    <w:rsid w:val="00340E02"/>
    <w:rsid w:val="003424CD"/>
    <w:rsid w:val="00343A45"/>
    <w:rsid w:val="00343E6E"/>
    <w:rsid w:val="00344F33"/>
    <w:rsid w:val="003450C8"/>
    <w:rsid w:val="003459B5"/>
    <w:rsid w:val="0034646D"/>
    <w:rsid w:val="00346772"/>
    <w:rsid w:val="00347403"/>
    <w:rsid w:val="0034782B"/>
    <w:rsid w:val="00350E9F"/>
    <w:rsid w:val="003513EB"/>
    <w:rsid w:val="00351E5C"/>
    <w:rsid w:val="003531E0"/>
    <w:rsid w:val="0035444B"/>
    <w:rsid w:val="003547DC"/>
    <w:rsid w:val="003550EB"/>
    <w:rsid w:val="0035580F"/>
    <w:rsid w:val="00355820"/>
    <w:rsid w:val="00355F7A"/>
    <w:rsid w:val="00356340"/>
    <w:rsid w:val="00357CB4"/>
    <w:rsid w:val="003604EE"/>
    <w:rsid w:val="00361D8D"/>
    <w:rsid w:val="0036286B"/>
    <w:rsid w:val="003630B1"/>
    <w:rsid w:val="00363371"/>
    <w:rsid w:val="003636D3"/>
    <w:rsid w:val="0036390D"/>
    <w:rsid w:val="00364989"/>
    <w:rsid w:val="003664C0"/>
    <w:rsid w:val="00367E04"/>
    <w:rsid w:val="00371B69"/>
    <w:rsid w:val="00373FD4"/>
    <w:rsid w:val="003745E9"/>
    <w:rsid w:val="003761F2"/>
    <w:rsid w:val="00376A05"/>
    <w:rsid w:val="003774FE"/>
    <w:rsid w:val="0037790A"/>
    <w:rsid w:val="00377CE6"/>
    <w:rsid w:val="0038016F"/>
    <w:rsid w:val="003829DB"/>
    <w:rsid w:val="00383A08"/>
    <w:rsid w:val="003864CF"/>
    <w:rsid w:val="00386640"/>
    <w:rsid w:val="00390E30"/>
    <w:rsid w:val="00392672"/>
    <w:rsid w:val="00393ABE"/>
    <w:rsid w:val="0039458D"/>
    <w:rsid w:val="00394BB8"/>
    <w:rsid w:val="00394D61"/>
    <w:rsid w:val="00397641"/>
    <w:rsid w:val="003A0F18"/>
    <w:rsid w:val="003A1F5A"/>
    <w:rsid w:val="003A2ECE"/>
    <w:rsid w:val="003A4252"/>
    <w:rsid w:val="003A539A"/>
    <w:rsid w:val="003A574A"/>
    <w:rsid w:val="003A5790"/>
    <w:rsid w:val="003A62A4"/>
    <w:rsid w:val="003A7476"/>
    <w:rsid w:val="003A753F"/>
    <w:rsid w:val="003A7D86"/>
    <w:rsid w:val="003B0AA1"/>
    <w:rsid w:val="003B243D"/>
    <w:rsid w:val="003B2EF7"/>
    <w:rsid w:val="003B304F"/>
    <w:rsid w:val="003B3E1D"/>
    <w:rsid w:val="003B5924"/>
    <w:rsid w:val="003B5D18"/>
    <w:rsid w:val="003B5D57"/>
    <w:rsid w:val="003B6709"/>
    <w:rsid w:val="003B75D1"/>
    <w:rsid w:val="003B795D"/>
    <w:rsid w:val="003C1BE8"/>
    <w:rsid w:val="003C26A6"/>
    <w:rsid w:val="003C26C1"/>
    <w:rsid w:val="003C42A0"/>
    <w:rsid w:val="003C5391"/>
    <w:rsid w:val="003C5526"/>
    <w:rsid w:val="003C5C11"/>
    <w:rsid w:val="003C6A5A"/>
    <w:rsid w:val="003C6AAD"/>
    <w:rsid w:val="003D1D4D"/>
    <w:rsid w:val="003D2936"/>
    <w:rsid w:val="003D37DD"/>
    <w:rsid w:val="003D41D5"/>
    <w:rsid w:val="003D45DF"/>
    <w:rsid w:val="003D47C6"/>
    <w:rsid w:val="003D4A66"/>
    <w:rsid w:val="003D4B13"/>
    <w:rsid w:val="003D61CA"/>
    <w:rsid w:val="003D6FF7"/>
    <w:rsid w:val="003D7A7F"/>
    <w:rsid w:val="003D7E38"/>
    <w:rsid w:val="003D7EAC"/>
    <w:rsid w:val="003E057F"/>
    <w:rsid w:val="003E2C01"/>
    <w:rsid w:val="003E379A"/>
    <w:rsid w:val="003E3B90"/>
    <w:rsid w:val="003E461B"/>
    <w:rsid w:val="003E4AE9"/>
    <w:rsid w:val="003E52B0"/>
    <w:rsid w:val="003E539E"/>
    <w:rsid w:val="003E5D87"/>
    <w:rsid w:val="003E64DC"/>
    <w:rsid w:val="003E663F"/>
    <w:rsid w:val="003E72EF"/>
    <w:rsid w:val="003E7A43"/>
    <w:rsid w:val="003F087E"/>
    <w:rsid w:val="003F0B58"/>
    <w:rsid w:val="003F0D40"/>
    <w:rsid w:val="003F2236"/>
    <w:rsid w:val="003F25FA"/>
    <w:rsid w:val="003F27B7"/>
    <w:rsid w:val="003F4051"/>
    <w:rsid w:val="003F53E5"/>
    <w:rsid w:val="003F5812"/>
    <w:rsid w:val="003F796F"/>
    <w:rsid w:val="003F7ECC"/>
    <w:rsid w:val="00400E4A"/>
    <w:rsid w:val="00401F0A"/>
    <w:rsid w:val="0040277B"/>
    <w:rsid w:val="00402E9A"/>
    <w:rsid w:val="00403FA8"/>
    <w:rsid w:val="00404040"/>
    <w:rsid w:val="00404213"/>
    <w:rsid w:val="004048AC"/>
    <w:rsid w:val="00404912"/>
    <w:rsid w:val="00404A51"/>
    <w:rsid w:val="00404B8E"/>
    <w:rsid w:val="0040641A"/>
    <w:rsid w:val="00406425"/>
    <w:rsid w:val="004068C2"/>
    <w:rsid w:val="00412740"/>
    <w:rsid w:val="0041325A"/>
    <w:rsid w:val="00413F9C"/>
    <w:rsid w:val="00414BDC"/>
    <w:rsid w:val="00415E7F"/>
    <w:rsid w:val="004167B4"/>
    <w:rsid w:val="00416FC6"/>
    <w:rsid w:val="00417413"/>
    <w:rsid w:val="00420262"/>
    <w:rsid w:val="00420288"/>
    <w:rsid w:val="00421C78"/>
    <w:rsid w:val="004224CE"/>
    <w:rsid w:val="00422E9F"/>
    <w:rsid w:val="00424A78"/>
    <w:rsid w:val="004254DB"/>
    <w:rsid w:val="00427B47"/>
    <w:rsid w:val="00427EEA"/>
    <w:rsid w:val="00427FF2"/>
    <w:rsid w:val="004306AD"/>
    <w:rsid w:val="00431836"/>
    <w:rsid w:val="004321E6"/>
    <w:rsid w:val="004321F0"/>
    <w:rsid w:val="0043278E"/>
    <w:rsid w:val="004328BD"/>
    <w:rsid w:val="0043322E"/>
    <w:rsid w:val="004360AC"/>
    <w:rsid w:val="00436157"/>
    <w:rsid w:val="00436B83"/>
    <w:rsid w:val="0044097F"/>
    <w:rsid w:val="00440E73"/>
    <w:rsid w:val="00440F6A"/>
    <w:rsid w:val="00441061"/>
    <w:rsid w:val="00445AC2"/>
    <w:rsid w:val="00445CA9"/>
    <w:rsid w:val="00445E3C"/>
    <w:rsid w:val="00447613"/>
    <w:rsid w:val="0045096D"/>
    <w:rsid w:val="00450C70"/>
    <w:rsid w:val="0045265E"/>
    <w:rsid w:val="004530ED"/>
    <w:rsid w:val="00453344"/>
    <w:rsid w:val="00454E76"/>
    <w:rsid w:val="00455AD1"/>
    <w:rsid w:val="00455E45"/>
    <w:rsid w:val="0045692A"/>
    <w:rsid w:val="00457080"/>
    <w:rsid w:val="00460891"/>
    <w:rsid w:val="00461469"/>
    <w:rsid w:val="004622D4"/>
    <w:rsid w:val="00463466"/>
    <w:rsid w:val="00464446"/>
    <w:rsid w:val="00464EC0"/>
    <w:rsid w:val="00464FB2"/>
    <w:rsid w:val="0046745E"/>
    <w:rsid w:val="00467611"/>
    <w:rsid w:val="00471985"/>
    <w:rsid w:val="00471AD7"/>
    <w:rsid w:val="00471B44"/>
    <w:rsid w:val="004736BE"/>
    <w:rsid w:val="00474B93"/>
    <w:rsid w:val="0047556D"/>
    <w:rsid w:val="00475789"/>
    <w:rsid w:val="00476027"/>
    <w:rsid w:val="00476170"/>
    <w:rsid w:val="00477969"/>
    <w:rsid w:val="00481C98"/>
    <w:rsid w:val="004820B0"/>
    <w:rsid w:val="00482E2F"/>
    <w:rsid w:val="004839B7"/>
    <w:rsid w:val="004859B4"/>
    <w:rsid w:val="00486ACD"/>
    <w:rsid w:val="00490212"/>
    <w:rsid w:val="004922C7"/>
    <w:rsid w:val="004926D6"/>
    <w:rsid w:val="00492C65"/>
    <w:rsid w:val="0049403F"/>
    <w:rsid w:val="00494323"/>
    <w:rsid w:val="00494349"/>
    <w:rsid w:val="00494485"/>
    <w:rsid w:val="00497246"/>
    <w:rsid w:val="00497403"/>
    <w:rsid w:val="004978C8"/>
    <w:rsid w:val="004A0937"/>
    <w:rsid w:val="004A0BD7"/>
    <w:rsid w:val="004A0DE8"/>
    <w:rsid w:val="004A0F27"/>
    <w:rsid w:val="004A0F37"/>
    <w:rsid w:val="004A0F68"/>
    <w:rsid w:val="004A2299"/>
    <w:rsid w:val="004A3608"/>
    <w:rsid w:val="004A4B81"/>
    <w:rsid w:val="004A4FBD"/>
    <w:rsid w:val="004A6232"/>
    <w:rsid w:val="004A7810"/>
    <w:rsid w:val="004A7E93"/>
    <w:rsid w:val="004B1C56"/>
    <w:rsid w:val="004B3CFB"/>
    <w:rsid w:val="004B5D6B"/>
    <w:rsid w:val="004B76F8"/>
    <w:rsid w:val="004C1FA6"/>
    <w:rsid w:val="004C3B2A"/>
    <w:rsid w:val="004C4B19"/>
    <w:rsid w:val="004C5CFD"/>
    <w:rsid w:val="004C62D1"/>
    <w:rsid w:val="004C7678"/>
    <w:rsid w:val="004C785B"/>
    <w:rsid w:val="004D0FE4"/>
    <w:rsid w:val="004D12C0"/>
    <w:rsid w:val="004D291F"/>
    <w:rsid w:val="004D2FE1"/>
    <w:rsid w:val="004D3713"/>
    <w:rsid w:val="004D7A9D"/>
    <w:rsid w:val="004D7E99"/>
    <w:rsid w:val="004E02DB"/>
    <w:rsid w:val="004E11BE"/>
    <w:rsid w:val="004E135A"/>
    <w:rsid w:val="004E1606"/>
    <w:rsid w:val="004E2BDB"/>
    <w:rsid w:val="004E3CF4"/>
    <w:rsid w:val="004F0BE1"/>
    <w:rsid w:val="004F50AF"/>
    <w:rsid w:val="004F5C59"/>
    <w:rsid w:val="004F681D"/>
    <w:rsid w:val="004F6C46"/>
    <w:rsid w:val="004F79A8"/>
    <w:rsid w:val="004F7C88"/>
    <w:rsid w:val="00502495"/>
    <w:rsid w:val="00502857"/>
    <w:rsid w:val="005044A9"/>
    <w:rsid w:val="00505994"/>
    <w:rsid w:val="00505FD4"/>
    <w:rsid w:val="00506E25"/>
    <w:rsid w:val="00510899"/>
    <w:rsid w:val="00510CFD"/>
    <w:rsid w:val="0051132C"/>
    <w:rsid w:val="00511A3C"/>
    <w:rsid w:val="00513483"/>
    <w:rsid w:val="00513620"/>
    <w:rsid w:val="00514A55"/>
    <w:rsid w:val="00514EF5"/>
    <w:rsid w:val="00515733"/>
    <w:rsid w:val="00515D4D"/>
    <w:rsid w:val="0051782D"/>
    <w:rsid w:val="0052087E"/>
    <w:rsid w:val="0052260E"/>
    <w:rsid w:val="0052315E"/>
    <w:rsid w:val="0052435E"/>
    <w:rsid w:val="00524B4D"/>
    <w:rsid w:val="00524D77"/>
    <w:rsid w:val="0052502E"/>
    <w:rsid w:val="00527729"/>
    <w:rsid w:val="00530ED3"/>
    <w:rsid w:val="0053163C"/>
    <w:rsid w:val="0053320F"/>
    <w:rsid w:val="00533324"/>
    <w:rsid w:val="00533687"/>
    <w:rsid w:val="0053438E"/>
    <w:rsid w:val="005355EE"/>
    <w:rsid w:val="00535B16"/>
    <w:rsid w:val="005366D0"/>
    <w:rsid w:val="00537E27"/>
    <w:rsid w:val="00540B4D"/>
    <w:rsid w:val="00540FFA"/>
    <w:rsid w:val="005422AC"/>
    <w:rsid w:val="00542930"/>
    <w:rsid w:val="005435B3"/>
    <w:rsid w:val="00543B2F"/>
    <w:rsid w:val="00543EC8"/>
    <w:rsid w:val="00543F8A"/>
    <w:rsid w:val="00550849"/>
    <w:rsid w:val="00551C3D"/>
    <w:rsid w:val="005531B3"/>
    <w:rsid w:val="005533B9"/>
    <w:rsid w:val="00554BF3"/>
    <w:rsid w:val="00555531"/>
    <w:rsid w:val="00555BE7"/>
    <w:rsid w:val="0055655F"/>
    <w:rsid w:val="0055657D"/>
    <w:rsid w:val="00560D0D"/>
    <w:rsid w:val="00561EBF"/>
    <w:rsid w:val="0056220D"/>
    <w:rsid w:val="005626DB"/>
    <w:rsid w:val="00564351"/>
    <w:rsid w:val="0056458D"/>
    <w:rsid w:val="0056475F"/>
    <w:rsid w:val="005655EC"/>
    <w:rsid w:val="00565FB1"/>
    <w:rsid w:val="005662FB"/>
    <w:rsid w:val="00567781"/>
    <w:rsid w:val="005678EF"/>
    <w:rsid w:val="00567ECC"/>
    <w:rsid w:val="0057015A"/>
    <w:rsid w:val="00570DE7"/>
    <w:rsid w:val="005713B1"/>
    <w:rsid w:val="00572D77"/>
    <w:rsid w:val="00575345"/>
    <w:rsid w:val="0057566D"/>
    <w:rsid w:val="0057639A"/>
    <w:rsid w:val="00581B2D"/>
    <w:rsid w:val="00581C6A"/>
    <w:rsid w:val="00582EA1"/>
    <w:rsid w:val="00583090"/>
    <w:rsid w:val="005835F4"/>
    <w:rsid w:val="00583EFE"/>
    <w:rsid w:val="005841A3"/>
    <w:rsid w:val="005847E2"/>
    <w:rsid w:val="005859DC"/>
    <w:rsid w:val="0058623F"/>
    <w:rsid w:val="00586D27"/>
    <w:rsid w:val="00590EAE"/>
    <w:rsid w:val="0059112A"/>
    <w:rsid w:val="00591261"/>
    <w:rsid w:val="0059256B"/>
    <w:rsid w:val="00593216"/>
    <w:rsid w:val="0059369B"/>
    <w:rsid w:val="00594BC3"/>
    <w:rsid w:val="00596CA7"/>
    <w:rsid w:val="00596DC8"/>
    <w:rsid w:val="00596E16"/>
    <w:rsid w:val="00597F57"/>
    <w:rsid w:val="005A16A3"/>
    <w:rsid w:val="005A1B31"/>
    <w:rsid w:val="005A1C48"/>
    <w:rsid w:val="005A253A"/>
    <w:rsid w:val="005A3C8B"/>
    <w:rsid w:val="005A3CF9"/>
    <w:rsid w:val="005A3F02"/>
    <w:rsid w:val="005B12CA"/>
    <w:rsid w:val="005B1789"/>
    <w:rsid w:val="005B179B"/>
    <w:rsid w:val="005B17DD"/>
    <w:rsid w:val="005B35A6"/>
    <w:rsid w:val="005B38C9"/>
    <w:rsid w:val="005B4421"/>
    <w:rsid w:val="005B4E88"/>
    <w:rsid w:val="005B521D"/>
    <w:rsid w:val="005B536B"/>
    <w:rsid w:val="005B6F0D"/>
    <w:rsid w:val="005B7929"/>
    <w:rsid w:val="005C07EC"/>
    <w:rsid w:val="005C25D1"/>
    <w:rsid w:val="005C35A9"/>
    <w:rsid w:val="005C3B4E"/>
    <w:rsid w:val="005C464B"/>
    <w:rsid w:val="005C4E01"/>
    <w:rsid w:val="005C74A0"/>
    <w:rsid w:val="005C7F6D"/>
    <w:rsid w:val="005D052C"/>
    <w:rsid w:val="005D0DC1"/>
    <w:rsid w:val="005D16FE"/>
    <w:rsid w:val="005D2205"/>
    <w:rsid w:val="005D2A8B"/>
    <w:rsid w:val="005D4084"/>
    <w:rsid w:val="005D43D7"/>
    <w:rsid w:val="005D4777"/>
    <w:rsid w:val="005D4C2B"/>
    <w:rsid w:val="005D542E"/>
    <w:rsid w:val="005D5EA9"/>
    <w:rsid w:val="005D7A63"/>
    <w:rsid w:val="005E02A4"/>
    <w:rsid w:val="005E112B"/>
    <w:rsid w:val="005E25F9"/>
    <w:rsid w:val="005E40C8"/>
    <w:rsid w:val="005E4A0C"/>
    <w:rsid w:val="005E6790"/>
    <w:rsid w:val="005E7924"/>
    <w:rsid w:val="005E7953"/>
    <w:rsid w:val="005E7AC4"/>
    <w:rsid w:val="005E7BA6"/>
    <w:rsid w:val="005E7E82"/>
    <w:rsid w:val="005F07E3"/>
    <w:rsid w:val="005F1534"/>
    <w:rsid w:val="005F1CB8"/>
    <w:rsid w:val="005F3D09"/>
    <w:rsid w:val="005F5368"/>
    <w:rsid w:val="005F64D1"/>
    <w:rsid w:val="005F69F6"/>
    <w:rsid w:val="005F6C28"/>
    <w:rsid w:val="005F7AB6"/>
    <w:rsid w:val="005F7E3C"/>
    <w:rsid w:val="00600FA8"/>
    <w:rsid w:val="00603D7F"/>
    <w:rsid w:val="006061C6"/>
    <w:rsid w:val="006063DA"/>
    <w:rsid w:val="006069C6"/>
    <w:rsid w:val="00606CE3"/>
    <w:rsid w:val="00607FA9"/>
    <w:rsid w:val="00611A80"/>
    <w:rsid w:val="00611DD3"/>
    <w:rsid w:val="00611EF0"/>
    <w:rsid w:val="00612219"/>
    <w:rsid w:val="00612E04"/>
    <w:rsid w:val="00617307"/>
    <w:rsid w:val="006173A4"/>
    <w:rsid w:val="00617587"/>
    <w:rsid w:val="00617C44"/>
    <w:rsid w:val="00617D8D"/>
    <w:rsid w:val="00621576"/>
    <w:rsid w:val="00622CE4"/>
    <w:rsid w:val="00622D87"/>
    <w:rsid w:val="006232C6"/>
    <w:rsid w:val="006233B5"/>
    <w:rsid w:val="006234A7"/>
    <w:rsid w:val="00623829"/>
    <w:rsid w:val="00625917"/>
    <w:rsid w:val="00625DA7"/>
    <w:rsid w:val="00626E92"/>
    <w:rsid w:val="0062789F"/>
    <w:rsid w:val="006278BF"/>
    <w:rsid w:val="006301BE"/>
    <w:rsid w:val="0063096E"/>
    <w:rsid w:val="006316EC"/>
    <w:rsid w:val="00633349"/>
    <w:rsid w:val="00633D61"/>
    <w:rsid w:val="0063402B"/>
    <w:rsid w:val="0063442A"/>
    <w:rsid w:val="00634CEE"/>
    <w:rsid w:val="00635F04"/>
    <w:rsid w:val="00636570"/>
    <w:rsid w:val="00637901"/>
    <w:rsid w:val="00637E1B"/>
    <w:rsid w:val="006402DF"/>
    <w:rsid w:val="006415C2"/>
    <w:rsid w:val="0064164B"/>
    <w:rsid w:val="00641B95"/>
    <w:rsid w:val="00641D9F"/>
    <w:rsid w:val="006422E1"/>
    <w:rsid w:val="00644468"/>
    <w:rsid w:val="00645F5E"/>
    <w:rsid w:val="00647B1E"/>
    <w:rsid w:val="00647B47"/>
    <w:rsid w:val="00647C55"/>
    <w:rsid w:val="0065008B"/>
    <w:rsid w:val="006501C4"/>
    <w:rsid w:val="0065263C"/>
    <w:rsid w:val="00652B3B"/>
    <w:rsid w:val="00653A3B"/>
    <w:rsid w:val="00653FD9"/>
    <w:rsid w:val="00654D42"/>
    <w:rsid w:val="00656328"/>
    <w:rsid w:val="00660279"/>
    <w:rsid w:val="0066114A"/>
    <w:rsid w:val="006619B1"/>
    <w:rsid w:val="006621C1"/>
    <w:rsid w:val="006622B9"/>
    <w:rsid w:val="006628F2"/>
    <w:rsid w:val="00662E1E"/>
    <w:rsid w:val="0066371E"/>
    <w:rsid w:val="0066386C"/>
    <w:rsid w:val="00665841"/>
    <w:rsid w:val="00665969"/>
    <w:rsid w:val="006670C6"/>
    <w:rsid w:val="00667808"/>
    <w:rsid w:val="006724AD"/>
    <w:rsid w:val="0067257C"/>
    <w:rsid w:val="0067267D"/>
    <w:rsid w:val="00672BAB"/>
    <w:rsid w:val="0067314A"/>
    <w:rsid w:val="00673D1E"/>
    <w:rsid w:val="00673F15"/>
    <w:rsid w:val="006755DE"/>
    <w:rsid w:val="006779CF"/>
    <w:rsid w:val="00677A8F"/>
    <w:rsid w:val="00677B70"/>
    <w:rsid w:val="00677F8A"/>
    <w:rsid w:val="00681E4C"/>
    <w:rsid w:val="00681E7D"/>
    <w:rsid w:val="006821E3"/>
    <w:rsid w:val="0068358B"/>
    <w:rsid w:val="00683AD6"/>
    <w:rsid w:val="006842AE"/>
    <w:rsid w:val="006842B2"/>
    <w:rsid w:val="00685360"/>
    <w:rsid w:val="00685E81"/>
    <w:rsid w:val="00687CEB"/>
    <w:rsid w:val="00687EA9"/>
    <w:rsid w:val="0069097D"/>
    <w:rsid w:val="00692D35"/>
    <w:rsid w:val="00693F8D"/>
    <w:rsid w:val="00695A81"/>
    <w:rsid w:val="00695F10"/>
    <w:rsid w:val="00696579"/>
    <w:rsid w:val="0069708A"/>
    <w:rsid w:val="006A1449"/>
    <w:rsid w:val="006A447B"/>
    <w:rsid w:val="006A4BE4"/>
    <w:rsid w:val="006A50C2"/>
    <w:rsid w:val="006A52B8"/>
    <w:rsid w:val="006A5773"/>
    <w:rsid w:val="006A5804"/>
    <w:rsid w:val="006A58F0"/>
    <w:rsid w:val="006A6FA5"/>
    <w:rsid w:val="006A7966"/>
    <w:rsid w:val="006B012C"/>
    <w:rsid w:val="006B0372"/>
    <w:rsid w:val="006B0764"/>
    <w:rsid w:val="006B22FB"/>
    <w:rsid w:val="006B4467"/>
    <w:rsid w:val="006B51A7"/>
    <w:rsid w:val="006B56D9"/>
    <w:rsid w:val="006B6C46"/>
    <w:rsid w:val="006B6E78"/>
    <w:rsid w:val="006B7D18"/>
    <w:rsid w:val="006C0039"/>
    <w:rsid w:val="006C1927"/>
    <w:rsid w:val="006C2585"/>
    <w:rsid w:val="006C30CE"/>
    <w:rsid w:val="006C4008"/>
    <w:rsid w:val="006C5931"/>
    <w:rsid w:val="006C64E1"/>
    <w:rsid w:val="006C6AFD"/>
    <w:rsid w:val="006C73EF"/>
    <w:rsid w:val="006C78D0"/>
    <w:rsid w:val="006C7C5E"/>
    <w:rsid w:val="006C7FBF"/>
    <w:rsid w:val="006D0E44"/>
    <w:rsid w:val="006D1723"/>
    <w:rsid w:val="006D2A84"/>
    <w:rsid w:val="006D4550"/>
    <w:rsid w:val="006D5CC0"/>
    <w:rsid w:val="006D5D3F"/>
    <w:rsid w:val="006D60ED"/>
    <w:rsid w:val="006D7001"/>
    <w:rsid w:val="006E10E4"/>
    <w:rsid w:val="006E1166"/>
    <w:rsid w:val="006E128A"/>
    <w:rsid w:val="006E1BE0"/>
    <w:rsid w:val="006E20D4"/>
    <w:rsid w:val="006E2ED6"/>
    <w:rsid w:val="006E497A"/>
    <w:rsid w:val="006E596E"/>
    <w:rsid w:val="006E6613"/>
    <w:rsid w:val="006E6D94"/>
    <w:rsid w:val="006E7A7F"/>
    <w:rsid w:val="006F00C1"/>
    <w:rsid w:val="006F033F"/>
    <w:rsid w:val="006F24D8"/>
    <w:rsid w:val="006F33B8"/>
    <w:rsid w:val="006F4C9C"/>
    <w:rsid w:val="006F51BC"/>
    <w:rsid w:val="006F5C67"/>
    <w:rsid w:val="006F640F"/>
    <w:rsid w:val="006F762A"/>
    <w:rsid w:val="00701B36"/>
    <w:rsid w:val="00701B6B"/>
    <w:rsid w:val="00702617"/>
    <w:rsid w:val="00703322"/>
    <w:rsid w:val="0070384F"/>
    <w:rsid w:val="007038EB"/>
    <w:rsid w:val="00703A9E"/>
    <w:rsid w:val="00703D6D"/>
    <w:rsid w:val="00704152"/>
    <w:rsid w:val="00704FB5"/>
    <w:rsid w:val="00705DBA"/>
    <w:rsid w:val="0070683D"/>
    <w:rsid w:val="00706B71"/>
    <w:rsid w:val="007072BB"/>
    <w:rsid w:val="00710962"/>
    <w:rsid w:val="00710C1D"/>
    <w:rsid w:val="00712EE5"/>
    <w:rsid w:val="00713493"/>
    <w:rsid w:val="00713494"/>
    <w:rsid w:val="00714031"/>
    <w:rsid w:val="007145D1"/>
    <w:rsid w:val="0071466E"/>
    <w:rsid w:val="00714A6C"/>
    <w:rsid w:val="00714CD3"/>
    <w:rsid w:val="00714F2C"/>
    <w:rsid w:val="00715D19"/>
    <w:rsid w:val="00717CD0"/>
    <w:rsid w:val="007206A8"/>
    <w:rsid w:val="0072116D"/>
    <w:rsid w:val="00722048"/>
    <w:rsid w:val="0072226F"/>
    <w:rsid w:val="0072258F"/>
    <w:rsid w:val="00722872"/>
    <w:rsid w:val="007228CD"/>
    <w:rsid w:val="00723181"/>
    <w:rsid w:val="00724AC7"/>
    <w:rsid w:val="00725B78"/>
    <w:rsid w:val="00727082"/>
    <w:rsid w:val="00727AC8"/>
    <w:rsid w:val="00727F1A"/>
    <w:rsid w:val="0073043C"/>
    <w:rsid w:val="0073201E"/>
    <w:rsid w:val="0073233C"/>
    <w:rsid w:val="00732C4D"/>
    <w:rsid w:val="00732CA1"/>
    <w:rsid w:val="00732D0C"/>
    <w:rsid w:val="00733EAD"/>
    <w:rsid w:val="00734F54"/>
    <w:rsid w:val="007373D7"/>
    <w:rsid w:val="00737C04"/>
    <w:rsid w:val="00740AB2"/>
    <w:rsid w:val="0074224D"/>
    <w:rsid w:val="00744110"/>
    <w:rsid w:val="00744595"/>
    <w:rsid w:val="00745CC6"/>
    <w:rsid w:val="00747A02"/>
    <w:rsid w:val="00747A52"/>
    <w:rsid w:val="00750F1E"/>
    <w:rsid w:val="00751C12"/>
    <w:rsid w:val="00752500"/>
    <w:rsid w:val="00752691"/>
    <w:rsid w:val="007528F2"/>
    <w:rsid w:val="00752CFF"/>
    <w:rsid w:val="00755F22"/>
    <w:rsid w:val="00756448"/>
    <w:rsid w:val="00763700"/>
    <w:rsid w:val="0076427C"/>
    <w:rsid w:val="00764A9F"/>
    <w:rsid w:val="00765217"/>
    <w:rsid w:val="007659AA"/>
    <w:rsid w:val="00766E51"/>
    <w:rsid w:val="00767A28"/>
    <w:rsid w:val="00771D50"/>
    <w:rsid w:val="0077266C"/>
    <w:rsid w:val="00772802"/>
    <w:rsid w:val="0077308D"/>
    <w:rsid w:val="007746F2"/>
    <w:rsid w:val="00775066"/>
    <w:rsid w:val="00775146"/>
    <w:rsid w:val="007758FF"/>
    <w:rsid w:val="0077590F"/>
    <w:rsid w:val="00776406"/>
    <w:rsid w:val="0077640B"/>
    <w:rsid w:val="0078005A"/>
    <w:rsid w:val="00781339"/>
    <w:rsid w:val="007816F3"/>
    <w:rsid w:val="00781B6F"/>
    <w:rsid w:val="00781EEE"/>
    <w:rsid w:val="00781F9C"/>
    <w:rsid w:val="007826C2"/>
    <w:rsid w:val="00782DFD"/>
    <w:rsid w:val="00784424"/>
    <w:rsid w:val="007846D3"/>
    <w:rsid w:val="00785375"/>
    <w:rsid w:val="00785474"/>
    <w:rsid w:val="00787B99"/>
    <w:rsid w:val="00790D07"/>
    <w:rsid w:val="0079421C"/>
    <w:rsid w:val="00794460"/>
    <w:rsid w:val="007951C9"/>
    <w:rsid w:val="0079526D"/>
    <w:rsid w:val="0079548F"/>
    <w:rsid w:val="00795A2C"/>
    <w:rsid w:val="00796DE3"/>
    <w:rsid w:val="00797390"/>
    <w:rsid w:val="007A05B6"/>
    <w:rsid w:val="007A163C"/>
    <w:rsid w:val="007A1C0A"/>
    <w:rsid w:val="007A1C59"/>
    <w:rsid w:val="007A4DB5"/>
    <w:rsid w:val="007A4E9A"/>
    <w:rsid w:val="007A5B41"/>
    <w:rsid w:val="007A5E5F"/>
    <w:rsid w:val="007B24A8"/>
    <w:rsid w:val="007B3D09"/>
    <w:rsid w:val="007B3E62"/>
    <w:rsid w:val="007B4C31"/>
    <w:rsid w:val="007B5792"/>
    <w:rsid w:val="007B66C8"/>
    <w:rsid w:val="007B6D04"/>
    <w:rsid w:val="007B7032"/>
    <w:rsid w:val="007C225E"/>
    <w:rsid w:val="007C2407"/>
    <w:rsid w:val="007C27DF"/>
    <w:rsid w:val="007C2F25"/>
    <w:rsid w:val="007C31E2"/>
    <w:rsid w:val="007C3AC2"/>
    <w:rsid w:val="007C429B"/>
    <w:rsid w:val="007C5CE1"/>
    <w:rsid w:val="007C6F85"/>
    <w:rsid w:val="007D0569"/>
    <w:rsid w:val="007D105E"/>
    <w:rsid w:val="007D16B1"/>
    <w:rsid w:val="007D19E4"/>
    <w:rsid w:val="007D1E70"/>
    <w:rsid w:val="007D5026"/>
    <w:rsid w:val="007D684A"/>
    <w:rsid w:val="007D6C2B"/>
    <w:rsid w:val="007D7400"/>
    <w:rsid w:val="007D7761"/>
    <w:rsid w:val="007D79FF"/>
    <w:rsid w:val="007D7F64"/>
    <w:rsid w:val="007E02A7"/>
    <w:rsid w:val="007E1A2F"/>
    <w:rsid w:val="007E3BAD"/>
    <w:rsid w:val="007E468A"/>
    <w:rsid w:val="007E51A5"/>
    <w:rsid w:val="007E57BC"/>
    <w:rsid w:val="007E65E1"/>
    <w:rsid w:val="007E7D30"/>
    <w:rsid w:val="007E7F4C"/>
    <w:rsid w:val="007F1E61"/>
    <w:rsid w:val="007F3018"/>
    <w:rsid w:val="007F6A71"/>
    <w:rsid w:val="007F7A59"/>
    <w:rsid w:val="00801340"/>
    <w:rsid w:val="008018DB"/>
    <w:rsid w:val="00802768"/>
    <w:rsid w:val="008060C3"/>
    <w:rsid w:val="008063A1"/>
    <w:rsid w:val="00807F00"/>
    <w:rsid w:val="0081301B"/>
    <w:rsid w:val="008134BD"/>
    <w:rsid w:val="00813CFF"/>
    <w:rsid w:val="00814656"/>
    <w:rsid w:val="00814BDC"/>
    <w:rsid w:val="00815D6A"/>
    <w:rsid w:val="00816148"/>
    <w:rsid w:val="00816243"/>
    <w:rsid w:val="00820096"/>
    <w:rsid w:val="00820E45"/>
    <w:rsid w:val="00821E2C"/>
    <w:rsid w:val="00822835"/>
    <w:rsid w:val="008240F5"/>
    <w:rsid w:val="00826087"/>
    <w:rsid w:val="00826758"/>
    <w:rsid w:val="00827D5A"/>
    <w:rsid w:val="008353E0"/>
    <w:rsid w:val="008365F0"/>
    <w:rsid w:val="008378D2"/>
    <w:rsid w:val="00837E43"/>
    <w:rsid w:val="00837E81"/>
    <w:rsid w:val="008406BB"/>
    <w:rsid w:val="00841534"/>
    <w:rsid w:val="00841AE5"/>
    <w:rsid w:val="00842ED7"/>
    <w:rsid w:val="008440D8"/>
    <w:rsid w:val="008462F1"/>
    <w:rsid w:val="008502AE"/>
    <w:rsid w:val="00850FDE"/>
    <w:rsid w:val="00852138"/>
    <w:rsid w:val="008524CC"/>
    <w:rsid w:val="00852876"/>
    <w:rsid w:val="00852CFB"/>
    <w:rsid w:val="008543F5"/>
    <w:rsid w:val="00855004"/>
    <w:rsid w:val="00855A1D"/>
    <w:rsid w:val="008561AE"/>
    <w:rsid w:val="008564DC"/>
    <w:rsid w:val="008572C4"/>
    <w:rsid w:val="0085733E"/>
    <w:rsid w:val="008604A8"/>
    <w:rsid w:val="00860F85"/>
    <w:rsid w:val="00861AFA"/>
    <w:rsid w:val="00863C61"/>
    <w:rsid w:val="00865522"/>
    <w:rsid w:val="00865583"/>
    <w:rsid w:val="00865ADF"/>
    <w:rsid w:val="0086644C"/>
    <w:rsid w:val="008666B5"/>
    <w:rsid w:val="00866F28"/>
    <w:rsid w:val="008703B3"/>
    <w:rsid w:val="0087137B"/>
    <w:rsid w:val="0087219F"/>
    <w:rsid w:val="00872694"/>
    <w:rsid w:val="00875AB7"/>
    <w:rsid w:val="00876985"/>
    <w:rsid w:val="008811EE"/>
    <w:rsid w:val="00883780"/>
    <w:rsid w:val="00883B99"/>
    <w:rsid w:val="00885066"/>
    <w:rsid w:val="00885681"/>
    <w:rsid w:val="00885D55"/>
    <w:rsid w:val="00885F85"/>
    <w:rsid w:val="0088665E"/>
    <w:rsid w:val="00891D30"/>
    <w:rsid w:val="008923C8"/>
    <w:rsid w:val="00893260"/>
    <w:rsid w:val="008932A8"/>
    <w:rsid w:val="00893756"/>
    <w:rsid w:val="00894A9E"/>
    <w:rsid w:val="008950F6"/>
    <w:rsid w:val="0089673F"/>
    <w:rsid w:val="00896815"/>
    <w:rsid w:val="00897D3F"/>
    <w:rsid w:val="008A0744"/>
    <w:rsid w:val="008A0A66"/>
    <w:rsid w:val="008A0A6E"/>
    <w:rsid w:val="008A0D0F"/>
    <w:rsid w:val="008A2C8C"/>
    <w:rsid w:val="008A2FB3"/>
    <w:rsid w:val="008A31DE"/>
    <w:rsid w:val="008A398B"/>
    <w:rsid w:val="008A4D4C"/>
    <w:rsid w:val="008A5601"/>
    <w:rsid w:val="008A565B"/>
    <w:rsid w:val="008A59AD"/>
    <w:rsid w:val="008A62DF"/>
    <w:rsid w:val="008B0EEB"/>
    <w:rsid w:val="008B18F4"/>
    <w:rsid w:val="008B1AEE"/>
    <w:rsid w:val="008B3636"/>
    <w:rsid w:val="008B4243"/>
    <w:rsid w:val="008B431D"/>
    <w:rsid w:val="008B47EE"/>
    <w:rsid w:val="008B51FD"/>
    <w:rsid w:val="008B72BE"/>
    <w:rsid w:val="008C1939"/>
    <w:rsid w:val="008C3396"/>
    <w:rsid w:val="008C5140"/>
    <w:rsid w:val="008C621C"/>
    <w:rsid w:val="008C697C"/>
    <w:rsid w:val="008C75ED"/>
    <w:rsid w:val="008C7649"/>
    <w:rsid w:val="008D15F2"/>
    <w:rsid w:val="008D584B"/>
    <w:rsid w:val="008D67F1"/>
    <w:rsid w:val="008D79EB"/>
    <w:rsid w:val="008E0628"/>
    <w:rsid w:val="008E0991"/>
    <w:rsid w:val="008E1A9F"/>
    <w:rsid w:val="008E25BF"/>
    <w:rsid w:val="008E2B35"/>
    <w:rsid w:val="008E338E"/>
    <w:rsid w:val="008E531A"/>
    <w:rsid w:val="008E5455"/>
    <w:rsid w:val="008E56C4"/>
    <w:rsid w:val="008E57FE"/>
    <w:rsid w:val="008E5E15"/>
    <w:rsid w:val="008E5FD9"/>
    <w:rsid w:val="008F00C4"/>
    <w:rsid w:val="008F2665"/>
    <w:rsid w:val="008F4131"/>
    <w:rsid w:val="008F6376"/>
    <w:rsid w:val="008F7317"/>
    <w:rsid w:val="008F789F"/>
    <w:rsid w:val="008F7FD0"/>
    <w:rsid w:val="00900E15"/>
    <w:rsid w:val="009019FB"/>
    <w:rsid w:val="00902391"/>
    <w:rsid w:val="009025BB"/>
    <w:rsid w:val="009026A6"/>
    <w:rsid w:val="009033DB"/>
    <w:rsid w:val="0090343C"/>
    <w:rsid w:val="00905B05"/>
    <w:rsid w:val="009067B1"/>
    <w:rsid w:val="0090753C"/>
    <w:rsid w:val="0091170C"/>
    <w:rsid w:val="00911B66"/>
    <w:rsid w:val="00912A7E"/>
    <w:rsid w:val="009130FD"/>
    <w:rsid w:val="0091378D"/>
    <w:rsid w:val="00915330"/>
    <w:rsid w:val="00916E69"/>
    <w:rsid w:val="00917525"/>
    <w:rsid w:val="0091777D"/>
    <w:rsid w:val="00917E6E"/>
    <w:rsid w:val="0092057D"/>
    <w:rsid w:val="00921153"/>
    <w:rsid w:val="009218DE"/>
    <w:rsid w:val="00922D00"/>
    <w:rsid w:val="00923171"/>
    <w:rsid w:val="009231D8"/>
    <w:rsid w:val="00923D3E"/>
    <w:rsid w:val="00923F17"/>
    <w:rsid w:val="00925BCD"/>
    <w:rsid w:val="00925C25"/>
    <w:rsid w:val="009266DA"/>
    <w:rsid w:val="009270C0"/>
    <w:rsid w:val="00930DE8"/>
    <w:rsid w:val="009318DD"/>
    <w:rsid w:val="00933262"/>
    <w:rsid w:val="0093336C"/>
    <w:rsid w:val="009334CD"/>
    <w:rsid w:val="00934EBA"/>
    <w:rsid w:val="00935413"/>
    <w:rsid w:val="00935F5D"/>
    <w:rsid w:val="009368E0"/>
    <w:rsid w:val="00940F7C"/>
    <w:rsid w:val="00941F19"/>
    <w:rsid w:val="0094260B"/>
    <w:rsid w:val="00942661"/>
    <w:rsid w:val="009430A7"/>
    <w:rsid w:val="00945307"/>
    <w:rsid w:val="0094558D"/>
    <w:rsid w:val="00945E6E"/>
    <w:rsid w:val="00946FCE"/>
    <w:rsid w:val="00947EBE"/>
    <w:rsid w:val="0095067C"/>
    <w:rsid w:val="00950F54"/>
    <w:rsid w:val="00951571"/>
    <w:rsid w:val="009515BC"/>
    <w:rsid w:val="00952C0F"/>
    <w:rsid w:val="00953C9D"/>
    <w:rsid w:val="00953ED0"/>
    <w:rsid w:val="0095439A"/>
    <w:rsid w:val="0095492E"/>
    <w:rsid w:val="00955669"/>
    <w:rsid w:val="00955F7D"/>
    <w:rsid w:val="00956BB5"/>
    <w:rsid w:val="00957230"/>
    <w:rsid w:val="009574BE"/>
    <w:rsid w:val="00960E82"/>
    <w:rsid w:val="0096139E"/>
    <w:rsid w:val="009622CA"/>
    <w:rsid w:val="0096242F"/>
    <w:rsid w:val="00962CA6"/>
    <w:rsid w:val="00962E3B"/>
    <w:rsid w:val="00962FF5"/>
    <w:rsid w:val="009630A1"/>
    <w:rsid w:val="00964721"/>
    <w:rsid w:val="00964A4E"/>
    <w:rsid w:val="0096563B"/>
    <w:rsid w:val="00965B02"/>
    <w:rsid w:val="00965C07"/>
    <w:rsid w:val="00965D2D"/>
    <w:rsid w:val="009670C5"/>
    <w:rsid w:val="00971847"/>
    <w:rsid w:val="009719F4"/>
    <w:rsid w:val="00972964"/>
    <w:rsid w:val="00973E8B"/>
    <w:rsid w:val="00974A88"/>
    <w:rsid w:val="0097602D"/>
    <w:rsid w:val="00977150"/>
    <w:rsid w:val="009775C8"/>
    <w:rsid w:val="0097762F"/>
    <w:rsid w:val="009805AF"/>
    <w:rsid w:val="009816B8"/>
    <w:rsid w:val="00981E82"/>
    <w:rsid w:val="00983B45"/>
    <w:rsid w:val="009848E1"/>
    <w:rsid w:val="009867D3"/>
    <w:rsid w:val="0098766F"/>
    <w:rsid w:val="009901F9"/>
    <w:rsid w:val="00993912"/>
    <w:rsid w:val="009939B2"/>
    <w:rsid w:val="00994050"/>
    <w:rsid w:val="009957E8"/>
    <w:rsid w:val="009962CF"/>
    <w:rsid w:val="009963AF"/>
    <w:rsid w:val="009969D6"/>
    <w:rsid w:val="009A18AA"/>
    <w:rsid w:val="009A2A9F"/>
    <w:rsid w:val="009A49AE"/>
    <w:rsid w:val="009A5DB1"/>
    <w:rsid w:val="009A6908"/>
    <w:rsid w:val="009A7757"/>
    <w:rsid w:val="009A7C5A"/>
    <w:rsid w:val="009A7E51"/>
    <w:rsid w:val="009B0BE6"/>
    <w:rsid w:val="009B0E26"/>
    <w:rsid w:val="009B0FFD"/>
    <w:rsid w:val="009B179F"/>
    <w:rsid w:val="009B21B9"/>
    <w:rsid w:val="009B3CBD"/>
    <w:rsid w:val="009B4CD0"/>
    <w:rsid w:val="009B4DA7"/>
    <w:rsid w:val="009B591F"/>
    <w:rsid w:val="009C0A48"/>
    <w:rsid w:val="009C1844"/>
    <w:rsid w:val="009C1B5E"/>
    <w:rsid w:val="009C21C6"/>
    <w:rsid w:val="009C2484"/>
    <w:rsid w:val="009C3162"/>
    <w:rsid w:val="009C383B"/>
    <w:rsid w:val="009C3A80"/>
    <w:rsid w:val="009C4B4B"/>
    <w:rsid w:val="009C5238"/>
    <w:rsid w:val="009D0225"/>
    <w:rsid w:val="009D12B4"/>
    <w:rsid w:val="009D1E70"/>
    <w:rsid w:val="009D2135"/>
    <w:rsid w:val="009D2FA7"/>
    <w:rsid w:val="009D308A"/>
    <w:rsid w:val="009D3F52"/>
    <w:rsid w:val="009D4CAE"/>
    <w:rsid w:val="009D55F9"/>
    <w:rsid w:val="009D5A11"/>
    <w:rsid w:val="009D7760"/>
    <w:rsid w:val="009E0CDB"/>
    <w:rsid w:val="009E16E6"/>
    <w:rsid w:val="009E21D2"/>
    <w:rsid w:val="009E2953"/>
    <w:rsid w:val="009E30CE"/>
    <w:rsid w:val="009E448B"/>
    <w:rsid w:val="009E493B"/>
    <w:rsid w:val="009E657C"/>
    <w:rsid w:val="009E73BA"/>
    <w:rsid w:val="009E78B9"/>
    <w:rsid w:val="009F04C3"/>
    <w:rsid w:val="009F0760"/>
    <w:rsid w:val="009F1590"/>
    <w:rsid w:val="009F2C4F"/>
    <w:rsid w:val="009F3126"/>
    <w:rsid w:val="009F4860"/>
    <w:rsid w:val="009F590F"/>
    <w:rsid w:val="009F6240"/>
    <w:rsid w:val="009F6A1A"/>
    <w:rsid w:val="009F72CD"/>
    <w:rsid w:val="009F7346"/>
    <w:rsid w:val="00A00057"/>
    <w:rsid w:val="00A00485"/>
    <w:rsid w:val="00A01A5F"/>
    <w:rsid w:val="00A023CB"/>
    <w:rsid w:val="00A02C96"/>
    <w:rsid w:val="00A02E65"/>
    <w:rsid w:val="00A0340A"/>
    <w:rsid w:val="00A03ACC"/>
    <w:rsid w:val="00A0440C"/>
    <w:rsid w:val="00A0585F"/>
    <w:rsid w:val="00A05A18"/>
    <w:rsid w:val="00A06367"/>
    <w:rsid w:val="00A0636B"/>
    <w:rsid w:val="00A0694A"/>
    <w:rsid w:val="00A06DAC"/>
    <w:rsid w:val="00A07ADB"/>
    <w:rsid w:val="00A10922"/>
    <w:rsid w:val="00A10A30"/>
    <w:rsid w:val="00A1137C"/>
    <w:rsid w:val="00A113D7"/>
    <w:rsid w:val="00A11F0F"/>
    <w:rsid w:val="00A12120"/>
    <w:rsid w:val="00A16126"/>
    <w:rsid w:val="00A16831"/>
    <w:rsid w:val="00A170FC"/>
    <w:rsid w:val="00A2295E"/>
    <w:rsid w:val="00A24133"/>
    <w:rsid w:val="00A241AB"/>
    <w:rsid w:val="00A25DA2"/>
    <w:rsid w:val="00A262BF"/>
    <w:rsid w:val="00A27809"/>
    <w:rsid w:val="00A30AA2"/>
    <w:rsid w:val="00A317B0"/>
    <w:rsid w:val="00A34591"/>
    <w:rsid w:val="00A34E44"/>
    <w:rsid w:val="00A35155"/>
    <w:rsid w:val="00A3640F"/>
    <w:rsid w:val="00A37008"/>
    <w:rsid w:val="00A40995"/>
    <w:rsid w:val="00A40CE2"/>
    <w:rsid w:val="00A45047"/>
    <w:rsid w:val="00A47176"/>
    <w:rsid w:val="00A475C5"/>
    <w:rsid w:val="00A4768C"/>
    <w:rsid w:val="00A50A68"/>
    <w:rsid w:val="00A50D3B"/>
    <w:rsid w:val="00A518AA"/>
    <w:rsid w:val="00A51B58"/>
    <w:rsid w:val="00A52381"/>
    <w:rsid w:val="00A524E4"/>
    <w:rsid w:val="00A52A18"/>
    <w:rsid w:val="00A5371E"/>
    <w:rsid w:val="00A54097"/>
    <w:rsid w:val="00A54D1C"/>
    <w:rsid w:val="00A55702"/>
    <w:rsid w:val="00A55B08"/>
    <w:rsid w:val="00A56348"/>
    <w:rsid w:val="00A5703F"/>
    <w:rsid w:val="00A57D39"/>
    <w:rsid w:val="00A60A5A"/>
    <w:rsid w:val="00A61D2C"/>
    <w:rsid w:val="00A6316B"/>
    <w:rsid w:val="00A643D8"/>
    <w:rsid w:val="00A64B78"/>
    <w:rsid w:val="00A652DD"/>
    <w:rsid w:val="00A65316"/>
    <w:rsid w:val="00A6748D"/>
    <w:rsid w:val="00A674FF"/>
    <w:rsid w:val="00A70E16"/>
    <w:rsid w:val="00A70F69"/>
    <w:rsid w:val="00A7192A"/>
    <w:rsid w:val="00A72611"/>
    <w:rsid w:val="00A73ABB"/>
    <w:rsid w:val="00A75E74"/>
    <w:rsid w:val="00A76D2C"/>
    <w:rsid w:val="00A77011"/>
    <w:rsid w:val="00A77746"/>
    <w:rsid w:val="00A77D66"/>
    <w:rsid w:val="00A806AA"/>
    <w:rsid w:val="00A82814"/>
    <w:rsid w:val="00A83BF6"/>
    <w:rsid w:val="00A862CD"/>
    <w:rsid w:val="00A86D5F"/>
    <w:rsid w:val="00A876E6"/>
    <w:rsid w:val="00A87F31"/>
    <w:rsid w:val="00A904BC"/>
    <w:rsid w:val="00A90D27"/>
    <w:rsid w:val="00A9103B"/>
    <w:rsid w:val="00A91284"/>
    <w:rsid w:val="00A918A7"/>
    <w:rsid w:val="00A92871"/>
    <w:rsid w:val="00A955EB"/>
    <w:rsid w:val="00A97999"/>
    <w:rsid w:val="00A97AF6"/>
    <w:rsid w:val="00AA1558"/>
    <w:rsid w:val="00AA1F49"/>
    <w:rsid w:val="00AA24F7"/>
    <w:rsid w:val="00AA265B"/>
    <w:rsid w:val="00AA2BDD"/>
    <w:rsid w:val="00AA311E"/>
    <w:rsid w:val="00AA3A2E"/>
    <w:rsid w:val="00AA3A93"/>
    <w:rsid w:val="00AA4099"/>
    <w:rsid w:val="00AA6913"/>
    <w:rsid w:val="00AA69AD"/>
    <w:rsid w:val="00AA7A21"/>
    <w:rsid w:val="00AB134F"/>
    <w:rsid w:val="00AB2190"/>
    <w:rsid w:val="00AB276D"/>
    <w:rsid w:val="00AB2D03"/>
    <w:rsid w:val="00AB39EB"/>
    <w:rsid w:val="00AB3F27"/>
    <w:rsid w:val="00AB3FD9"/>
    <w:rsid w:val="00AB4196"/>
    <w:rsid w:val="00AB5410"/>
    <w:rsid w:val="00AB69B8"/>
    <w:rsid w:val="00AB7DE7"/>
    <w:rsid w:val="00AC11DC"/>
    <w:rsid w:val="00AC1288"/>
    <w:rsid w:val="00AC1BE7"/>
    <w:rsid w:val="00AC275F"/>
    <w:rsid w:val="00AC50A4"/>
    <w:rsid w:val="00AC5A95"/>
    <w:rsid w:val="00AC6074"/>
    <w:rsid w:val="00AC6471"/>
    <w:rsid w:val="00AC66A1"/>
    <w:rsid w:val="00AD029D"/>
    <w:rsid w:val="00AD1751"/>
    <w:rsid w:val="00AD1877"/>
    <w:rsid w:val="00AD2B6E"/>
    <w:rsid w:val="00AD3156"/>
    <w:rsid w:val="00AD3443"/>
    <w:rsid w:val="00AD4B3C"/>
    <w:rsid w:val="00AD68A5"/>
    <w:rsid w:val="00AE185D"/>
    <w:rsid w:val="00AE1BFE"/>
    <w:rsid w:val="00AE3842"/>
    <w:rsid w:val="00AE3D83"/>
    <w:rsid w:val="00AE3F8D"/>
    <w:rsid w:val="00AE4201"/>
    <w:rsid w:val="00AE4374"/>
    <w:rsid w:val="00AE4640"/>
    <w:rsid w:val="00AE485C"/>
    <w:rsid w:val="00AE5227"/>
    <w:rsid w:val="00AE6076"/>
    <w:rsid w:val="00AE7786"/>
    <w:rsid w:val="00AE7D4F"/>
    <w:rsid w:val="00AE7F25"/>
    <w:rsid w:val="00AE7FE4"/>
    <w:rsid w:val="00AF17D3"/>
    <w:rsid w:val="00AF1D77"/>
    <w:rsid w:val="00AF2139"/>
    <w:rsid w:val="00AF2D98"/>
    <w:rsid w:val="00AF2E0C"/>
    <w:rsid w:val="00AF38BA"/>
    <w:rsid w:val="00AF4E52"/>
    <w:rsid w:val="00AF4EFE"/>
    <w:rsid w:val="00AF4F67"/>
    <w:rsid w:val="00AF51CF"/>
    <w:rsid w:val="00AF5811"/>
    <w:rsid w:val="00AF6509"/>
    <w:rsid w:val="00AF6870"/>
    <w:rsid w:val="00AF7278"/>
    <w:rsid w:val="00B00678"/>
    <w:rsid w:val="00B00BBE"/>
    <w:rsid w:val="00B0133F"/>
    <w:rsid w:val="00B01E44"/>
    <w:rsid w:val="00B03171"/>
    <w:rsid w:val="00B03AD1"/>
    <w:rsid w:val="00B0456E"/>
    <w:rsid w:val="00B05318"/>
    <w:rsid w:val="00B0592F"/>
    <w:rsid w:val="00B0660E"/>
    <w:rsid w:val="00B06A05"/>
    <w:rsid w:val="00B06BF6"/>
    <w:rsid w:val="00B06F7F"/>
    <w:rsid w:val="00B100F0"/>
    <w:rsid w:val="00B1402E"/>
    <w:rsid w:val="00B14865"/>
    <w:rsid w:val="00B14BCF"/>
    <w:rsid w:val="00B14C62"/>
    <w:rsid w:val="00B1644A"/>
    <w:rsid w:val="00B2051A"/>
    <w:rsid w:val="00B21D50"/>
    <w:rsid w:val="00B22F9B"/>
    <w:rsid w:val="00B23747"/>
    <w:rsid w:val="00B24090"/>
    <w:rsid w:val="00B2554F"/>
    <w:rsid w:val="00B257E3"/>
    <w:rsid w:val="00B2592F"/>
    <w:rsid w:val="00B25962"/>
    <w:rsid w:val="00B260C7"/>
    <w:rsid w:val="00B27494"/>
    <w:rsid w:val="00B279B9"/>
    <w:rsid w:val="00B309C8"/>
    <w:rsid w:val="00B3166B"/>
    <w:rsid w:val="00B33720"/>
    <w:rsid w:val="00B34F48"/>
    <w:rsid w:val="00B3554C"/>
    <w:rsid w:val="00B369FC"/>
    <w:rsid w:val="00B372CC"/>
    <w:rsid w:val="00B37DAF"/>
    <w:rsid w:val="00B409A0"/>
    <w:rsid w:val="00B40DF5"/>
    <w:rsid w:val="00B41B74"/>
    <w:rsid w:val="00B45F59"/>
    <w:rsid w:val="00B468AE"/>
    <w:rsid w:val="00B513B8"/>
    <w:rsid w:val="00B5195B"/>
    <w:rsid w:val="00B51BA0"/>
    <w:rsid w:val="00B51C67"/>
    <w:rsid w:val="00B534AB"/>
    <w:rsid w:val="00B535BD"/>
    <w:rsid w:val="00B53701"/>
    <w:rsid w:val="00B547FE"/>
    <w:rsid w:val="00B569F0"/>
    <w:rsid w:val="00B56A26"/>
    <w:rsid w:val="00B57B06"/>
    <w:rsid w:val="00B6110A"/>
    <w:rsid w:val="00B6176A"/>
    <w:rsid w:val="00B6301A"/>
    <w:rsid w:val="00B641E6"/>
    <w:rsid w:val="00B6455E"/>
    <w:rsid w:val="00B64CAD"/>
    <w:rsid w:val="00B653F0"/>
    <w:rsid w:val="00B65F4B"/>
    <w:rsid w:val="00B66751"/>
    <w:rsid w:val="00B66982"/>
    <w:rsid w:val="00B66AE6"/>
    <w:rsid w:val="00B67AA6"/>
    <w:rsid w:val="00B7066C"/>
    <w:rsid w:val="00B717D8"/>
    <w:rsid w:val="00B72206"/>
    <w:rsid w:val="00B72DF3"/>
    <w:rsid w:val="00B74146"/>
    <w:rsid w:val="00B75B99"/>
    <w:rsid w:val="00B76969"/>
    <w:rsid w:val="00B76F6C"/>
    <w:rsid w:val="00B76F77"/>
    <w:rsid w:val="00B801F6"/>
    <w:rsid w:val="00B8021C"/>
    <w:rsid w:val="00B8080B"/>
    <w:rsid w:val="00B810D0"/>
    <w:rsid w:val="00B811EF"/>
    <w:rsid w:val="00B81DC9"/>
    <w:rsid w:val="00B831D0"/>
    <w:rsid w:val="00B84582"/>
    <w:rsid w:val="00B86EF1"/>
    <w:rsid w:val="00B90674"/>
    <w:rsid w:val="00B9144F"/>
    <w:rsid w:val="00B934E3"/>
    <w:rsid w:val="00B93CF8"/>
    <w:rsid w:val="00B94323"/>
    <w:rsid w:val="00B9557A"/>
    <w:rsid w:val="00B961B7"/>
    <w:rsid w:val="00B963D4"/>
    <w:rsid w:val="00B9772B"/>
    <w:rsid w:val="00B97953"/>
    <w:rsid w:val="00BA129C"/>
    <w:rsid w:val="00BA1B17"/>
    <w:rsid w:val="00BA1B3D"/>
    <w:rsid w:val="00BA1ED2"/>
    <w:rsid w:val="00BA2DEF"/>
    <w:rsid w:val="00BA42FB"/>
    <w:rsid w:val="00BA4768"/>
    <w:rsid w:val="00BA516F"/>
    <w:rsid w:val="00BA628C"/>
    <w:rsid w:val="00BA7059"/>
    <w:rsid w:val="00BA71CD"/>
    <w:rsid w:val="00BA71F2"/>
    <w:rsid w:val="00BA7E88"/>
    <w:rsid w:val="00BB0051"/>
    <w:rsid w:val="00BB02C6"/>
    <w:rsid w:val="00BB1082"/>
    <w:rsid w:val="00BB1BC0"/>
    <w:rsid w:val="00BB2127"/>
    <w:rsid w:val="00BB3805"/>
    <w:rsid w:val="00BB52A5"/>
    <w:rsid w:val="00BB5C66"/>
    <w:rsid w:val="00BB6740"/>
    <w:rsid w:val="00BB6A4F"/>
    <w:rsid w:val="00BB7EA1"/>
    <w:rsid w:val="00BB7F81"/>
    <w:rsid w:val="00BC0C62"/>
    <w:rsid w:val="00BC20D0"/>
    <w:rsid w:val="00BC269B"/>
    <w:rsid w:val="00BC27D2"/>
    <w:rsid w:val="00BC31CF"/>
    <w:rsid w:val="00BC3AE1"/>
    <w:rsid w:val="00BC5FA8"/>
    <w:rsid w:val="00BC65E2"/>
    <w:rsid w:val="00BC767C"/>
    <w:rsid w:val="00BD35E1"/>
    <w:rsid w:val="00BD3CCE"/>
    <w:rsid w:val="00BD4482"/>
    <w:rsid w:val="00BD54FC"/>
    <w:rsid w:val="00BD56DA"/>
    <w:rsid w:val="00BD63C3"/>
    <w:rsid w:val="00BD76A4"/>
    <w:rsid w:val="00BE0547"/>
    <w:rsid w:val="00BE0BCC"/>
    <w:rsid w:val="00BE0EE9"/>
    <w:rsid w:val="00BE1C8A"/>
    <w:rsid w:val="00BE4857"/>
    <w:rsid w:val="00BE5847"/>
    <w:rsid w:val="00BE5BE0"/>
    <w:rsid w:val="00BE5F4E"/>
    <w:rsid w:val="00BE7003"/>
    <w:rsid w:val="00BE70E8"/>
    <w:rsid w:val="00BF0E76"/>
    <w:rsid w:val="00BF19DC"/>
    <w:rsid w:val="00BF2B3E"/>
    <w:rsid w:val="00BF2DAF"/>
    <w:rsid w:val="00BF3A91"/>
    <w:rsid w:val="00BF4DC2"/>
    <w:rsid w:val="00BF4E1B"/>
    <w:rsid w:val="00BF589F"/>
    <w:rsid w:val="00BF5A49"/>
    <w:rsid w:val="00BF5E78"/>
    <w:rsid w:val="00BF67F5"/>
    <w:rsid w:val="00BF76A9"/>
    <w:rsid w:val="00C006DF"/>
    <w:rsid w:val="00C01962"/>
    <w:rsid w:val="00C042BD"/>
    <w:rsid w:val="00C0480F"/>
    <w:rsid w:val="00C07895"/>
    <w:rsid w:val="00C07C7B"/>
    <w:rsid w:val="00C07D9A"/>
    <w:rsid w:val="00C10309"/>
    <w:rsid w:val="00C1043C"/>
    <w:rsid w:val="00C10789"/>
    <w:rsid w:val="00C110C6"/>
    <w:rsid w:val="00C11F3A"/>
    <w:rsid w:val="00C12A51"/>
    <w:rsid w:val="00C1344F"/>
    <w:rsid w:val="00C139B9"/>
    <w:rsid w:val="00C1591E"/>
    <w:rsid w:val="00C17C4F"/>
    <w:rsid w:val="00C20D36"/>
    <w:rsid w:val="00C21038"/>
    <w:rsid w:val="00C233B8"/>
    <w:rsid w:val="00C235A9"/>
    <w:rsid w:val="00C236BF"/>
    <w:rsid w:val="00C2396B"/>
    <w:rsid w:val="00C25287"/>
    <w:rsid w:val="00C26157"/>
    <w:rsid w:val="00C26AD6"/>
    <w:rsid w:val="00C2785F"/>
    <w:rsid w:val="00C27B3B"/>
    <w:rsid w:val="00C3099C"/>
    <w:rsid w:val="00C30BA6"/>
    <w:rsid w:val="00C31467"/>
    <w:rsid w:val="00C3253C"/>
    <w:rsid w:val="00C34CCB"/>
    <w:rsid w:val="00C34D57"/>
    <w:rsid w:val="00C36696"/>
    <w:rsid w:val="00C36720"/>
    <w:rsid w:val="00C37518"/>
    <w:rsid w:val="00C378F8"/>
    <w:rsid w:val="00C37F00"/>
    <w:rsid w:val="00C42125"/>
    <w:rsid w:val="00C421C9"/>
    <w:rsid w:val="00C42547"/>
    <w:rsid w:val="00C42A3A"/>
    <w:rsid w:val="00C42E4A"/>
    <w:rsid w:val="00C43F90"/>
    <w:rsid w:val="00C440A8"/>
    <w:rsid w:val="00C4517F"/>
    <w:rsid w:val="00C45232"/>
    <w:rsid w:val="00C45A93"/>
    <w:rsid w:val="00C4625F"/>
    <w:rsid w:val="00C46516"/>
    <w:rsid w:val="00C46E94"/>
    <w:rsid w:val="00C47908"/>
    <w:rsid w:val="00C525B9"/>
    <w:rsid w:val="00C526AE"/>
    <w:rsid w:val="00C52BA5"/>
    <w:rsid w:val="00C52C78"/>
    <w:rsid w:val="00C53323"/>
    <w:rsid w:val="00C54D8C"/>
    <w:rsid w:val="00C55B9F"/>
    <w:rsid w:val="00C56FDD"/>
    <w:rsid w:val="00C570C0"/>
    <w:rsid w:val="00C60D05"/>
    <w:rsid w:val="00C62462"/>
    <w:rsid w:val="00C65019"/>
    <w:rsid w:val="00C6698E"/>
    <w:rsid w:val="00C66CEF"/>
    <w:rsid w:val="00C670FE"/>
    <w:rsid w:val="00C677C4"/>
    <w:rsid w:val="00C67A4D"/>
    <w:rsid w:val="00C705BC"/>
    <w:rsid w:val="00C7095B"/>
    <w:rsid w:val="00C71E3C"/>
    <w:rsid w:val="00C73082"/>
    <w:rsid w:val="00C7321C"/>
    <w:rsid w:val="00C738AD"/>
    <w:rsid w:val="00C73B05"/>
    <w:rsid w:val="00C75467"/>
    <w:rsid w:val="00C75492"/>
    <w:rsid w:val="00C77C78"/>
    <w:rsid w:val="00C80746"/>
    <w:rsid w:val="00C80FC1"/>
    <w:rsid w:val="00C80FD0"/>
    <w:rsid w:val="00C8146C"/>
    <w:rsid w:val="00C82A20"/>
    <w:rsid w:val="00C831CA"/>
    <w:rsid w:val="00C846DD"/>
    <w:rsid w:val="00C85039"/>
    <w:rsid w:val="00C8527C"/>
    <w:rsid w:val="00C85A25"/>
    <w:rsid w:val="00C85CA6"/>
    <w:rsid w:val="00C86401"/>
    <w:rsid w:val="00C9147E"/>
    <w:rsid w:val="00C914D2"/>
    <w:rsid w:val="00C925ED"/>
    <w:rsid w:val="00C92B72"/>
    <w:rsid w:val="00C92D30"/>
    <w:rsid w:val="00C9339F"/>
    <w:rsid w:val="00C95865"/>
    <w:rsid w:val="00C96A10"/>
    <w:rsid w:val="00C9753B"/>
    <w:rsid w:val="00C9759A"/>
    <w:rsid w:val="00C97846"/>
    <w:rsid w:val="00C97C6E"/>
    <w:rsid w:val="00CA19CD"/>
    <w:rsid w:val="00CA2E13"/>
    <w:rsid w:val="00CA4A62"/>
    <w:rsid w:val="00CA5287"/>
    <w:rsid w:val="00CA56E5"/>
    <w:rsid w:val="00CA5BFB"/>
    <w:rsid w:val="00CA659E"/>
    <w:rsid w:val="00CB11CB"/>
    <w:rsid w:val="00CB235A"/>
    <w:rsid w:val="00CB23DD"/>
    <w:rsid w:val="00CB2757"/>
    <w:rsid w:val="00CB2FE7"/>
    <w:rsid w:val="00CB327F"/>
    <w:rsid w:val="00CB3B57"/>
    <w:rsid w:val="00CB42AE"/>
    <w:rsid w:val="00CB4DD1"/>
    <w:rsid w:val="00CB6768"/>
    <w:rsid w:val="00CB6DEA"/>
    <w:rsid w:val="00CC0661"/>
    <w:rsid w:val="00CC17DB"/>
    <w:rsid w:val="00CC2F01"/>
    <w:rsid w:val="00CC6453"/>
    <w:rsid w:val="00CC6E03"/>
    <w:rsid w:val="00CD0B08"/>
    <w:rsid w:val="00CD2D8A"/>
    <w:rsid w:val="00CD31EA"/>
    <w:rsid w:val="00CD4187"/>
    <w:rsid w:val="00CD56CE"/>
    <w:rsid w:val="00CD692F"/>
    <w:rsid w:val="00CE0392"/>
    <w:rsid w:val="00CE1C0F"/>
    <w:rsid w:val="00CE1FAF"/>
    <w:rsid w:val="00CE33A2"/>
    <w:rsid w:val="00CE4B5B"/>
    <w:rsid w:val="00CE5481"/>
    <w:rsid w:val="00CE5866"/>
    <w:rsid w:val="00CF0045"/>
    <w:rsid w:val="00CF27D1"/>
    <w:rsid w:val="00CF50DE"/>
    <w:rsid w:val="00CF7194"/>
    <w:rsid w:val="00CF7C90"/>
    <w:rsid w:val="00CF7EA0"/>
    <w:rsid w:val="00D00600"/>
    <w:rsid w:val="00D0069D"/>
    <w:rsid w:val="00D006F7"/>
    <w:rsid w:val="00D013B8"/>
    <w:rsid w:val="00D01F2C"/>
    <w:rsid w:val="00D0329F"/>
    <w:rsid w:val="00D04108"/>
    <w:rsid w:val="00D041BA"/>
    <w:rsid w:val="00D04593"/>
    <w:rsid w:val="00D054E4"/>
    <w:rsid w:val="00D06299"/>
    <w:rsid w:val="00D100EE"/>
    <w:rsid w:val="00D1045D"/>
    <w:rsid w:val="00D10D55"/>
    <w:rsid w:val="00D11AF4"/>
    <w:rsid w:val="00D12AD6"/>
    <w:rsid w:val="00D12E00"/>
    <w:rsid w:val="00D133AA"/>
    <w:rsid w:val="00D1346D"/>
    <w:rsid w:val="00D13B0B"/>
    <w:rsid w:val="00D13CCF"/>
    <w:rsid w:val="00D14CF7"/>
    <w:rsid w:val="00D15E67"/>
    <w:rsid w:val="00D1731A"/>
    <w:rsid w:val="00D174E1"/>
    <w:rsid w:val="00D17A21"/>
    <w:rsid w:val="00D20ABB"/>
    <w:rsid w:val="00D210CF"/>
    <w:rsid w:val="00D21909"/>
    <w:rsid w:val="00D21973"/>
    <w:rsid w:val="00D22C96"/>
    <w:rsid w:val="00D22E9B"/>
    <w:rsid w:val="00D23215"/>
    <w:rsid w:val="00D237F4"/>
    <w:rsid w:val="00D23BA8"/>
    <w:rsid w:val="00D23F08"/>
    <w:rsid w:val="00D24AEE"/>
    <w:rsid w:val="00D26B4A"/>
    <w:rsid w:val="00D3073E"/>
    <w:rsid w:val="00D31564"/>
    <w:rsid w:val="00D31676"/>
    <w:rsid w:val="00D316C8"/>
    <w:rsid w:val="00D337D5"/>
    <w:rsid w:val="00D34785"/>
    <w:rsid w:val="00D34817"/>
    <w:rsid w:val="00D354F3"/>
    <w:rsid w:val="00D365BB"/>
    <w:rsid w:val="00D3666D"/>
    <w:rsid w:val="00D3795A"/>
    <w:rsid w:val="00D37AB5"/>
    <w:rsid w:val="00D37D7E"/>
    <w:rsid w:val="00D400E3"/>
    <w:rsid w:val="00D40C74"/>
    <w:rsid w:val="00D41B3D"/>
    <w:rsid w:val="00D41ED1"/>
    <w:rsid w:val="00D43282"/>
    <w:rsid w:val="00D43EA4"/>
    <w:rsid w:val="00D44508"/>
    <w:rsid w:val="00D45BDE"/>
    <w:rsid w:val="00D47810"/>
    <w:rsid w:val="00D47DA6"/>
    <w:rsid w:val="00D5128E"/>
    <w:rsid w:val="00D51B98"/>
    <w:rsid w:val="00D52809"/>
    <w:rsid w:val="00D52FD0"/>
    <w:rsid w:val="00D54292"/>
    <w:rsid w:val="00D54385"/>
    <w:rsid w:val="00D6259C"/>
    <w:rsid w:val="00D635F2"/>
    <w:rsid w:val="00D63B91"/>
    <w:rsid w:val="00D64A4A"/>
    <w:rsid w:val="00D651ED"/>
    <w:rsid w:val="00D6679C"/>
    <w:rsid w:val="00D677DA"/>
    <w:rsid w:val="00D7027D"/>
    <w:rsid w:val="00D735B6"/>
    <w:rsid w:val="00D73914"/>
    <w:rsid w:val="00D73EE6"/>
    <w:rsid w:val="00D742D2"/>
    <w:rsid w:val="00D744DC"/>
    <w:rsid w:val="00D7532D"/>
    <w:rsid w:val="00D757C7"/>
    <w:rsid w:val="00D75CF7"/>
    <w:rsid w:val="00D75F59"/>
    <w:rsid w:val="00D76EB8"/>
    <w:rsid w:val="00D776C3"/>
    <w:rsid w:val="00D80153"/>
    <w:rsid w:val="00D80527"/>
    <w:rsid w:val="00D81404"/>
    <w:rsid w:val="00D815F8"/>
    <w:rsid w:val="00D81AC7"/>
    <w:rsid w:val="00D8495C"/>
    <w:rsid w:val="00D84A6E"/>
    <w:rsid w:val="00D860B7"/>
    <w:rsid w:val="00D86737"/>
    <w:rsid w:val="00D8696A"/>
    <w:rsid w:val="00D87A4B"/>
    <w:rsid w:val="00D87AB2"/>
    <w:rsid w:val="00D87F6C"/>
    <w:rsid w:val="00D9153B"/>
    <w:rsid w:val="00D94C92"/>
    <w:rsid w:val="00D95903"/>
    <w:rsid w:val="00D95D78"/>
    <w:rsid w:val="00D96C82"/>
    <w:rsid w:val="00D96F57"/>
    <w:rsid w:val="00D97840"/>
    <w:rsid w:val="00D97F85"/>
    <w:rsid w:val="00DA0810"/>
    <w:rsid w:val="00DA253C"/>
    <w:rsid w:val="00DA3FCE"/>
    <w:rsid w:val="00DA53A3"/>
    <w:rsid w:val="00DA6384"/>
    <w:rsid w:val="00DA644E"/>
    <w:rsid w:val="00DB1AB5"/>
    <w:rsid w:val="00DB4203"/>
    <w:rsid w:val="00DB50F6"/>
    <w:rsid w:val="00DB5CF6"/>
    <w:rsid w:val="00DB5D5B"/>
    <w:rsid w:val="00DB66F7"/>
    <w:rsid w:val="00DB7CA1"/>
    <w:rsid w:val="00DC07B4"/>
    <w:rsid w:val="00DC1EC1"/>
    <w:rsid w:val="00DC25DA"/>
    <w:rsid w:val="00DC3F28"/>
    <w:rsid w:val="00DC5149"/>
    <w:rsid w:val="00DC538E"/>
    <w:rsid w:val="00DC6EAB"/>
    <w:rsid w:val="00DD18DB"/>
    <w:rsid w:val="00DD1949"/>
    <w:rsid w:val="00DD1B88"/>
    <w:rsid w:val="00DD2143"/>
    <w:rsid w:val="00DD29AD"/>
    <w:rsid w:val="00DD3C08"/>
    <w:rsid w:val="00DE0476"/>
    <w:rsid w:val="00DE2A45"/>
    <w:rsid w:val="00DE2AAC"/>
    <w:rsid w:val="00DE2BB1"/>
    <w:rsid w:val="00DE55BC"/>
    <w:rsid w:val="00DE6D64"/>
    <w:rsid w:val="00DF03E1"/>
    <w:rsid w:val="00DF1125"/>
    <w:rsid w:val="00DF27AC"/>
    <w:rsid w:val="00DF28E7"/>
    <w:rsid w:val="00DF399A"/>
    <w:rsid w:val="00DF493E"/>
    <w:rsid w:val="00DF6280"/>
    <w:rsid w:val="00DF7B14"/>
    <w:rsid w:val="00E00009"/>
    <w:rsid w:val="00E01EF4"/>
    <w:rsid w:val="00E02CF2"/>
    <w:rsid w:val="00E03748"/>
    <w:rsid w:val="00E04947"/>
    <w:rsid w:val="00E05562"/>
    <w:rsid w:val="00E069F7"/>
    <w:rsid w:val="00E06C35"/>
    <w:rsid w:val="00E0710D"/>
    <w:rsid w:val="00E07545"/>
    <w:rsid w:val="00E07F71"/>
    <w:rsid w:val="00E114D8"/>
    <w:rsid w:val="00E1284A"/>
    <w:rsid w:val="00E1347F"/>
    <w:rsid w:val="00E13806"/>
    <w:rsid w:val="00E1621B"/>
    <w:rsid w:val="00E16A66"/>
    <w:rsid w:val="00E16FAB"/>
    <w:rsid w:val="00E1769F"/>
    <w:rsid w:val="00E20A88"/>
    <w:rsid w:val="00E21114"/>
    <w:rsid w:val="00E22B84"/>
    <w:rsid w:val="00E236DA"/>
    <w:rsid w:val="00E2486B"/>
    <w:rsid w:val="00E24D80"/>
    <w:rsid w:val="00E26045"/>
    <w:rsid w:val="00E26BDB"/>
    <w:rsid w:val="00E26EF9"/>
    <w:rsid w:val="00E27304"/>
    <w:rsid w:val="00E27ABF"/>
    <w:rsid w:val="00E311E9"/>
    <w:rsid w:val="00E32874"/>
    <w:rsid w:val="00E337F5"/>
    <w:rsid w:val="00E339E4"/>
    <w:rsid w:val="00E33D1E"/>
    <w:rsid w:val="00E34EBC"/>
    <w:rsid w:val="00E35EA4"/>
    <w:rsid w:val="00E37211"/>
    <w:rsid w:val="00E37848"/>
    <w:rsid w:val="00E4034D"/>
    <w:rsid w:val="00E404B3"/>
    <w:rsid w:val="00E41EE7"/>
    <w:rsid w:val="00E42084"/>
    <w:rsid w:val="00E42201"/>
    <w:rsid w:val="00E42C52"/>
    <w:rsid w:val="00E444C8"/>
    <w:rsid w:val="00E45429"/>
    <w:rsid w:val="00E45C97"/>
    <w:rsid w:val="00E45CE1"/>
    <w:rsid w:val="00E46829"/>
    <w:rsid w:val="00E474D4"/>
    <w:rsid w:val="00E47A55"/>
    <w:rsid w:val="00E47D06"/>
    <w:rsid w:val="00E47E03"/>
    <w:rsid w:val="00E501E6"/>
    <w:rsid w:val="00E53427"/>
    <w:rsid w:val="00E53D97"/>
    <w:rsid w:val="00E54B56"/>
    <w:rsid w:val="00E55585"/>
    <w:rsid w:val="00E55808"/>
    <w:rsid w:val="00E559EA"/>
    <w:rsid w:val="00E56032"/>
    <w:rsid w:val="00E5696D"/>
    <w:rsid w:val="00E56BFE"/>
    <w:rsid w:val="00E56E45"/>
    <w:rsid w:val="00E6141C"/>
    <w:rsid w:val="00E6161C"/>
    <w:rsid w:val="00E62DEC"/>
    <w:rsid w:val="00E63233"/>
    <w:rsid w:val="00E63629"/>
    <w:rsid w:val="00E65888"/>
    <w:rsid w:val="00E65F8A"/>
    <w:rsid w:val="00E66ECB"/>
    <w:rsid w:val="00E67486"/>
    <w:rsid w:val="00E727CE"/>
    <w:rsid w:val="00E749E1"/>
    <w:rsid w:val="00E77098"/>
    <w:rsid w:val="00E771C9"/>
    <w:rsid w:val="00E77578"/>
    <w:rsid w:val="00E77882"/>
    <w:rsid w:val="00E8007A"/>
    <w:rsid w:val="00E80578"/>
    <w:rsid w:val="00E80B43"/>
    <w:rsid w:val="00E8269A"/>
    <w:rsid w:val="00E833CB"/>
    <w:rsid w:val="00E836FE"/>
    <w:rsid w:val="00E83995"/>
    <w:rsid w:val="00E83B41"/>
    <w:rsid w:val="00E83CBA"/>
    <w:rsid w:val="00E83D2E"/>
    <w:rsid w:val="00E83FB2"/>
    <w:rsid w:val="00E8452F"/>
    <w:rsid w:val="00E90171"/>
    <w:rsid w:val="00E9029A"/>
    <w:rsid w:val="00E90615"/>
    <w:rsid w:val="00E9082B"/>
    <w:rsid w:val="00E91FE0"/>
    <w:rsid w:val="00E929CE"/>
    <w:rsid w:val="00E92B28"/>
    <w:rsid w:val="00E942CA"/>
    <w:rsid w:val="00E9467B"/>
    <w:rsid w:val="00E94E3A"/>
    <w:rsid w:val="00E95AC2"/>
    <w:rsid w:val="00E96427"/>
    <w:rsid w:val="00E97167"/>
    <w:rsid w:val="00E972E9"/>
    <w:rsid w:val="00E97617"/>
    <w:rsid w:val="00E97CE7"/>
    <w:rsid w:val="00E97D8B"/>
    <w:rsid w:val="00E97DBB"/>
    <w:rsid w:val="00EA0169"/>
    <w:rsid w:val="00EA1EBE"/>
    <w:rsid w:val="00EA29B2"/>
    <w:rsid w:val="00EA3781"/>
    <w:rsid w:val="00EA5023"/>
    <w:rsid w:val="00EA5CA2"/>
    <w:rsid w:val="00EA7061"/>
    <w:rsid w:val="00EB13FE"/>
    <w:rsid w:val="00EB163F"/>
    <w:rsid w:val="00EB16F1"/>
    <w:rsid w:val="00EB1743"/>
    <w:rsid w:val="00EB254B"/>
    <w:rsid w:val="00EB39F1"/>
    <w:rsid w:val="00EB3D24"/>
    <w:rsid w:val="00EB472E"/>
    <w:rsid w:val="00EB5434"/>
    <w:rsid w:val="00EB5D6C"/>
    <w:rsid w:val="00EB6A9B"/>
    <w:rsid w:val="00EB76D6"/>
    <w:rsid w:val="00EC0178"/>
    <w:rsid w:val="00EC049F"/>
    <w:rsid w:val="00EC1C7C"/>
    <w:rsid w:val="00EC3406"/>
    <w:rsid w:val="00EC51BC"/>
    <w:rsid w:val="00EC6AF8"/>
    <w:rsid w:val="00EC7D6E"/>
    <w:rsid w:val="00ED024E"/>
    <w:rsid w:val="00ED0EF9"/>
    <w:rsid w:val="00ED18D1"/>
    <w:rsid w:val="00ED194C"/>
    <w:rsid w:val="00ED2212"/>
    <w:rsid w:val="00ED2C26"/>
    <w:rsid w:val="00ED3760"/>
    <w:rsid w:val="00ED3898"/>
    <w:rsid w:val="00ED5A40"/>
    <w:rsid w:val="00ED5EC2"/>
    <w:rsid w:val="00ED609D"/>
    <w:rsid w:val="00EE0DF2"/>
    <w:rsid w:val="00EE21DD"/>
    <w:rsid w:val="00EE3338"/>
    <w:rsid w:val="00EE3CCB"/>
    <w:rsid w:val="00EE41A5"/>
    <w:rsid w:val="00EE438A"/>
    <w:rsid w:val="00EE56DF"/>
    <w:rsid w:val="00EF1515"/>
    <w:rsid w:val="00EF1A24"/>
    <w:rsid w:val="00EF1BF1"/>
    <w:rsid w:val="00EF1EC3"/>
    <w:rsid w:val="00EF2551"/>
    <w:rsid w:val="00EF39DD"/>
    <w:rsid w:val="00EF420A"/>
    <w:rsid w:val="00EF4AB9"/>
    <w:rsid w:val="00EF52D7"/>
    <w:rsid w:val="00EF6533"/>
    <w:rsid w:val="00EF71E1"/>
    <w:rsid w:val="00F01100"/>
    <w:rsid w:val="00F01BD5"/>
    <w:rsid w:val="00F0264E"/>
    <w:rsid w:val="00F02C89"/>
    <w:rsid w:val="00F05DC0"/>
    <w:rsid w:val="00F05EAF"/>
    <w:rsid w:val="00F06A0D"/>
    <w:rsid w:val="00F06BA0"/>
    <w:rsid w:val="00F06D7C"/>
    <w:rsid w:val="00F1049D"/>
    <w:rsid w:val="00F10838"/>
    <w:rsid w:val="00F10C7C"/>
    <w:rsid w:val="00F10F81"/>
    <w:rsid w:val="00F119F0"/>
    <w:rsid w:val="00F12167"/>
    <w:rsid w:val="00F12888"/>
    <w:rsid w:val="00F128F3"/>
    <w:rsid w:val="00F147FD"/>
    <w:rsid w:val="00F15FC1"/>
    <w:rsid w:val="00F169FE"/>
    <w:rsid w:val="00F173CC"/>
    <w:rsid w:val="00F17762"/>
    <w:rsid w:val="00F20AB1"/>
    <w:rsid w:val="00F2152D"/>
    <w:rsid w:val="00F229FA"/>
    <w:rsid w:val="00F23C5A"/>
    <w:rsid w:val="00F23E91"/>
    <w:rsid w:val="00F277D4"/>
    <w:rsid w:val="00F302E3"/>
    <w:rsid w:val="00F30681"/>
    <w:rsid w:val="00F31104"/>
    <w:rsid w:val="00F3165C"/>
    <w:rsid w:val="00F31CD6"/>
    <w:rsid w:val="00F3334B"/>
    <w:rsid w:val="00F336DB"/>
    <w:rsid w:val="00F34D50"/>
    <w:rsid w:val="00F34E93"/>
    <w:rsid w:val="00F35B20"/>
    <w:rsid w:val="00F3632E"/>
    <w:rsid w:val="00F368A6"/>
    <w:rsid w:val="00F3730B"/>
    <w:rsid w:val="00F4092C"/>
    <w:rsid w:val="00F42E22"/>
    <w:rsid w:val="00F436E1"/>
    <w:rsid w:val="00F4464E"/>
    <w:rsid w:val="00F4474B"/>
    <w:rsid w:val="00F468FA"/>
    <w:rsid w:val="00F47F48"/>
    <w:rsid w:val="00F47F9D"/>
    <w:rsid w:val="00F5057E"/>
    <w:rsid w:val="00F513E5"/>
    <w:rsid w:val="00F5219B"/>
    <w:rsid w:val="00F525C7"/>
    <w:rsid w:val="00F53138"/>
    <w:rsid w:val="00F534C0"/>
    <w:rsid w:val="00F54930"/>
    <w:rsid w:val="00F5523B"/>
    <w:rsid w:val="00F55FA0"/>
    <w:rsid w:val="00F56AA9"/>
    <w:rsid w:val="00F623B6"/>
    <w:rsid w:val="00F6280F"/>
    <w:rsid w:val="00F62819"/>
    <w:rsid w:val="00F62CEE"/>
    <w:rsid w:val="00F6322A"/>
    <w:rsid w:val="00F63744"/>
    <w:rsid w:val="00F6394B"/>
    <w:rsid w:val="00F641D2"/>
    <w:rsid w:val="00F65B66"/>
    <w:rsid w:val="00F65C18"/>
    <w:rsid w:val="00F6655A"/>
    <w:rsid w:val="00F66A7C"/>
    <w:rsid w:val="00F708D9"/>
    <w:rsid w:val="00F71A71"/>
    <w:rsid w:val="00F720FB"/>
    <w:rsid w:val="00F72F68"/>
    <w:rsid w:val="00F73910"/>
    <w:rsid w:val="00F739EC"/>
    <w:rsid w:val="00F74CD6"/>
    <w:rsid w:val="00F769E8"/>
    <w:rsid w:val="00F77EBE"/>
    <w:rsid w:val="00F80549"/>
    <w:rsid w:val="00F80602"/>
    <w:rsid w:val="00F81376"/>
    <w:rsid w:val="00F8279B"/>
    <w:rsid w:val="00F82C49"/>
    <w:rsid w:val="00F84C20"/>
    <w:rsid w:val="00F86182"/>
    <w:rsid w:val="00F86E8D"/>
    <w:rsid w:val="00F874AE"/>
    <w:rsid w:val="00F875AF"/>
    <w:rsid w:val="00F910CA"/>
    <w:rsid w:val="00F92112"/>
    <w:rsid w:val="00F9230A"/>
    <w:rsid w:val="00F92366"/>
    <w:rsid w:val="00F923A2"/>
    <w:rsid w:val="00F92753"/>
    <w:rsid w:val="00F9598E"/>
    <w:rsid w:val="00F965C2"/>
    <w:rsid w:val="00F96B20"/>
    <w:rsid w:val="00F96B32"/>
    <w:rsid w:val="00F96EA6"/>
    <w:rsid w:val="00F9735A"/>
    <w:rsid w:val="00F97507"/>
    <w:rsid w:val="00FA108C"/>
    <w:rsid w:val="00FA42F4"/>
    <w:rsid w:val="00FB05EA"/>
    <w:rsid w:val="00FB0730"/>
    <w:rsid w:val="00FB0A30"/>
    <w:rsid w:val="00FB0BC1"/>
    <w:rsid w:val="00FB14A0"/>
    <w:rsid w:val="00FB2385"/>
    <w:rsid w:val="00FB3376"/>
    <w:rsid w:val="00FB3BEE"/>
    <w:rsid w:val="00FB3CCA"/>
    <w:rsid w:val="00FB3CD3"/>
    <w:rsid w:val="00FB4E4A"/>
    <w:rsid w:val="00FB5060"/>
    <w:rsid w:val="00FB5847"/>
    <w:rsid w:val="00FB6260"/>
    <w:rsid w:val="00FB68D3"/>
    <w:rsid w:val="00FB6D3A"/>
    <w:rsid w:val="00FB7924"/>
    <w:rsid w:val="00FB7BE1"/>
    <w:rsid w:val="00FB7F35"/>
    <w:rsid w:val="00FC052E"/>
    <w:rsid w:val="00FC11D6"/>
    <w:rsid w:val="00FC1D38"/>
    <w:rsid w:val="00FC260D"/>
    <w:rsid w:val="00FC441A"/>
    <w:rsid w:val="00FC485F"/>
    <w:rsid w:val="00FC48DD"/>
    <w:rsid w:val="00FC48F4"/>
    <w:rsid w:val="00FC569E"/>
    <w:rsid w:val="00FC5D3A"/>
    <w:rsid w:val="00FC6420"/>
    <w:rsid w:val="00FC6723"/>
    <w:rsid w:val="00FC67E5"/>
    <w:rsid w:val="00FC6BFF"/>
    <w:rsid w:val="00FC725C"/>
    <w:rsid w:val="00FC7F68"/>
    <w:rsid w:val="00FD04EB"/>
    <w:rsid w:val="00FD06EE"/>
    <w:rsid w:val="00FD1036"/>
    <w:rsid w:val="00FD131D"/>
    <w:rsid w:val="00FD31CA"/>
    <w:rsid w:val="00FD3BEC"/>
    <w:rsid w:val="00FD5177"/>
    <w:rsid w:val="00FD6840"/>
    <w:rsid w:val="00FD6ED8"/>
    <w:rsid w:val="00FD726E"/>
    <w:rsid w:val="00FD7F7B"/>
    <w:rsid w:val="00FE01AB"/>
    <w:rsid w:val="00FE1E67"/>
    <w:rsid w:val="00FE2356"/>
    <w:rsid w:val="00FE25C5"/>
    <w:rsid w:val="00FE35E1"/>
    <w:rsid w:val="00FE3ADE"/>
    <w:rsid w:val="00FE4EEE"/>
    <w:rsid w:val="00FE4F12"/>
    <w:rsid w:val="00FE54D4"/>
    <w:rsid w:val="00FE6D86"/>
    <w:rsid w:val="00FE7F46"/>
    <w:rsid w:val="00FF0DA7"/>
    <w:rsid w:val="00FF1751"/>
    <w:rsid w:val="00FF2136"/>
    <w:rsid w:val="00FF3276"/>
    <w:rsid w:val="00FF4C94"/>
    <w:rsid w:val="00FF5B26"/>
    <w:rsid w:val="00FF665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1E321C8-0713-40C6-BAA9-B933FB8C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link w:val="Heading2Char"/>
    <w:qFormat/>
    <w:rsid w:val="00D9153B"/>
    <w:pPr>
      <w:keepNext/>
      <w:jc w:val="center"/>
      <w:outlineLvl w:val="1"/>
    </w:pPr>
    <w:rPr>
      <w:rFonts w:ascii="Arial" w:hAnsi="Arial"/>
      <w:b/>
      <w:sz w:val="28"/>
    </w:rPr>
  </w:style>
  <w:style w:type="paragraph" w:styleId="Heading3">
    <w:name w:val="heading 3"/>
    <w:basedOn w:val="Normal"/>
    <w:next w:val="Normal"/>
    <w:link w:val="Heading3Char"/>
    <w:unhideWhenUsed/>
    <w:qFormat/>
    <w:locked/>
    <w:rsid w:val="00D7532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Lábjegyzet-szöveg, Tegn1, Tegn1 Char, Char Char Char,Footnote Text Char1 Char,Footnote Text Char2 Char Char,Footnote Text Char Char2 Char Char,Footnote Text Char1 Char Char Char,Footnote Text Char Char Char Char Char,ft,Podrozdział,Char,fn"/>
    <w:basedOn w:val="Normal"/>
    <w:link w:val="FootnoteTextChar"/>
    <w:uiPriority w:val="99"/>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tref,Footnote Reference Superscript,BVI fnr,16 Point,Superscript 6 Point,Footnote Reference Char Char Char,Carattere Char Carattere Carattere Char Carattere Char Carattere Char Char Char1 Char,4_G,RSC_WP (footnote reference)"/>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Bullets,List Paragraph1,List Paragraph (numbered (a)),Akapit z listą BS,List Square"/>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Lábjegyzet-szöveg Char, Tegn1 Char1, Tegn1 Char Char, Char Char Char Char,Footnote Text Char1 Char Char,Footnote Text Char2 Char Char Char,Footnote Text Char Char2 Char Char Char,Footnote Text Char1 Char Char Char Char,ft Char,fn Char"/>
    <w:basedOn w:val="DefaultParagraphFont"/>
    <w:link w:val="FootnoteText"/>
    <w:uiPriority w:val="99"/>
    <w:rsid w:val="00D6679C"/>
    <w:rPr>
      <w:rFonts w:ascii="Courier" w:hAnsi="Courier"/>
      <w:lang w:val="en-US" w:eastAsia="en-US"/>
    </w:rPr>
  </w:style>
  <w:style w:type="character" w:customStyle="1" w:styleId="ListParagraphChar">
    <w:name w:val="List Paragraph Char"/>
    <w:aliases w:val="Bullets Char,List Paragraph1 Char,List Paragraph (numbered (a)) Char,Akapit z listą BS Char,List Square Char"/>
    <w:link w:val="ListParagraph"/>
    <w:uiPriority w:val="34"/>
    <w:rsid w:val="00950F54"/>
    <w:rPr>
      <w:lang w:val="en-US" w:eastAsia="en-US"/>
    </w:rPr>
  </w:style>
  <w:style w:type="paragraph" w:customStyle="1" w:styleId="BodyText1">
    <w:name w:val="Body Text1"/>
    <w:basedOn w:val="Normal"/>
    <w:rsid w:val="00D01F2C"/>
    <w:pPr>
      <w:jc w:val="both"/>
    </w:pPr>
    <w:rPr>
      <w:rFonts w:ascii="Arial" w:hAnsi="Arial"/>
      <w:lang w:val="en-GB"/>
    </w:rPr>
  </w:style>
  <w:style w:type="table" w:styleId="TableGrid">
    <w:name w:val="Table Grid"/>
    <w:basedOn w:val="TableNormal"/>
    <w:uiPriority w:val="59"/>
    <w:rsid w:val="00527729"/>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27729"/>
    <w:rPr>
      <w:i/>
      <w:iCs/>
    </w:rPr>
  </w:style>
  <w:style w:type="character" w:customStyle="1" w:styleId="apple-converted-space">
    <w:name w:val="apple-converted-space"/>
    <w:basedOn w:val="DefaultParagraphFont"/>
    <w:rsid w:val="00527729"/>
  </w:style>
  <w:style w:type="character" w:styleId="Strong">
    <w:name w:val="Strong"/>
    <w:basedOn w:val="DefaultParagraphFont"/>
    <w:uiPriority w:val="22"/>
    <w:qFormat/>
    <w:locked/>
    <w:rsid w:val="00E47E03"/>
    <w:rPr>
      <w:b/>
      <w:bCs/>
    </w:rPr>
  </w:style>
  <w:style w:type="character" w:customStyle="1" w:styleId="Heading2Char">
    <w:name w:val="Heading 2 Char"/>
    <w:basedOn w:val="DefaultParagraphFont"/>
    <w:link w:val="Heading2"/>
    <w:rsid w:val="00EB3D24"/>
    <w:rPr>
      <w:rFonts w:ascii="Arial" w:hAnsi="Arial"/>
      <w:b/>
      <w:sz w:val="28"/>
      <w:lang w:val="en-US" w:eastAsia="en-US"/>
    </w:rPr>
  </w:style>
  <w:style w:type="character" w:customStyle="1" w:styleId="ReporttextChar">
    <w:name w:val="Report text Char"/>
    <w:link w:val="Reporttext"/>
    <w:locked/>
    <w:rsid w:val="003A5790"/>
    <w:rPr>
      <w:rFonts w:ascii="Calibri" w:hAnsi="Calibri"/>
    </w:rPr>
  </w:style>
  <w:style w:type="paragraph" w:customStyle="1" w:styleId="Reporttext">
    <w:name w:val="Report text"/>
    <w:link w:val="ReporttextChar"/>
    <w:rsid w:val="003A5790"/>
    <w:pPr>
      <w:spacing w:before="120"/>
    </w:pPr>
    <w:rPr>
      <w:rFonts w:ascii="Calibri" w:hAnsi="Calibri"/>
    </w:rPr>
  </w:style>
  <w:style w:type="paragraph" w:styleId="Revision">
    <w:name w:val="Revision"/>
    <w:hidden/>
    <w:uiPriority w:val="99"/>
    <w:semiHidden/>
    <w:rsid w:val="00283784"/>
    <w:rPr>
      <w:lang w:val="en-US" w:eastAsia="en-US"/>
    </w:rPr>
  </w:style>
  <w:style w:type="paragraph" w:styleId="Caption">
    <w:name w:val="caption"/>
    <w:basedOn w:val="Normal"/>
    <w:next w:val="Normal"/>
    <w:link w:val="CaptionChar"/>
    <w:uiPriority w:val="99"/>
    <w:qFormat/>
    <w:locked/>
    <w:rsid w:val="0089673F"/>
    <w:rPr>
      <w:rFonts w:ascii="Times New Roman Bold" w:hAnsi="Times New Roman Bold"/>
      <w:b/>
      <w:bCs/>
      <w:caps/>
      <w:sz w:val="22"/>
      <w:szCs w:val="24"/>
    </w:rPr>
  </w:style>
  <w:style w:type="character" w:customStyle="1" w:styleId="CaptionChar">
    <w:name w:val="Caption Char"/>
    <w:basedOn w:val="DefaultParagraphFont"/>
    <w:link w:val="Caption"/>
    <w:uiPriority w:val="99"/>
    <w:rsid w:val="0089673F"/>
    <w:rPr>
      <w:rFonts w:ascii="Times New Roman Bold" w:hAnsi="Times New Roman Bold"/>
      <w:b/>
      <w:bCs/>
      <w:caps/>
      <w:sz w:val="22"/>
      <w:szCs w:val="24"/>
      <w:lang w:val="en-US" w:eastAsia="en-US"/>
    </w:rPr>
  </w:style>
  <w:style w:type="character" w:customStyle="1" w:styleId="Heading3Char">
    <w:name w:val="Heading 3 Char"/>
    <w:basedOn w:val="DefaultParagraphFont"/>
    <w:link w:val="Heading3"/>
    <w:rsid w:val="00D7532D"/>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72432210">
      <w:bodyDiv w:val="1"/>
      <w:marLeft w:val="0"/>
      <w:marRight w:val="0"/>
      <w:marTop w:val="0"/>
      <w:marBottom w:val="0"/>
      <w:divBdr>
        <w:top w:val="none" w:sz="0" w:space="0" w:color="auto"/>
        <w:left w:val="none" w:sz="0" w:space="0" w:color="auto"/>
        <w:bottom w:val="none" w:sz="0" w:space="0" w:color="auto"/>
        <w:right w:val="none" w:sz="0" w:space="0" w:color="auto"/>
      </w:divBdr>
    </w:div>
    <w:div w:id="125393530">
      <w:bodyDiv w:val="1"/>
      <w:marLeft w:val="0"/>
      <w:marRight w:val="0"/>
      <w:marTop w:val="0"/>
      <w:marBottom w:val="0"/>
      <w:divBdr>
        <w:top w:val="none" w:sz="0" w:space="0" w:color="auto"/>
        <w:left w:val="none" w:sz="0" w:space="0" w:color="auto"/>
        <w:bottom w:val="none" w:sz="0" w:space="0" w:color="auto"/>
        <w:right w:val="none" w:sz="0" w:space="0" w:color="auto"/>
      </w:divBdr>
    </w:div>
    <w:div w:id="233318790">
      <w:bodyDiv w:val="1"/>
      <w:marLeft w:val="0"/>
      <w:marRight w:val="0"/>
      <w:marTop w:val="0"/>
      <w:marBottom w:val="0"/>
      <w:divBdr>
        <w:top w:val="none" w:sz="0" w:space="0" w:color="auto"/>
        <w:left w:val="none" w:sz="0" w:space="0" w:color="auto"/>
        <w:bottom w:val="none" w:sz="0" w:space="0" w:color="auto"/>
        <w:right w:val="none" w:sz="0" w:space="0" w:color="auto"/>
      </w:divBdr>
      <w:divsChild>
        <w:div w:id="1058555699">
          <w:marLeft w:val="720"/>
          <w:marRight w:val="0"/>
          <w:marTop w:val="0"/>
          <w:marBottom w:val="0"/>
          <w:divBdr>
            <w:top w:val="none" w:sz="0" w:space="0" w:color="auto"/>
            <w:left w:val="none" w:sz="0" w:space="0" w:color="auto"/>
            <w:bottom w:val="none" w:sz="0" w:space="0" w:color="auto"/>
            <w:right w:val="none" w:sz="0" w:space="0" w:color="auto"/>
          </w:divBdr>
        </w:div>
      </w:divsChild>
    </w:div>
    <w:div w:id="301497647">
      <w:bodyDiv w:val="1"/>
      <w:marLeft w:val="0"/>
      <w:marRight w:val="0"/>
      <w:marTop w:val="0"/>
      <w:marBottom w:val="0"/>
      <w:divBdr>
        <w:top w:val="none" w:sz="0" w:space="0" w:color="auto"/>
        <w:left w:val="none" w:sz="0" w:space="0" w:color="auto"/>
        <w:bottom w:val="none" w:sz="0" w:space="0" w:color="auto"/>
        <w:right w:val="none" w:sz="0" w:space="0" w:color="auto"/>
      </w:divBdr>
      <w:divsChild>
        <w:div w:id="493690492">
          <w:marLeft w:val="720"/>
          <w:marRight w:val="0"/>
          <w:marTop w:val="0"/>
          <w:marBottom w:val="0"/>
          <w:divBdr>
            <w:top w:val="none" w:sz="0" w:space="0" w:color="auto"/>
            <w:left w:val="none" w:sz="0" w:space="0" w:color="auto"/>
            <w:bottom w:val="none" w:sz="0" w:space="0" w:color="auto"/>
            <w:right w:val="none" w:sz="0" w:space="0" w:color="auto"/>
          </w:divBdr>
        </w:div>
      </w:divsChild>
    </w:div>
    <w:div w:id="1113745353">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374619992">
      <w:bodyDiv w:val="1"/>
      <w:marLeft w:val="0"/>
      <w:marRight w:val="0"/>
      <w:marTop w:val="0"/>
      <w:marBottom w:val="0"/>
      <w:divBdr>
        <w:top w:val="none" w:sz="0" w:space="0" w:color="auto"/>
        <w:left w:val="none" w:sz="0" w:space="0" w:color="auto"/>
        <w:bottom w:val="none" w:sz="0" w:space="0" w:color="auto"/>
        <w:right w:val="none" w:sz="0" w:space="0" w:color="auto"/>
      </w:divBdr>
      <w:divsChild>
        <w:div w:id="371349916">
          <w:marLeft w:val="720"/>
          <w:marRight w:val="0"/>
          <w:marTop w:val="0"/>
          <w:marBottom w:val="0"/>
          <w:divBdr>
            <w:top w:val="none" w:sz="0" w:space="0" w:color="auto"/>
            <w:left w:val="none" w:sz="0" w:space="0" w:color="auto"/>
            <w:bottom w:val="none" w:sz="0" w:space="0" w:color="auto"/>
            <w:right w:val="none" w:sz="0" w:space="0" w:color="auto"/>
          </w:divBdr>
        </w:div>
      </w:divsChild>
    </w:div>
    <w:div w:id="1635216343">
      <w:bodyDiv w:val="1"/>
      <w:marLeft w:val="0"/>
      <w:marRight w:val="0"/>
      <w:marTop w:val="0"/>
      <w:marBottom w:val="0"/>
      <w:divBdr>
        <w:top w:val="none" w:sz="0" w:space="0" w:color="auto"/>
        <w:left w:val="none" w:sz="0" w:space="0" w:color="auto"/>
        <w:bottom w:val="none" w:sz="0" w:space="0" w:color="auto"/>
        <w:right w:val="none" w:sz="0" w:space="0" w:color="auto"/>
      </w:divBdr>
      <w:divsChild>
        <w:div w:id="259488185">
          <w:marLeft w:val="360"/>
          <w:marRight w:val="0"/>
          <w:marTop w:val="200"/>
          <w:marBottom w:val="0"/>
          <w:divBdr>
            <w:top w:val="none" w:sz="0" w:space="0" w:color="auto"/>
            <w:left w:val="none" w:sz="0" w:space="0" w:color="auto"/>
            <w:bottom w:val="none" w:sz="0" w:space="0" w:color="auto"/>
            <w:right w:val="none" w:sz="0" w:space="0" w:color="auto"/>
          </w:divBdr>
        </w:div>
        <w:div w:id="418600268">
          <w:marLeft w:val="360"/>
          <w:marRight w:val="0"/>
          <w:marTop w:val="200"/>
          <w:marBottom w:val="0"/>
          <w:divBdr>
            <w:top w:val="none" w:sz="0" w:space="0" w:color="auto"/>
            <w:left w:val="none" w:sz="0" w:space="0" w:color="auto"/>
            <w:bottom w:val="none" w:sz="0" w:space="0" w:color="auto"/>
            <w:right w:val="none" w:sz="0" w:space="0" w:color="auto"/>
          </w:divBdr>
        </w:div>
        <w:div w:id="916474141">
          <w:marLeft w:val="360"/>
          <w:marRight w:val="0"/>
          <w:marTop w:val="200"/>
          <w:marBottom w:val="0"/>
          <w:divBdr>
            <w:top w:val="none" w:sz="0" w:space="0" w:color="auto"/>
            <w:left w:val="none" w:sz="0" w:space="0" w:color="auto"/>
            <w:bottom w:val="none" w:sz="0" w:space="0" w:color="auto"/>
            <w:right w:val="none" w:sz="0" w:space="0" w:color="auto"/>
          </w:divBdr>
        </w:div>
        <w:div w:id="1200512592">
          <w:marLeft w:val="360"/>
          <w:marRight w:val="0"/>
          <w:marTop w:val="200"/>
          <w:marBottom w:val="0"/>
          <w:divBdr>
            <w:top w:val="none" w:sz="0" w:space="0" w:color="auto"/>
            <w:left w:val="none" w:sz="0" w:space="0" w:color="auto"/>
            <w:bottom w:val="none" w:sz="0" w:space="0" w:color="auto"/>
            <w:right w:val="none" w:sz="0" w:space="0" w:color="auto"/>
          </w:divBdr>
        </w:div>
        <w:div w:id="1375278348">
          <w:marLeft w:val="360"/>
          <w:marRight w:val="0"/>
          <w:marTop w:val="200"/>
          <w:marBottom w:val="0"/>
          <w:divBdr>
            <w:top w:val="none" w:sz="0" w:space="0" w:color="auto"/>
            <w:left w:val="none" w:sz="0" w:space="0" w:color="auto"/>
            <w:bottom w:val="none" w:sz="0" w:space="0" w:color="auto"/>
            <w:right w:val="none" w:sz="0" w:space="0" w:color="auto"/>
          </w:divBdr>
        </w:div>
        <w:div w:id="1521696487">
          <w:marLeft w:val="360"/>
          <w:marRight w:val="0"/>
          <w:marTop w:val="200"/>
          <w:marBottom w:val="0"/>
          <w:divBdr>
            <w:top w:val="none" w:sz="0" w:space="0" w:color="auto"/>
            <w:left w:val="none" w:sz="0" w:space="0" w:color="auto"/>
            <w:bottom w:val="none" w:sz="0" w:space="0" w:color="auto"/>
            <w:right w:val="none" w:sz="0" w:space="0" w:color="auto"/>
          </w:divBdr>
        </w:div>
        <w:div w:id="1555267363">
          <w:marLeft w:val="360"/>
          <w:marRight w:val="0"/>
          <w:marTop w:val="200"/>
          <w:marBottom w:val="0"/>
          <w:divBdr>
            <w:top w:val="none" w:sz="0" w:space="0" w:color="auto"/>
            <w:left w:val="none" w:sz="0" w:space="0" w:color="auto"/>
            <w:bottom w:val="none" w:sz="0" w:space="0" w:color="auto"/>
            <w:right w:val="none" w:sz="0" w:space="0" w:color="auto"/>
          </w:divBdr>
        </w:div>
        <w:div w:id="1559971333">
          <w:marLeft w:val="360"/>
          <w:marRight w:val="0"/>
          <w:marTop w:val="200"/>
          <w:marBottom w:val="0"/>
          <w:divBdr>
            <w:top w:val="none" w:sz="0" w:space="0" w:color="auto"/>
            <w:left w:val="none" w:sz="0" w:space="0" w:color="auto"/>
            <w:bottom w:val="none" w:sz="0" w:space="0" w:color="auto"/>
            <w:right w:val="none" w:sz="0" w:space="0" w:color="auto"/>
          </w:divBdr>
        </w:div>
        <w:div w:id="1682048653">
          <w:marLeft w:val="360"/>
          <w:marRight w:val="0"/>
          <w:marTop w:val="200"/>
          <w:marBottom w:val="0"/>
          <w:divBdr>
            <w:top w:val="none" w:sz="0" w:space="0" w:color="auto"/>
            <w:left w:val="none" w:sz="0" w:space="0" w:color="auto"/>
            <w:bottom w:val="none" w:sz="0" w:space="0" w:color="auto"/>
            <w:right w:val="none" w:sz="0" w:space="0" w:color="auto"/>
          </w:divBdr>
        </w:div>
        <w:div w:id="1908345707">
          <w:marLeft w:val="360"/>
          <w:marRight w:val="0"/>
          <w:marTop w:val="200"/>
          <w:marBottom w:val="0"/>
          <w:divBdr>
            <w:top w:val="none" w:sz="0" w:space="0" w:color="auto"/>
            <w:left w:val="none" w:sz="0" w:space="0" w:color="auto"/>
            <w:bottom w:val="none" w:sz="0" w:space="0" w:color="auto"/>
            <w:right w:val="none" w:sz="0" w:space="0" w:color="auto"/>
          </w:divBdr>
        </w:div>
        <w:div w:id="2131967546">
          <w:marLeft w:val="360"/>
          <w:marRight w:val="0"/>
          <w:marTop w:val="200"/>
          <w:marBottom w:val="0"/>
          <w:divBdr>
            <w:top w:val="none" w:sz="0" w:space="0" w:color="auto"/>
            <w:left w:val="none" w:sz="0" w:space="0" w:color="auto"/>
            <w:bottom w:val="none" w:sz="0" w:space="0" w:color="auto"/>
            <w:right w:val="none" w:sz="0" w:space="0" w:color="auto"/>
          </w:divBdr>
        </w:div>
      </w:divsChild>
    </w:div>
    <w:div w:id="1705211912">
      <w:bodyDiv w:val="1"/>
      <w:marLeft w:val="0"/>
      <w:marRight w:val="0"/>
      <w:marTop w:val="0"/>
      <w:marBottom w:val="0"/>
      <w:divBdr>
        <w:top w:val="none" w:sz="0" w:space="0" w:color="auto"/>
        <w:left w:val="none" w:sz="0" w:space="0" w:color="auto"/>
        <w:bottom w:val="none" w:sz="0" w:space="0" w:color="auto"/>
        <w:right w:val="none" w:sz="0" w:space="0" w:color="auto"/>
      </w:divBdr>
    </w:div>
    <w:div w:id="1998267571">
      <w:bodyDiv w:val="1"/>
      <w:marLeft w:val="0"/>
      <w:marRight w:val="0"/>
      <w:marTop w:val="0"/>
      <w:marBottom w:val="0"/>
      <w:divBdr>
        <w:top w:val="none" w:sz="0" w:space="0" w:color="auto"/>
        <w:left w:val="none" w:sz="0" w:space="0" w:color="auto"/>
        <w:bottom w:val="none" w:sz="0" w:space="0" w:color="auto"/>
        <w:right w:val="none" w:sz="0" w:space="0" w:color="auto"/>
      </w:divBdr>
    </w:div>
    <w:div w:id="2110348899">
      <w:bodyDiv w:val="1"/>
      <w:marLeft w:val="0"/>
      <w:marRight w:val="0"/>
      <w:marTop w:val="0"/>
      <w:marBottom w:val="0"/>
      <w:divBdr>
        <w:top w:val="none" w:sz="0" w:space="0" w:color="auto"/>
        <w:left w:val="none" w:sz="0" w:space="0" w:color="auto"/>
        <w:bottom w:val="none" w:sz="0" w:space="0" w:color="auto"/>
        <w:right w:val="none" w:sz="0" w:space="0" w:color="auto"/>
      </w:divBdr>
      <w:divsChild>
        <w:div w:id="104772649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o.undp.org/global/popp/rma/Pages/internal-control-framework.aspx"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www.undp.org/content/undp/en/home/operations/accountability/programme_and_operationspoliciesandprocedures.html"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unfccc.int/2860.ph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data.worldbank.org/indicator/SG.GEN.PARL.Z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635339544817937460</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635339544817937460</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635339544817937460</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C6960C2B0B3B4392DD30112A048442" ma:contentTypeVersion="4" ma:contentTypeDescription="Create a new document." ma:contentTypeScope="" ma:versionID="f89bcd13d2be42376b8553d453c1c771">
  <xsd:schema xmlns:xsd="http://www.w3.org/2001/XMLSchema" xmlns:xs="http://www.w3.org/2001/XMLSchema" xmlns:p="http://schemas.microsoft.com/office/2006/metadata/properties" xmlns:ns1="http://schemas.microsoft.com/sharepoint/v3" xmlns:ns2="83ed2304-0f0e-45ba-b0cc-7d360cbc1769" targetNamespace="http://schemas.microsoft.com/office/2006/metadata/properties" ma:root="true" ma:fieldsID="7f57ce010183d29ec4c3ac89d598b456" ns1:_="" ns2:_="">
    <xsd:import namespace="http://schemas.microsoft.com/sharepoint/v3"/>
    <xsd:import namespace="83ed2304-0f0e-45ba-b0cc-7d360cbc176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3ed2304-0f0e-45ba-b0cc-7d360cbc1769">UNDPGBL-215-3</_dlc_DocId>
    <_dlc_DocIdUrl xmlns="83ed2304-0f0e-45ba-b0cc-7d360cbc1769">
      <Url>https://intranet.undp.org/global/popp/ppm/_layouts/DocIdRedir.aspx?ID=UNDPGBL-215-3</Url>
      <Description>UNDPGBL-215-3</Description>
    </_dlc_DocIdUrl>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25B70-81C9-4530-9909-A818764F4661}">
  <ds:schemaRefs>
    <ds:schemaRef ds:uri="http://schemas.microsoft.com/sharepoint/events"/>
  </ds:schemaRefs>
</ds:datastoreItem>
</file>

<file path=customXml/itemProps2.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3.xml><?xml version="1.0" encoding="utf-8"?>
<ds:datastoreItem xmlns:ds="http://schemas.openxmlformats.org/officeDocument/2006/customXml" ds:itemID="{8AC41F18-DD58-45A1-94B6-DAF8FAC43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ed2304-0f0e-45ba-b0cc-7d360cbc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83ed2304-0f0e-45ba-b0cc-7d360cbc1769"/>
    <ds:schemaRef ds:uri="http://schemas.microsoft.com/sharepoint/v3"/>
  </ds:schemaRefs>
</ds:datastoreItem>
</file>

<file path=customXml/itemProps5.xml><?xml version="1.0" encoding="utf-8"?>
<ds:datastoreItem xmlns:ds="http://schemas.openxmlformats.org/officeDocument/2006/customXml" ds:itemID="{001E79E1-A970-4D76-A5C9-806CA637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6429</Words>
  <Characters>36648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CPD- Revised Template and Guidance</vt:lpstr>
    </vt:vector>
  </TitlesOfParts>
  <Company>Microsoft</Company>
  <LinksUpToDate>false</LinksUpToDate>
  <CharactersWithSpaces>42992</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CPD- Revised Template and Guidance</dc:title>
  <dc:creator>John Magoha</dc:creator>
  <cp:lastModifiedBy>Svetlana Iazykova</cp:lastModifiedBy>
  <cp:revision>2</cp:revision>
  <cp:lastPrinted>2015-06-03T00:33:00Z</cp:lastPrinted>
  <dcterms:created xsi:type="dcterms:W3CDTF">2015-06-06T21:44:00Z</dcterms:created>
  <dcterms:modified xsi:type="dcterms:W3CDTF">2015-06-06T21:44:00Z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0x01010022C6960C2B0B3B4392DD30112A048442</vt:lpwstr>
  </property>
  <property fmtid="{D5CDD505-2E9C-101B-9397-08002B2CF9AE}" pid="3" name="_dlc_DocIdItemGuid">
    <vt:lpwstr>28112a3a-cf14-4582-90a1-17f4ab434cb7</vt:lpwstr>
  </property>
  <property fmtid="{D5CDD505-2E9C-101B-9397-08002B2CF9AE}" pid="4" name="_dlc_DocId">
    <vt:lpwstr>UNDPGBL-215-3</vt:lpwstr>
  </property>
  <property fmtid="{D5CDD505-2E9C-101B-9397-08002B2CF9AE}" pid="5" name="_dlc_DocIdUrl">
    <vt:lpwstr>https://intranet.undp.org/global/popp/ppm/_layouts/DocIdRedir.aspx?ID=UNDPGBL-215-3, UNDPGBL-215-3</vt:lpwstr>
  </property>
  <property fmtid="{D5CDD505-2E9C-101B-9397-08002B2CF9AE}" pid="6" name="PublishingExpirationDate">
    <vt:lpwstr/>
  </property>
  <property fmtid="{D5CDD505-2E9C-101B-9397-08002B2CF9AE}" pid="7" name="PublishingStartDate">
    <vt:lpwstr/>
  </property>
</Properties>
</file>