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F7D6" w14:textId="4F1A367D" w:rsidR="005C6168" w:rsidRPr="00517955" w:rsidRDefault="005C6168">
      <w:pPr>
        <w:pStyle w:val="Heading3"/>
        <w:jc w:val="left"/>
        <w:rPr>
          <w:rFonts w:asciiTheme="minorHAnsi" w:hAnsiTheme="minorHAnsi"/>
        </w:rPr>
      </w:pPr>
      <w:r w:rsidRPr="00517955">
        <w:rPr>
          <w:rFonts w:asciiTheme="minorHAnsi" w:hAnsiTheme="minorHAnsi"/>
        </w:rPr>
        <w:t>Country:</w:t>
      </w:r>
      <w:r w:rsidRPr="00517955">
        <w:rPr>
          <w:rFonts w:asciiTheme="minorHAnsi" w:hAnsiTheme="minorHAnsi"/>
        </w:rPr>
        <w:tab/>
      </w:r>
      <w:r w:rsidRPr="00517955">
        <w:rPr>
          <w:rFonts w:asciiTheme="minorHAnsi" w:hAnsiTheme="minorHAnsi"/>
        </w:rPr>
        <w:tab/>
      </w:r>
      <w:r w:rsidR="00A75DFE">
        <w:rPr>
          <w:rFonts w:asciiTheme="minorHAnsi" w:hAnsiTheme="minorHAnsi"/>
        </w:rPr>
        <w:t>Azerbaijan</w:t>
      </w:r>
    </w:p>
    <w:p w14:paraId="2869F7D7" w14:textId="77777777" w:rsidR="005C6168" w:rsidRPr="00517955" w:rsidRDefault="005C6168">
      <w:pPr>
        <w:pStyle w:val="Heading3"/>
        <w:rPr>
          <w:rFonts w:asciiTheme="minorHAnsi" w:hAnsiTheme="minorHAnsi"/>
        </w:rPr>
      </w:pPr>
    </w:p>
    <w:p w14:paraId="2869F7D8" w14:textId="219E4791" w:rsidR="005C6168" w:rsidRPr="00517955" w:rsidRDefault="00BC38E0">
      <w:pPr>
        <w:pStyle w:val="Heading3"/>
        <w:rPr>
          <w:rFonts w:asciiTheme="minorHAnsi" w:hAnsiTheme="minorHAnsi"/>
          <w:b/>
          <w:bCs w:val="0"/>
        </w:rPr>
      </w:pPr>
      <w:r w:rsidRPr="00517955">
        <w:rPr>
          <w:rFonts w:asciiTheme="minorHAnsi" w:hAnsiTheme="minorHAnsi"/>
          <w:b/>
          <w:bCs w:val="0"/>
        </w:rPr>
        <w:t>COUNTRY PROGRAMME</w:t>
      </w:r>
      <w:r w:rsidR="00B32ADA">
        <w:rPr>
          <w:rFonts w:asciiTheme="minorHAnsi" w:hAnsiTheme="minorHAnsi"/>
          <w:b/>
          <w:bCs w:val="0"/>
        </w:rPr>
        <w:t xml:space="preserve"> PERFORMANCE SUMMARY</w:t>
      </w:r>
    </w:p>
    <w:p w14:paraId="2869F7D9" w14:textId="77777777" w:rsidR="005C6168" w:rsidRPr="00517955" w:rsidRDefault="005C6168">
      <w:pPr>
        <w:pStyle w:val="Heading3"/>
        <w:rPr>
          <w:rFonts w:asciiTheme="minorHAnsi" w:hAnsiTheme="minorHAnsi"/>
          <w:b/>
        </w:rPr>
      </w:pPr>
    </w:p>
    <w:p w14:paraId="2869F7DA" w14:textId="67D7909F" w:rsidR="005C6168" w:rsidRPr="00517955" w:rsidRDefault="005C6168">
      <w:pPr>
        <w:pStyle w:val="Heading3"/>
        <w:jc w:val="left"/>
        <w:rPr>
          <w:rFonts w:asciiTheme="minorHAnsi" w:hAnsiTheme="minorHAnsi"/>
        </w:rPr>
      </w:pPr>
      <w:r w:rsidRPr="00517955">
        <w:rPr>
          <w:rFonts w:asciiTheme="minorHAnsi" w:hAnsiTheme="minorHAnsi"/>
        </w:rPr>
        <w:t xml:space="preserve">Reporting period: </w:t>
      </w:r>
      <w:r w:rsidRPr="00517955">
        <w:rPr>
          <w:rFonts w:asciiTheme="minorHAnsi" w:hAnsiTheme="minorHAnsi"/>
        </w:rPr>
        <w:tab/>
      </w:r>
      <w:r w:rsidR="00A75DFE">
        <w:rPr>
          <w:rFonts w:asciiTheme="minorHAnsi" w:hAnsiTheme="minorHAnsi"/>
        </w:rPr>
        <w:t>2011-2015</w:t>
      </w:r>
    </w:p>
    <w:p w14:paraId="2869F7DB" w14:textId="77777777" w:rsidR="005C6168" w:rsidRPr="00517955" w:rsidRDefault="005C6168">
      <w:pPr>
        <w:pStyle w:val="Heading3"/>
        <w:rPr>
          <w:rFonts w:asciiTheme="minorHAnsi" w:hAnsiTheme="minorHAnsi"/>
        </w:rPr>
      </w:pPr>
    </w:p>
    <w:p w14:paraId="2869F7DC" w14:textId="77777777" w:rsidR="005C6168" w:rsidRPr="00517955" w:rsidRDefault="005C6168">
      <w:pPr>
        <w:rPr>
          <w:rFonts w:asciiTheme="minorHAnsi" w:hAnsiTheme="minorHAnsi"/>
        </w:rPr>
      </w:pPr>
    </w:p>
    <w:p w14:paraId="2869F7DD" w14:textId="16C959DE" w:rsidR="005C6168" w:rsidRPr="00517955" w:rsidRDefault="005C6168">
      <w:pPr>
        <w:pStyle w:val="Heading3"/>
        <w:rPr>
          <w:rFonts w:asciiTheme="minorHAnsi" w:hAnsiTheme="minorHAnsi"/>
          <w:b/>
          <w:bCs w:val="0"/>
        </w:rPr>
      </w:pPr>
      <w:r w:rsidRPr="00517955">
        <w:rPr>
          <w:rFonts w:asciiTheme="minorHAnsi" w:hAnsiTheme="minorHAnsi"/>
          <w:b/>
          <w:bCs w:val="0"/>
        </w:rPr>
        <w:t xml:space="preserve">I.  </w:t>
      </w:r>
      <w:r w:rsidR="0064746F">
        <w:rPr>
          <w:rFonts w:asciiTheme="minorHAnsi" w:hAnsiTheme="minorHAnsi"/>
          <w:b/>
          <w:bCs w:val="0"/>
        </w:rPr>
        <w:t>EXECUTIVE SUMMARY</w:t>
      </w:r>
      <w:bookmarkStart w:id="0" w:name="_GoBack"/>
      <w:bookmarkEnd w:id="0"/>
    </w:p>
    <w:p w14:paraId="66D8DC18" w14:textId="77777777" w:rsidR="0079480A" w:rsidRDefault="0079480A" w:rsidP="00193B5C">
      <w:pPr>
        <w:jc w:val="both"/>
      </w:pPr>
    </w:p>
    <w:p w14:paraId="4F184473" w14:textId="26883FBF" w:rsidR="0079480A" w:rsidRPr="002A3852" w:rsidRDefault="0079480A" w:rsidP="00DB4A8F">
      <w:pPr>
        <w:pStyle w:val="BodyText2"/>
        <w:jc w:val="both"/>
        <w:rPr>
          <w:rFonts w:asciiTheme="minorHAnsi" w:hAnsiTheme="minorHAnsi"/>
        </w:rPr>
      </w:pPr>
      <w:r w:rsidRPr="002A3852">
        <w:rPr>
          <w:rFonts w:asciiTheme="minorHAnsi" w:hAnsiTheme="minorHAnsi"/>
        </w:rPr>
        <w:t>The UNDP Country Program for Azerbaijan</w:t>
      </w:r>
      <w:r w:rsidR="00327998" w:rsidRPr="002A3852">
        <w:rPr>
          <w:rFonts w:asciiTheme="minorHAnsi" w:hAnsiTheme="minorHAnsi"/>
        </w:rPr>
        <w:t xml:space="preserve"> for 2011</w:t>
      </w:r>
      <w:r w:rsidRPr="002A3852">
        <w:rPr>
          <w:rFonts w:asciiTheme="minorHAnsi" w:hAnsiTheme="minorHAnsi"/>
        </w:rPr>
        <w:t xml:space="preserve">-2015 was adopted by UNDP Executive Board in </w:t>
      </w:r>
      <w:r w:rsidR="00310DCE" w:rsidRPr="002A3852">
        <w:rPr>
          <w:rFonts w:asciiTheme="minorHAnsi" w:hAnsiTheme="minorHAnsi"/>
        </w:rPr>
        <w:t>20</w:t>
      </w:r>
      <w:r w:rsidR="00975873" w:rsidRPr="002A3852">
        <w:rPr>
          <w:rFonts w:asciiTheme="minorHAnsi" w:hAnsiTheme="minorHAnsi"/>
        </w:rPr>
        <w:t>10</w:t>
      </w:r>
      <w:r w:rsidRPr="002A3852">
        <w:rPr>
          <w:rFonts w:asciiTheme="minorHAnsi" w:hAnsiTheme="minorHAnsi"/>
        </w:rPr>
        <w:t xml:space="preserve"> and focused on </w:t>
      </w:r>
      <w:r w:rsidR="00595DD2" w:rsidRPr="002A3852">
        <w:rPr>
          <w:rFonts w:asciiTheme="minorHAnsi" w:hAnsiTheme="minorHAnsi"/>
        </w:rPr>
        <w:t>three</w:t>
      </w:r>
      <w:r w:rsidRPr="002A3852">
        <w:rPr>
          <w:rFonts w:asciiTheme="minorHAnsi" w:hAnsiTheme="minorHAnsi"/>
        </w:rPr>
        <w:t xml:space="preserve"> </w:t>
      </w:r>
      <w:r w:rsidR="00BF466A">
        <w:rPr>
          <w:rFonts w:asciiTheme="minorHAnsi" w:hAnsiTheme="minorHAnsi"/>
        </w:rPr>
        <w:t xml:space="preserve">priorities and five </w:t>
      </w:r>
      <w:r w:rsidRPr="002A3852">
        <w:rPr>
          <w:rFonts w:asciiTheme="minorHAnsi" w:hAnsiTheme="minorHAnsi"/>
        </w:rPr>
        <w:t>outcomes, including</w:t>
      </w:r>
      <w:r w:rsidR="00595DD2" w:rsidRPr="002A3852">
        <w:rPr>
          <w:rFonts w:asciiTheme="minorHAnsi" w:hAnsiTheme="minorHAnsi"/>
        </w:rPr>
        <w:t xml:space="preserve"> 1</w:t>
      </w:r>
      <w:r w:rsidR="00DC2B47">
        <w:rPr>
          <w:rFonts w:asciiTheme="minorHAnsi" w:hAnsiTheme="minorHAnsi"/>
        </w:rPr>
        <w:t xml:space="preserve">) </w:t>
      </w:r>
      <w:r w:rsidR="00595DD2" w:rsidRPr="002A3852">
        <w:rPr>
          <w:rFonts w:asciiTheme="minorHAnsi" w:hAnsiTheme="minorHAnsi"/>
        </w:rPr>
        <w:t>Economic development; 2</w:t>
      </w:r>
      <w:r w:rsidR="00DC2B47">
        <w:rPr>
          <w:rFonts w:asciiTheme="minorHAnsi" w:hAnsiTheme="minorHAnsi"/>
        </w:rPr>
        <w:t>)</w:t>
      </w:r>
      <w:r w:rsidR="00595DD2" w:rsidRPr="002A3852">
        <w:rPr>
          <w:rFonts w:asciiTheme="minorHAnsi" w:hAnsiTheme="minorHAnsi"/>
        </w:rPr>
        <w:t xml:space="preserve"> Environmental </w:t>
      </w:r>
      <w:r w:rsidR="008E2D81" w:rsidRPr="002A3852">
        <w:rPr>
          <w:rFonts w:asciiTheme="minorHAnsi" w:hAnsiTheme="minorHAnsi"/>
        </w:rPr>
        <w:t>sustainability; and 3</w:t>
      </w:r>
      <w:r w:rsidR="00DC2B47">
        <w:rPr>
          <w:rFonts w:asciiTheme="minorHAnsi" w:hAnsiTheme="minorHAnsi"/>
        </w:rPr>
        <w:t>)</w:t>
      </w:r>
      <w:r w:rsidR="008E2D81" w:rsidRPr="002A3852">
        <w:rPr>
          <w:rFonts w:asciiTheme="minorHAnsi" w:hAnsiTheme="minorHAnsi"/>
        </w:rPr>
        <w:t xml:space="preserve"> Effective governance.</w:t>
      </w:r>
      <w:r w:rsidRPr="002A3852">
        <w:rPr>
          <w:rFonts w:asciiTheme="minorHAnsi" w:hAnsiTheme="minorHAnsi"/>
        </w:rPr>
        <w:t xml:space="preserve"> The UNDP Country Program 201</w:t>
      </w:r>
      <w:r w:rsidR="00D20E8A" w:rsidRPr="002A3852">
        <w:rPr>
          <w:rFonts w:asciiTheme="minorHAnsi" w:hAnsiTheme="minorHAnsi"/>
        </w:rPr>
        <w:t>1</w:t>
      </w:r>
      <w:r w:rsidRPr="002A3852">
        <w:rPr>
          <w:rFonts w:asciiTheme="minorHAnsi" w:hAnsiTheme="minorHAnsi"/>
        </w:rPr>
        <w:t xml:space="preserve">-2015 for </w:t>
      </w:r>
      <w:r w:rsidR="00D20E8A" w:rsidRPr="002A3852">
        <w:rPr>
          <w:rFonts w:asciiTheme="minorHAnsi" w:hAnsiTheme="minorHAnsi"/>
        </w:rPr>
        <w:t xml:space="preserve">Azerbaijan </w:t>
      </w:r>
      <w:r w:rsidRPr="002A3852">
        <w:rPr>
          <w:rFonts w:asciiTheme="minorHAnsi" w:hAnsiTheme="minorHAnsi"/>
        </w:rPr>
        <w:t xml:space="preserve">was developed and implemented in close partnership with the Government and civil society of </w:t>
      </w:r>
      <w:r w:rsidR="00D20E8A" w:rsidRPr="002A3852">
        <w:rPr>
          <w:rFonts w:asciiTheme="minorHAnsi" w:hAnsiTheme="minorHAnsi"/>
        </w:rPr>
        <w:t xml:space="preserve">Azerbaijan </w:t>
      </w:r>
      <w:r w:rsidRPr="002A3852">
        <w:rPr>
          <w:rFonts w:asciiTheme="minorHAnsi" w:hAnsiTheme="minorHAnsi"/>
        </w:rPr>
        <w:t>as well as UNDP’s international partners and donors.  As reflected in the UNDAF evaluation and UNDP Monitoring and Evaluation reports, during the period un</w:t>
      </w:r>
      <w:r w:rsidR="002A3852">
        <w:rPr>
          <w:rFonts w:asciiTheme="minorHAnsi" w:hAnsiTheme="minorHAnsi"/>
        </w:rPr>
        <w:t>der review, the Country Program</w:t>
      </w:r>
      <w:r w:rsidRPr="002A3852">
        <w:rPr>
          <w:rFonts w:asciiTheme="minorHAnsi" w:hAnsiTheme="minorHAnsi"/>
        </w:rPr>
        <w:t xml:space="preserve"> has made an important contribution to the national development priorities in </w:t>
      </w:r>
      <w:r w:rsidR="00D20E8A" w:rsidRPr="002A3852">
        <w:rPr>
          <w:rFonts w:asciiTheme="minorHAnsi" w:hAnsiTheme="minorHAnsi"/>
        </w:rPr>
        <w:t>Azerbaijan</w:t>
      </w:r>
      <w:r w:rsidRPr="002A3852">
        <w:rPr>
          <w:rFonts w:asciiTheme="minorHAnsi" w:hAnsiTheme="minorHAnsi"/>
        </w:rPr>
        <w:t xml:space="preserve">.  </w:t>
      </w:r>
    </w:p>
    <w:p w14:paraId="28807DE1" w14:textId="77777777" w:rsidR="0079480A" w:rsidRPr="002A3852" w:rsidRDefault="0079480A" w:rsidP="00DB4A8F">
      <w:pPr>
        <w:jc w:val="both"/>
        <w:rPr>
          <w:rFonts w:asciiTheme="minorHAnsi" w:hAnsiTheme="minorHAnsi"/>
          <w:sz w:val="20"/>
        </w:rPr>
      </w:pPr>
    </w:p>
    <w:p w14:paraId="521A2416" w14:textId="61E3E026" w:rsidR="002A3852" w:rsidRDefault="002A3852" w:rsidP="00DB4A8F">
      <w:pPr>
        <w:jc w:val="both"/>
        <w:rPr>
          <w:rFonts w:asciiTheme="minorHAnsi" w:hAnsiTheme="minorHAnsi"/>
          <w:sz w:val="20"/>
        </w:rPr>
      </w:pPr>
      <w:r>
        <w:rPr>
          <w:rFonts w:asciiTheme="minorHAnsi" w:hAnsiTheme="minorHAnsi"/>
          <w:sz w:val="20"/>
        </w:rPr>
        <w:t xml:space="preserve">Azerbaijan has made significant strides in improving the delivery of public services, </w:t>
      </w:r>
      <w:r w:rsidR="00DB4A8F">
        <w:rPr>
          <w:rFonts w:asciiTheme="minorHAnsi" w:hAnsiTheme="minorHAnsi"/>
          <w:sz w:val="20"/>
        </w:rPr>
        <w:t xml:space="preserve">which was recognized by 2015 United Nations Public Service Award for ASAN Service. UNDP has contributed to the improvement of public services through assistance in a) creating electronic services and data-bases (Pension Fund, Ministry of </w:t>
      </w:r>
      <w:proofErr w:type="spellStart"/>
      <w:r w:rsidR="00DB4A8F">
        <w:rPr>
          <w:rFonts w:asciiTheme="minorHAnsi" w:hAnsiTheme="minorHAnsi"/>
          <w:sz w:val="20"/>
        </w:rPr>
        <w:t>Justcice</w:t>
      </w:r>
      <w:proofErr w:type="spellEnd"/>
      <w:r w:rsidR="00DB4A8F">
        <w:rPr>
          <w:rFonts w:asciiTheme="minorHAnsi" w:hAnsiTheme="minorHAnsi"/>
          <w:sz w:val="20"/>
        </w:rPr>
        <w:t>), b) developing ICT strategy and connectivity back-bone (Ministry of Communications and High Technologies), c) creating more transparent civil service (Civil Service Commission).</w:t>
      </w:r>
    </w:p>
    <w:p w14:paraId="7E0F563A" w14:textId="77777777" w:rsidR="00DB4A8F" w:rsidRDefault="00DB4A8F" w:rsidP="00DB4A8F">
      <w:pPr>
        <w:jc w:val="both"/>
        <w:rPr>
          <w:rFonts w:asciiTheme="minorHAnsi" w:hAnsiTheme="minorHAnsi"/>
          <w:sz w:val="20"/>
        </w:rPr>
      </w:pPr>
    </w:p>
    <w:p w14:paraId="325B04BA" w14:textId="68100394" w:rsidR="00193B5C" w:rsidRPr="002A3852" w:rsidRDefault="00193B5C" w:rsidP="00DB4A8F">
      <w:pPr>
        <w:jc w:val="both"/>
        <w:rPr>
          <w:rFonts w:asciiTheme="minorHAnsi" w:hAnsiTheme="minorHAnsi"/>
          <w:sz w:val="20"/>
        </w:rPr>
      </w:pPr>
      <w:r w:rsidRPr="002A3852">
        <w:rPr>
          <w:rFonts w:asciiTheme="minorHAnsi" w:hAnsiTheme="minorHAnsi"/>
          <w:sz w:val="20"/>
        </w:rPr>
        <w:t>UNDP advocate</w:t>
      </w:r>
      <w:r w:rsidR="00C702DE">
        <w:rPr>
          <w:rFonts w:asciiTheme="minorHAnsi" w:hAnsiTheme="minorHAnsi"/>
          <w:sz w:val="20"/>
        </w:rPr>
        <w:t>s</w:t>
      </w:r>
      <w:r w:rsidRPr="002A3852">
        <w:rPr>
          <w:rFonts w:asciiTheme="minorHAnsi" w:hAnsiTheme="minorHAnsi"/>
          <w:sz w:val="20"/>
        </w:rPr>
        <w:t xml:space="preserve"> for diversification of economy and for bigger empowerment of the vulnerable groups (such as young people, women).</w:t>
      </w:r>
      <w:r w:rsidR="00DB4A8F">
        <w:rPr>
          <w:rFonts w:asciiTheme="minorHAnsi" w:hAnsiTheme="minorHAnsi"/>
          <w:sz w:val="20"/>
        </w:rPr>
        <w:t xml:space="preserve"> This was done at two levels. On one hand </w:t>
      </w:r>
      <w:r w:rsidR="00DB4A8F" w:rsidRPr="002A3852">
        <w:rPr>
          <w:rFonts w:asciiTheme="minorHAnsi" w:hAnsiTheme="minorHAnsi"/>
          <w:sz w:val="20"/>
        </w:rPr>
        <w:t xml:space="preserve">UNDP participated in development of State Programs and Strategies on Employment, Youth </w:t>
      </w:r>
      <w:r w:rsidR="00DB4A8F">
        <w:rPr>
          <w:rFonts w:asciiTheme="minorHAnsi" w:hAnsiTheme="minorHAnsi"/>
          <w:sz w:val="20"/>
        </w:rPr>
        <w:t xml:space="preserve">and Tourism. One the other hand, UNDP </w:t>
      </w:r>
      <w:r w:rsidRPr="002A3852">
        <w:rPr>
          <w:rFonts w:asciiTheme="minorHAnsi" w:hAnsiTheme="minorHAnsi"/>
          <w:sz w:val="20"/>
        </w:rPr>
        <w:t xml:space="preserve">demonstrated specific </w:t>
      </w:r>
      <w:r w:rsidR="00DB4A8F">
        <w:rPr>
          <w:rFonts w:asciiTheme="minorHAnsi" w:hAnsiTheme="minorHAnsi"/>
          <w:sz w:val="20"/>
        </w:rPr>
        <w:t xml:space="preserve">activities and </w:t>
      </w:r>
      <w:r w:rsidRPr="002A3852">
        <w:rPr>
          <w:rFonts w:asciiTheme="minorHAnsi" w:hAnsiTheme="minorHAnsi"/>
          <w:sz w:val="20"/>
        </w:rPr>
        <w:t xml:space="preserve">programs aimed at assisting young people in finding jobs and rural women in starting their own </w:t>
      </w:r>
      <w:proofErr w:type="gramStart"/>
      <w:r w:rsidRPr="002A3852">
        <w:rPr>
          <w:rFonts w:asciiTheme="minorHAnsi" w:hAnsiTheme="minorHAnsi"/>
          <w:sz w:val="20"/>
        </w:rPr>
        <w:t>businesses</w:t>
      </w:r>
      <w:proofErr w:type="gramEnd"/>
      <w:r w:rsidRPr="002A3852">
        <w:rPr>
          <w:rFonts w:asciiTheme="minorHAnsi" w:hAnsiTheme="minorHAnsi"/>
          <w:sz w:val="20"/>
        </w:rPr>
        <w:t>. UNDP was also instrumental in including the vulnerable groups in discussin</w:t>
      </w:r>
      <w:r w:rsidR="00DB4A8F">
        <w:rPr>
          <w:rFonts w:asciiTheme="minorHAnsi" w:hAnsiTheme="minorHAnsi"/>
          <w:sz w:val="20"/>
        </w:rPr>
        <w:t>g of</w:t>
      </w:r>
      <w:r w:rsidRPr="002A3852">
        <w:rPr>
          <w:rFonts w:asciiTheme="minorHAnsi" w:hAnsiTheme="minorHAnsi"/>
          <w:sz w:val="20"/>
        </w:rPr>
        <w:t xml:space="preserve"> the post-2015 agenda.</w:t>
      </w:r>
    </w:p>
    <w:p w14:paraId="68D123AB" w14:textId="77777777" w:rsidR="00193B5C" w:rsidRPr="002A3852" w:rsidRDefault="00193B5C" w:rsidP="00DB4A8F">
      <w:pPr>
        <w:jc w:val="both"/>
        <w:rPr>
          <w:rFonts w:asciiTheme="minorHAnsi" w:hAnsiTheme="minorHAnsi"/>
          <w:sz w:val="20"/>
        </w:rPr>
      </w:pPr>
    </w:p>
    <w:p w14:paraId="7A876C4A" w14:textId="213EEF5F" w:rsidR="00193B5C" w:rsidRPr="002A3852" w:rsidRDefault="00DB4A8F" w:rsidP="00DB4A8F">
      <w:pPr>
        <w:pStyle w:val="BodyText2"/>
        <w:jc w:val="both"/>
        <w:rPr>
          <w:rFonts w:asciiTheme="minorHAnsi" w:hAnsiTheme="minorHAnsi"/>
        </w:rPr>
      </w:pPr>
      <w:r>
        <w:rPr>
          <w:rFonts w:asciiTheme="minorHAnsi" w:hAnsiTheme="minorHAnsi"/>
        </w:rPr>
        <w:t xml:space="preserve">In </w:t>
      </w:r>
      <w:r w:rsidR="00193B5C" w:rsidRPr="002A3852">
        <w:rPr>
          <w:rFonts w:asciiTheme="minorHAnsi" w:hAnsiTheme="minorHAnsi"/>
        </w:rPr>
        <w:t xml:space="preserve">recent years, Azerbaijan has </w:t>
      </w:r>
      <w:r>
        <w:rPr>
          <w:rFonts w:asciiTheme="minorHAnsi" w:hAnsiTheme="minorHAnsi"/>
        </w:rPr>
        <w:t xml:space="preserve">become </w:t>
      </w:r>
      <w:r w:rsidR="00C702DE">
        <w:rPr>
          <w:rFonts w:asciiTheme="minorHAnsi" w:hAnsiTheme="minorHAnsi"/>
        </w:rPr>
        <w:t>more active in international assistance and</w:t>
      </w:r>
      <w:r>
        <w:rPr>
          <w:rFonts w:asciiTheme="minorHAnsi" w:hAnsiTheme="minorHAnsi"/>
        </w:rPr>
        <w:t xml:space="preserve"> </w:t>
      </w:r>
      <w:r w:rsidR="00193B5C" w:rsidRPr="002A3852">
        <w:rPr>
          <w:rFonts w:asciiTheme="minorHAnsi" w:hAnsiTheme="minorHAnsi"/>
        </w:rPr>
        <w:t xml:space="preserve">demonstrated readiness </w:t>
      </w:r>
      <w:r w:rsidR="00193B5C" w:rsidRPr="002A3852">
        <w:rPr>
          <w:rFonts w:asciiTheme="minorHAnsi" w:eastAsia="MS Mincho" w:hAnsiTheme="minorHAnsi"/>
          <w:lang w:val="en-GB"/>
        </w:rPr>
        <w:t>to engage in South-South Cooperation. UNDP has been instrumental in opening up new avenues for cooperation in this context given that o</w:t>
      </w:r>
      <w:r w:rsidR="00193B5C" w:rsidRPr="002A3852">
        <w:rPr>
          <w:rFonts w:asciiTheme="minorHAnsi" w:hAnsiTheme="minorHAnsi"/>
          <w:lang w:val="en-GB"/>
        </w:rPr>
        <w:t xml:space="preserve">ver the transitional years, </w:t>
      </w:r>
      <w:r w:rsidR="00C702DE">
        <w:rPr>
          <w:rFonts w:asciiTheme="minorHAnsi" w:hAnsiTheme="minorHAnsi"/>
          <w:lang w:val="en-GB"/>
        </w:rPr>
        <w:t>Azerbaijan</w:t>
      </w:r>
      <w:r w:rsidR="00193B5C" w:rsidRPr="002A3852">
        <w:rPr>
          <w:rFonts w:asciiTheme="minorHAnsi" w:hAnsiTheme="minorHAnsi"/>
          <w:lang w:val="en-GB"/>
        </w:rPr>
        <w:t xml:space="preserve"> has accumulated a wealth of experience, technical know-how and expertise that can be shared with developing countries. </w:t>
      </w:r>
      <w:r w:rsidR="00193B5C" w:rsidRPr="002A3852">
        <w:rPr>
          <w:rFonts w:asciiTheme="minorHAnsi" w:hAnsiTheme="minorHAnsi"/>
          <w:bCs/>
        </w:rPr>
        <w:t>UNDP Azerbaijan has facilitated knowledge transfers, notably on e-governance with Afghanistan</w:t>
      </w:r>
      <w:r w:rsidR="00C702DE">
        <w:rPr>
          <w:rFonts w:asciiTheme="minorHAnsi" w:hAnsiTheme="minorHAnsi"/>
          <w:bCs/>
        </w:rPr>
        <w:t xml:space="preserve"> and Turkmenistan</w:t>
      </w:r>
      <w:r w:rsidR="00193B5C" w:rsidRPr="002A3852">
        <w:rPr>
          <w:rFonts w:asciiTheme="minorHAnsi" w:hAnsiTheme="minorHAnsi"/>
          <w:bCs/>
        </w:rPr>
        <w:t>, and will seek to expand the South-South dimension of its program over the next cycle.</w:t>
      </w:r>
    </w:p>
    <w:p w14:paraId="38524274" w14:textId="77777777" w:rsidR="00193B5C" w:rsidRPr="002A3852" w:rsidRDefault="00193B5C" w:rsidP="00DB4A8F">
      <w:pPr>
        <w:pStyle w:val="BodyText2"/>
        <w:jc w:val="both"/>
        <w:rPr>
          <w:rFonts w:asciiTheme="minorHAnsi" w:hAnsiTheme="minorHAnsi"/>
          <w:b/>
        </w:rPr>
      </w:pPr>
    </w:p>
    <w:p w14:paraId="46CC2173" w14:textId="4823391A" w:rsidR="00193B5C" w:rsidRPr="002A3852" w:rsidRDefault="00193B5C" w:rsidP="00DB4A8F">
      <w:pPr>
        <w:jc w:val="both"/>
        <w:rPr>
          <w:rFonts w:asciiTheme="minorHAnsi" w:hAnsiTheme="minorHAnsi"/>
          <w:sz w:val="20"/>
        </w:rPr>
      </w:pPr>
      <w:r w:rsidRPr="002A3852">
        <w:rPr>
          <w:rFonts w:asciiTheme="minorHAnsi" w:hAnsiTheme="minorHAnsi"/>
          <w:sz w:val="20"/>
        </w:rPr>
        <w:t xml:space="preserve">A </w:t>
      </w:r>
      <w:r w:rsidR="00C702DE">
        <w:rPr>
          <w:rFonts w:asciiTheme="minorHAnsi" w:hAnsiTheme="minorHAnsi"/>
          <w:sz w:val="20"/>
        </w:rPr>
        <w:t xml:space="preserve">remarkable </w:t>
      </w:r>
      <w:r w:rsidRPr="002A3852">
        <w:rPr>
          <w:rFonts w:asciiTheme="minorHAnsi" w:hAnsiTheme="minorHAnsi"/>
          <w:sz w:val="20"/>
        </w:rPr>
        <w:t>example</w:t>
      </w:r>
      <w:r w:rsidR="00C702DE">
        <w:rPr>
          <w:rFonts w:asciiTheme="minorHAnsi" w:hAnsiTheme="minorHAnsi"/>
          <w:sz w:val="20"/>
        </w:rPr>
        <w:t xml:space="preserve"> </w:t>
      </w:r>
      <w:r w:rsidRPr="002A3852">
        <w:rPr>
          <w:rFonts w:asciiTheme="minorHAnsi" w:hAnsiTheme="minorHAnsi"/>
          <w:sz w:val="20"/>
        </w:rPr>
        <w:t xml:space="preserve">of </w:t>
      </w:r>
      <w:r w:rsidR="00C702DE">
        <w:rPr>
          <w:rFonts w:asciiTheme="minorHAnsi" w:hAnsiTheme="minorHAnsi"/>
          <w:sz w:val="20"/>
        </w:rPr>
        <w:t>p</w:t>
      </w:r>
      <w:r w:rsidRPr="002A3852">
        <w:rPr>
          <w:rFonts w:asciiTheme="minorHAnsi" w:hAnsiTheme="minorHAnsi"/>
          <w:sz w:val="20"/>
        </w:rPr>
        <w:t>artnership</w:t>
      </w:r>
      <w:r w:rsidR="00C702DE">
        <w:rPr>
          <w:rFonts w:asciiTheme="minorHAnsi" w:hAnsiTheme="minorHAnsi"/>
          <w:sz w:val="20"/>
        </w:rPr>
        <w:t xml:space="preserve"> with the Government of Azerbaijan is </w:t>
      </w:r>
      <w:r w:rsidRPr="002A3852">
        <w:rPr>
          <w:rFonts w:asciiTheme="minorHAnsi" w:hAnsiTheme="minorHAnsi"/>
          <w:sz w:val="20"/>
        </w:rPr>
        <w:t xml:space="preserve">the First Global Youth Policy Forum held in Baku in October 2014. </w:t>
      </w:r>
      <w:r w:rsidR="002009E0">
        <w:rPr>
          <w:rFonts w:asciiTheme="minorHAnsi" w:hAnsiTheme="minorHAnsi"/>
          <w:sz w:val="20"/>
        </w:rPr>
        <w:t xml:space="preserve">With more than 700 participants from all over the world the </w:t>
      </w:r>
      <w:r w:rsidR="00C702DE">
        <w:rPr>
          <w:rFonts w:asciiTheme="minorHAnsi" w:hAnsiTheme="minorHAnsi"/>
          <w:sz w:val="20"/>
        </w:rPr>
        <w:t xml:space="preserve">Forum </w:t>
      </w:r>
      <w:r w:rsidR="002009E0">
        <w:rPr>
          <w:rFonts w:asciiTheme="minorHAnsi" w:hAnsiTheme="minorHAnsi"/>
          <w:sz w:val="20"/>
        </w:rPr>
        <w:t xml:space="preserve">was </w:t>
      </w:r>
      <w:r w:rsidRPr="002A3852">
        <w:rPr>
          <w:rFonts w:asciiTheme="minorHAnsi" w:hAnsiTheme="minorHAnsi"/>
          <w:sz w:val="20"/>
        </w:rPr>
        <w:t>co-organize</w:t>
      </w:r>
      <w:r w:rsidR="0040462A">
        <w:rPr>
          <w:rFonts w:asciiTheme="minorHAnsi" w:hAnsiTheme="minorHAnsi"/>
          <w:sz w:val="20"/>
        </w:rPr>
        <w:t>d</w:t>
      </w:r>
      <w:r w:rsidR="0054399B">
        <w:rPr>
          <w:rFonts w:asciiTheme="minorHAnsi" w:hAnsiTheme="minorHAnsi"/>
          <w:sz w:val="20"/>
        </w:rPr>
        <w:t xml:space="preserve"> by UNDP, </w:t>
      </w:r>
      <w:r w:rsidRPr="002A3852">
        <w:rPr>
          <w:rFonts w:asciiTheme="minorHAnsi" w:hAnsiTheme="minorHAnsi"/>
          <w:sz w:val="20"/>
        </w:rPr>
        <w:t>UN SG Envoy for Youth, UNESCO</w:t>
      </w:r>
      <w:r w:rsidR="0054399B">
        <w:rPr>
          <w:rFonts w:asciiTheme="minorHAnsi" w:hAnsiTheme="minorHAnsi"/>
          <w:sz w:val="20"/>
        </w:rPr>
        <w:t xml:space="preserve">, Council of Europe and Government of Azerbaijan and adopted Baku Commitments </w:t>
      </w:r>
      <w:r w:rsidR="0040462A">
        <w:rPr>
          <w:rFonts w:asciiTheme="minorHAnsi" w:hAnsiTheme="minorHAnsi"/>
          <w:sz w:val="20"/>
        </w:rPr>
        <w:t>to Youth Policies.</w:t>
      </w:r>
      <w:r w:rsidR="0054399B">
        <w:rPr>
          <w:rFonts w:asciiTheme="minorHAnsi" w:hAnsiTheme="minorHAnsi"/>
          <w:sz w:val="20"/>
        </w:rPr>
        <w:t xml:space="preserve"> </w:t>
      </w:r>
    </w:p>
    <w:p w14:paraId="680632B6" w14:textId="77777777" w:rsidR="0079480A" w:rsidRPr="002A3852" w:rsidRDefault="0079480A" w:rsidP="00DB4A8F">
      <w:pPr>
        <w:jc w:val="both"/>
        <w:rPr>
          <w:rFonts w:asciiTheme="minorHAnsi" w:hAnsiTheme="minorHAnsi"/>
          <w:sz w:val="20"/>
        </w:rPr>
      </w:pPr>
    </w:p>
    <w:p w14:paraId="7DDDAE60" w14:textId="0F14D9E8" w:rsidR="0079480A" w:rsidRPr="002A3852" w:rsidRDefault="0079480A" w:rsidP="00DB4A8F">
      <w:pPr>
        <w:widowControl/>
        <w:jc w:val="both"/>
        <w:rPr>
          <w:rFonts w:asciiTheme="minorHAnsi" w:hAnsiTheme="minorHAnsi"/>
          <w:sz w:val="20"/>
        </w:rPr>
        <w:sectPr w:rsidR="0079480A" w:rsidRPr="002A3852" w:rsidSect="001A2982">
          <w:footerReference w:type="default" r:id="rId13"/>
          <w:endnotePr>
            <w:numFmt w:val="decimal"/>
          </w:endnotePr>
          <w:pgSz w:w="11907" w:h="16840" w:code="9"/>
          <w:pgMar w:top="1440" w:right="1440" w:bottom="1350" w:left="1440" w:header="720" w:footer="720" w:gutter="0"/>
          <w:cols w:space="720"/>
        </w:sectPr>
      </w:pPr>
      <w:r w:rsidRPr="002A3852">
        <w:rPr>
          <w:rFonts w:asciiTheme="minorHAnsi" w:hAnsiTheme="minorHAnsi"/>
          <w:sz w:val="20"/>
        </w:rPr>
        <w:t xml:space="preserve">In the period 2010-2015, in partnership with international community and the Government of </w:t>
      </w:r>
      <w:r w:rsidR="00310DCE" w:rsidRPr="002A3852">
        <w:rPr>
          <w:rFonts w:asciiTheme="minorHAnsi" w:hAnsiTheme="minorHAnsi"/>
          <w:sz w:val="20"/>
        </w:rPr>
        <w:t>Azerbaijan</w:t>
      </w:r>
      <w:r w:rsidRPr="002A3852">
        <w:rPr>
          <w:rFonts w:asciiTheme="minorHAnsi" w:hAnsiTheme="minorHAnsi"/>
          <w:sz w:val="20"/>
        </w:rPr>
        <w:t>, UNDP mobilized and delivered programs of a total value of over US$</w:t>
      </w:r>
      <w:r w:rsidR="00C14C8B" w:rsidRPr="002A3852">
        <w:rPr>
          <w:rFonts w:asciiTheme="minorHAnsi" w:hAnsiTheme="minorHAnsi"/>
          <w:sz w:val="20"/>
        </w:rPr>
        <w:t>54.2</w:t>
      </w:r>
      <w:r w:rsidRPr="002A3852">
        <w:rPr>
          <w:rFonts w:asciiTheme="minorHAnsi" w:hAnsiTheme="minorHAnsi"/>
          <w:sz w:val="20"/>
        </w:rPr>
        <w:t xml:space="preserve"> million. The top </w:t>
      </w:r>
      <w:r w:rsidR="0040462A">
        <w:rPr>
          <w:rFonts w:asciiTheme="minorHAnsi" w:hAnsiTheme="minorHAnsi"/>
          <w:sz w:val="20"/>
        </w:rPr>
        <w:t>five</w:t>
      </w:r>
      <w:r w:rsidRPr="002A3852">
        <w:rPr>
          <w:rFonts w:asciiTheme="minorHAnsi" w:hAnsiTheme="minorHAnsi"/>
          <w:sz w:val="20"/>
        </w:rPr>
        <w:t xml:space="preserve"> financial contributors to the </w:t>
      </w:r>
      <w:r w:rsidR="00C14C8B" w:rsidRPr="002A3852">
        <w:rPr>
          <w:rFonts w:asciiTheme="minorHAnsi" w:hAnsiTheme="minorHAnsi"/>
          <w:sz w:val="20"/>
        </w:rPr>
        <w:t>Country Program in Azerbaijan</w:t>
      </w:r>
      <w:r w:rsidRPr="002A3852">
        <w:rPr>
          <w:rFonts w:asciiTheme="minorHAnsi" w:hAnsiTheme="minorHAnsi"/>
          <w:sz w:val="20"/>
        </w:rPr>
        <w:t xml:space="preserve"> included </w:t>
      </w:r>
      <w:r w:rsidR="00C14C8B" w:rsidRPr="002A3852">
        <w:rPr>
          <w:rFonts w:asciiTheme="minorHAnsi" w:hAnsiTheme="minorHAnsi"/>
          <w:sz w:val="20"/>
        </w:rPr>
        <w:t xml:space="preserve">the </w:t>
      </w:r>
      <w:r w:rsidR="00204694" w:rsidRPr="002A3852">
        <w:rPr>
          <w:rFonts w:asciiTheme="minorHAnsi" w:hAnsiTheme="minorHAnsi"/>
          <w:sz w:val="20"/>
        </w:rPr>
        <w:t>Government</w:t>
      </w:r>
      <w:r w:rsidR="00C14C8B" w:rsidRPr="002A3852">
        <w:rPr>
          <w:rFonts w:asciiTheme="minorHAnsi" w:hAnsiTheme="minorHAnsi"/>
          <w:sz w:val="20"/>
        </w:rPr>
        <w:t xml:space="preserve"> of Azerbaijan,</w:t>
      </w:r>
      <w:r w:rsidR="00204694" w:rsidRPr="002A3852">
        <w:rPr>
          <w:rFonts w:asciiTheme="minorHAnsi" w:hAnsiTheme="minorHAnsi"/>
          <w:sz w:val="20"/>
        </w:rPr>
        <w:t xml:space="preserve"> </w:t>
      </w:r>
      <w:r w:rsidR="00CD0119">
        <w:rPr>
          <w:rFonts w:asciiTheme="minorHAnsi" w:hAnsiTheme="minorHAnsi"/>
          <w:sz w:val="20"/>
        </w:rPr>
        <w:t xml:space="preserve">the </w:t>
      </w:r>
      <w:r w:rsidR="00204694" w:rsidRPr="002A3852">
        <w:rPr>
          <w:rFonts w:asciiTheme="minorHAnsi" w:hAnsiTheme="minorHAnsi"/>
          <w:sz w:val="20"/>
        </w:rPr>
        <w:t>EU, GEF, Special Climate Change Fund</w:t>
      </w:r>
      <w:r w:rsidR="0040462A">
        <w:rPr>
          <w:rFonts w:asciiTheme="minorHAnsi" w:hAnsiTheme="minorHAnsi"/>
          <w:sz w:val="20"/>
        </w:rPr>
        <w:t xml:space="preserve"> and </w:t>
      </w:r>
      <w:r w:rsidR="00204694" w:rsidRPr="002A3852">
        <w:rPr>
          <w:rFonts w:asciiTheme="minorHAnsi" w:hAnsiTheme="minorHAnsi"/>
          <w:sz w:val="20"/>
        </w:rPr>
        <w:t>Government of Norway</w:t>
      </w:r>
      <w:r w:rsidR="0040462A">
        <w:rPr>
          <w:rFonts w:asciiTheme="minorHAnsi" w:hAnsiTheme="minorHAnsi"/>
          <w:sz w:val="20"/>
        </w:rPr>
        <w:t>. UNDP also received contributions from p</w:t>
      </w:r>
      <w:r w:rsidR="00204694" w:rsidRPr="002A3852">
        <w:rPr>
          <w:rFonts w:asciiTheme="minorHAnsi" w:hAnsiTheme="minorHAnsi"/>
          <w:sz w:val="20"/>
        </w:rPr>
        <w:t xml:space="preserve">rivate </w:t>
      </w:r>
      <w:r w:rsidR="0040462A">
        <w:rPr>
          <w:rFonts w:asciiTheme="minorHAnsi" w:hAnsiTheme="minorHAnsi"/>
          <w:sz w:val="20"/>
        </w:rPr>
        <w:t>s</w:t>
      </w:r>
      <w:r w:rsidR="00204694" w:rsidRPr="002A3852">
        <w:rPr>
          <w:rFonts w:asciiTheme="minorHAnsi" w:hAnsiTheme="minorHAnsi"/>
          <w:sz w:val="20"/>
        </w:rPr>
        <w:t>ect</w:t>
      </w:r>
      <w:r w:rsidR="008D434D" w:rsidRPr="002A3852">
        <w:rPr>
          <w:rFonts w:asciiTheme="minorHAnsi" w:hAnsiTheme="minorHAnsi"/>
          <w:sz w:val="20"/>
        </w:rPr>
        <w:t xml:space="preserve">or. </w:t>
      </w:r>
    </w:p>
    <w:p w14:paraId="2869F7F2" w14:textId="77777777" w:rsidR="0037523B" w:rsidRDefault="0037523B" w:rsidP="00975566">
      <w:pPr>
        <w:pStyle w:val="BodyText2"/>
        <w:jc w:val="center"/>
        <w:rPr>
          <w:rFonts w:ascii="Times New Roman" w:hAnsi="Times New Roman"/>
          <w:b/>
          <w:sz w:val="24"/>
        </w:rPr>
      </w:pPr>
    </w:p>
    <w:p w14:paraId="2869F7F3" w14:textId="77777777" w:rsidR="0037523B" w:rsidRDefault="0037523B" w:rsidP="00975566">
      <w:pPr>
        <w:pStyle w:val="BodyText2"/>
        <w:jc w:val="center"/>
        <w:rPr>
          <w:rFonts w:ascii="Times New Roman" w:hAnsi="Times New Roman"/>
          <w:b/>
          <w:sz w:val="24"/>
        </w:rPr>
      </w:pPr>
    </w:p>
    <w:p w14:paraId="2869F7F4" w14:textId="77777777" w:rsidR="0037523B" w:rsidRDefault="0037523B" w:rsidP="00975566">
      <w:pPr>
        <w:pStyle w:val="BodyText2"/>
        <w:jc w:val="center"/>
        <w:rPr>
          <w:rFonts w:ascii="Times New Roman" w:hAnsi="Times New Roman"/>
          <w:b/>
          <w:sz w:val="24"/>
        </w:rPr>
      </w:pPr>
    </w:p>
    <w:p w14:paraId="2869F7F6" w14:textId="77777777" w:rsidR="0037523B" w:rsidRDefault="0037523B" w:rsidP="00193B5C">
      <w:pPr>
        <w:pStyle w:val="BodyText2"/>
        <w:rPr>
          <w:rFonts w:ascii="Times New Roman" w:hAnsi="Times New Roman"/>
          <w:b/>
          <w:sz w:val="24"/>
        </w:rPr>
      </w:pPr>
    </w:p>
    <w:p w14:paraId="2869F7F8" w14:textId="5C1C99F4" w:rsidR="00975566" w:rsidRPr="00517955" w:rsidRDefault="006900FE" w:rsidP="008440D9">
      <w:pPr>
        <w:pStyle w:val="Heading3"/>
        <w:jc w:val="left"/>
        <w:rPr>
          <w:rFonts w:asciiTheme="minorHAnsi" w:hAnsiTheme="minorHAnsi"/>
          <w:b/>
        </w:rPr>
      </w:pPr>
      <w:r>
        <w:rPr>
          <w:rFonts w:asciiTheme="minorHAnsi" w:hAnsiTheme="minorHAnsi"/>
          <w:b/>
        </w:rPr>
        <w:t>I</w:t>
      </w:r>
      <w:r w:rsidR="0081403B" w:rsidRPr="00517955">
        <w:rPr>
          <w:rFonts w:asciiTheme="minorHAnsi" w:hAnsiTheme="minorHAnsi"/>
          <w:b/>
        </w:rPr>
        <w:t xml:space="preserve">: </w:t>
      </w:r>
      <w:r w:rsidR="000C09B4" w:rsidRPr="00517955">
        <w:rPr>
          <w:rFonts w:asciiTheme="minorHAnsi" w:hAnsiTheme="minorHAnsi"/>
          <w:b/>
        </w:rPr>
        <w:t xml:space="preserve">Country </w:t>
      </w:r>
      <w:proofErr w:type="spellStart"/>
      <w:r w:rsidR="000C09B4" w:rsidRPr="00517955">
        <w:rPr>
          <w:rFonts w:asciiTheme="minorHAnsi" w:hAnsiTheme="minorHAnsi"/>
          <w:b/>
        </w:rPr>
        <w:t>Programme</w:t>
      </w:r>
      <w:proofErr w:type="spellEnd"/>
      <w:r w:rsidR="000C09B4" w:rsidRPr="00517955">
        <w:rPr>
          <w:rFonts w:asciiTheme="minorHAnsi" w:hAnsiTheme="minorHAnsi"/>
          <w:b/>
        </w:rPr>
        <w:t xml:space="preserve"> Performance </w:t>
      </w:r>
      <w:r w:rsidR="00975566" w:rsidRPr="00517955">
        <w:rPr>
          <w:rFonts w:asciiTheme="minorHAnsi" w:hAnsiTheme="minorHAnsi"/>
          <w:b/>
        </w:rPr>
        <w:t>Summary</w:t>
      </w:r>
    </w:p>
    <w:p w14:paraId="2869F7F9" w14:textId="77777777" w:rsidR="00DC7354" w:rsidRDefault="00DC7354" w:rsidP="00975566">
      <w:pPr>
        <w:pStyle w:val="BodyText2"/>
        <w:jc w:val="center"/>
        <w:rPr>
          <w:rFonts w:ascii="Times New Roman" w:hAnsi="Times New Roman"/>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440"/>
        <w:gridCol w:w="3960"/>
        <w:gridCol w:w="5490"/>
      </w:tblGrid>
      <w:tr w:rsidR="00CB647D" w:rsidRPr="00DC7354" w14:paraId="2869F7FC" w14:textId="77777777" w:rsidTr="009E7526">
        <w:tc>
          <w:tcPr>
            <w:tcW w:w="3150" w:type="dxa"/>
            <w:gridSpan w:val="2"/>
            <w:tcBorders>
              <w:right w:val="nil"/>
            </w:tcBorders>
            <w:shd w:val="clear" w:color="auto" w:fill="FFC000"/>
          </w:tcPr>
          <w:p w14:paraId="2869F7FA" w14:textId="77777777" w:rsidR="00CB647D" w:rsidRPr="00A85E34" w:rsidRDefault="00CB647D">
            <w:pPr>
              <w:pStyle w:val="BodyText2"/>
              <w:rPr>
                <w:rFonts w:asciiTheme="minorHAnsi" w:hAnsiTheme="minorHAnsi"/>
                <w:b/>
                <w:sz w:val="24"/>
              </w:rPr>
            </w:pPr>
            <w:r w:rsidRPr="00A85E34">
              <w:rPr>
                <w:rFonts w:asciiTheme="minorHAnsi" w:hAnsiTheme="minorHAnsi"/>
                <w:b/>
              </w:rPr>
              <w:t>Country information</w:t>
            </w:r>
          </w:p>
        </w:tc>
        <w:tc>
          <w:tcPr>
            <w:tcW w:w="10890" w:type="dxa"/>
            <w:gridSpan w:val="3"/>
            <w:tcBorders>
              <w:left w:val="nil"/>
            </w:tcBorders>
            <w:shd w:val="clear" w:color="auto" w:fill="FFC000"/>
          </w:tcPr>
          <w:p w14:paraId="2869F7FB" w14:textId="77777777" w:rsidR="00CB647D" w:rsidRPr="00A85E34" w:rsidRDefault="00CB647D">
            <w:pPr>
              <w:pStyle w:val="BodyText2"/>
              <w:rPr>
                <w:rFonts w:asciiTheme="minorHAnsi" w:hAnsiTheme="minorHAnsi"/>
                <w:b/>
                <w:sz w:val="24"/>
              </w:rPr>
            </w:pPr>
          </w:p>
        </w:tc>
      </w:tr>
      <w:tr w:rsidR="009B76A1" w:rsidRPr="00DC7354" w14:paraId="2869F7FE" w14:textId="77777777" w:rsidTr="00E56EA0">
        <w:tc>
          <w:tcPr>
            <w:tcW w:w="14040" w:type="dxa"/>
            <w:gridSpan w:val="5"/>
          </w:tcPr>
          <w:p w14:paraId="2869F7FD" w14:textId="648AD5F0" w:rsidR="009B76A1" w:rsidRPr="00DC7354" w:rsidRDefault="009B76A1">
            <w:pPr>
              <w:pStyle w:val="BodyText2"/>
              <w:rPr>
                <w:rFonts w:asciiTheme="minorHAnsi" w:hAnsiTheme="minorHAnsi"/>
                <w:b/>
                <w:sz w:val="24"/>
              </w:rPr>
            </w:pPr>
            <w:r w:rsidRPr="00230A0E">
              <w:rPr>
                <w:rFonts w:asciiTheme="minorHAnsi" w:hAnsiTheme="minorHAnsi"/>
                <w:b/>
              </w:rPr>
              <w:t>Country name:</w:t>
            </w:r>
            <w:r w:rsidR="00A75DFE">
              <w:rPr>
                <w:rFonts w:asciiTheme="minorHAnsi" w:hAnsiTheme="minorHAnsi"/>
                <w:b/>
              </w:rPr>
              <w:t xml:space="preserve"> Azerbaijan</w:t>
            </w:r>
          </w:p>
        </w:tc>
      </w:tr>
      <w:tr w:rsidR="009B76A1" w:rsidRPr="00843006" w14:paraId="2869F800" w14:textId="77777777" w:rsidTr="00EC5A36">
        <w:tc>
          <w:tcPr>
            <w:tcW w:w="14040" w:type="dxa"/>
            <w:gridSpan w:val="5"/>
          </w:tcPr>
          <w:p w14:paraId="2869F7FF" w14:textId="3D3E52EC" w:rsidR="009B76A1" w:rsidRPr="00843006" w:rsidRDefault="009B76A1">
            <w:pPr>
              <w:pStyle w:val="BodyText2"/>
              <w:rPr>
                <w:rFonts w:asciiTheme="minorHAnsi" w:hAnsiTheme="minorHAnsi"/>
                <w:b/>
              </w:rPr>
            </w:pPr>
            <w:r w:rsidRPr="00843006">
              <w:rPr>
                <w:rFonts w:asciiTheme="minorHAnsi" w:hAnsiTheme="minorHAnsi"/>
                <w:b/>
              </w:rPr>
              <w:t xml:space="preserve">Current country </w:t>
            </w:r>
            <w:proofErr w:type="spellStart"/>
            <w:r w:rsidRPr="00843006">
              <w:rPr>
                <w:rFonts w:asciiTheme="minorHAnsi" w:hAnsiTheme="minorHAnsi"/>
                <w:b/>
              </w:rPr>
              <w:t>program</w:t>
            </w:r>
            <w:r>
              <w:rPr>
                <w:rFonts w:asciiTheme="minorHAnsi" w:hAnsiTheme="minorHAnsi"/>
                <w:b/>
              </w:rPr>
              <w:t>me</w:t>
            </w:r>
            <w:proofErr w:type="spellEnd"/>
            <w:r w:rsidRPr="00843006">
              <w:rPr>
                <w:rFonts w:asciiTheme="minorHAnsi" w:hAnsiTheme="minorHAnsi"/>
                <w:b/>
              </w:rPr>
              <w:t xml:space="preserve"> period:</w:t>
            </w:r>
            <w:r w:rsidR="00A75DFE">
              <w:rPr>
                <w:rFonts w:asciiTheme="minorHAnsi" w:hAnsiTheme="minorHAnsi"/>
                <w:b/>
              </w:rPr>
              <w:t xml:space="preserve"> 2011-2015</w:t>
            </w:r>
          </w:p>
        </w:tc>
      </w:tr>
      <w:tr w:rsidR="003B037A" w:rsidRPr="00DC7354" w14:paraId="2869F805" w14:textId="77777777" w:rsidTr="009E7526">
        <w:tc>
          <w:tcPr>
            <w:tcW w:w="3150" w:type="dxa"/>
            <w:gridSpan w:val="2"/>
          </w:tcPr>
          <w:p w14:paraId="2869F801" w14:textId="77777777" w:rsidR="003B037A" w:rsidRPr="00DC7354" w:rsidRDefault="003B037A">
            <w:pPr>
              <w:pStyle w:val="BodyText2"/>
              <w:rPr>
                <w:rFonts w:asciiTheme="minorHAnsi" w:hAnsiTheme="minorHAnsi"/>
                <w:b/>
                <w:sz w:val="24"/>
              </w:rPr>
            </w:pPr>
            <w:r w:rsidRPr="00DC7354">
              <w:rPr>
                <w:rFonts w:asciiTheme="minorHAnsi" w:hAnsiTheme="minorHAnsi"/>
                <w:b/>
                <w:sz w:val="24"/>
              </w:rPr>
              <w:t>Outcome</w:t>
            </w:r>
            <w:r w:rsidR="00700521">
              <w:rPr>
                <w:rFonts w:asciiTheme="minorHAnsi" w:hAnsiTheme="minorHAnsi"/>
                <w:b/>
                <w:sz w:val="24"/>
              </w:rPr>
              <w:t>s</w:t>
            </w:r>
          </w:p>
        </w:tc>
        <w:tc>
          <w:tcPr>
            <w:tcW w:w="1440" w:type="dxa"/>
            <w:shd w:val="clear" w:color="auto" w:fill="auto"/>
          </w:tcPr>
          <w:p w14:paraId="2869F802" w14:textId="77777777" w:rsidR="003B037A" w:rsidRPr="005F6261" w:rsidRDefault="003B037A">
            <w:pPr>
              <w:pStyle w:val="BodyText2"/>
              <w:rPr>
                <w:rFonts w:asciiTheme="minorHAnsi" w:hAnsiTheme="minorHAnsi"/>
                <w:b/>
                <w:sz w:val="22"/>
              </w:rPr>
            </w:pPr>
            <w:r w:rsidRPr="005F6261">
              <w:rPr>
                <w:rFonts w:asciiTheme="minorHAnsi" w:hAnsiTheme="minorHAnsi"/>
                <w:b/>
                <w:sz w:val="22"/>
              </w:rPr>
              <w:t>Total Expenditure</w:t>
            </w:r>
          </w:p>
        </w:tc>
        <w:tc>
          <w:tcPr>
            <w:tcW w:w="3960" w:type="dxa"/>
            <w:tcBorders>
              <w:left w:val="single" w:sz="4" w:space="0" w:color="auto"/>
            </w:tcBorders>
          </w:tcPr>
          <w:p w14:paraId="2869F803" w14:textId="77777777" w:rsidR="003B037A" w:rsidRPr="005F6261" w:rsidRDefault="003B037A">
            <w:pPr>
              <w:pStyle w:val="BodyText2"/>
              <w:rPr>
                <w:rFonts w:asciiTheme="minorHAnsi" w:hAnsiTheme="minorHAnsi"/>
                <w:b/>
                <w:sz w:val="22"/>
              </w:rPr>
            </w:pPr>
            <w:r w:rsidRPr="005F6261">
              <w:rPr>
                <w:rFonts w:asciiTheme="minorHAnsi" w:hAnsiTheme="minorHAnsi"/>
                <w:b/>
                <w:sz w:val="22"/>
              </w:rPr>
              <w:t>Key Indicators of outcome (1-4 per outcome)</w:t>
            </w:r>
          </w:p>
        </w:tc>
        <w:tc>
          <w:tcPr>
            <w:tcW w:w="5490" w:type="dxa"/>
          </w:tcPr>
          <w:p w14:paraId="2869F804" w14:textId="77777777" w:rsidR="003B037A" w:rsidRPr="005F6261" w:rsidRDefault="003B037A">
            <w:pPr>
              <w:pStyle w:val="BodyText2"/>
              <w:rPr>
                <w:rFonts w:asciiTheme="minorHAnsi" w:hAnsiTheme="minorHAnsi"/>
                <w:b/>
                <w:sz w:val="22"/>
              </w:rPr>
            </w:pPr>
            <w:r w:rsidRPr="005F6261">
              <w:rPr>
                <w:rFonts w:asciiTheme="minorHAnsi" w:hAnsiTheme="minorHAnsi"/>
                <w:b/>
                <w:sz w:val="22"/>
              </w:rPr>
              <w:t>Progress made against key indicators</w:t>
            </w:r>
          </w:p>
        </w:tc>
      </w:tr>
      <w:tr w:rsidR="000823AC" w:rsidRPr="00DC7354" w14:paraId="2869F80E" w14:textId="77777777" w:rsidTr="000823AC">
        <w:tc>
          <w:tcPr>
            <w:tcW w:w="3150" w:type="dxa"/>
            <w:gridSpan w:val="2"/>
            <w:tcBorders>
              <w:bottom w:val="single" w:sz="4" w:space="0" w:color="auto"/>
            </w:tcBorders>
            <w:shd w:val="clear" w:color="auto" w:fill="95B3D7" w:themeFill="accent1" w:themeFillTint="99"/>
          </w:tcPr>
          <w:p w14:paraId="2869F806" w14:textId="7795A530" w:rsidR="003B037A" w:rsidRPr="002A54C6" w:rsidRDefault="003B037A" w:rsidP="000C4457">
            <w:pPr>
              <w:pStyle w:val="BodyText2"/>
              <w:rPr>
                <w:rFonts w:asciiTheme="minorHAnsi" w:hAnsiTheme="minorHAnsi"/>
                <w:b/>
                <w:i/>
              </w:rPr>
            </w:pPr>
            <w:r w:rsidRPr="002A54C6">
              <w:rPr>
                <w:rFonts w:asciiTheme="minorHAnsi" w:hAnsiTheme="minorHAnsi"/>
                <w:b/>
                <w:i/>
              </w:rPr>
              <w:t xml:space="preserve">1. </w:t>
            </w:r>
            <w:r w:rsidR="00547D62">
              <w:rPr>
                <w:rFonts w:asciiTheme="minorHAnsi" w:hAnsiTheme="minorHAnsi"/>
                <w:b/>
                <w:i/>
              </w:rPr>
              <w:t>1.</w:t>
            </w:r>
            <w:r w:rsidR="002A54C6" w:rsidRPr="002A54C6">
              <w:rPr>
                <w:rFonts w:asciiTheme="minorHAnsi" w:hAnsiTheme="minorHAnsi"/>
                <w:b/>
                <w:i/>
              </w:rPr>
              <w:t xml:space="preserve"> National policies and institutions strengthened to increase private sector competitiveness, remove  trade barriers, especially for exports, while reducing vulnerability of the economy and population to external shocks</w:t>
            </w:r>
          </w:p>
        </w:tc>
        <w:tc>
          <w:tcPr>
            <w:tcW w:w="1440" w:type="dxa"/>
            <w:tcBorders>
              <w:bottom w:val="single" w:sz="4" w:space="0" w:color="auto"/>
            </w:tcBorders>
            <w:shd w:val="clear" w:color="auto" w:fill="auto"/>
          </w:tcPr>
          <w:p w14:paraId="2869F807" w14:textId="18C7AFA0" w:rsidR="003B037A" w:rsidRPr="00DC7354" w:rsidRDefault="003B037A" w:rsidP="00585D69">
            <w:pPr>
              <w:pStyle w:val="BodyText2"/>
              <w:rPr>
                <w:rFonts w:asciiTheme="minorHAnsi" w:hAnsiTheme="minorHAnsi"/>
              </w:rPr>
            </w:pPr>
            <w:r w:rsidRPr="00DC7354">
              <w:rPr>
                <w:rFonts w:asciiTheme="minorHAnsi" w:hAnsiTheme="minorHAnsi"/>
              </w:rPr>
              <w:t>$</w:t>
            </w:r>
            <w:r w:rsidR="00585D69">
              <w:rPr>
                <w:rFonts w:asciiTheme="minorHAnsi" w:hAnsiTheme="minorHAnsi"/>
              </w:rPr>
              <w:t xml:space="preserve">  </w:t>
            </w:r>
            <w:r w:rsidR="00585D69" w:rsidRPr="00585D69">
              <w:rPr>
                <w:rFonts w:asciiTheme="minorHAnsi" w:hAnsiTheme="minorHAnsi"/>
              </w:rPr>
              <w:t>3,701,539</w:t>
            </w:r>
          </w:p>
        </w:tc>
        <w:tc>
          <w:tcPr>
            <w:tcW w:w="3960" w:type="dxa"/>
            <w:tcBorders>
              <w:left w:val="single" w:sz="4" w:space="0" w:color="auto"/>
              <w:bottom w:val="single" w:sz="4" w:space="0" w:color="auto"/>
            </w:tcBorders>
          </w:tcPr>
          <w:p w14:paraId="6AC834E4" w14:textId="77777777" w:rsidR="000419B6" w:rsidRPr="000419B6" w:rsidRDefault="000419B6" w:rsidP="00C064B1">
            <w:pPr>
              <w:pStyle w:val="BodyText2"/>
              <w:rPr>
                <w:rFonts w:asciiTheme="minorHAnsi" w:hAnsiTheme="minorHAnsi"/>
                <w:i/>
              </w:rPr>
            </w:pPr>
            <w:r w:rsidRPr="000419B6">
              <w:rPr>
                <w:rFonts w:asciiTheme="minorHAnsi" w:hAnsiTheme="minorHAnsi"/>
                <w:i/>
              </w:rPr>
              <w:t>Indicator: 1.1.1 Amount of foreign direct investments in non-oil sector</w:t>
            </w:r>
          </w:p>
          <w:p w14:paraId="1DA1FE06" w14:textId="77777777" w:rsidR="000419B6" w:rsidRPr="000419B6" w:rsidRDefault="000419B6" w:rsidP="00C064B1">
            <w:pPr>
              <w:pStyle w:val="BodyText2"/>
              <w:rPr>
                <w:rFonts w:asciiTheme="minorHAnsi" w:hAnsiTheme="minorHAnsi"/>
                <w:i/>
              </w:rPr>
            </w:pPr>
            <w:r w:rsidRPr="000419B6">
              <w:rPr>
                <w:rFonts w:asciiTheme="minorHAnsi" w:hAnsiTheme="minorHAnsi"/>
                <w:i/>
              </w:rPr>
              <w:t xml:space="preserve">Baseline: 2008- $ 641.2 million </w:t>
            </w:r>
          </w:p>
          <w:p w14:paraId="6A9AF4EF" w14:textId="77777777" w:rsidR="000419B6" w:rsidRPr="000419B6" w:rsidRDefault="000419B6" w:rsidP="00C064B1">
            <w:pPr>
              <w:pStyle w:val="BodyText2"/>
              <w:rPr>
                <w:rFonts w:asciiTheme="minorHAnsi" w:hAnsiTheme="minorHAnsi"/>
                <w:i/>
              </w:rPr>
            </w:pPr>
            <w:r w:rsidRPr="000419B6">
              <w:rPr>
                <w:rFonts w:asciiTheme="minorHAnsi" w:hAnsiTheme="minorHAnsi"/>
                <w:i/>
              </w:rPr>
              <w:t>Target: 25% increase</w:t>
            </w:r>
          </w:p>
          <w:p w14:paraId="55B35CF9" w14:textId="77777777" w:rsidR="000419B6" w:rsidRPr="000419B6" w:rsidRDefault="000419B6" w:rsidP="00C064B1">
            <w:pPr>
              <w:pStyle w:val="BodyText2"/>
              <w:rPr>
                <w:rFonts w:asciiTheme="minorHAnsi" w:hAnsiTheme="minorHAnsi"/>
                <w:i/>
              </w:rPr>
            </w:pPr>
            <w:r w:rsidRPr="000419B6">
              <w:rPr>
                <w:rFonts w:asciiTheme="minorHAnsi" w:hAnsiTheme="minorHAnsi"/>
                <w:i/>
              </w:rPr>
              <w:t>Indicator : 1.1.2 Annual percentage increase in non-oil gross domestic product</w:t>
            </w:r>
          </w:p>
          <w:p w14:paraId="5D02A8BA" w14:textId="77777777" w:rsidR="000419B6" w:rsidRPr="000419B6" w:rsidRDefault="000419B6" w:rsidP="00C064B1">
            <w:pPr>
              <w:pStyle w:val="BodyText2"/>
              <w:rPr>
                <w:rFonts w:asciiTheme="minorHAnsi" w:hAnsiTheme="minorHAnsi"/>
                <w:i/>
              </w:rPr>
            </w:pPr>
            <w:r w:rsidRPr="000419B6">
              <w:rPr>
                <w:rFonts w:asciiTheme="minorHAnsi" w:hAnsiTheme="minorHAnsi"/>
                <w:i/>
              </w:rPr>
              <w:t xml:space="preserve">Baseline: 2009 - 3% </w:t>
            </w:r>
          </w:p>
          <w:p w14:paraId="4A0FD377" w14:textId="77777777" w:rsidR="000419B6" w:rsidRPr="000419B6" w:rsidRDefault="000419B6" w:rsidP="00C064B1">
            <w:pPr>
              <w:pStyle w:val="BodyText2"/>
              <w:rPr>
                <w:rFonts w:asciiTheme="minorHAnsi" w:hAnsiTheme="minorHAnsi"/>
                <w:i/>
              </w:rPr>
            </w:pPr>
            <w:r w:rsidRPr="000419B6">
              <w:rPr>
                <w:rFonts w:asciiTheme="minorHAnsi" w:hAnsiTheme="minorHAnsi"/>
                <w:i/>
              </w:rPr>
              <w:t>Target: 10%</w:t>
            </w:r>
          </w:p>
          <w:p w14:paraId="5C306BA6" w14:textId="77777777" w:rsidR="000419B6" w:rsidRPr="000419B6" w:rsidRDefault="000419B6" w:rsidP="00C064B1">
            <w:pPr>
              <w:pStyle w:val="BodyText2"/>
              <w:rPr>
                <w:rFonts w:asciiTheme="minorHAnsi" w:hAnsiTheme="minorHAnsi"/>
                <w:i/>
              </w:rPr>
            </w:pPr>
            <w:r w:rsidRPr="000419B6">
              <w:rPr>
                <w:rFonts w:asciiTheme="minorHAnsi" w:hAnsiTheme="minorHAnsi"/>
                <w:i/>
              </w:rPr>
              <w:t>Indicator: 1.1.3 Volume of non-oil sector exports</w:t>
            </w:r>
          </w:p>
          <w:p w14:paraId="489E9CF7" w14:textId="77777777" w:rsidR="000419B6" w:rsidRPr="000419B6" w:rsidRDefault="000419B6" w:rsidP="00C064B1">
            <w:pPr>
              <w:pStyle w:val="BodyText2"/>
              <w:rPr>
                <w:rFonts w:asciiTheme="minorHAnsi" w:hAnsiTheme="minorHAnsi"/>
                <w:i/>
              </w:rPr>
            </w:pPr>
            <w:r w:rsidRPr="000419B6">
              <w:rPr>
                <w:rFonts w:asciiTheme="minorHAnsi" w:hAnsiTheme="minorHAnsi"/>
                <w:i/>
              </w:rPr>
              <w:t xml:space="preserve">Baseline: 2008 - $47.756 billion </w:t>
            </w:r>
          </w:p>
          <w:p w14:paraId="2869F80A" w14:textId="07F88B85" w:rsidR="000419B6" w:rsidRPr="00920DBC" w:rsidRDefault="000419B6" w:rsidP="00C064B1">
            <w:pPr>
              <w:pStyle w:val="BodyText2"/>
              <w:rPr>
                <w:rFonts w:asciiTheme="minorHAnsi" w:hAnsiTheme="minorHAnsi"/>
                <w:i/>
              </w:rPr>
            </w:pPr>
            <w:r w:rsidRPr="000419B6">
              <w:rPr>
                <w:rFonts w:asciiTheme="minorHAnsi" w:hAnsiTheme="minorHAnsi"/>
                <w:i/>
              </w:rPr>
              <w:t>Target: $150 billion</w:t>
            </w:r>
          </w:p>
        </w:tc>
        <w:tc>
          <w:tcPr>
            <w:tcW w:w="5490" w:type="dxa"/>
            <w:tcBorders>
              <w:bottom w:val="single" w:sz="4" w:space="0" w:color="auto"/>
            </w:tcBorders>
            <w:shd w:val="clear" w:color="auto" w:fill="auto"/>
          </w:tcPr>
          <w:p w14:paraId="3CD1DC73" w14:textId="17693BA3" w:rsidR="00C5571D" w:rsidRDefault="00C5571D" w:rsidP="00C5571D">
            <w:pPr>
              <w:pStyle w:val="BodyText2"/>
              <w:numPr>
                <w:ilvl w:val="2"/>
                <w:numId w:val="26"/>
              </w:numPr>
              <w:rPr>
                <w:rFonts w:asciiTheme="minorHAnsi" w:hAnsiTheme="minorHAnsi"/>
                <w:i/>
              </w:rPr>
            </w:pPr>
            <w:r>
              <w:rPr>
                <w:rFonts w:asciiTheme="minorHAnsi" w:hAnsiTheme="minorHAnsi"/>
                <w:i/>
              </w:rPr>
              <w:t>Year of latest data:</w:t>
            </w:r>
            <w:r w:rsidR="0001327A">
              <w:rPr>
                <w:rFonts w:asciiTheme="minorHAnsi" w:hAnsiTheme="minorHAnsi"/>
                <w:i/>
              </w:rPr>
              <w:t xml:space="preserve"> 2013</w:t>
            </w:r>
          </w:p>
          <w:p w14:paraId="6FC836F4" w14:textId="4D650A4E" w:rsidR="003B037A" w:rsidRDefault="00C5571D" w:rsidP="00C5571D">
            <w:pPr>
              <w:pStyle w:val="BodyText2"/>
              <w:rPr>
                <w:rFonts w:asciiTheme="minorHAnsi" w:hAnsiTheme="minorHAnsi"/>
                <w:i/>
              </w:rPr>
            </w:pPr>
            <w:r>
              <w:rPr>
                <w:rFonts w:asciiTheme="minorHAnsi" w:hAnsiTheme="minorHAnsi"/>
                <w:i/>
              </w:rPr>
              <w:t xml:space="preserve">Actual data: </w:t>
            </w:r>
            <w:r w:rsidR="0001327A">
              <w:rPr>
                <w:rFonts w:asciiTheme="minorHAnsi" w:hAnsiTheme="minorHAnsi"/>
                <w:i/>
              </w:rPr>
              <w:t xml:space="preserve"> </w:t>
            </w:r>
            <w:r w:rsidR="00E70396">
              <w:rPr>
                <w:rFonts w:asciiTheme="minorHAnsi" w:hAnsiTheme="minorHAnsi"/>
                <w:i/>
              </w:rPr>
              <w:t>6278000000;</w:t>
            </w:r>
          </w:p>
          <w:p w14:paraId="60C0D6A5" w14:textId="77777777" w:rsidR="00337310" w:rsidRDefault="00337310" w:rsidP="00C5571D">
            <w:pPr>
              <w:pStyle w:val="BodyText2"/>
              <w:rPr>
                <w:rFonts w:asciiTheme="minorHAnsi" w:hAnsiTheme="minorHAnsi"/>
                <w:i/>
              </w:rPr>
            </w:pPr>
          </w:p>
          <w:p w14:paraId="5224DC82" w14:textId="1EF9561F" w:rsidR="00337310" w:rsidRDefault="00C5571D" w:rsidP="00337310">
            <w:pPr>
              <w:pStyle w:val="BodyText2"/>
              <w:numPr>
                <w:ilvl w:val="2"/>
                <w:numId w:val="26"/>
              </w:numPr>
              <w:rPr>
                <w:rFonts w:asciiTheme="minorHAnsi" w:hAnsiTheme="minorHAnsi"/>
                <w:i/>
              </w:rPr>
            </w:pPr>
            <w:r w:rsidRPr="00C5571D">
              <w:rPr>
                <w:rFonts w:asciiTheme="minorHAnsi" w:hAnsiTheme="minorHAnsi"/>
                <w:i/>
              </w:rPr>
              <w:t xml:space="preserve">Year of latest data: </w:t>
            </w:r>
            <w:r w:rsidR="0001327A">
              <w:rPr>
                <w:rFonts w:asciiTheme="minorHAnsi" w:hAnsiTheme="minorHAnsi"/>
                <w:i/>
              </w:rPr>
              <w:t>2014</w:t>
            </w:r>
          </w:p>
          <w:p w14:paraId="4855371E" w14:textId="60F752C1" w:rsidR="00E70396" w:rsidRDefault="00337310" w:rsidP="00337310">
            <w:pPr>
              <w:pStyle w:val="BodyText2"/>
              <w:rPr>
                <w:rFonts w:asciiTheme="minorHAnsi" w:hAnsiTheme="minorHAnsi"/>
                <w:i/>
              </w:rPr>
            </w:pPr>
            <w:r>
              <w:rPr>
                <w:rFonts w:asciiTheme="minorHAnsi" w:hAnsiTheme="minorHAnsi"/>
                <w:i/>
              </w:rPr>
              <w:t>Actual Data 7 (some progress);</w:t>
            </w:r>
          </w:p>
          <w:p w14:paraId="53899909" w14:textId="77777777" w:rsidR="00337310" w:rsidRDefault="00337310" w:rsidP="00337310">
            <w:pPr>
              <w:pStyle w:val="BodyText2"/>
              <w:rPr>
                <w:rFonts w:asciiTheme="minorHAnsi" w:hAnsiTheme="minorHAnsi"/>
                <w:i/>
              </w:rPr>
            </w:pPr>
          </w:p>
          <w:p w14:paraId="0DF7E2B8" w14:textId="152672B2" w:rsidR="0001327A" w:rsidRPr="00E31AD0" w:rsidRDefault="0001327A" w:rsidP="0001327A">
            <w:pPr>
              <w:pStyle w:val="BodyText2"/>
              <w:rPr>
                <w:rFonts w:asciiTheme="minorHAnsi" w:hAnsiTheme="minorHAnsi"/>
                <w:i/>
              </w:rPr>
            </w:pPr>
            <w:r>
              <w:rPr>
                <w:rFonts w:asciiTheme="minorHAnsi" w:hAnsiTheme="minorHAnsi"/>
                <w:i/>
              </w:rPr>
              <w:t>1.1.3</w:t>
            </w:r>
            <w:r w:rsidRPr="00E31AD0">
              <w:rPr>
                <w:rFonts w:asciiTheme="minorHAnsi" w:hAnsiTheme="minorHAnsi"/>
                <w:i/>
              </w:rPr>
              <w:t xml:space="preserve"> </w:t>
            </w:r>
            <w:r w:rsidR="00337310">
              <w:rPr>
                <w:rFonts w:asciiTheme="minorHAnsi" w:hAnsiTheme="minorHAnsi"/>
                <w:i/>
              </w:rPr>
              <w:t xml:space="preserve">Year of latest data: </w:t>
            </w:r>
            <w:r w:rsidRPr="00E31AD0">
              <w:rPr>
                <w:rFonts w:asciiTheme="minorHAnsi" w:hAnsiTheme="minorHAnsi"/>
                <w:i/>
              </w:rPr>
              <w:t xml:space="preserve"> Jan-September 2014. </w:t>
            </w:r>
          </w:p>
          <w:p w14:paraId="7F0AC438" w14:textId="76A55CD1" w:rsidR="0001327A" w:rsidRDefault="0001327A" w:rsidP="0001327A">
            <w:pPr>
              <w:pStyle w:val="BodyText2"/>
              <w:rPr>
                <w:rFonts w:asciiTheme="minorHAnsi" w:hAnsiTheme="minorHAnsi"/>
                <w:i/>
              </w:rPr>
            </w:pPr>
            <w:r w:rsidRPr="00E31AD0">
              <w:rPr>
                <w:rFonts w:asciiTheme="minorHAnsi" w:hAnsiTheme="minorHAnsi"/>
                <w:i/>
              </w:rPr>
              <w:t>The baseline figure is erroneous. The correct b</w:t>
            </w:r>
            <w:r w:rsidR="00C0617F">
              <w:rPr>
                <w:rFonts w:asciiTheme="minorHAnsi" w:hAnsiTheme="minorHAnsi"/>
                <w:i/>
              </w:rPr>
              <w:t>aseline figure is 1,443,382,000</w:t>
            </w:r>
            <w:r w:rsidRPr="00E31AD0">
              <w:rPr>
                <w:rFonts w:asciiTheme="minorHAnsi" w:hAnsiTheme="minorHAnsi"/>
                <w:i/>
              </w:rPr>
              <w:t xml:space="preserve"> </w:t>
            </w:r>
          </w:p>
          <w:p w14:paraId="2869F80D" w14:textId="6ED0ECE4" w:rsidR="00337310" w:rsidRPr="00920DBC" w:rsidRDefault="00337310" w:rsidP="0001327A">
            <w:pPr>
              <w:pStyle w:val="BodyText2"/>
              <w:rPr>
                <w:rFonts w:asciiTheme="minorHAnsi" w:hAnsiTheme="minorHAnsi"/>
                <w:i/>
              </w:rPr>
            </w:pPr>
            <w:r>
              <w:rPr>
                <w:rFonts w:asciiTheme="minorHAnsi" w:hAnsiTheme="minorHAnsi"/>
                <w:i/>
              </w:rPr>
              <w:t xml:space="preserve">Actual data: </w:t>
            </w:r>
            <w:r w:rsidR="00C0617F">
              <w:rPr>
                <w:rFonts w:asciiTheme="minorHAnsi" w:hAnsiTheme="minorHAnsi"/>
                <w:i/>
              </w:rPr>
              <w:t xml:space="preserve">1200000000 </w:t>
            </w:r>
            <w:r w:rsidR="00C0617F" w:rsidRPr="00E31AD0">
              <w:rPr>
                <w:rFonts w:asciiTheme="minorHAnsi" w:hAnsiTheme="minorHAnsi"/>
                <w:i/>
              </w:rPr>
              <w:t>(regression</w:t>
            </w:r>
            <w:r w:rsidR="00C0617F">
              <w:rPr>
                <w:rFonts w:asciiTheme="minorHAnsi" w:hAnsiTheme="minorHAnsi"/>
                <w:i/>
              </w:rPr>
              <w:t>)</w:t>
            </w:r>
          </w:p>
        </w:tc>
      </w:tr>
      <w:tr w:rsidR="00461E81" w:rsidRPr="00DC7354" w14:paraId="4E91331D" w14:textId="77777777" w:rsidTr="000823AC">
        <w:tc>
          <w:tcPr>
            <w:tcW w:w="3150" w:type="dxa"/>
            <w:gridSpan w:val="2"/>
            <w:tcBorders>
              <w:bottom w:val="single" w:sz="4" w:space="0" w:color="auto"/>
            </w:tcBorders>
            <w:shd w:val="clear" w:color="auto" w:fill="95B3D7" w:themeFill="accent1" w:themeFillTint="99"/>
          </w:tcPr>
          <w:p w14:paraId="3D0D2604" w14:textId="1B8C4B3E" w:rsidR="00461E81" w:rsidRDefault="00461E81" w:rsidP="000C4457">
            <w:pPr>
              <w:pStyle w:val="BodyText2"/>
              <w:rPr>
                <w:rFonts w:asciiTheme="minorHAnsi" w:hAnsiTheme="minorHAnsi"/>
                <w:b/>
                <w:i/>
              </w:rPr>
            </w:pPr>
          </w:p>
        </w:tc>
        <w:tc>
          <w:tcPr>
            <w:tcW w:w="1440" w:type="dxa"/>
            <w:tcBorders>
              <w:bottom w:val="single" w:sz="4" w:space="0" w:color="auto"/>
            </w:tcBorders>
            <w:shd w:val="clear" w:color="auto" w:fill="auto"/>
          </w:tcPr>
          <w:p w14:paraId="3C782CFD" w14:textId="77777777" w:rsidR="00461E81" w:rsidRDefault="00461E81">
            <w:pPr>
              <w:pStyle w:val="BodyText2"/>
              <w:rPr>
                <w:rFonts w:asciiTheme="minorHAnsi" w:hAnsiTheme="minorHAnsi"/>
              </w:rPr>
            </w:pPr>
          </w:p>
        </w:tc>
        <w:tc>
          <w:tcPr>
            <w:tcW w:w="3960" w:type="dxa"/>
            <w:tcBorders>
              <w:left w:val="single" w:sz="4" w:space="0" w:color="auto"/>
              <w:bottom w:val="single" w:sz="4" w:space="0" w:color="auto"/>
            </w:tcBorders>
          </w:tcPr>
          <w:p w14:paraId="6962AEF7" w14:textId="77777777" w:rsidR="00461E81" w:rsidRPr="00920DBC" w:rsidRDefault="00461E81" w:rsidP="007C4A6F">
            <w:pPr>
              <w:pStyle w:val="BodyText2"/>
              <w:ind w:left="360"/>
              <w:rPr>
                <w:rFonts w:asciiTheme="minorHAnsi" w:hAnsiTheme="minorHAnsi"/>
                <w:i/>
              </w:rPr>
            </w:pPr>
          </w:p>
        </w:tc>
        <w:tc>
          <w:tcPr>
            <w:tcW w:w="5490" w:type="dxa"/>
            <w:tcBorders>
              <w:bottom w:val="single" w:sz="4" w:space="0" w:color="auto"/>
            </w:tcBorders>
            <w:shd w:val="clear" w:color="auto" w:fill="auto"/>
          </w:tcPr>
          <w:p w14:paraId="09DF1765" w14:textId="77777777" w:rsidR="00461E81" w:rsidRPr="00920DBC" w:rsidRDefault="00461E81" w:rsidP="00461E81">
            <w:pPr>
              <w:pStyle w:val="BodyText2"/>
              <w:ind w:left="360"/>
              <w:rPr>
                <w:rFonts w:asciiTheme="minorHAnsi" w:hAnsiTheme="minorHAnsi"/>
                <w:i/>
              </w:rPr>
            </w:pPr>
          </w:p>
        </w:tc>
      </w:tr>
      <w:tr w:rsidR="00530FDE" w:rsidRPr="00DC7354" w14:paraId="2869F818" w14:textId="77777777" w:rsidTr="009E7526">
        <w:tc>
          <w:tcPr>
            <w:tcW w:w="14040" w:type="dxa"/>
            <w:gridSpan w:val="5"/>
          </w:tcPr>
          <w:p w14:paraId="2869F80F" w14:textId="06D28394" w:rsidR="00843006" w:rsidRPr="00837C4B" w:rsidRDefault="00837C4B" w:rsidP="00EE1D60">
            <w:pPr>
              <w:pStyle w:val="BodyText2"/>
              <w:rPr>
                <w:rFonts w:asciiTheme="minorHAnsi" w:hAnsiTheme="minorHAnsi"/>
                <w:b/>
              </w:rPr>
            </w:pPr>
            <w:r w:rsidRPr="00837C4B">
              <w:rPr>
                <w:rFonts w:asciiTheme="minorHAnsi" w:hAnsiTheme="minorHAnsi"/>
                <w:b/>
              </w:rPr>
              <w:t>UNDP Contribution:</w:t>
            </w:r>
          </w:p>
          <w:p w14:paraId="2869F811" w14:textId="5AA7C1C3" w:rsidR="00843006" w:rsidRDefault="00843006" w:rsidP="00EE1D60">
            <w:pPr>
              <w:pStyle w:val="BodyText2"/>
              <w:rPr>
                <w:rFonts w:asciiTheme="minorHAnsi" w:hAnsiTheme="minorHAnsi"/>
              </w:rPr>
            </w:pPr>
          </w:p>
          <w:p w14:paraId="2869F812" w14:textId="77777777" w:rsidR="00B00E5C" w:rsidRPr="00845340" w:rsidRDefault="00B00E5C" w:rsidP="00EE1D60">
            <w:pPr>
              <w:pStyle w:val="BodyText2"/>
              <w:rPr>
                <w:rFonts w:asciiTheme="minorHAnsi" w:hAnsiTheme="minorHAnsi"/>
              </w:rPr>
            </w:pPr>
            <w:r w:rsidRPr="00B00E5C">
              <w:rPr>
                <w:rFonts w:asciiTheme="minorHAnsi" w:hAnsiTheme="minorHAnsi"/>
                <w:u w:val="single"/>
              </w:rPr>
              <w:t>CP Outputs</w:t>
            </w:r>
            <w:r w:rsidR="00845340">
              <w:rPr>
                <w:rFonts w:asciiTheme="minorHAnsi" w:hAnsiTheme="minorHAnsi"/>
              </w:rPr>
              <w:t>:</w:t>
            </w:r>
          </w:p>
          <w:p w14:paraId="1C8C97CE" w14:textId="77777777" w:rsidR="007C00A1" w:rsidRPr="007C00A1" w:rsidRDefault="007C00A1" w:rsidP="007C00A1">
            <w:pPr>
              <w:pStyle w:val="BodyText2"/>
              <w:rPr>
                <w:rFonts w:asciiTheme="minorHAnsi" w:hAnsiTheme="minorHAnsi"/>
              </w:rPr>
            </w:pPr>
            <w:r w:rsidRPr="007C00A1">
              <w:rPr>
                <w:rFonts w:asciiTheme="minorHAnsi" w:hAnsiTheme="minorHAnsi"/>
              </w:rPr>
              <w:t>1.1.1 International competitiveness of private enterprises in the non-oil sector is increased</w:t>
            </w:r>
          </w:p>
          <w:p w14:paraId="58A8892F" w14:textId="77777777" w:rsidR="007C00A1" w:rsidRPr="007C00A1" w:rsidRDefault="007C00A1" w:rsidP="007C00A1">
            <w:pPr>
              <w:pStyle w:val="BodyText2"/>
              <w:rPr>
                <w:rFonts w:asciiTheme="minorHAnsi" w:hAnsiTheme="minorHAnsi"/>
              </w:rPr>
            </w:pPr>
            <w:r w:rsidRPr="007C00A1">
              <w:rPr>
                <w:rFonts w:asciiTheme="minorHAnsi" w:hAnsiTheme="minorHAnsi"/>
              </w:rPr>
              <w:t>1.1.2 Recommendations implemented from national assessment to identify trade development potential</w:t>
            </w:r>
          </w:p>
          <w:p w14:paraId="2869F814" w14:textId="54A3B7A0" w:rsidR="00B00E5C" w:rsidRDefault="007C00A1" w:rsidP="007C00A1">
            <w:pPr>
              <w:pStyle w:val="BodyText2"/>
              <w:rPr>
                <w:rFonts w:asciiTheme="minorHAnsi" w:hAnsiTheme="minorHAnsi"/>
              </w:rPr>
            </w:pPr>
            <w:r w:rsidRPr="007C00A1">
              <w:rPr>
                <w:rFonts w:asciiTheme="minorHAnsi" w:hAnsiTheme="minorHAnsi"/>
              </w:rPr>
              <w:t>1.1.3 Inter-agency, bilateral and regional cooperation enhanced between Azerbaijan, Georgia, European Union Member States and  international stakeholders - to facilitate the movement of persons and goods across borders while maintaining secure borders</w:t>
            </w:r>
          </w:p>
          <w:p w14:paraId="69740354" w14:textId="77777777" w:rsidR="001E2183" w:rsidRDefault="001E2183" w:rsidP="007C00A1">
            <w:pPr>
              <w:pStyle w:val="BodyText2"/>
              <w:rPr>
                <w:rFonts w:asciiTheme="minorHAnsi" w:hAnsiTheme="minorHAnsi"/>
              </w:rPr>
            </w:pPr>
          </w:p>
          <w:p w14:paraId="2869F815" w14:textId="77777777" w:rsidR="00B00E5C" w:rsidRPr="00845340" w:rsidRDefault="00B00E5C" w:rsidP="00EE1D60">
            <w:pPr>
              <w:pStyle w:val="BodyText2"/>
              <w:rPr>
                <w:rFonts w:asciiTheme="minorHAnsi" w:hAnsiTheme="minorHAnsi"/>
              </w:rPr>
            </w:pPr>
            <w:r w:rsidRPr="00E436C5">
              <w:rPr>
                <w:rFonts w:asciiTheme="minorHAnsi" w:hAnsiTheme="minorHAnsi"/>
                <w:u w:val="single"/>
              </w:rPr>
              <w:t>Progress and Achievements</w:t>
            </w:r>
            <w:r w:rsidR="00845340" w:rsidRPr="00E436C5">
              <w:rPr>
                <w:rFonts w:asciiTheme="minorHAnsi" w:hAnsiTheme="minorHAnsi"/>
              </w:rPr>
              <w:t>:</w:t>
            </w:r>
          </w:p>
          <w:p w14:paraId="5BEBF994" w14:textId="2A226350" w:rsidR="00700521" w:rsidRPr="00A26E70" w:rsidRDefault="00A26E70" w:rsidP="00A26E70">
            <w:pPr>
              <w:pStyle w:val="BodyText2"/>
              <w:rPr>
                <w:rFonts w:asciiTheme="minorHAnsi" w:hAnsiTheme="minorHAnsi"/>
              </w:rPr>
            </w:pPr>
            <w:r w:rsidRPr="00A26E70">
              <w:rPr>
                <w:rFonts w:asciiTheme="minorHAnsi" w:hAnsiTheme="minorHAnsi"/>
              </w:rPr>
              <w:t xml:space="preserve">UNDP has worked to address one of the main </w:t>
            </w:r>
            <w:r w:rsidR="00C17136">
              <w:rPr>
                <w:rFonts w:asciiTheme="minorHAnsi" w:hAnsiTheme="minorHAnsi"/>
              </w:rPr>
              <w:t xml:space="preserve">challenges </w:t>
            </w:r>
            <w:r w:rsidRPr="00A26E70">
              <w:rPr>
                <w:rFonts w:asciiTheme="minorHAnsi" w:hAnsiTheme="minorHAnsi"/>
              </w:rPr>
              <w:t xml:space="preserve">for the private sector competitiveness cited by Global Competitiveness Index - lack of adequately </w:t>
            </w:r>
            <w:r w:rsidR="00C17136">
              <w:rPr>
                <w:rFonts w:asciiTheme="minorHAnsi" w:hAnsiTheme="minorHAnsi"/>
              </w:rPr>
              <w:t xml:space="preserve">trained </w:t>
            </w:r>
            <w:r w:rsidRPr="00A26E70">
              <w:rPr>
                <w:rFonts w:asciiTheme="minorHAnsi" w:hAnsiTheme="minorHAnsi"/>
              </w:rPr>
              <w:t xml:space="preserve">workforce. </w:t>
            </w:r>
            <w:r w:rsidR="000C1729">
              <w:rPr>
                <w:rFonts w:asciiTheme="minorHAnsi" w:hAnsiTheme="minorHAnsi"/>
              </w:rPr>
              <w:t xml:space="preserve">UNDP </w:t>
            </w:r>
            <w:r w:rsidRPr="00A26E70">
              <w:rPr>
                <w:rFonts w:asciiTheme="minorHAnsi" w:hAnsiTheme="minorHAnsi"/>
              </w:rPr>
              <w:t xml:space="preserve">focused on one of the most promising sectors of non-oil development - tourism industry. UNDP collaborated with the Baku Tourism Vocational School. </w:t>
            </w:r>
            <w:r w:rsidRPr="00A26E70">
              <w:rPr>
                <w:rFonts w:asciiTheme="minorHAnsi" w:hAnsiTheme="minorHAnsi"/>
              </w:rPr>
              <w:lastRenderedPageBreak/>
              <w:t xml:space="preserve">204 students were trained in occupations </w:t>
            </w:r>
            <w:r w:rsidR="000C1729">
              <w:rPr>
                <w:rFonts w:asciiTheme="minorHAnsi" w:hAnsiTheme="minorHAnsi"/>
              </w:rPr>
              <w:t>such as</w:t>
            </w:r>
            <w:r w:rsidRPr="00A26E70">
              <w:rPr>
                <w:rFonts w:asciiTheme="minorHAnsi" w:hAnsiTheme="minorHAnsi"/>
              </w:rPr>
              <w:t xml:space="preserve"> waiters, cooks, receptionists, travel agents, mid-level managers. 10 students were awarded </w:t>
            </w:r>
            <w:r w:rsidR="00C17136" w:rsidRPr="00A26E70">
              <w:rPr>
                <w:rFonts w:asciiTheme="minorHAnsi" w:hAnsiTheme="minorHAnsi"/>
              </w:rPr>
              <w:t xml:space="preserve">internationally recognized AMADEUS certificates that </w:t>
            </w:r>
            <w:r w:rsidR="008311D7">
              <w:rPr>
                <w:rFonts w:asciiTheme="minorHAnsi" w:hAnsiTheme="minorHAnsi"/>
              </w:rPr>
              <w:t xml:space="preserve">helped them in </w:t>
            </w:r>
            <w:r w:rsidRPr="00A26E70">
              <w:rPr>
                <w:rFonts w:asciiTheme="minorHAnsi" w:hAnsiTheme="minorHAnsi"/>
              </w:rPr>
              <w:t>find</w:t>
            </w:r>
            <w:r w:rsidR="008311D7">
              <w:rPr>
                <w:rFonts w:asciiTheme="minorHAnsi" w:hAnsiTheme="minorHAnsi"/>
              </w:rPr>
              <w:t>ing</w:t>
            </w:r>
            <w:r w:rsidRPr="00A26E70">
              <w:rPr>
                <w:rFonts w:asciiTheme="minorHAnsi" w:hAnsiTheme="minorHAnsi"/>
              </w:rPr>
              <w:t xml:space="preserve"> a job at the travel agency. This pilot intervention helped to gather valuable lessons learnt and knowledge through modeling new systems and mechanisms for vocational education with an ultimate intention to influence the human resource development policies that are seen as a critical enabling factor for private sector competitiveness.</w:t>
            </w:r>
          </w:p>
          <w:p w14:paraId="550E6BF4" w14:textId="77777777" w:rsidR="00A26E70" w:rsidRPr="00A26E70" w:rsidRDefault="00A26E70" w:rsidP="00A26E70">
            <w:pPr>
              <w:pStyle w:val="BodyText2"/>
              <w:rPr>
                <w:rFonts w:asciiTheme="minorHAnsi" w:hAnsiTheme="minorHAnsi"/>
              </w:rPr>
            </w:pPr>
          </w:p>
          <w:p w14:paraId="3065D67D" w14:textId="37D67A51" w:rsidR="00A26E70" w:rsidRDefault="00C17136" w:rsidP="00C17136">
            <w:pPr>
              <w:rPr>
                <w:rFonts w:asciiTheme="minorHAnsi" w:hAnsiTheme="minorHAnsi"/>
                <w:sz w:val="20"/>
              </w:rPr>
            </w:pPr>
            <w:r>
              <w:rPr>
                <w:rFonts w:asciiTheme="minorHAnsi" w:hAnsiTheme="minorHAnsi"/>
                <w:sz w:val="20"/>
              </w:rPr>
              <w:t xml:space="preserve">UNDP has </w:t>
            </w:r>
            <w:r w:rsidR="00A26E70" w:rsidRPr="00A26E70">
              <w:rPr>
                <w:rFonts w:asciiTheme="minorHAnsi" w:hAnsiTheme="minorHAnsi"/>
                <w:sz w:val="20"/>
              </w:rPr>
              <w:t xml:space="preserve">continued advocacy for the diversification of the economy as a way to make the country more resilient to external shocks, such as global economic crisis and oil price volatility. </w:t>
            </w:r>
            <w:r w:rsidR="00B43FF7">
              <w:rPr>
                <w:rFonts w:asciiTheme="minorHAnsi" w:hAnsiTheme="minorHAnsi"/>
                <w:sz w:val="20"/>
              </w:rPr>
              <w:t>UNDP</w:t>
            </w:r>
            <w:r w:rsidR="00B43FF7" w:rsidRPr="00A26E70">
              <w:rPr>
                <w:rFonts w:asciiTheme="minorHAnsi" w:hAnsiTheme="minorHAnsi"/>
                <w:sz w:val="20"/>
              </w:rPr>
              <w:t xml:space="preserve"> </w:t>
            </w:r>
            <w:r w:rsidR="00A26E70" w:rsidRPr="00A26E70">
              <w:rPr>
                <w:rFonts w:asciiTheme="minorHAnsi" w:hAnsiTheme="minorHAnsi"/>
                <w:sz w:val="20"/>
              </w:rPr>
              <w:t>ha</w:t>
            </w:r>
            <w:r w:rsidR="00B43FF7">
              <w:rPr>
                <w:rFonts w:asciiTheme="minorHAnsi" w:hAnsiTheme="minorHAnsi"/>
                <w:sz w:val="20"/>
              </w:rPr>
              <w:t>s</w:t>
            </w:r>
            <w:r w:rsidR="00A26E70" w:rsidRPr="00A26E70">
              <w:rPr>
                <w:rFonts w:asciiTheme="minorHAnsi" w:hAnsiTheme="minorHAnsi"/>
                <w:sz w:val="20"/>
              </w:rPr>
              <w:t xml:space="preserve"> stimulated policy debates on challenges and opportunities of single-resource economies and organized a</w:t>
            </w:r>
            <w:r>
              <w:rPr>
                <w:rFonts w:asciiTheme="minorHAnsi" w:hAnsiTheme="minorHAnsi"/>
                <w:sz w:val="20"/>
              </w:rPr>
              <w:t xml:space="preserve"> series of</w:t>
            </w:r>
            <w:r w:rsidR="00A26E70" w:rsidRPr="00A26E70">
              <w:rPr>
                <w:rFonts w:asciiTheme="minorHAnsi" w:hAnsiTheme="minorHAnsi"/>
                <w:sz w:val="20"/>
              </w:rPr>
              <w:t xml:space="preserve"> international workshop</w:t>
            </w:r>
            <w:r>
              <w:rPr>
                <w:rFonts w:asciiTheme="minorHAnsi" w:hAnsiTheme="minorHAnsi"/>
                <w:sz w:val="20"/>
              </w:rPr>
              <w:t xml:space="preserve">s (in collaboration with SOFAZ, GIZ) </w:t>
            </w:r>
            <w:r w:rsidR="00A26E70" w:rsidRPr="00A26E70">
              <w:rPr>
                <w:rFonts w:asciiTheme="minorHAnsi" w:hAnsiTheme="minorHAnsi"/>
                <w:sz w:val="20"/>
              </w:rPr>
              <w:t xml:space="preserve">that came up with a set of recommendations to help the decision - makers in Azerbaijan shape policies to reduce the risks typically faced by resource-rich economies and ensure sustainable and equitable growth. </w:t>
            </w:r>
            <w:r w:rsidR="00FA51CA">
              <w:rPr>
                <w:rFonts w:asciiTheme="minorHAnsi" w:hAnsiTheme="minorHAnsi"/>
                <w:sz w:val="20"/>
              </w:rPr>
              <w:t xml:space="preserve">Some of the key elements of a new economic model have been reflected in the new government strategy “Vision 2020”. </w:t>
            </w:r>
          </w:p>
          <w:p w14:paraId="4DE23E0B" w14:textId="77777777" w:rsidR="00C17136" w:rsidRDefault="00C17136" w:rsidP="00C17136">
            <w:pPr>
              <w:rPr>
                <w:rFonts w:asciiTheme="minorHAnsi" w:hAnsiTheme="minorHAnsi"/>
                <w:sz w:val="20"/>
              </w:rPr>
            </w:pPr>
          </w:p>
          <w:p w14:paraId="4A7E351C" w14:textId="69C1B1A3" w:rsidR="00A15BB1" w:rsidRDefault="00C17136" w:rsidP="00A15BB1">
            <w:pPr>
              <w:pStyle w:val="PlainText"/>
            </w:pPr>
            <w:r w:rsidRPr="00C17136">
              <w:rPr>
                <w:rFonts w:asciiTheme="minorHAnsi" w:hAnsiTheme="minorHAnsi"/>
                <w:sz w:val="20"/>
              </w:rPr>
              <w:t xml:space="preserve">Bi-lateral cooperation was enhanced between Azerbaijan and Georgia through a renewed dialogue on the joint border management. </w:t>
            </w:r>
            <w:r>
              <w:rPr>
                <w:rFonts w:asciiTheme="minorHAnsi" w:hAnsiTheme="minorHAnsi"/>
                <w:sz w:val="20"/>
              </w:rPr>
              <w:t xml:space="preserve">This was done in the context of ‘integrated border management’ system in collaboration with EU and its member states. </w:t>
            </w:r>
            <w:r w:rsidR="00A15BB1">
              <w:t>As a result of intensive training activities and provision of a documents verifications and vehicles control equipment the actual check time at the Border Crocking point between Azerbaijan and Georgia was significantly reduced; border agencies of two countries established better coordination mechanisms at all levels, including establishing of institutes of border delegates that regularly communicate at the actual border lines in immediate addressing of daily incidents</w:t>
            </w:r>
            <w:r w:rsidR="00FE1EC7">
              <w:t>.</w:t>
            </w:r>
            <w:r w:rsidR="00A15BB1">
              <w:t xml:space="preserve"> Through assistance from the project, State Border Service of Azerbaijan established an efficient working relations with European border control agency </w:t>
            </w:r>
            <w:proofErr w:type="spellStart"/>
            <w:r w:rsidR="00A15BB1">
              <w:t>Frontex</w:t>
            </w:r>
            <w:proofErr w:type="spellEnd"/>
            <w:r w:rsidR="00A15BB1">
              <w:t xml:space="preserve"> and developed a joint action plan that led to further strengthening of knowledge and skills of Azerbaijani border guards about European border and migration procedures and practices.</w:t>
            </w:r>
          </w:p>
          <w:p w14:paraId="54023D94" w14:textId="77777777" w:rsidR="00BF466A" w:rsidRDefault="00BF466A" w:rsidP="00A15BB1">
            <w:pPr>
              <w:pStyle w:val="PlainText"/>
            </w:pPr>
          </w:p>
          <w:p w14:paraId="2869F817" w14:textId="198EC9E1" w:rsidR="00C17136" w:rsidRPr="003E2638" w:rsidRDefault="00C17136" w:rsidP="00BF466A">
            <w:pPr>
              <w:pStyle w:val="PlainText"/>
            </w:pPr>
          </w:p>
        </w:tc>
      </w:tr>
      <w:tr w:rsidR="003B037A" w:rsidRPr="00DC7354" w14:paraId="2869F81F" w14:textId="77777777" w:rsidTr="000823AC">
        <w:tc>
          <w:tcPr>
            <w:tcW w:w="3060" w:type="dxa"/>
            <w:shd w:val="clear" w:color="auto" w:fill="95B3D7" w:themeFill="accent1" w:themeFillTint="99"/>
          </w:tcPr>
          <w:p w14:paraId="2869F819" w14:textId="19743CC9" w:rsidR="003B037A" w:rsidRPr="005719A3" w:rsidRDefault="003B037A" w:rsidP="00547D62">
            <w:pPr>
              <w:pStyle w:val="BodyText2"/>
              <w:rPr>
                <w:rFonts w:asciiTheme="minorHAnsi" w:hAnsiTheme="minorHAnsi"/>
                <w:b/>
                <w:i/>
              </w:rPr>
            </w:pPr>
            <w:r w:rsidRPr="005719A3">
              <w:rPr>
                <w:rFonts w:asciiTheme="minorHAnsi" w:hAnsiTheme="minorHAnsi"/>
                <w:b/>
                <w:i/>
              </w:rPr>
              <w:lastRenderedPageBreak/>
              <w:t xml:space="preserve"> </w:t>
            </w:r>
            <w:r w:rsidR="005719A3" w:rsidRPr="005719A3">
              <w:rPr>
                <w:rFonts w:asciiTheme="minorHAnsi" w:hAnsiTheme="minorHAnsi"/>
                <w:b/>
                <w:i/>
              </w:rPr>
              <w:t>1.2 National strategies, policies, capacity to address regional and gender disparities in work opportunities strengthened, with focus on increasing the ability of vulnerable groups to manage and mitigate risks</w:t>
            </w:r>
          </w:p>
        </w:tc>
        <w:tc>
          <w:tcPr>
            <w:tcW w:w="1530" w:type="dxa"/>
            <w:gridSpan w:val="2"/>
            <w:shd w:val="clear" w:color="auto" w:fill="auto"/>
          </w:tcPr>
          <w:p w14:paraId="2869F81A" w14:textId="30EB1999" w:rsidR="003B037A" w:rsidRPr="00DC7354" w:rsidRDefault="00585D69" w:rsidP="00585D69">
            <w:pPr>
              <w:pStyle w:val="BodyText2"/>
              <w:rPr>
                <w:rFonts w:asciiTheme="minorHAnsi" w:hAnsiTheme="minorHAnsi"/>
              </w:rPr>
            </w:pPr>
            <w:r>
              <w:rPr>
                <w:rFonts w:asciiTheme="minorHAnsi" w:hAnsiTheme="minorHAnsi"/>
              </w:rPr>
              <w:t xml:space="preserve"> $</w:t>
            </w:r>
            <w:r w:rsidRPr="00585D69">
              <w:rPr>
                <w:rFonts w:asciiTheme="minorHAnsi" w:hAnsiTheme="minorHAnsi"/>
              </w:rPr>
              <w:t>845,948</w:t>
            </w:r>
          </w:p>
        </w:tc>
        <w:tc>
          <w:tcPr>
            <w:tcW w:w="3960" w:type="dxa"/>
            <w:tcBorders>
              <w:left w:val="single" w:sz="4" w:space="0" w:color="auto"/>
            </w:tcBorders>
          </w:tcPr>
          <w:p w14:paraId="7C23C98F" w14:textId="77777777" w:rsidR="007C4A6F" w:rsidRPr="007C4A6F" w:rsidRDefault="007C4A6F" w:rsidP="007C4A6F">
            <w:pPr>
              <w:pStyle w:val="BodyText2"/>
              <w:numPr>
                <w:ilvl w:val="0"/>
                <w:numId w:val="15"/>
              </w:numPr>
              <w:rPr>
                <w:rFonts w:asciiTheme="minorHAnsi" w:hAnsiTheme="minorHAnsi"/>
                <w:i/>
              </w:rPr>
            </w:pPr>
            <w:r w:rsidRPr="007C4A6F">
              <w:rPr>
                <w:rFonts w:asciiTheme="minorHAnsi" w:hAnsiTheme="minorHAnsi"/>
                <w:i/>
              </w:rPr>
              <w:t xml:space="preserve">Indicator: 1.2.1 </w:t>
            </w:r>
            <w:proofErr w:type="spellStart"/>
            <w:r w:rsidRPr="007C4A6F">
              <w:rPr>
                <w:rFonts w:asciiTheme="minorHAnsi" w:hAnsiTheme="minorHAnsi"/>
                <w:i/>
              </w:rPr>
              <w:t>Labour</w:t>
            </w:r>
            <w:proofErr w:type="spellEnd"/>
            <w:r w:rsidRPr="007C4A6F">
              <w:rPr>
                <w:rFonts w:asciiTheme="minorHAnsi" w:hAnsiTheme="minorHAnsi"/>
                <w:i/>
              </w:rPr>
              <w:t xml:space="preserve"> force participation rate by urban/rural/ sex</w:t>
            </w:r>
          </w:p>
          <w:p w14:paraId="03F86DB0" w14:textId="77777777" w:rsidR="007C4A6F" w:rsidRPr="007C4A6F" w:rsidRDefault="007C4A6F" w:rsidP="007C4A6F">
            <w:pPr>
              <w:pStyle w:val="BodyText2"/>
              <w:numPr>
                <w:ilvl w:val="0"/>
                <w:numId w:val="15"/>
              </w:numPr>
              <w:rPr>
                <w:rFonts w:asciiTheme="minorHAnsi" w:hAnsiTheme="minorHAnsi"/>
                <w:i/>
              </w:rPr>
            </w:pPr>
            <w:r w:rsidRPr="007C4A6F">
              <w:rPr>
                <w:rFonts w:asciiTheme="minorHAnsi" w:hAnsiTheme="minorHAnsi"/>
                <w:i/>
              </w:rPr>
              <w:t>Baseline: 2008:  71.1% overall (urban men 71.5%, urban women 63.1%; rural men 79.8%, rural women 72.5%)</w:t>
            </w:r>
          </w:p>
          <w:p w14:paraId="6C949A47" w14:textId="77777777" w:rsidR="007C4A6F" w:rsidRPr="007C4A6F" w:rsidRDefault="007C4A6F" w:rsidP="007C4A6F">
            <w:pPr>
              <w:pStyle w:val="BodyText2"/>
              <w:numPr>
                <w:ilvl w:val="0"/>
                <w:numId w:val="15"/>
              </w:numPr>
              <w:rPr>
                <w:rFonts w:asciiTheme="minorHAnsi" w:hAnsiTheme="minorHAnsi"/>
                <w:i/>
              </w:rPr>
            </w:pPr>
            <w:r w:rsidRPr="007C4A6F">
              <w:rPr>
                <w:rFonts w:asciiTheme="minorHAnsi" w:hAnsiTheme="minorHAnsi"/>
                <w:i/>
              </w:rPr>
              <w:t xml:space="preserve">Target: 85% </w:t>
            </w:r>
          </w:p>
          <w:p w14:paraId="1BEF8F7B" w14:textId="77777777" w:rsidR="007C4A6F" w:rsidRPr="007C4A6F" w:rsidRDefault="007C4A6F" w:rsidP="007C4A6F">
            <w:pPr>
              <w:pStyle w:val="BodyText2"/>
              <w:numPr>
                <w:ilvl w:val="0"/>
                <w:numId w:val="15"/>
              </w:numPr>
              <w:rPr>
                <w:rFonts w:asciiTheme="minorHAnsi" w:hAnsiTheme="minorHAnsi"/>
                <w:i/>
              </w:rPr>
            </w:pPr>
            <w:r w:rsidRPr="007C4A6F">
              <w:rPr>
                <w:rFonts w:asciiTheme="minorHAnsi" w:hAnsiTheme="minorHAnsi"/>
                <w:i/>
              </w:rPr>
              <w:t>Indicator: 1.1.2 Employment rate by urban/rural/ sex</w:t>
            </w:r>
          </w:p>
          <w:p w14:paraId="5060148F" w14:textId="77777777" w:rsidR="007C4A6F" w:rsidRPr="007C4A6F" w:rsidRDefault="007C4A6F" w:rsidP="007C4A6F">
            <w:pPr>
              <w:pStyle w:val="BodyText2"/>
              <w:numPr>
                <w:ilvl w:val="0"/>
                <w:numId w:val="15"/>
              </w:numPr>
              <w:rPr>
                <w:rFonts w:asciiTheme="minorHAnsi" w:hAnsiTheme="minorHAnsi"/>
                <w:i/>
              </w:rPr>
            </w:pPr>
            <w:r w:rsidRPr="007C4A6F">
              <w:rPr>
                <w:rFonts w:asciiTheme="minorHAnsi" w:hAnsiTheme="minorHAnsi"/>
                <w:i/>
              </w:rPr>
              <w:t xml:space="preserve">Baseline: 2008, 93.2% (urban men 91.2%, urban women 90.4%; rural men 95%, rural women 96.5%) </w:t>
            </w:r>
          </w:p>
          <w:p w14:paraId="2869F81C" w14:textId="1101989B" w:rsidR="003B037A" w:rsidRPr="00920DBC" w:rsidRDefault="007C4A6F" w:rsidP="007C4A6F">
            <w:pPr>
              <w:pStyle w:val="BodyText2"/>
              <w:numPr>
                <w:ilvl w:val="0"/>
                <w:numId w:val="15"/>
              </w:numPr>
              <w:rPr>
                <w:rFonts w:asciiTheme="minorHAnsi" w:hAnsiTheme="minorHAnsi"/>
                <w:i/>
              </w:rPr>
            </w:pPr>
            <w:r w:rsidRPr="007C4A6F">
              <w:rPr>
                <w:rFonts w:asciiTheme="minorHAnsi" w:hAnsiTheme="minorHAnsi"/>
                <w:i/>
              </w:rPr>
              <w:t>Target: 96%</w:t>
            </w:r>
          </w:p>
        </w:tc>
        <w:tc>
          <w:tcPr>
            <w:tcW w:w="5490" w:type="dxa"/>
            <w:shd w:val="clear" w:color="auto" w:fill="auto"/>
          </w:tcPr>
          <w:p w14:paraId="5B82167B" w14:textId="6E171BEA" w:rsidR="00AB0DF3" w:rsidRDefault="00E42BAE" w:rsidP="008263A2">
            <w:pPr>
              <w:pStyle w:val="BodyText2"/>
              <w:numPr>
                <w:ilvl w:val="2"/>
                <w:numId w:val="22"/>
              </w:numPr>
              <w:rPr>
                <w:rFonts w:asciiTheme="minorHAnsi" w:hAnsiTheme="minorHAnsi"/>
                <w:i/>
              </w:rPr>
            </w:pPr>
            <w:r>
              <w:rPr>
                <w:rFonts w:asciiTheme="minorHAnsi" w:hAnsiTheme="minorHAnsi"/>
                <w:i/>
              </w:rPr>
              <w:t>Year of l</w:t>
            </w:r>
            <w:r w:rsidR="00AB0DF3">
              <w:rPr>
                <w:rFonts w:asciiTheme="minorHAnsi" w:hAnsiTheme="minorHAnsi"/>
                <w:i/>
              </w:rPr>
              <w:t xml:space="preserve">atest data 2014 (regression): </w:t>
            </w:r>
          </w:p>
          <w:p w14:paraId="58CB6F2A" w14:textId="0796D31A" w:rsidR="00AB0DF3" w:rsidRPr="00AB0DF3" w:rsidRDefault="00E42BAE" w:rsidP="00AB0DF3">
            <w:pPr>
              <w:pStyle w:val="BodyText2"/>
              <w:ind w:left="720"/>
              <w:rPr>
                <w:rFonts w:asciiTheme="minorHAnsi" w:hAnsiTheme="minorHAnsi"/>
                <w:i/>
              </w:rPr>
            </w:pPr>
            <w:r>
              <w:rPr>
                <w:rFonts w:asciiTheme="minorHAnsi" w:hAnsiTheme="minorHAnsi"/>
                <w:i/>
              </w:rPr>
              <w:t xml:space="preserve">Actual Data: </w:t>
            </w:r>
            <w:r w:rsidR="00AB0DF3" w:rsidRPr="00AB0DF3">
              <w:rPr>
                <w:rFonts w:asciiTheme="minorHAnsi" w:hAnsiTheme="minorHAnsi"/>
                <w:i/>
              </w:rPr>
              <w:t xml:space="preserve">Men total-  68.0 % </w:t>
            </w:r>
          </w:p>
          <w:p w14:paraId="0F74842A" w14:textId="77777777" w:rsidR="00AB0DF3" w:rsidRPr="00AB0DF3" w:rsidRDefault="00AB0DF3" w:rsidP="00AB0DF3">
            <w:pPr>
              <w:pStyle w:val="BodyText2"/>
              <w:ind w:left="720"/>
              <w:rPr>
                <w:rFonts w:asciiTheme="minorHAnsi" w:hAnsiTheme="minorHAnsi"/>
                <w:i/>
              </w:rPr>
            </w:pPr>
            <w:r w:rsidRPr="00AB0DF3">
              <w:rPr>
                <w:rFonts w:asciiTheme="minorHAnsi" w:hAnsiTheme="minorHAnsi"/>
                <w:i/>
              </w:rPr>
              <w:t>Women total - 61.4 %</w:t>
            </w:r>
          </w:p>
          <w:p w14:paraId="03FEF3F0" w14:textId="77777777" w:rsidR="00AB0DF3" w:rsidRPr="00AB0DF3" w:rsidRDefault="00AB0DF3" w:rsidP="00AB0DF3">
            <w:pPr>
              <w:pStyle w:val="BodyText2"/>
              <w:ind w:left="720"/>
              <w:rPr>
                <w:rFonts w:asciiTheme="minorHAnsi" w:hAnsiTheme="minorHAnsi"/>
                <w:i/>
              </w:rPr>
            </w:pPr>
            <w:r w:rsidRPr="00AB0DF3">
              <w:rPr>
                <w:rFonts w:asciiTheme="minorHAnsi" w:hAnsiTheme="minorHAnsi"/>
                <w:i/>
              </w:rPr>
              <w:t>Men/Rural -  71.4%</w:t>
            </w:r>
          </w:p>
          <w:p w14:paraId="66E0E5E6" w14:textId="77777777" w:rsidR="00AB0DF3" w:rsidRPr="00AB0DF3" w:rsidRDefault="00AB0DF3" w:rsidP="00AB0DF3">
            <w:pPr>
              <w:pStyle w:val="BodyText2"/>
              <w:ind w:left="720"/>
              <w:rPr>
                <w:rFonts w:asciiTheme="minorHAnsi" w:hAnsiTheme="minorHAnsi"/>
                <w:i/>
              </w:rPr>
            </w:pPr>
            <w:r w:rsidRPr="00AB0DF3">
              <w:rPr>
                <w:rFonts w:asciiTheme="minorHAnsi" w:hAnsiTheme="minorHAnsi"/>
                <w:i/>
              </w:rPr>
              <w:t>Men/Urban - 62.5%</w:t>
            </w:r>
          </w:p>
          <w:p w14:paraId="5CE08CBB" w14:textId="77777777" w:rsidR="00AB0DF3" w:rsidRPr="00AB0DF3" w:rsidRDefault="00AB0DF3" w:rsidP="00AB0DF3">
            <w:pPr>
              <w:pStyle w:val="BodyText2"/>
              <w:ind w:left="720"/>
              <w:rPr>
                <w:rFonts w:asciiTheme="minorHAnsi" w:hAnsiTheme="minorHAnsi"/>
                <w:i/>
              </w:rPr>
            </w:pPr>
            <w:r w:rsidRPr="00AB0DF3">
              <w:rPr>
                <w:rFonts w:asciiTheme="minorHAnsi" w:hAnsiTheme="minorHAnsi"/>
                <w:i/>
              </w:rPr>
              <w:t>Women/Rural - 65.6%</w:t>
            </w:r>
          </w:p>
          <w:p w14:paraId="7FBAC07C" w14:textId="77777777" w:rsidR="003B037A" w:rsidRDefault="00AB0DF3" w:rsidP="00AB0DF3">
            <w:pPr>
              <w:pStyle w:val="BodyText2"/>
              <w:ind w:left="720"/>
              <w:rPr>
                <w:rFonts w:asciiTheme="minorHAnsi" w:hAnsiTheme="minorHAnsi"/>
                <w:i/>
              </w:rPr>
            </w:pPr>
            <w:r w:rsidRPr="00AB0DF3">
              <w:rPr>
                <w:rFonts w:asciiTheme="minorHAnsi" w:hAnsiTheme="minorHAnsi"/>
                <w:i/>
              </w:rPr>
              <w:t>Women/Urban - 58%</w:t>
            </w:r>
          </w:p>
          <w:p w14:paraId="5243375F" w14:textId="402D3FEC" w:rsidR="007F4DC0" w:rsidRDefault="00E42BAE" w:rsidP="008263A2">
            <w:pPr>
              <w:pStyle w:val="BodyText2"/>
              <w:numPr>
                <w:ilvl w:val="2"/>
                <w:numId w:val="23"/>
              </w:numPr>
              <w:rPr>
                <w:rFonts w:asciiTheme="minorHAnsi" w:hAnsiTheme="minorHAnsi"/>
                <w:i/>
              </w:rPr>
            </w:pPr>
            <w:r>
              <w:rPr>
                <w:rFonts w:asciiTheme="minorHAnsi" w:hAnsiTheme="minorHAnsi"/>
                <w:i/>
              </w:rPr>
              <w:t xml:space="preserve">Year of </w:t>
            </w:r>
            <w:r w:rsidR="007F4DC0">
              <w:rPr>
                <w:rFonts w:asciiTheme="minorHAnsi" w:hAnsiTheme="minorHAnsi"/>
                <w:i/>
              </w:rPr>
              <w:t>Latest data 2014 (some progress):</w:t>
            </w:r>
          </w:p>
          <w:p w14:paraId="54643364" w14:textId="77777777" w:rsidR="007F4DC0" w:rsidRDefault="007F4DC0" w:rsidP="007F4DC0">
            <w:pPr>
              <w:pStyle w:val="BodyText2"/>
              <w:ind w:left="720"/>
              <w:rPr>
                <w:rFonts w:asciiTheme="minorHAnsi" w:hAnsiTheme="minorHAnsi"/>
                <w:i/>
              </w:rPr>
            </w:pPr>
            <w:r>
              <w:rPr>
                <w:rFonts w:asciiTheme="minorHAnsi" w:hAnsiTheme="minorHAnsi"/>
                <w:i/>
              </w:rPr>
              <w:t>Actual Data: 61.4</w:t>
            </w:r>
          </w:p>
          <w:p w14:paraId="02EF6A3B" w14:textId="77777777" w:rsidR="007F4DC0" w:rsidRPr="007F4DC0" w:rsidRDefault="007F4DC0" w:rsidP="007F4DC0">
            <w:pPr>
              <w:pStyle w:val="BodyText2"/>
              <w:ind w:left="720"/>
              <w:rPr>
                <w:rFonts w:asciiTheme="minorHAnsi" w:hAnsiTheme="minorHAnsi"/>
                <w:i/>
              </w:rPr>
            </w:pPr>
            <w:r w:rsidRPr="007F4DC0">
              <w:rPr>
                <w:rFonts w:asciiTheme="minorHAnsi" w:hAnsiTheme="minorHAnsi"/>
                <w:i/>
              </w:rPr>
              <w:t xml:space="preserve">Methodology for calculating this indicator has changed. Hence, it is no longer comparable with baseline. If the old methodology were applied in 2014, the employment rate would have been equal to 95.1%. Hence, there is a progress towards this indicator. Breakdown by sex and rural/urban is provided below:       </w:t>
            </w:r>
          </w:p>
          <w:p w14:paraId="35CB16E0" w14:textId="77777777" w:rsidR="007F4DC0" w:rsidRPr="007F4DC0" w:rsidRDefault="007F4DC0" w:rsidP="007F4DC0">
            <w:pPr>
              <w:pStyle w:val="BodyText2"/>
              <w:ind w:left="720"/>
              <w:rPr>
                <w:rFonts w:asciiTheme="minorHAnsi" w:hAnsiTheme="minorHAnsi"/>
                <w:i/>
              </w:rPr>
            </w:pPr>
            <w:r w:rsidRPr="007F4DC0">
              <w:rPr>
                <w:rFonts w:asciiTheme="minorHAnsi" w:hAnsiTheme="minorHAnsi"/>
                <w:i/>
              </w:rPr>
              <w:t>Men total -  65.3%</w:t>
            </w:r>
          </w:p>
          <w:p w14:paraId="2869F81E" w14:textId="28B814BE" w:rsidR="007F4DC0" w:rsidRPr="00920DBC" w:rsidRDefault="007F4DC0" w:rsidP="008263A2">
            <w:pPr>
              <w:pStyle w:val="BodyText2"/>
              <w:ind w:left="720"/>
              <w:rPr>
                <w:rFonts w:asciiTheme="minorHAnsi" w:hAnsiTheme="minorHAnsi"/>
                <w:i/>
              </w:rPr>
            </w:pPr>
            <w:r w:rsidRPr="007F4DC0">
              <w:rPr>
                <w:rFonts w:asciiTheme="minorHAnsi" w:hAnsiTheme="minorHAnsi"/>
                <w:i/>
              </w:rPr>
              <w:lastRenderedPageBreak/>
              <w:t>Women total - 57.8%</w:t>
            </w:r>
          </w:p>
        </w:tc>
      </w:tr>
      <w:tr w:rsidR="00700521" w:rsidRPr="00DC7354" w14:paraId="2869F824" w14:textId="77777777" w:rsidTr="009E7526">
        <w:tc>
          <w:tcPr>
            <w:tcW w:w="14040" w:type="dxa"/>
            <w:gridSpan w:val="5"/>
          </w:tcPr>
          <w:p w14:paraId="2869F820" w14:textId="77B017A4" w:rsidR="00700521" w:rsidRPr="00837C4B" w:rsidRDefault="00700521" w:rsidP="00366AD1">
            <w:pPr>
              <w:pStyle w:val="BodyText2"/>
              <w:rPr>
                <w:rFonts w:asciiTheme="minorHAnsi" w:hAnsiTheme="minorHAnsi"/>
                <w:b/>
              </w:rPr>
            </w:pPr>
            <w:r w:rsidRPr="00837C4B">
              <w:rPr>
                <w:rFonts w:asciiTheme="minorHAnsi" w:hAnsiTheme="minorHAnsi"/>
                <w:b/>
              </w:rPr>
              <w:lastRenderedPageBreak/>
              <w:t>UNDP Contribution:</w:t>
            </w:r>
          </w:p>
          <w:p w14:paraId="2869F821" w14:textId="77777777" w:rsidR="008B06DD" w:rsidRDefault="008B06DD" w:rsidP="00366AD1">
            <w:pPr>
              <w:pStyle w:val="BodyText2"/>
              <w:rPr>
                <w:rFonts w:asciiTheme="minorHAnsi" w:hAnsiTheme="minorHAnsi"/>
                <w:u w:val="single"/>
              </w:rPr>
            </w:pPr>
          </w:p>
          <w:p w14:paraId="2869F822" w14:textId="77777777" w:rsidR="008B06DD" w:rsidRDefault="008B06DD" w:rsidP="00612159">
            <w:pPr>
              <w:pStyle w:val="BodyText2"/>
              <w:rPr>
                <w:rFonts w:asciiTheme="minorHAnsi" w:hAnsiTheme="minorHAnsi"/>
              </w:rPr>
            </w:pPr>
            <w:r w:rsidRPr="00B00E5C">
              <w:rPr>
                <w:rFonts w:asciiTheme="minorHAnsi" w:hAnsiTheme="minorHAnsi"/>
                <w:u w:val="single"/>
              </w:rPr>
              <w:t>CP Outputs</w:t>
            </w:r>
            <w:r w:rsidR="00845340">
              <w:rPr>
                <w:rFonts w:asciiTheme="minorHAnsi" w:hAnsiTheme="minorHAnsi"/>
              </w:rPr>
              <w:t>:</w:t>
            </w:r>
          </w:p>
          <w:p w14:paraId="1CC423A4" w14:textId="1B4CA0AC" w:rsidR="007C00A1" w:rsidRPr="007C00A1" w:rsidRDefault="007C00A1" w:rsidP="007C00A1">
            <w:pPr>
              <w:pStyle w:val="BodyText2"/>
              <w:rPr>
                <w:rFonts w:asciiTheme="minorHAnsi" w:hAnsiTheme="minorHAnsi"/>
              </w:rPr>
            </w:pPr>
            <w:r w:rsidRPr="007C00A1">
              <w:rPr>
                <w:rFonts w:asciiTheme="minorHAnsi" w:hAnsiTheme="minorHAnsi"/>
              </w:rPr>
              <w:t xml:space="preserve">1.2.1 Ministry of </w:t>
            </w:r>
            <w:proofErr w:type="spellStart"/>
            <w:r w:rsidRPr="007C00A1">
              <w:rPr>
                <w:rFonts w:asciiTheme="minorHAnsi" w:hAnsiTheme="minorHAnsi"/>
              </w:rPr>
              <w:t>Labour</w:t>
            </w:r>
            <w:proofErr w:type="spellEnd"/>
            <w:r w:rsidRPr="007C00A1">
              <w:rPr>
                <w:rFonts w:asciiTheme="minorHAnsi" w:hAnsiTheme="minorHAnsi"/>
              </w:rPr>
              <w:t xml:space="preserve"> and Social Protection of the Population has vocational education and training </w:t>
            </w:r>
            <w:proofErr w:type="spellStart"/>
            <w:r w:rsidRPr="007C00A1">
              <w:rPr>
                <w:rFonts w:asciiTheme="minorHAnsi" w:hAnsiTheme="minorHAnsi"/>
              </w:rPr>
              <w:t>programmes</w:t>
            </w:r>
            <w:proofErr w:type="spellEnd"/>
            <w:r w:rsidRPr="007C00A1">
              <w:rPr>
                <w:rFonts w:asciiTheme="minorHAnsi" w:hAnsiTheme="minorHAnsi"/>
              </w:rPr>
              <w:t xml:space="preserve"> to ensure qualitative improvement of the skills of the </w:t>
            </w:r>
            <w:proofErr w:type="spellStart"/>
            <w:r w:rsidRPr="007C00A1">
              <w:rPr>
                <w:rFonts w:asciiTheme="minorHAnsi" w:hAnsiTheme="minorHAnsi"/>
              </w:rPr>
              <w:t>labour</w:t>
            </w:r>
            <w:proofErr w:type="spellEnd"/>
            <w:r w:rsidRPr="007C00A1">
              <w:rPr>
                <w:rFonts w:asciiTheme="minorHAnsi" w:hAnsiTheme="minorHAnsi"/>
              </w:rPr>
              <w:t xml:space="preserve"> force, and in particular</w:t>
            </w:r>
            <w:r w:rsidR="00193B5C">
              <w:rPr>
                <w:rFonts w:asciiTheme="minorHAnsi" w:hAnsiTheme="minorHAnsi"/>
              </w:rPr>
              <w:t xml:space="preserve"> </w:t>
            </w:r>
            <w:r w:rsidR="001032AD">
              <w:rPr>
                <w:rFonts w:asciiTheme="minorHAnsi" w:hAnsiTheme="minorHAnsi"/>
              </w:rPr>
              <w:t>people with disabilities</w:t>
            </w:r>
            <w:r w:rsidRPr="007C00A1">
              <w:rPr>
                <w:rFonts w:asciiTheme="minorHAnsi" w:hAnsiTheme="minorHAnsi"/>
              </w:rPr>
              <w:t xml:space="preserve">,  to meet the demands of the </w:t>
            </w:r>
            <w:proofErr w:type="spellStart"/>
            <w:r w:rsidRPr="007C00A1">
              <w:rPr>
                <w:rFonts w:asciiTheme="minorHAnsi" w:hAnsiTheme="minorHAnsi"/>
              </w:rPr>
              <w:t>labour</w:t>
            </w:r>
            <w:proofErr w:type="spellEnd"/>
            <w:r w:rsidRPr="007C00A1">
              <w:rPr>
                <w:rFonts w:asciiTheme="minorHAnsi" w:hAnsiTheme="minorHAnsi"/>
              </w:rPr>
              <w:t xml:space="preserve"> market</w:t>
            </w:r>
          </w:p>
          <w:p w14:paraId="6E31995B" w14:textId="2B97FF2E" w:rsidR="007C00A1" w:rsidRDefault="007C00A1" w:rsidP="007C00A1">
            <w:pPr>
              <w:pStyle w:val="BodyText2"/>
              <w:rPr>
                <w:rFonts w:asciiTheme="minorHAnsi" w:hAnsiTheme="minorHAnsi"/>
              </w:rPr>
            </w:pPr>
            <w:r w:rsidRPr="007C00A1">
              <w:rPr>
                <w:rFonts w:asciiTheme="minorHAnsi" w:hAnsiTheme="minorHAnsi"/>
              </w:rPr>
              <w:t>1.2.2 Access to employment and employability of women in selected rural areas improved. Level and factors contributing to economic violence among women diminished</w:t>
            </w:r>
          </w:p>
          <w:p w14:paraId="362CC295" w14:textId="77777777" w:rsidR="00700521" w:rsidRDefault="008B06DD" w:rsidP="00D9192E">
            <w:pPr>
              <w:pStyle w:val="BodyText2"/>
              <w:rPr>
                <w:rFonts w:asciiTheme="minorHAnsi" w:hAnsiTheme="minorHAnsi"/>
              </w:rPr>
            </w:pPr>
            <w:r w:rsidRPr="00487F19">
              <w:rPr>
                <w:rFonts w:asciiTheme="minorHAnsi" w:hAnsiTheme="minorHAnsi"/>
                <w:u w:val="single"/>
              </w:rPr>
              <w:t>Progress and Achievements</w:t>
            </w:r>
            <w:r w:rsidR="00845340" w:rsidRPr="00487F19">
              <w:rPr>
                <w:rFonts w:asciiTheme="minorHAnsi" w:hAnsiTheme="minorHAnsi"/>
              </w:rPr>
              <w:t>:</w:t>
            </w:r>
          </w:p>
          <w:p w14:paraId="118F6668" w14:textId="77777777" w:rsidR="00487F19" w:rsidRDefault="00487F19" w:rsidP="00D9192E">
            <w:pPr>
              <w:pStyle w:val="BodyText2"/>
              <w:rPr>
                <w:rFonts w:asciiTheme="minorHAnsi" w:hAnsiTheme="minorHAnsi"/>
              </w:rPr>
            </w:pPr>
          </w:p>
          <w:p w14:paraId="09F57ED2" w14:textId="41DF399A" w:rsidR="00487F19" w:rsidRPr="00DF681C" w:rsidRDefault="00487F19" w:rsidP="00487F19">
            <w:pPr>
              <w:rPr>
                <w:rFonts w:asciiTheme="minorHAnsi" w:hAnsiTheme="minorHAnsi"/>
                <w:sz w:val="20"/>
              </w:rPr>
            </w:pPr>
            <w:r w:rsidRPr="00DF681C">
              <w:rPr>
                <w:rFonts w:asciiTheme="minorHAnsi" w:hAnsiTheme="minorHAnsi"/>
                <w:sz w:val="20"/>
              </w:rPr>
              <w:t xml:space="preserve">UNDP established partnership with the Ministry of </w:t>
            </w:r>
            <w:proofErr w:type="spellStart"/>
            <w:r w:rsidRPr="00DF681C">
              <w:rPr>
                <w:rFonts w:asciiTheme="minorHAnsi" w:hAnsiTheme="minorHAnsi"/>
                <w:sz w:val="20"/>
              </w:rPr>
              <w:t>Labour</w:t>
            </w:r>
            <w:proofErr w:type="spellEnd"/>
            <w:r w:rsidRPr="00DF681C">
              <w:rPr>
                <w:rFonts w:asciiTheme="minorHAnsi" w:hAnsiTheme="minorHAnsi"/>
                <w:sz w:val="20"/>
              </w:rPr>
              <w:t xml:space="preserve"> and Social Protection of the Population and SYSLAB,</w:t>
            </w:r>
            <w:r>
              <w:rPr>
                <w:rFonts w:asciiTheme="minorHAnsi" w:hAnsiTheme="minorHAnsi"/>
                <w:sz w:val="20"/>
              </w:rPr>
              <w:t xml:space="preserve"> a</w:t>
            </w:r>
            <w:r w:rsidRPr="00DF681C">
              <w:rPr>
                <w:rFonts w:asciiTheme="minorHAnsi" w:hAnsiTheme="minorHAnsi"/>
                <w:sz w:val="20"/>
              </w:rPr>
              <w:t xml:space="preserve"> Norwegian non-profit organization, to introduce an innovative employment scheme in Azerbaijan. The scheme</w:t>
            </w:r>
            <w:r>
              <w:rPr>
                <w:rFonts w:asciiTheme="minorHAnsi" w:hAnsiTheme="minorHAnsi"/>
                <w:sz w:val="20"/>
              </w:rPr>
              <w:t xml:space="preserve"> assists the unemployed youth and</w:t>
            </w:r>
            <w:r w:rsidRPr="00DF681C">
              <w:rPr>
                <w:rFonts w:asciiTheme="minorHAnsi" w:hAnsiTheme="minorHAnsi"/>
                <w:sz w:val="20"/>
              </w:rPr>
              <w:t xml:space="preserve"> includes such elements as training in CV writing, interview, team work, fostering entrepreneurial mindset and </w:t>
            </w:r>
            <w:r>
              <w:rPr>
                <w:rFonts w:asciiTheme="minorHAnsi" w:hAnsiTheme="minorHAnsi"/>
                <w:sz w:val="20"/>
              </w:rPr>
              <w:t>networking</w:t>
            </w:r>
            <w:r w:rsidRPr="00DF681C">
              <w:rPr>
                <w:rFonts w:asciiTheme="minorHAnsi" w:hAnsiTheme="minorHAnsi"/>
                <w:sz w:val="20"/>
              </w:rPr>
              <w:t xml:space="preserve"> with potential employers. Th</w:t>
            </w:r>
            <w:r>
              <w:rPr>
                <w:rFonts w:asciiTheme="minorHAnsi" w:hAnsiTheme="minorHAnsi"/>
                <w:sz w:val="20"/>
              </w:rPr>
              <w:t>ree centers were opened – in Baku, Sumgait and Ganja</w:t>
            </w:r>
            <w:r w:rsidRPr="00DF681C">
              <w:rPr>
                <w:rFonts w:asciiTheme="minorHAnsi" w:hAnsiTheme="minorHAnsi"/>
                <w:sz w:val="20"/>
              </w:rPr>
              <w:t xml:space="preserve">. In total 242 unemployed people, including 154 women (64%), were trained in the three Job Orientation </w:t>
            </w:r>
            <w:proofErr w:type="spellStart"/>
            <w:r w:rsidRPr="00DF681C">
              <w:rPr>
                <w:rFonts w:asciiTheme="minorHAnsi" w:hAnsiTheme="minorHAnsi"/>
                <w:sz w:val="20"/>
              </w:rPr>
              <w:t>Centres</w:t>
            </w:r>
            <w:proofErr w:type="spellEnd"/>
            <w:r w:rsidRPr="00DF681C">
              <w:rPr>
                <w:rFonts w:asciiTheme="minorHAnsi" w:hAnsiTheme="minorHAnsi"/>
                <w:sz w:val="20"/>
              </w:rPr>
              <w:t xml:space="preserve">, and 80% of them (of which 120 </w:t>
            </w:r>
            <w:r>
              <w:rPr>
                <w:rFonts w:asciiTheme="minorHAnsi" w:hAnsiTheme="minorHAnsi"/>
                <w:sz w:val="20"/>
              </w:rPr>
              <w:t xml:space="preserve">women) found employment within several </w:t>
            </w:r>
            <w:r w:rsidRPr="00DF681C">
              <w:rPr>
                <w:rFonts w:asciiTheme="minorHAnsi" w:hAnsiTheme="minorHAnsi"/>
                <w:sz w:val="20"/>
              </w:rPr>
              <w:t>months</w:t>
            </w:r>
            <w:r>
              <w:rPr>
                <w:rFonts w:asciiTheme="minorHAnsi" w:hAnsiTheme="minorHAnsi"/>
                <w:sz w:val="20"/>
              </w:rPr>
              <w:t>.</w:t>
            </w:r>
            <w:r w:rsidRPr="00DF681C">
              <w:rPr>
                <w:rFonts w:asciiTheme="minorHAnsi" w:hAnsiTheme="minorHAnsi"/>
                <w:sz w:val="20"/>
              </w:rPr>
              <w:t xml:space="preserve"> </w:t>
            </w:r>
          </w:p>
          <w:p w14:paraId="2A0EEBD9" w14:textId="77777777" w:rsidR="00487F19" w:rsidRPr="00DF681C" w:rsidRDefault="00487F19" w:rsidP="00487F19">
            <w:pPr>
              <w:rPr>
                <w:rFonts w:asciiTheme="minorHAnsi" w:hAnsiTheme="minorHAnsi"/>
                <w:sz w:val="20"/>
              </w:rPr>
            </w:pPr>
          </w:p>
          <w:p w14:paraId="78CF5BEB" w14:textId="77777777" w:rsidR="00487F19" w:rsidRDefault="00487F19" w:rsidP="00487F19">
            <w:pPr>
              <w:rPr>
                <w:rFonts w:asciiTheme="minorHAnsi" w:hAnsiTheme="minorHAnsi"/>
                <w:sz w:val="20"/>
              </w:rPr>
            </w:pPr>
            <w:r w:rsidRPr="00DF681C">
              <w:rPr>
                <w:rFonts w:asciiTheme="minorHAnsi" w:hAnsiTheme="minorHAnsi"/>
                <w:sz w:val="20"/>
              </w:rPr>
              <w:t xml:space="preserve">UNDP supported the economic empowerment of rural women through capacity building of national and local authorities, strengthening of the entrepreneurial skills </w:t>
            </w:r>
            <w:r>
              <w:rPr>
                <w:rFonts w:asciiTheme="minorHAnsi" w:hAnsiTheme="minorHAnsi"/>
                <w:sz w:val="20"/>
              </w:rPr>
              <w:t xml:space="preserve">of the women </w:t>
            </w:r>
            <w:r w:rsidRPr="00DF681C">
              <w:rPr>
                <w:rFonts w:asciiTheme="minorHAnsi" w:hAnsiTheme="minorHAnsi"/>
                <w:sz w:val="20"/>
              </w:rPr>
              <w:t xml:space="preserve">and closer cooperation with the private sector employers. Capacities of the national and local authorities were strengthened to develop policies and programmatic interventions in the area of economic empowerment of rural women. A Women Resource Centre (WRC) was created in the </w:t>
            </w:r>
            <w:proofErr w:type="spellStart"/>
            <w:r w:rsidRPr="00DF681C">
              <w:rPr>
                <w:rFonts w:asciiTheme="minorHAnsi" w:hAnsiTheme="minorHAnsi"/>
                <w:sz w:val="20"/>
              </w:rPr>
              <w:t>Sabirabad</w:t>
            </w:r>
            <w:proofErr w:type="spellEnd"/>
            <w:r w:rsidRPr="00DF681C">
              <w:rPr>
                <w:rFonts w:asciiTheme="minorHAnsi" w:hAnsiTheme="minorHAnsi"/>
                <w:sz w:val="20"/>
              </w:rPr>
              <w:t xml:space="preserve"> region as a technical facility to provide women with information, training and consultation on various aspects of women's economic and social participation. Through the WRC, 16 women were trained in how to start-up and expand their businesses, and the best business proposals were provided with seed funding. As a result, 7 new businesses were initiated. UNDP has conducted a session for local employers including banks and private sector companies, on gender-sensitive service provision and organized a Job Fair with participation of 21 companies and state entities that were seeking qualified candidates to fill in 114 vacancies. As a result of the Job Fair, 13 people, of whom 10 are </w:t>
            </w:r>
            <w:r>
              <w:rPr>
                <w:rFonts w:asciiTheme="minorHAnsi" w:hAnsiTheme="minorHAnsi"/>
                <w:sz w:val="20"/>
              </w:rPr>
              <w:t>women, have received job offers</w:t>
            </w:r>
            <w:r w:rsidRPr="00DF681C">
              <w:rPr>
                <w:rFonts w:asciiTheme="minorHAnsi" w:hAnsiTheme="minorHAnsi"/>
                <w:sz w:val="20"/>
              </w:rPr>
              <w:t xml:space="preserve">. </w:t>
            </w:r>
            <w:r>
              <w:rPr>
                <w:rFonts w:asciiTheme="minorHAnsi" w:hAnsiTheme="minorHAnsi"/>
                <w:sz w:val="20"/>
              </w:rPr>
              <w:t xml:space="preserve">Another WRC will be opened in </w:t>
            </w:r>
            <w:proofErr w:type="spellStart"/>
            <w:r>
              <w:rPr>
                <w:rFonts w:asciiTheme="minorHAnsi" w:hAnsiTheme="minorHAnsi"/>
                <w:sz w:val="20"/>
              </w:rPr>
              <w:t>Neftchala</w:t>
            </w:r>
            <w:proofErr w:type="spellEnd"/>
            <w:r>
              <w:rPr>
                <w:rFonts w:asciiTheme="minorHAnsi" w:hAnsiTheme="minorHAnsi"/>
                <w:sz w:val="20"/>
              </w:rPr>
              <w:t xml:space="preserve"> rayon in 2015. </w:t>
            </w:r>
          </w:p>
          <w:p w14:paraId="783059C5" w14:textId="77777777" w:rsidR="00487F19" w:rsidRDefault="00487F19" w:rsidP="00487F19">
            <w:pPr>
              <w:rPr>
                <w:rFonts w:asciiTheme="minorHAnsi" w:hAnsiTheme="minorHAnsi"/>
                <w:sz w:val="20"/>
              </w:rPr>
            </w:pPr>
          </w:p>
          <w:p w14:paraId="197AA818" w14:textId="69ACF61B" w:rsidR="00487F19" w:rsidRPr="00DF681C" w:rsidRDefault="00487F19" w:rsidP="00487F19">
            <w:pPr>
              <w:rPr>
                <w:rFonts w:asciiTheme="minorHAnsi" w:hAnsiTheme="minorHAnsi"/>
                <w:sz w:val="20"/>
              </w:rPr>
            </w:pPr>
            <w:r>
              <w:rPr>
                <w:rFonts w:asciiTheme="minorHAnsi" w:hAnsiTheme="minorHAnsi"/>
                <w:sz w:val="20"/>
              </w:rPr>
              <w:t>Both of the interventio</w:t>
            </w:r>
            <w:r w:rsidR="003E2638">
              <w:rPr>
                <w:rFonts w:asciiTheme="minorHAnsi" w:hAnsiTheme="minorHAnsi"/>
                <w:sz w:val="20"/>
              </w:rPr>
              <w:t xml:space="preserve">ns have high </w:t>
            </w:r>
            <w:r>
              <w:rPr>
                <w:rFonts w:asciiTheme="minorHAnsi" w:hAnsiTheme="minorHAnsi"/>
                <w:sz w:val="20"/>
              </w:rPr>
              <w:t>potential to be scaled up and triggered considerable interest among donors. The Government of Azerbaijan is also interested in continuing the projects and including the lessons learnt from the projects into their own tool-kit.</w:t>
            </w:r>
          </w:p>
          <w:p w14:paraId="2869F823" w14:textId="77777777" w:rsidR="007C00A1" w:rsidRPr="00845340" w:rsidRDefault="007C00A1" w:rsidP="00D9192E">
            <w:pPr>
              <w:pStyle w:val="BodyText2"/>
              <w:rPr>
                <w:rFonts w:asciiTheme="minorHAnsi" w:hAnsiTheme="minorHAnsi"/>
              </w:rPr>
            </w:pPr>
          </w:p>
        </w:tc>
      </w:tr>
      <w:tr w:rsidR="005719A3" w:rsidRPr="00DC7354" w14:paraId="6B4BC20F" w14:textId="77777777" w:rsidTr="00C64D39">
        <w:tc>
          <w:tcPr>
            <w:tcW w:w="3060" w:type="dxa"/>
            <w:shd w:val="clear" w:color="auto" w:fill="95B3D7" w:themeFill="accent1" w:themeFillTint="99"/>
          </w:tcPr>
          <w:p w14:paraId="55BB06DD" w14:textId="6ECE2D7E" w:rsidR="005719A3" w:rsidRPr="005719A3" w:rsidRDefault="005719A3" w:rsidP="00C64D39">
            <w:pPr>
              <w:pStyle w:val="BodyText2"/>
              <w:rPr>
                <w:rFonts w:asciiTheme="minorHAnsi" w:hAnsiTheme="minorHAnsi"/>
                <w:b/>
                <w:i/>
              </w:rPr>
            </w:pPr>
            <w:r w:rsidRPr="005719A3">
              <w:rPr>
                <w:rFonts w:asciiTheme="minorHAnsi" w:hAnsiTheme="minorHAnsi"/>
                <w:b/>
                <w:i/>
              </w:rPr>
              <w:t>1.3 Relevant national strategies, policies, and capacities strengthened to address environmental degradation, promote a green economy, reduce vulnerability to climate change</w:t>
            </w:r>
          </w:p>
        </w:tc>
        <w:tc>
          <w:tcPr>
            <w:tcW w:w="1530" w:type="dxa"/>
            <w:gridSpan w:val="2"/>
            <w:shd w:val="clear" w:color="auto" w:fill="auto"/>
          </w:tcPr>
          <w:p w14:paraId="03033D5B" w14:textId="44E55639" w:rsidR="004C006E" w:rsidRDefault="004C006E" w:rsidP="00C64D39">
            <w:pPr>
              <w:pStyle w:val="BodyText2"/>
              <w:rPr>
                <w:rFonts w:asciiTheme="minorHAnsi" w:hAnsiTheme="minorHAnsi"/>
              </w:rPr>
            </w:pPr>
          </w:p>
          <w:p w14:paraId="2D298F84" w14:textId="2E738762" w:rsidR="004C006E" w:rsidRDefault="004C006E" w:rsidP="004C006E"/>
          <w:p w14:paraId="211D7892" w14:textId="3241FCAD" w:rsidR="005719A3" w:rsidRPr="00585D69" w:rsidRDefault="00585D69" w:rsidP="00585D69">
            <w:pPr>
              <w:jc w:val="center"/>
              <w:rPr>
                <w:rFonts w:asciiTheme="minorHAnsi" w:hAnsiTheme="minorHAnsi"/>
                <w:sz w:val="20"/>
              </w:rPr>
            </w:pPr>
            <w:r w:rsidRPr="00585D69">
              <w:rPr>
                <w:sz w:val="20"/>
              </w:rPr>
              <w:t xml:space="preserve"> $10,167,730</w:t>
            </w:r>
          </w:p>
        </w:tc>
        <w:tc>
          <w:tcPr>
            <w:tcW w:w="3960" w:type="dxa"/>
            <w:tcBorders>
              <w:left w:val="single" w:sz="4" w:space="0" w:color="auto"/>
            </w:tcBorders>
          </w:tcPr>
          <w:p w14:paraId="551BF07A" w14:textId="3E2492CC" w:rsidR="00C51DD1" w:rsidRPr="00461E81" w:rsidRDefault="00C51DD1" w:rsidP="00C51DD1">
            <w:pPr>
              <w:pStyle w:val="BodyText2"/>
              <w:ind w:left="360"/>
              <w:rPr>
                <w:rFonts w:asciiTheme="minorHAnsi" w:hAnsiTheme="minorHAnsi"/>
                <w:i/>
                <w:lang w:val="en-GB"/>
              </w:rPr>
            </w:pPr>
            <w:r w:rsidRPr="00461E81">
              <w:rPr>
                <w:rFonts w:asciiTheme="minorHAnsi" w:hAnsiTheme="minorHAnsi"/>
                <w:i/>
                <w:lang w:val="en-GB"/>
              </w:rPr>
              <w:t>Indicator: 1.3.1: Carbon intensity of economy (</w:t>
            </w:r>
            <w:proofErr w:type="spellStart"/>
            <w:r w:rsidRPr="00461E81">
              <w:rPr>
                <w:rFonts w:asciiTheme="minorHAnsi" w:hAnsiTheme="minorHAnsi"/>
                <w:i/>
                <w:lang w:val="en-GB"/>
              </w:rPr>
              <w:t>green</w:t>
            </w:r>
            <w:r>
              <w:rPr>
                <w:rFonts w:asciiTheme="minorHAnsi" w:hAnsiTheme="minorHAnsi"/>
                <w:i/>
                <w:lang w:val="en-GB"/>
              </w:rPr>
              <w:t xml:space="preserve"> </w:t>
            </w:r>
            <w:r w:rsidRPr="00461E81">
              <w:rPr>
                <w:rFonts w:asciiTheme="minorHAnsi" w:hAnsiTheme="minorHAnsi"/>
                <w:i/>
                <w:lang w:val="en-GB"/>
              </w:rPr>
              <w:t>house</w:t>
            </w:r>
            <w:proofErr w:type="spellEnd"/>
            <w:r w:rsidRPr="00461E81">
              <w:rPr>
                <w:rFonts w:asciiTheme="minorHAnsi" w:hAnsiTheme="minorHAnsi"/>
                <w:i/>
                <w:lang w:val="en-GB"/>
              </w:rPr>
              <w:t xml:space="preserve"> gas emissions per unit of output)</w:t>
            </w:r>
          </w:p>
          <w:p w14:paraId="2BE55755" w14:textId="77777777" w:rsidR="00C51DD1" w:rsidRPr="00461E81" w:rsidRDefault="00C51DD1" w:rsidP="00C51DD1">
            <w:pPr>
              <w:pStyle w:val="BodyText2"/>
              <w:ind w:left="360"/>
              <w:rPr>
                <w:rFonts w:asciiTheme="minorHAnsi" w:hAnsiTheme="minorHAnsi"/>
                <w:i/>
                <w:lang w:val="en-GB"/>
              </w:rPr>
            </w:pPr>
            <w:r w:rsidRPr="00461E81">
              <w:rPr>
                <w:rFonts w:asciiTheme="minorHAnsi" w:hAnsiTheme="minorHAnsi"/>
                <w:i/>
                <w:lang w:val="en-GB"/>
              </w:rPr>
              <w:t xml:space="preserve">Baseline: 2008:  849.3 tons CO2 per $ 1 million </w:t>
            </w:r>
          </w:p>
          <w:p w14:paraId="185417A5" w14:textId="77777777" w:rsidR="00C51DD1" w:rsidRPr="00461E81" w:rsidRDefault="00C51DD1" w:rsidP="00C51DD1">
            <w:pPr>
              <w:pStyle w:val="BodyText2"/>
              <w:ind w:left="360"/>
              <w:rPr>
                <w:rFonts w:asciiTheme="minorHAnsi" w:hAnsiTheme="minorHAnsi"/>
                <w:i/>
                <w:lang w:val="en-GB"/>
              </w:rPr>
            </w:pPr>
            <w:r w:rsidRPr="00461E81">
              <w:rPr>
                <w:rFonts w:asciiTheme="minorHAnsi" w:hAnsiTheme="minorHAnsi"/>
                <w:i/>
                <w:lang w:val="en-GB"/>
              </w:rPr>
              <w:t>Target: Reduce by at least  2%</w:t>
            </w:r>
          </w:p>
          <w:p w14:paraId="6D1BDE85" w14:textId="77777777" w:rsidR="00C51DD1" w:rsidRPr="00461E81" w:rsidRDefault="00C51DD1" w:rsidP="00C51DD1">
            <w:pPr>
              <w:pStyle w:val="BodyText2"/>
              <w:ind w:left="360"/>
              <w:rPr>
                <w:rFonts w:asciiTheme="minorHAnsi" w:hAnsiTheme="minorHAnsi"/>
                <w:i/>
                <w:lang w:val="en-GB"/>
              </w:rPr>
            </w:pPr>
            <w:r w:rsidRPr="00461E81">
              <w:rPr>
                <w:rFonts w:asciiTheme="minorHAnsi" w:hAnsiTheme="minorHAnsi"/>
                <w:i/>
                <w:lang w:val="en-GB"/>
              </w:rPr>
              <w:t>Indicator: 1.3. 2: Percentage of total country area covered by Protected Area  network</w:t>
            </w:r>
          </w:p>
          <w:p w14:paraId="61347C64" w14:textId="77777777" w:rsidR="00C51DD1" w:rsidRPr="00461E81" w:rsidRDefault="00C51DD1" w:rsidP="00C51DD1">
            <w:pPr>
              <w:pStyle w:val="BodyText2"/>
              <w:ind w:left="360"/>
              <w:rPr>
                <w:rFonts w:asciiTheme="minorHAnsi" w:hAnsiTheme="minorHAnsi"/>
                <w:i/>
                <w:lang w:val="en-GB"/>
              </w:rPr>
            </w:pPr>
            <w:r w:rsidRPr="00461E81">
              <w:rPr>
                <w:rFonts w:asciiTheme="minorHAnsi" w:hAnsiTheme="minorHAnsi"/>
                <w:i/>
                <w:lang w:val="en-GB"/>
              </w:rPr>
              <w:t>Baseline: 2008:  9%</w:t>
            </w:r>
          </w:p>
          <w:p w14:paraId="2197561C" w14:textId="3594EDB5" w:rsidR="005719A3" w:rsidRPr="00920DBC" w:rsidRDefault="00C51DD1" w:rsidP="00C51DD1">
            <w:pPr>
              <w:pStyle w:val="BodyText2"/>
              <w:ind w:left="360"/>
              <w:rPr>
                <w:rFonts w:asciiTheme="minorHAnsi" w:hAnsiTheme="minorHAnsi"/>
                <w:i/>
              </w:rPr>
            </w:pPr>
            <w:r w:rsidRPr="00461E81">
              <w:rPr>
                <w:rFonts w:asciiTheme="minorHAnsi" w:hAnsiTheme="minorHAnsi"/>
                <w:i/>
                <w:lang w:val="en-GB"/>
              </w:rPr>
              <w:lastRenderedPageBreak/>
              <w:t>Target: 11%</w:t>
            </w:r>
          </w:p>
        </w:tc>
        <w:tc>
          <w:tcPr>
            <w:tcW w:w="5490" w:type="dxa"/>
            <w:shd w:val="clear" w:color="auto" w:fill="auto"/>
          </w:tcPr>
          <w:p w14:paraId="54FDDD77" w14:textId="78EFD9E7" w:rsidR="005719A3" w:rsidRDefault="008E61ED" w:rsidP="008E61ED">
            <w:pPr>
              <w:pStyle w:val="BodyText2"/>
              <w:rPr>
                <w:rFonts w:asciiTheme="minorHAnsi" w:hAnsiTheme="minorHAnsi"/>
                <w:i/>
              </w:rPr>
            </w:pPr>
            <w:r>
              <w:rPr>
                <w:rFonts w:asciiTheme="minorHAnsi" w:hAnsiTheme="minorHAnsi"/>
                <w:i/>
              </w:rPr>
              <w:lastRenderedPageBreak/>
              <w:t xml:space="preserve">1.3.1 </w:t>
            </w:r>
            <w:r w:rsidR="0085280C">
              <w:rPr>
                <w:rFonts w:asciiTheme="minorHAnsi" w:hAnsiTheme="minorHAnsi"/>
                <w:i/>
              </w:rPr>
              <w:t>Year of l</w:t>
            </w:r>
            <w:r>
              <w:rPr>
                <w:rFonts w:asciiTheme="minorHAnsi" w:hAnsiTheme="minorHAnsi"/>
                <w:i/>
              </w:rPr>
              <w:t>atest data: 2014 (no change)</w:t>
            </w:r>
          </w:p>
          <w:p w14:paraId="0F2EAAC1" w14:textId="77777777" w:rsidR="008E61ED" w:rsidRDefault="008E61ED" w:rsidP="008E61ED">
            <w:pPr>
              <w:pStyle w:val="BodyText2"/>
              <w:rPr>
                <w:rFonts w:asciiTheme="minorHAnsi" w:hAnsiTheme="minorHAnsi"/>
                <w:i/>
              </w:rPr>
            </w:pPr>
            <w:r>
              <w:rPr>
                <w:rFonts w:asciiTheme="minorHAnsi" w:hAnsiTheme="minorHAnsi"/>
                <w:i/>
              </w:rPr>
              <w:t>Actual Data: 0.89</w:t>
            </w:r>
          </w:p>
          <w:p w14:paraId="5ECD6F53" w14:textId="4888394D" w:rsidR="008E61ED" w:rsidRDefault="008E61ED" w:rsidP="008E61ED">
            <w:pPr>
              <w:pStyle w:val="BodyText2"/>
              <w:rPr>
                <w:rFonts w:asciiTheme="minorHAnsi" w:hAnsiTheme="minorHAnsi"/>
                <w:i/>
              </w:rPr>
            </w:pPr>
            <w:r w:rsidRPr="008E61ED">
              <w:rPr>
                <w:rFonts w:asciiTheme="minorHAnsi" w:hAnsiTheme="minorHAnsi"/>
                <w:i/>
              </w:rPr>
              <w:t>The methodology of this indicator has changed and it is no longer measured in tons of CO2 per 1 million. It is now measured in kg of emissions/1 USD of GDP. Hence, it is impossible to define progress or lack of thereof.</w:t>
            </w:r>
          </w:p>
          <w:p w14:paraId="2D0B0B2D" w14:textId="6591330E" w:rsidR="008E61ED" w:rsidRDefault="008E61ED" w:rsidP="008E61ED">
            <w:pPr>
              <w:pStyle w:val="BodyText2"/>
              <w:rPr>
                <w:rFonts w:asciiTheme="minorHAnsi" w:hAnsiTheme="minorHAnsi"/>
                <w:i/>
              </w:rPr>
            </w:pPr>
            <w:r>
              <w:rPr>
                <w:rFonts w:asciiTheme="minorHAnsi" w:hAnsiTheme="minorHAnsi"/>
                <w:i/>
              </w:rPr>
              <w:t xml:space="preserve">1.3.2 </w:t>
            </w:r>
            <w:r w:rsidR="0085280C">
              <w:rPr>
                <w:rFonts w:asciiTheme="minorHAnsi" w:hAnsiTheme="minorHAnsi"/>
                <w:i/>
              </w:rPr>
              <w:t>Year of l</w:t>
            </w:r>
            <w:r>
              <w:rPr>
                <w:rFonts w:asciiTheme="minorHAnsi" w:hAnsiTheme="minorHAnsi"/>
                <w:i/>
              </w:rPr>
              <w:t>atest data: 2014 (significant progress)</w:t>
            </w:r>
          </w:p>
          <w:p w14:paraId="3960D873" w14:textId="3037FD9B" w:rsidR="008E61ED" w:rsidRDefault="008E61ED" w:rsidP="008E61ED">
            <w:pPr>
              <w:pStyle w:val="BodyText2"/>
              <w:rPr>
                <w:rFonts w:asciiTheme="minorHAnsi" w:hAnsiTheme="minorHAnsi"/>
                <w:i/>
              </w:rPr>
            </w:pPr>
            <w:r>
              <w:rPr>
                <w:rFonts w:asciiTheme="minorHAnsi" w:hAnsiTheme="minorHAnsi"/>
                <w:i/>
              </w:rPr>
              <w:t>Actual data: 10.3</w:t>
            </w:r>
          </w:p>
          <w:p w14:paraId="38749382" w14:textId="17633BE7" w:rsidR="008E61ED" w:rsidRPr="00920DBC" w:rsidRDefault="008E61ED" w:rsidP="008E61ED">
            <w:pPr>
              <w:pStyle w:val="BodyText2"/>
              <w:rPr>
                <w:rFonts w:asciiTheme="minorHAnsi" w:hAnsiTheme="minorHAnsi"/>
                <w:i/>
              </w:rPr>
            </w:pPr>
          </w:p>
        </w:tc>
      </w:tr>
      <w:tr w:rsidR="005719A3" w:rsidRPr="00DC7354" w14:paraId="15187556" w14:textId="77777777" w:rsidTr="00C64D39">
        <w:tc>
          <w:tcPr>
            <w:tcW w:w="14040" w:type="dxa"/>
            <w:gridSpan w:val="5"/>
          </w:tcPr>
          <w:p w14:paraId="54609F80" w14:textId="535C768A" w:rsidR="005719A3" w:rsidRPr="00837C4B" w:rsidRDefault="005719A3" w:rsidP="00C64D39">
            <w:pPr>
              <w:pStyle w:val="BodyText2"/>
              <w:rPr>
                <w:rFonts w:asciiTheme="minorHAnsi" w:hAnsiTheme="minorHAnsi"/>
                <w:b/>
              </w:rPr>
            </w:pPr>
            <w:r w:rsidRPr="00837C4B">
              <w:rPr>
                <w:rFonts w:asciiTheme="minorHAnsi" w:hAnsiTheme="minorHAnsi"/>
                <w:b/>
              </w:rPr>
              <w:lastRenderedPageBreak/>
              <w:t>UNDP Contribution:</w:t>
            </w:r>
          </w:p>
          <w:p w14:paraId="6F714027" w14:textId="77777777" w:rsidR="005719A3" w:rsidRDefault="005719A3" w:rsidP="00C64D39">
            <w:pPr>
              <w:pStyle w:val="BodyText2"/>
              <w:rPr>
                <w:rFonts w:asciiTheme="minorHAnsi" w:hAnsiTheme="minorHAnsi"/>
              </w:rPr>
            </w:pPr>
            <w:r w:rsidRPr="00B00E5C">
              <w:rPr>
                <w:rFonts w:asciiTheme="minorHAnsi" w:hAnsiTheme="minorHAnsi"/>
                <w:u w:val="single"/>
              </w:rPr>
              <w:t>CP Outputs</w:t>
            </w:r>
            <w:r>
              <w:rPr>
                <w:rFonts w:asciiTheme="minorHAnsi" w:hAnsiTheme="minorHAnsi"/>
              </w:rPr>
              <w:t>:</w:t>
            </w:r>
          </w:p>
          <w:p w14:paraId="37A150EF" w14:textId="77777777" w:rsidR="007C00A1" w:rsidRPr="00752836" w:rsidRDefault="007C00A1" w:rsidP="00C64D39">
            <w:pPr>
              <w:pStyle w:val="BodyText2"/>
              <w:rPr>
                <w:rFonts w:asciiTheme="minorHAnsi" w:hAnsiTheme="minorHAnsi"/>
              </w:rPr>
            </w:pPr>
          </w:p>
          <w:p w14:paraId="7AB5A310" w14:textId="77777777" w:rsidR="007C00A1" w:rsidRPr="00752836" w:rsidRDefault="007C00A1" w:rsidP="00752836">
            <w:pPr>
              <w:pStyle w:val="BodyText2"/>
              <w:rPr>
                <w:rFonts w:asciiTheme="minorHAnsi" w:hAnsiTheme="minorHAnsi"/>
              </w:rPr>
            </w:pPr>
            <w:r w:rsidRPr="00752836">
              <w:rPr>
                <w:rFonts w:asciiTheme="minorHAnsi" w:hAnsiTheme="minorHAnsi"/>
              </w:rPr>
              <w:t xml:space="preserve">1.3.1.Ministry of Industry &amp; Energy and </w:t>
            </w:r>
            <w:proofErr w:type="spellStart"/>
            <w:r w:rsidRPr="00752836">
              <w:rPr>
                <w:rFonts w:asciiTheme="minorHAnsi" w:hAnsiTheme="minorHAnsi"/>
              </w:rPr>
              <w:t>Azerenerji</w:t>
            </w:r>
            <w:proofErr w:type="spellEnd"/>
            <w:r w:rsidRPr="00752836">
              <w:rPr>
                <w:rFonts w:asciiTheme="minorHAnsi" w:hAnsiTheme="minorHAnsi"/>
              </w:rPr>
              <w:t xml:space="preserve"> have capacity to remove barriers to the development of alternative and renewable energy</w:t>
            </w:r>
          </w:p>
          <w:p w14:paraId="253D8A49" w14:textId="77777777" w:rsidR="007C00A1" w:rsidRPr="00752836" w:rsidRDefault="007C00A1" w:rsidP="00752836">
            <w:pPr>
              <w:pStyle w:val="BodyText2"/>
              <w:rPr>
                <w:rFonts w:asciiTheme="minorHAnsi" w:hAnsiTheme="minorHAnsi"/>
              </w:rPr>
            </w:pPr>
            <w:r w:rsidRPr="00752836">
              <w:rPr>
                <w:rFonts w:asciiTheme="minorHAnsi" w:hAnsiTheme="minorHAnsi"/>
              </w:rPr>
              <w:t>1.3.2. Strategies to increase renewable energy from biomass developed/ implemented</w:t>
            </w:r>
          </w:p>
          <w:p w14:paraId="44EED488" w14:textId="77777777" w:rsidR="007C00A1" w:rsidRPr="00752836" w:rsidRDefault="007C00A1" w:rsidP="00752836">
            <w:pPr>
              <w:pStyle w:val="BodyText2"/>
              <w:rPr>
                <w:rFonts w:asciiTheme="minorHAnsi" w:hAnsiTheme="minorHAnsi"/>
              </w:rPr>
            </w:pPr>
            <w:r w:rsidRPr="00752836">
              <w:rPr>
                <w:rFonts w:asciiTheme="minorHAnsi" w:hAnsiTheme="minorHAnsi"/>
              </w:rPr>
              <w:t>1.3.3. Priority ecosystems/economic sectors vulnerable to climate change identified, strategies for improving their resilience developed</w:t>
            </w:r>
          </w:p>
          <w:p w14:paraId="195C4039" w14:textId="77777777" w:rsidR="007C00A1" w:rsidRPr="00752836" w:rsidRDefault="007C00A1" w:rsidP="00752836">
            <w:pPr>
              <w:pStyle w:val="BodyText2"/>
              <w:rPr>
                <w:rFonts w:asciiTheme="minorHAnsi" w:hAnsiTheme="minorHAnsi"/>
              </w:rPr>
            </w:pPr>
            <w:r w:rsidRPr="00752836">
              <w:rPr>
                <w:rFonts w:asciiTheme="minorHAnsi" w:hAnsiTheme="minorHAnsi"/>
              </w:rPr>
              <w:t>1.3.4 Size of marine and other ecosystems registered and managed as Protected Areas expanded</w:t>
            </w:r>
          </w:p>
          <w:p w14:paraId="031883E2" w14:textId="77777777" w:rsidR="007C00A1" w:rsidRPr="00752836" w:rsidRDefault="007C00A1" w:rsidP="00752836">
            <w:pPr>
              <w:pStyle w:val="BodyText2"/>
              <w:rPr>
                <w:rFonts w:asciiTheme="minorHAnsi" w:hAnsiTheme="minorHAnsi"/>
              </w:rPr>
            </w:pPr>
            <w:r w:rsidRPr="00752836">
              <w:rPr>
                <w:rFonts w:asciiTheme="minorHAnsi" w:hAnsiTheme="minorHAnsi"/>
              </w:rPr>
              <w:t>1.3.5 Pasture degradation in mountainous areas reduced through improved land management practices</w:t>
            </w:r>
          </w:p>
          <w:p w14:paraId="5E8818EA" w14:textId="77777777" w:rsidR="007C00A1" w:rsidRDefault="007C00A1" w:rsidP="00752836">
            <w:pPr>
              <w:pStyle w:val="BodyText2"/>
              <w:rPr>
                <w:sz w:val="16"/>
                <w:szCs w:val="16"/>
              </w:rPr>
            </w:pPr>
            <w:r w:rsidRPr="00752836">
              <w:rPr>
                <w:rFonts w:asciiTheme="minorHAnsi" w:hAnsiTheme="minorHAnsi"/>
              </w:rPr>
              <w:t>1.3.6 Improved water resources management and strengthened trans-boundary cooperation on this issue in the Kura-Aras River Basin</w:t>
            </w:r>
          </w:p>
          <w:p w14:paraId="42AAA469" w14:textId="77777777" w:rsidR="007C00A1" w:rsidRDefault="007C00A1" w:rsidP="00C64D39">
            <w:pPr>
              <w:pStyle w:val="BodyText2"/>
              <w:rPr>
                <w:rFonts w:ascii="Times New Roman" w:hAnsi="Times New Roman"/>
                <w:sz w:val="16"/>
                <w:szCs w:val="16"/>
              </w:rPr>
            </w:pPr>
          </w:p>
          <w:p w14:paraId="277223D7" w14:textId="77777777" w:rsidR="005719A3" w:rsidRDefault="005719A3" w:rsidP="00C64D39">
            <w:pPr>
              <w:pStyle w:val="BodyText2"/>
              <w:rPr>
                <w:rFonts w:asciiTheme="minorHAnsi" w:hAnsiTheme="minorHAnsi"/>
              </w:rPr>
            </w:pPr>
            <w:r w:rsidRPr="00AB60E4">
              <w:rPr>
                <w:rFonts w:asciiTheme="minorHAnsi" w:hAnsiTheme="minorHAnsi"/>
                <w:u w:val="single"/>
              </w:rPr>
              <w:t>Progress and Achievements</w:t>
            </w:r>
            <w:r w:rsidRPr="00AB60E4">
              <w:rPr>
                <w:rFonts w:asciiTheme="minorHAnsi" w:hAnsiTheme="minorHAnsi"/>
              </w:rPr>
              <w:t>:</w:t>
            </w:r>
          </w:p>
          <w:p w14:paraId="0B0E07EB" w14:textId="7392FE1B" w:rsidR="00487F19" w:rsidRPr="00DF681C" w:rsidRDefault="00487F19" w:rsidP="00487F19">
            <w:pPr>
              <w:rPr>
                <w:rFonts w:asciiTheme="minorHAnsi" w:hAnsiTheme="minorHAnsi"/>
                <w:sz w:val="20"/>
              </w:rPr>
            </w:pPr>
            <w:r w:rsidRPr="00DF681C">
              <w:rPr>
                <w:rFonts w:asciiTheme="minorHAnsi" w:hAnsiTheme="minorHAnsi"/>
                <w:sz w:val="20"/>
              </w:rPr>
              <w:t xml:space="preserve">UNDP assisted the government in various dimensions of environmental policy making and implementation. UNDP initiated </w:t>
            </w:r>
            <w:r w:rsidR="0076414C">
              <w:rPr>
                <w:rFonts w:asciiTheme="minorHAnsi" w:hAnsiTheme="minorHAnsi"/>
                <w:sz w:val="20"/>
              </w:rPr>
              <w:t xml:space="preserve">the </w:t>
            </w:r>
            <w:r w:rsidRPr="00DF681C">
              <w:rPr>
                <w:rFonts w:asciiTheme="minorHAnsi" w:hAnsiTheme="minorHAnsi"/>
                <w:sz w:val="20"/>
              </w:rPr>
              <w:t xml:space="preserve">update of the biodiversity policies in line with globally agreed targets under the UN Convention on Biodiversity. </w:t>
            </w:r>
            <w:r w:rsidR="009B1F52">
              <w:rPr>
                <w:rFonts w:asciiTheme="minorHAnsi" w:hAnsiTheme="minorHAnsi"/>
                <w:sz w:val="20"/>
              </w:rPr>
              <w:t>UNDP</w:t>
            </w:r>
            <w:r w:rsidR="009B1F52" w:rsidRPr="00DF681C">
              <w:rPr>
                <w:rFonts w:asciiTheme="minorHAnsi" w:hAnsiTheme="minorHAnsi"/>
                <w:sz w:val="20"/>
              </w:rPr>
              <w:t xml:space="preserve"> </w:t>
            </w:r>
            <w:r w:rsidRPr="00DF681C">
              <w:rPr>
                <w:rFonts w:asciiTheme="minorHAnsi" w:hAnsiTheme="minorHAnsi"/>
                <w:sz w:val="20"/>
              </w:rPr>
              <w:t>also strengthened national capacities in pa</w:t>
            </w:r>
            <w:r w:rsidR="00AB60E4">
              <w:rPr>
                <w:rFonts w:asciiTheme="minorHAnsi" w:hAnsiTheme="minorHAnsi"/>
                <w:sz w:val="20"/>
              </w:rPr>
              <w:t>sture inventory and monitoring - a</w:t>
            </w:r>
            <w:r w:rsidR="00AB60E4" w:rsidRPr="00DF681C">
              <w:rPr>
                <w:rFonts w:asciiTheme="minorHAnsi" w:hAnsiTheme="minorHAnsi"/>
                <w:sz w:val="20"/>
              </w:rPr>
              <w:t xml:space="preserve"> new pasture inventory methodology was developed, national specialists were trained in applying the methodology and inventory of 3,000 hectares of pastures was completed. Highly eroded areas and hotspots were identified through remote sensing, and restoration of pastures in the </w:t>
            </w:r>
            <w:proofErr w:type="spellStart"/>
            <w:r w:rsidR="00B97E65">
              <w:rPr>
                <w:rFonts w:asciiTheme="minorHAnsi" w:hAnsiTheme="minorHAnsi"/>
                <w:sz w:val="20"/>
              </w:rPr>
              <w:t>rayons</w:t>
            </w:r>
            <w:proofErr w:type="spellEnd"/>
            <w:r w:rsidR="00B97E65">
              <w:rPr>
                <w:rFonts w:asciiTheme="minorHAnsi" w:hAnsiTheme="minorHAnsi"/>
                <w:sz w:val="20"/>
              </w:rPr>
              <w:t xml:space="preserve"> of </w:t>
            </w:r>
            <w:proofErr w:type="spellStart"/>
            <w:r w:rsidR="00B97E65">
              <w:rPr>
                <w:rFonts w:asciiTheme="minorHAnsi" w:hAnsiTheme="minorHAnsi"/>
                <w:sz w:val="20"/>
              </w:rPr>
              <w:t>Ismailly</w:t>
            </w:r>
            <w:proofErr w:type="spellEnd"/>
            <w:r w:rsidR="00B97E65">
              <w:rPr>
                <w:rFonts w:asciiTheme="minorHAnsi" w:hAnsiTheme="minorHAnsi"/>
                <w:sz w:val="20"/>
              </w:rPr>
              <w:t xml:space="preserve"> and </w:t>
            </w:r>
            <w:proofErr w:type="spellStart"/>
            <w:r w:rsidR="00B97E65">
              <w:rPr>
                <w:rFonts w:asciiTheme="minorHAnsi" w:hAnsiTheme="minorHAnsi"/>
                <w:sz w:val="20"/>
              </w:rPr>
              <w:t>Shemakhi</w:t>
            </w:r>
            <w:proofErr w:type="spellEnd"/>
            <w:r w:rsidR="00AB60E4" w:rsidRPr="00DF681C">
              <w:rPr>
                <w:rFonts w:asciiTheme="minorHAnsi" w:hAnsiTheme="minorHAnsi"/>
                <w:sz w:val="20"/>
              </w:rPr>
              <w:t xml:space="preserve"> using bioengineering methods was initiated. National capacities for forest management and carbon monitoring were increased through establishment of 3 training </w:t>
            </w:r>
            <w:proofErr w:type="spellStart"/>
            <w:r w:rsidR="00AB60E4" w:rsidRPr="00DF681C">
              <w:rPr>
                <w:rFonts w:asciiTheme="minorHAnsi" w:hAnsiTheme="minorHAnsi"/>
                <w:sz w:val="20"/>
              </w:rPr>
              <w:t>centres</w:t>
            </w:r>
            <w:proofErr w:type="spellEnd"/>
            <w:r w:rsidR="00AB60E4" w:rsidRPr="00DF681C">
              <w:rPr>
                <w:rFonts w:asciiTheme="minorHAnsi" w:hAnsiTheme="minorHAnsi"/>
                <w:sz w:val="20"/>
              </w:rPr>
              <w:t xml:space="preserve"> for foresters, a study tour, introduction of IPCCC baseline methodology on carbon emissions and GIS training. </w:t>
            </w:r>
          </w:p>
          <w:p w14:paraId="3452782C" w14:textId="77777777" w:rsidR="00487F19" w:rsidRPr="00DF681C" w:rsidRDefault="00487F19" w:rsidP="00487F19">
            <w:pPr>
              <w:rPr>
                <w:rFonts w:asciiTheme="minorHAnsi" w:hAnsiTheme="minorHAnsi"/>
                <w:sz w:val="20"/>
              </w:rPr>
            </w:pPr>
          </w:p>
          <w:p w14:paraId="5AD8F37E" w14:textId="4E719C74" w:rsidR="00487F19" w:rsidRPr="00DF681C" w:rsidRDefault="0076414C" w:rsidP="00487F19">
            <w:pPr>
              <w:rPr>
                <w:rFonts w:asciiTheme="minorHAnsi" w:hAnsiTheme="minorHAnsi"/>
                <w:sz w:val="20"/>
              </w:rPr>
            </w:pPr>
            <w:r>
              <w:rPr>
                <w:rFonts w:asciiTheme="minorHAnsi" w:hAnsiTheme="minorHAnsi"/>
                <w:sz w:val="20"/>
              </w:rPr>
              <w:t>UNDP has</w:t>
            </w:r>
            <w:r w:rsidR="00487F19" w:rsidRPr="00DF681C">
              <w:rPr>
                <w:rFonts w:asciiTheme="minorHAnsi" w:hAnsiTheme="minorHAnsi"/>
                <w:sz w:val="20"/>
              </w:rPr>
              <w:t xml:space="preserve"> assisted in updating greenhouse gases (GHGs) inventory </w:t>
            </w:r>
            <w:r>
              <w:rPr>
                <w:rFonts w:asciiTheme="minorHAnsi" w:hAnsiTheme="minorHAnsi"/>
                <w:sz w:val="20"/>
              </w:rPr>
              <w:t xml:space="preserve">of </w:t>
            </w:r>
            <w:r w:rsidR="00487F19" w:rsidRPr="00DF681C">
              <w:rPr>
                <w:rFonts w:asciiTheme="minorHAnsi" w:hAnsiTheme="minorHAnsi"/>
                <w:sz w:val="20"/>
              </w:rPr>
              <w:t xml:space="preserve">2003-2010 and analyzing major emissions by sources. Results of these studies provide good evidence for devising national mitigation measures. UNDP has also supported the State Oil Company, one of the major CO2 emitters in the country, to identify opportunities for reduction of GHGs in three areas: energy efficiency in residential and public buildings; capturing of associated gas; and reduction of emission in oil related transport sector. </w:t>
            </w:r>
            <w:r w:rsidR="00B97E65">
              <w:rPr>
                <w:rFonts w:asciiTheme="minorHAnsi" w:hAnsiTheme="minorHAnsi"/>
                <w:sz w:val="20"/>
              </w:rPr>
              <w:t>This joint project has obtained funding from GEF.</w:t>
            </w:r>
          </w:p>
          <w:p w14:paraId="50021BDD" w14:textId="77777777" w:rsidR="00487F19" w:rsidRPr="00DF681C" w:rsidRDefault="00487F19" w:rsidP="00487F19">
            <w:pPr>
              <w:rPr>
                <w:rFonts w:asciiTheme="minorHAnsi" w:hAnsiTheme="minorHAnsi"/>
                <w:sz w:val="20"/>
              </w:rPr>
            </w:pPr>
          </w:p>
          <w:p w14:paraId="66B6FD18" w14:textId="5D662955" w:rsidR="007C00A1" w:rsidRPr="00AB60E4" w:rsidRDefault="00AB60E4" w:rsidP="00B97E65">
            <w:pPr>
              <w:rPr>
                <w:rFonts w:asciiTheme="minorHAnsi" w:hAnsiTheme="minorHAnsi"/>
                <w:sz w:val="20"/>
              </w:rPr>
            </w:pPr>
            <w:r w:rsidRPr="00DF681C">
              <w:rPr>
                <w:rFonts w:asciiTheme="minorHAnsi" w:hAnsiTheme="minorHAnsi"/>
                <w:sz w:val="20"/>
              </w:rPr>
              <w:t xml:space="preserve">UNDP was instrumental in building capacities of the nascent State Agency on Alternative and Renewable Energy Sources (SAARES). </w:t>
            </w:r>
            <w:r w:rsidR="00C31261" w:rsidRPr="00193B5C">
              <w:rPr>
                <w:rFonts w:asciiTheme="minorHAnsi" w:hAnsiTheme="minorHAnsi"/>
                <w:sz w:val="20"/>
              </w:rPr>
              <w:t xml:space="preserve">UNDP </w:t>
            </w:r>
            <w:r w:rsidRPr="00193B5C">
              <w:rPr>
                <w:rFonts w:asciiTheme="minorHAnsi" w:hAnsiTheme="minorHAnsi"/>
                <w:sz w:val="20"/>
              </w:rPr>
              <w:t>supported the</w:t>
            </w:r>
            <w:r w:rsidR="00487F19" w:rsidRPr="00DF681C">
              <w:rPr>
                <w:rFonts w:asciiTheme="minorHAnsi" w:hAnsiTheme="minorHAnsi"/>
                <w:sz w:val="20"/>
              </w:rPr>
              <w:t xml:space="preserve"> assessment of vulnerability to climate change in five sectors – agriculture, coastal zone, water resources, tourism and health - thereby providing evidence base for relevant adaptation strategies. </w:t>
            </w:r>
            <w:r w:rsidR="00C31261">
              <w:rPr>
                <w:rFonts w:asciiTheme="minorHAnsi" w:hAnsiTheme="minorHAnsi"/>
                <w:sz w:val="20"/>
              </w:rPr>
              <w:t>UNDP</w:t>
            </w:r>
            <w:r w:rsidR="00C31261" w:rsidRPr="00DF681C">
              <w:rPr>
                <w:rFonts w:asciiTheme="minorHAnsi" w:hAnsiTheme="minorHAnsi"/>
                <w:sz w:val="20"/>
              </w:rPr>
              <w:t xml:space="preserve"> </w:t>
            </w:r>
            <w:r w:rsidR="00487F19" w:rsidRPr="00DF681C">
              <w:rPr>
                <w:rFonts w:asciiTheme="minorHAnsi" w:hAnsiTheme="minorHAnsi"/>
                <w:sz w:val="20"/>
              </w:rPr>
              <w:t>also helped the State Agency to design pilot projects in bio, wind and solar energy. These projects have become part of the investment portfolio that SAARES is currently negotiating with</w:t>
            </w:r>
            <w:r w:rsidR="003C34C8">
              <w:rPr>
                <w:rFonts w:asciiTheme="minorHAnsi" w:hAnsiTheme="minorHAnsi"/>
                <w:sz w:val="20"/>
              </w:rPr>
              <w:t xml:space="preserve"> the</w:t>
            </w:r>
            <w:r w:rsidR="00487F19" w:rsidRPr="00DF681C">
              <w:rPr>
                <w:rFonts w:asciiTheme="minorHAnsi" w:hAnsiTheme="minorHAnsi"/>
                <w:sz w:val="20"/>
              </w:rPr>
              <w:t xml:space="preserve"> Asian Development Bank. </w:t>
            </w:r>
            <w:r w:rsidRPr="00DF681C">
              <w:rPr>
                <w:rFonts w:asciiTheme="minorHAnsi" w:hAnsiTheme="minorHAnsi"/>
                <w:sz w:val="20"/>
              </w:rPr>
              <w:t xml:space="preserve">In addition, </w:t>
            </w:r>
            <w:r w:rsidR="003C34C8">
              <w:rPr>
                <w:rFonts w:asciiTheme="minorHAnsi" w:hAnsiTheme="minorHAnsi"/>
                <w:sz w:val="20"/>
              </w:rPr>
              <w:t>UNDP</w:t>
            </w:r>
            <w:r w:rsidR="00193B5C">
              <w:rPr>
                <w:rFonts w:asciiTheme="minorHAnsi" w:hAnsiTheme="minorHAnsi"/>
                <w:sz w:val="20"/>
              </w:rPr>
              <w:t xml:space="preserve"> </w:t>
            </w:r>
            <w:r w:rsidRPr="00DF681C">
              <w:rPr>
                <w:rFonts w:asciiTheme="minorHAnsi" w:hAnsiTheme="minorHAnsi"/>
                <w:sz w:val="20"/>
              </w:rPr>
              <w:t xml:space="preserve">also provided expertise and </w:t>
            </w:r>
            <w:r w:rsidR="00B97E65">
              <w:rPr>
                <w:rFonts w:asciiTheme="minorHAnsi" w:hAnsiTheme="minorHAnsi"/>
                <w:sz w:val="20"/>
              </w:rPr>
              <w:t xml:space="preserve">support in </w:t>
            </w:r>
            <w:r w:rsidRPr="00DF681C">
              <w:rPr>
                <w:rFonts w:asciiTheme="minorHAnsi" w:hAnsiTheme="minorHAnsi"/>
                <w:sz w:val="20"/>
              </w:rPr>
              <w:t>construction of a small hydro-power station</w:t>
            </w:r>
            <w:r w:rsidR="00B97E65">
              <w:rPr>
                <w:rFonts w:asciiTheme="minorHAnsi" w:hAnsiTheme="minorHAnsi"/>
                <w:sz w:val="20"/>
              </w:rPr>
              <w:t xml:space="preserve"> in the town of </w:t>
            </w:r>
            <w:proofErr w:type="spellStart"/>
            <w:r w:rsidR="00B97E65">
              <w:rPr>
                <w:rFonts w:asciiTheme="minorHAnsi" w:hAnsiTheme="minorHAnsi"/>
                <w:sz w:val="20"/>
              </w:rPr>
              <w:t>Sheki</w:t>
            </w:r>
            <w:proofErr w:type="spellEnd"/>
            <w:r w:rsidR="00B97E65">
              <w:rPr>
                <w:rFonts w:asciiTheme="minorHAnsi" w:hAnsiTheme="minorHAnsi"/>
                <w:sz w:val="20"/>
              </w:rPr>
              <w:t>.</w:t>
            </w:r>
          </w:p>
        </w:tc>
      </w:tr>
      <w:tr w:rsidR="005719A3" w:rsidRPr="00DC7354" w14:paraId="6DC9C39D" w14:textId="77777777" w:rsidTr="009E7526">
        <w:tc>
          <w:tcPr>
            <w:tcW w:w="14040" w:type="dxa"/>
            <w:gridSpan w:val="5"/>
          </w:tcPr>
          <w:p w14:paraId="526AFF1C" w14:textId="77777777" w:rsidR="005719A3" w:rsidRPr="00837C4B" w:rsidRDefault="005719A3" w:rsidP="00366AD1">
            <w:pPr>
              <w:pStyle w:val="BodyText2"/>
              <w:rPr>
                <w:rFonts w:asciiTheme="minorHAnsi" w:hAnsiTheme="minorHAnsi"/>
                <w:b/>
              </w:rPr>
            </w:pPr>
          </w:p>
        </w:tc>
      </w:tr>
      <w:tr w:rsidR="005719A3" w:rsidRPr="00DC7354" w14:paraId="7D8D66AD" w14:textId="77777777" w:rsidTr="00C64D39">
        <w:tc>
          <w:tcPr>
            <w:tcW w:w="3060" w:type="dxa"/>
            <w:shd w:val="clear" w:color="auto" w:fill="95B3D7" w:themeFill="accent1" w:themeFillTint="99"/>
          </w:tcPr>
          <w:p w14:paraId="4620CFB4" w14:textId="42EF16F3" w:rsidR="005719A3" w:rsidRPr="005719A3" w:rsidRDefault="00547D62" w:rsidP="00C64D39">
            <w:pPr>
              <w:pStyle w:val="BodyText2"/>
              <w:rPr>
                <w:rFonts w:asciiTheme="minorHAnsi" w:hAnsiTheme="minorHAnsi"/>
                <w:b/>
                <w:i/>
              </w:rPr>
            </w:pPr>
            <w:r>
              <w:rPr>
                <w:rFonts w:asciiTheme="minorHAnsi" w:hAnsiTheme="minorHAnsi"/>
                <w:b/>
                <w:i/>
              </w:rPr>
              <w:t>3</w:t>
            </w:r>
            <w:r w:rsidR="005719A3" w:rsidRPr="005719A3">
              <w:rPr>
                <w:rFonts w:asciiTheme="minorHAnsi" w:hAnsiTheme="minorHAnsi"/>
                <w:b/>
                <w:i/>
              </w:rPr>
              <w:t>.1 By 2015 civil society, media and vulnerable groups enjoy an increased role in policy formulation and implementation processes</w:t>
            </w:r>
          </w:p>
        </w:tc>
        <w:tc>
          <w:tcPr>
            <w:tcW w:w="1530" w:type="dxa"/>
            <w:gridSpan w:val="2"/>
            <w:shd w:val="clear" w:color="auto" w:fill="auto"/>
          </w:tcPr>
          <w:p w14:paraId="73CD04CE" w14:textId="53845DF2" w:rsidR="005719A3" w:rsidRPr="00DC7354" w:rsidRDefault="00585D69" w:rsidP="00160A0A">
            <w:pPr>
              <w:pStyle w:val="BodyText2"/>
              <w:rPr>
                <w:rFonts w:asciiTheme="minorHAnsi" w:hAnsiTheme="minorHAnsi"/>
              </w:rPr>
            </w:pPr>
            <w:r>
              <w:rPr>
                <w:rFonts w:asciiTheme="minorHAnsi" w:hAnsiTheme="minorHAnsi"/>
              </w:rPr>
              <w:t xml:space="preserve"> $</w:t>
            </w:r>
            <w:r w:rsidRPr="00585D69">
              <w:rPr>
                <w:rFonts w:asciiTheme="minorHAnsi" w:hAnsiTheme="minorHAnsi"/>
              </w:rPr>
              <w:t>1,948,392</w:t>
            </w:r>
          </w:p>
        </w:tc>
        <w:tc>
          <w:tcPr>
            <w:tcW w:w="3960" w:type="dxa"/>
            <w:tcBorders>
              <w:left w:val="single" w:sz="4" w:space="0" w:color="auto"/>
            </w:tcBorders>
          </w:tcPr>
          <w:p w14:paraId="3D08BB97" w14:textId="77777777" w:rsidR="0010160D" w:rsidRPr="0010160D" w:rsidRDefault="0010160D" w:rsidP="0010160D">
            <w:pPr>
              <w:pStyle w:val="BodyText2"/>
              <w:numPr>
                <w:ilvl w:val="0"/>
                <w:numId w:val="15"/>
              </w:numPr>
              <w:rPr>
                <w:rFonts w:asciiTheme="minorHAnsi" w:hAnsiTheme="minorHAnsi"/>
                <w:i/>
              </w:rPr>
            </w:pPr>
            <w:r w:rsidRPr="0010160D">
              <w:rPr>
                <w:rFonts w:asciiTheme="minorHAnsi" w:hAnsiTheme="minorHAnsi"/>
                <w:i/>
              </w:rPr>
              <w:t>Indicator: 3.1.1 Annual qualitative assessment of advocacy skills of NGOs and media outlets</w:t>
            </w:r>
          </w:p>
          <w:p w14:paraId="13116EB8" w14:textId="77777777" w:rsidR="0010160D" w:rsidRPr="0010160D" w:rsidRDefault="0010160D" w:rsidP="0010160D">
            <w:pPr>
              <w:pStyle w:val="BodyText2"/>
              <w:numPr>
                <w:ilvl w:val="0"/>
                <w:numId w:val="15"/>
              </w:numPr>
              <w:rPr>
                <w:rFonts w:asciiTheme="minorHAnsi" w:hAnsiTheme="minorHAnsi"/>
                <w:i/>
              </w:rPr>
            </w:pPr>
            <w:r w:rsidRPr="0010160D">
              <w:rPr>
                <w:rFonts w:asciiTheme="minorHAnsi" w:hAnsiTheme="minorHAnsi"/>
                <w:i/>
              </w:rPr>
              <w:t xml:space="preserve">Baseline: 4 (“NGO Sustainability Index” by USAID, “Freedom in the World” and “Freedom of the Press” reports by </w:t>
            </w:r>
            <w:r w:rsidRPr="0010160D">
              <w:rPr>
                <w:rFonts w:asciiTheme="minorHAnsi" w:hAnsiTheme="minorHAnsi"/>
                <w:i/>
              </w:rPr>
              <w:lastRenderedPageBreak/>
              <w:t xml:space="preserve">Freedom House, “Global Corruption Report” by Transparency International) </w:t>
            </w:r>
          </w:p>
          <w:p w14:paraId="3D33245A" w14:textId="0B51453A" w:rsidR="005719A3" w:rsidRPr="00920DBC" w:rsidRDefault="0010160D" w:rsidP="0010160D">
            <w:pPr>
              <w:pStyle w:val="BodyText2"/>
              <w:numPr>
                <w:ilvl w:val="0"/>
                <w:numId w:val="15"/>
              </w:numPr>
              <w:rPr>
                <w:rFonts w:asciiTheme="minorHAnsi" w:hAnsiTheme="minorHAnsi"/>
                <w:i/>
              </w:rPr>
            </w:pPr>
            <w:r w:rsidRPr="0010160D">
              <w:rPr>
                <w:rFonts w:asciiTheme="minorHAnsi" w:hAnsiTheme="minorHAnsi"/>
                <w:i/>
              </w:rPr>
              <w:t xml:space="preserve">Target: 5 (the above mentioned international agencies plus a national agency  or civil society </w:t>
            </w:r>
            <w:r w:rsidR="00B91632" w:rsidRPr="0010160D">
              <w:rPr>
                <w:rFonts w:asciiTheme="minorHAnsi" w:hAnsiTheme="minorHAnsi"/>
                <w:i/>
              </w:rPr>
              <w:t>organization</w:t>
            </w:r>
            <w:r w:rsidRPr="0010160D">
              <w:rPr>
                <w:rFonts w:asciiTheme="minorHAnsi" w:hAnsiTheme="minorHAnsi"/>
                <w:i/>
              </w:rPr>
              <w:t xml:space="preserve"> (CSO), performing annual qualitative review of NGOs and press  </w:t>
            </w:r>
          </w:p>
        </w:tc>
        <w:tc>
          <w:tcPr>
            <w:tcW w:w="5490" w:type="dxa"/>
            <w:shd w:val="clear" w:color="auto" w:fill="auto"/>
          </w:tcPr>
          <w:p w14:paraId="28E4B191" w14:textId="39CF337F" w:rsidR="005719A3" w:rsidRDefault="003B41DF" w:rsidP="00672D36">
            <w:pPr>
              <w:pStyle w:val="BodyText2"/>
              <w:rPr>
                <w:rFonts w:asciiTheme="minorHAnsi" w:hAnsiTheme="minorHAnsi"/>
                <w:i/>
              </w:rPr>
            </w:pPr>
            <w:r>
              <w:rPr>
                <w:rFonts w:asciiTheme="minorHAnsi" w:hAnsiTheme="minorHAnsi"/>
                <w:i/>
              </w:rPr>
              <w:lastRenderedPageBreak/>
              <w:t>3.1.1</w:t>
            </w:r>
            <w:r w:rsidR="003468EA">
              <w:rPr>
                <w:rFonts w:asciiTheme="minorHAnsi" w:hAnsiTheme="minorHAnsi"/>
                <w:i/>
              </w:rPr>
              <w:t xml:space="preserve"> Year of</w:t>
            </w:r>
            <w:r w:rsidR="00B91632">
              <w:rPr>
                <w:rFonts w:asciiTheme="minorHAnsi" w:hAnsiTheme="minorHAnsi"/>
                <w:i/>
              </w:rPr>
              <w:t xml:space="preserve"> </w:t>
            </w:r>
            <w:r w:rsidR="003468EA">
              <w:rPr>
                <w:rFonts w:asciiTheme="minorHAnsi" w:hAnsiTheme="minorHAnsi"/>
                <w:i/>
              </w:rPr>
              <w:t>l</w:t>
            </w:r>
            <w:r w:rsidR="00B91632">
              <w:rPr>
                <w:rFonts w:asciiTheme="minorHAnsi" w:hAnsiTheme="minorHAnsi"/>
                <w:i/>
              </w:rPr>
              <w:t>atest data: 2013 (significant progress)</w:t>
            </w:r>
          </w:p>
          <w:p w14:paraId="48F2FA4F" w14:textId="1DB37F81" w:rsidR="00B91632" w:rsidRDefault="00B91632" w:rsidP="00672D36">
            <w:pPr>
              <w:pStyle w:val="BodyText2"/>
              <w:rPr>
                <w:rFonts w:asciiTheme="minorHAnsi" w:hAnsiTheme="minorHAnsi"/>
                <w:i/>
              </w:rPr>
            </w:pPr>
            <w:r>
              <w:rPr>
                <w:rFonts w:asciiTheme="minorHAnsi" w:hAnsiTheme="minorHAnsi"/>
                <w:i/>
              </w:rPr>
              <w:t xml:space="preserve">Actual </w:t>
            </w:r>
            <w:r w:rsidR="002F4AFF">
              <w:rPr>
                <w:rFonts w:asciiTheme="minorHAnsi" w:hAnsiTheme="minorHAnsi"/>
                <w:i/>
              </w:rPr>
              <w:t xml:space="preserve">Latest </w:t>
            </w:r>
            <w:r>
              <w:rPr>
                <w:rFonts w:asciiTheme="minorHAnsi" w:hAnsiTheme="minorHAnsi"/>
                <w:i/>
              </w:rPr>
              <w:t>Data: 4.7</w:t>
            </w:r>
          </w:p>
          <w:p w14:paraId="056E8FC0" w14:textId="1804F2F4" w:rsidR="003468EA" w:rsidRPr="00920DBC" w:rsidRDefault="003468EA" w:rsidP="003468EA">
            <w:pPr>
              <w:pStyle w:val="BodyText2"/>
              <w:rPr>
                <w:rFonts w:asciiTheme="minorHAnsi" w:hAnsiTheme="minorHAnsi"/>
                <w:i/>
              </w:rPr>
            </w:pPr>
          </w:p>
        </w:tc>
      </w:tr>
      <w:tr w:rsidR="005719A3" w:rsidRPr="00DC7354" w14:paraId="50A0679F" w14:textId="77777777" w:rsidTr="00C64D39">
        <w:tc>
          <w:tcPr>
            <w:tcW w:w="14040" w:type="dxa"/>
            <w:gridSpan w:val="5"/>
          </w:tcPr>
          <w:p w14:paraId="34A90850" w14:textId="77777777" w:rsidR="005719A3" w:rsidRPr="00837C4B" w:rsidRDefault="005719A3" w:rsidP="00C64D39">
            <w:pPr>
              <w:pStyle w:val="BodyText2"/>
              <w:rPr>
                <w:rFonts w:asciiTheme="minorHAnsi" w:hAnsiTheme="minorHAnsi"/>
                <w:b/>
              </w:rPr>
            </w:pPr>
            <w:r w:rsidRPr="00837C4B">
              <w:rPr>
                <w:rFonts w:asciiTheme="minorHAnsi" w:hAnsiTheme="minorHAnsi"/>
                <w:b/>
              </w:rPr>
              <w:lastRenderedPageBreak/>
              <w:t>UNDP Contribution:</w:t>
            </w:r>
          </w:p>
          <w:p w14:paraId="3E3C79BB" w14:textId="77777777" w:rsidR="005719A3" w:rsidRDefault="005719A3" w:rsidP="00C64D39">
            <w:pPr>
              <w:pStyle w:val="BodyText2"/>
              <w:rPr>
                <w:rFonts w:asciiTheme="minorHAnsi" w:hAnsiTheme="minorHAnsi"/>
              </w:rPr>
            </w:pPr>
            <w:r w:rsidRPr="00B00E5C">
              <w:rPr>
                <w:rFonts w:asciiTheme="minorHAnsi" w:hAnsiTheme="minorHAnsi"/>
                <w:u w:val="single"/>
              </w:rPr>
              <w:t>CP Outputs</w:t>
            </w:r>
            <w:r>
              <w:rPr>
                <w:rFonts w:asciiTheme="minorHAnsi" w:hAnsiTheme="minorHAnsi"/>
              </w:rPr>
              <w:t>:</w:t>
            </w:r>
          </w:p>
          <w:p w14:paraId="10FAA222" w14:textId="6FAF34D3" w:rsidR="006C7592" w:rsidRDefault="006C7592" w:rsidP="00C64D39">
            <w:pPr>
              <w:pStyle w:val="BodyText2"/>
              <w:rPr>
                <w:rFonts w:asciiTheme="minorHAnsi" w:hAnsiTheme="minorHAnsi"/>
              </w:rPr>
            </w:pPr>
            <w:r w:rsidRPr="006C7592">
              <w:rPr>
                <w:rFonts w:asciiTheme="minorHAnsi" w:hAnsiTheme="minorHAnsi"/>
              </w:rPr>
              <w:t>3.1.1 CSOs and in particular rural NGOs have improved project management skills</w:t>
            </w:r>
          </w:p>
          <w:p w14:paraId="33F0683A" w14:textId="77777777" w:rsidR="009B5F0D" w:rsidRDefault="009B5F0D" w:rsidP="00C64D39">
            <w:pPr>
              <w:pStyle w:val="BodyText2"/>
              <w:rPr>
                <w:rFonts w:asciiTheme="minorHAnsi" w:hAnsiTheme="minorHAnsi"/>
                <w:u w:val="single"/>
              </w:rPr>
            </w:pPr>
          </w:p>
          <w:p w14:paraId="450F760C" w14:textId="77777777" w:rsidR="005719A3" w:rsidRDefault="005719A3" w:rsidP="00C64D39">
            <w:pPr>
              <w:pStyle w:val="BodyText2"/>
              <w:rPr>
                <w:rFonts w:asciiTheme="minorHAnsi" w:hAnsiTheme="minorHAnsi"/>
              </w:rPr>
            </w:pPr>
            <w:r w:rsidRPr="00B00E5C">
              <w:rPr>
                <w:rFonts w:asciiTheme="minorHAnsi" w:hAnsiTheme="minorHAnsi"/>
                <w:u w:val="single"/>
              </w:rPr>
              <w:t>Progress and Achievements</w:t>
            </w:r>
            <w:r>
              <w:rPr>
                <w:rFonts w:asciiTheme="minorHAnsi" w:hAnsiTheme="minorHAnsi"/>
              </w:rPr>
              <w:t>:</w:t>
            </w:r>
          </w:p>
          <w:p w14:paraId="7D307AC1" w14:textId="77777777" w:rsidR="00AB60E4" w:rsidRDefault="00AB60E4" w:rsidP="00C64D39">
            <w:pPr>
              <w:pStyle w:val="BodyText2"/>
              <w:rPr>
                <w:rFonts w:asciiTheme="minorHAnsi" w:hAnsiTheme="minorHAnsi"/>
              </w:rPr>
            </w:pPr>
          </w:p>
          <w:p w14:paraId="0FB0DE03" w14:textId="7C90923E" w:rsidR="00AB60E4" w:rsidRDefault="00AB60E4" w:rsidP="00C64D39">
            <w:pPr>
              <w:pStyle w:val="BodyText2"/>
              <w:rPr>
                <w:rFonts w:asciiTheme="minorHAnsi" w:hAnsiTheme="minorHAnsi"/>
              </w:rPr>
            </w:pPr>
            <w:r w:rsidRPr="00DF681C">
              <w:rPr>
                <w:rFonts w:asciiTheme="minorHAnsi" w:hAnsiTheme="minorHAnsi"/>
              </w:rPr>
              <w:t xml:space="preserve">UNDP has contributed to the outcome by empowering young people to play a greater role in formulation and implementation of state policies. </w:t>
            </w:r>
            <w:r>
              <w:rPr>
                <w:rFonts w:asciiTheme="minorHAnsi" w:hAnsiTheme="minorHAnsi"/>
              </w:rPr>
              <w:t>I</w:t>
            </w:r>
            <w:r w:rsidRPr="00DF681C">
              <w:rPr>
                <w:rFonts w:asciiTheme="minorHAnsi" w:hAnsiTheme="minorHAnsi"/>
              </w:rPr>
              <w:t xml:space="preserve">n partnership with the Ministry of Youth and Sports </w:t>
            </w:r>
            <w:r w:rsidR="00412E4B">
              <w:rPr>
                <w:rFonts w:asciiTheme="minorHAnsi" w:hAnsiTheme="minorHAnsi"/>
              </w:rPr>
              <w:t xml:space="preserve">UNDP </w:t>
            </w:r>
            <w:r w:rsidRPr="00DF681C">
              <w:rPr>
                <w:rFonts w:asciiTheme="minorHAnsi" w:hAnsiTheme="minorHAnsi"/>
              </w:rPr>
              <w:t>prepared the first draft of the Youth Inclusiveness Assessment Tool.  This tool is an innovative product that will allow the government to review its programs from the point of view of youth and improve the participation of the young people in decision-making.</w:t>
            </w:r>
            <w:r>
              <w:rPr>
                <w:rFonts w:asciiTheme="minorHAnsi" w:hAnsiTheme="minorHAnsi"/>
              </w:rPr>
              <w:t xml:space="preserve"> </w:t>
            </w:r>
            <w:r w:rsidRPr="00DF681C">
              <w:rPr>
                <w:rFonts w:asciiTheme="minorHAnsi" w:hAnsiTheme="minorHAnsi"/>
              </w:rPr>
              <w:t xml:space="preserve">In addition, UNDP has trained a core group of 50 young activists in areas critical for participation in public and social life such as policy making skills; leadership; web-journalism; presentation and speech-making and others. </w:t>
            </w:r>
          </w:p>
          <w:p w14:paraId="369A7D4D" w14:textId="77777777" w:rsidR="00B97E65" w:rsidRDefault="00B97E65" w:rsidP="00C64D39">
            <w:pPr>
              <w:pStyle w:val="BodyText2"/>
              <w:rPr>
                <w:rFonts w:asciiTheme="minorHAnsi" w:hAnsiTheme="minorHAnsi"/>
              </w:rPr>
            </w:pPr>
          </w:p>
          <w:p w14:paraId="5FC5B7FB" w14:textId="46B89E7A" w:rsidR="00B97E65" w:rsidRDefault="00B97E65" w:rsidP="00C64D39">
            <w:pPr>
              <w:pStyle w:val="BodyText2"/>
              <w:rPr>
                <w:rFonts w:asciiTheme="minorHAnsi" w:hAnsiTheme="minorHAnsi"/>
              </w:rPr>
            </w:pPr>
            <w:r>
              <w:rPr>
                <w:rFonts w:asciiTheme="minorHAnsi" w:hAnsiTheme="minorHAnsi"/>
              </w:rPr>
              <w:t xml:space="preserve">The cooperation with the Ministry of Youth and Sports and the partnership with the SG Youth Envoy, Council of Europe and UNESCO, UNDP Azerbaijan organized first ever Global Youth Policy Forum in October 2014. Over 700 representatives of youth organizations, international and regional organizations and </w:t>
            </w:r>
            <w:r w:rsidR="00201E0F">
              <w:rPr>
                <w:rFonts w:asciiTheme="minorHAnsi" w:hAnsiTheme="minorHAnsi"/>
              </w:rPr>
              <w:t>governments adopted Baku Commitments for Youth (</w:t>
            </w:r>
            <w:hyperlink r:id="rId14" w:history="1">
              <w:r w:rsidR="00201E0F" w:rsidRPr="008A3A6E">
                <w:rPr>
                  <w:rStyle w:val="Hyperlink"/>
                  <w:rFonts w:asciiTheme="minorHAnsi" w:hAnsiTheme="minorHAnsi"/>
                </w:rPr>
                <w:t>http://youthpolicyforum.org/documents/commitment.pdf</w:t>
              </w:r>
            </w:hyperlink>
            <w:r w:rsidR="00201E0F">
              <w:rPr>
                <w:rFonts w:asciiTheme="minorHAnsi" w:hAnsiTheme="minorHAnsi"/>
              </w:rPr>
              <w:t xml:space="preserve"> ).</w:t>
            </w:r>
          </w:p>
          <w:p w14:paraId="0F41CDC5" w14:textId="77777777" w:rsidR="00AB60E4" w:rsidRDefault="00AB60E4" w:rsidP="00C64D39">
            <w:pPr>
              <w:pStyle w:val="BodyText2"/>
              <w:rPr>
                <w:rFonts w:asciiTheme="minorHAnsi" w:hAnsiTheme="minorHAnsi"/>
              </w:rPr>
            </w:pPr>
          </w:p>
          <w:p w14:paraId="229CA630" w14:textId="6F7237AE" w:rsidR="00AB60E4" w:rsidRDefault="00AB60E4" w:rsidP="00C64D39">
            <w:pPr>
              <w:pStyle w:val="BodyText2"/>
              <w:rPr>
                <w:rFonts w:asciiTheme="minorHAnsi" w:hAnsiTheme="minorHAnsi"/>
              </w:rPr>
            </w:pPr>
            <w:r w:rsidRPr="00DF681C">
              <w:rPr>
                <w:rFonts w:asciiTheme="minorHAnsi" w:hAnsiTheme="minorHAnsi"/>
              </w:rPr>
              <w:t xml:space="preserve">UNDP supported community-based activism and improved NGO management through awareness raising and capacity building measures targeting women in rural areas. Knowledge products such as Toolkit on Strengthening women’s social participation in rural areas, Manual on NGO Establishment and Management were developed, and 25 women benefited from the trainings. These measures were complemented with capacity building for </w:t>
            </w:r>
            <w:r w:rsidR="00A22056">
              <w:rPr>
                <w:rFonts w:asciiTheme="minorHAnsi" w:hAnsiTheme="minorHAnsi"/>
              </w:rPr>
              <w:t xml:space="preserve">gender focal points of the line </w:t>
            </w:r>
            <w:r w:rsidR="00A22056" w:rsidRPr="00A22056">
              <w:rPr>
                <w:rFonts w:asciiTheme="minorHAnsi" w:hAnsiTheme="minorHAnsi"/>
              </w:rPr>
              <w:t xml:space="preserve">Ministries and Deputy heads of ex coms of the </w:t>
            </w:r>
            <w:proofErr w:type="spellStart"/>
            <w:r w:rsidR="00A22056" w:rsidRPr="00A22056">
              <w:rPr>
                <w:rFonts w:asciiTheme="minorHAnsi" w:hAnsiTheme="minorHAnsi"/>
              </w:rPr>
              <w:t>Yasamal</w:t>
            </w:r>
            <w:proofErr w:type="spellEnd"/>
            <w:r w:rsidR="00A22056" w:rsidRPr="00A22056">
              <w:rPr>
                <w:rFonts w:asciiTheme="minorHAnsi" w:hAnsiTheme="minorHAnsi"/>
              </w:rPr>
              <w:t xml:space="preserve">, </w:t>
            </w:r>
            <w:proofErr w:type="spellStart"/>
            <w:r w:rsidR="00A22056" w:rsidRPr="00A22056">
              <w:rPr>
                <w:rFonts w:asciiTheme="minorHAnsi" w:hAnsiTheme="minorHAnsi"/>
              </w:rPr>
              <w:t>Qaradaq</w:t>
            </w:r>
            <w:proofErr w:type="spellEnd"/>
            <w:r w:rsidR="00A22056" w:rsidRPr="00A22056">
              <w:rPr>
                <w:rFonts w:asciiTheme="minorHAnsi" w:hAnsiTheme="minorHAnsi"/>
              </w:rPr>
              <w:t xml:space="preserve">, </w:t>
            </w:r>
            <w:proofErr w:type="spellStart"/>
            <w:r w:rsidR="00A22056" w:rsidRPr="00A22056">
              <w:rPr>
                <w:rFonts w:asciiTheme="minorHAnsi" w:hAnsiTheme="minorHAnsi"/>
              </w:rPr>
              <w:t>Sabuncu</w:t>
            </w:r>
            <w:proofErr w:type="spellEnd"/>
            <w:r w:rsidR="00A22056" w:rsidRPr="00A22056">
              <w:rPr>
                <w:rFonts w:asciiTheme="minorHAnsi" w:hAnsiTheme="minorHAnsi"/>
              </w:rPr>
              <w:t xml:space="preserve">, </w:t>
            </w:r>
            <w:proofErr w:type="spellStart"/>
            <w:r w:rsidR="00A22056" w:rsidRPr="00A22056">
              <w:rPr>
                <w:rFonts w:asciiTheme="minorHAnsi" w:hAnsiTheme="minorHAnsi"/>
              </w:rPr>
              <w:t>Suraxani</w:t>
            </w:r>
            <w:proofErr w:type="spellEnd"/>
            <w:r w:rsidR="00A22056" w:rsidRPr="00A22056">
              <w:rPr>
                <w:rFonts w:asciiTheme="minorHAnsi" w:hAnsiTheme="minorHAnsi"/>
              </w:rPr>
              <w:t xml:space="preserve">, </w:t>
            </w:r>
            <w:proofErr w:type="spellStart"/>
            <w:r w:rsidR="00A22056" w:rsidRPr="00A22056">
              <w:rPr>
                <w:rFonts w:asciiTheme="minorHAnsi" w:hAnsiTheme="minorHAnsi"/>
              </w:rPr>
              <w:t>Xezer</w:t>
            </w:r>
            <w:proofErr w:type="spellEnd"/>
            <w:r w:rsidR="00A22056" w:rsidRPr="00A22056">
              <w:rPr>
                <w:rFonts w:asciiTheme="minorHAnsi" w:hAnsiTheme="minorHAnsi"/>
              </w:rPr>
              <w:t xml:space="preserve">, </w:t>
            </w:r>
            <w:proofErr w:type="spellStart"/>
            <w:r w:rsidR="00A22056" w:rsidRPr="00A22056">
              <w:rPr>
                <w:rFonts w:asciiTheme="minorHAnsi" w:hAnsiTheme="minorHAnsi"/>
              </w:rPr>
              <w:t>Salyan</w:t>
            </w:r>
            <w:proofErr w:type="spellEnd"/>
            <w:r w:rsidR="00A22056" w:rsidRPr="00A22056">
              <w:rPr>
                <w:rFonts w:asciiTheme="minorHAnsi" w:hAnsiTheme="minorHAnsi"/>
              </w:rPr>
              <w:t xml:space="preserve"> districts</w:t>
            </w:r>
            <w:r w:rsidR="008F72F5">
              <w:rPr>
                <w:rFonts w:asciiTheme="minorHAnsi" w:hAnsiTheme="minorHAnsi"/>
              </w:rPr>
              <w:t xml:space="preserve"> </w:t>
            </w:r>
            <w:r w:rsidRPr="00DF681C">
              <w:rPr>
                <w:rFonts w:asciiTheme="minorHAnsi" w:hAnsiTheme="minorHAnsi"/>
              </w:rPr>
              <w:t xml:space="preserve"> involved in the development of policies and programmatic interventions in the area of community-based activism of rural women.</w:t>
            </w:r>
          </w:p>
          <w:p w14:paraId="6EA0450B" w14:textId="77777777" w:rsidR="00A20F51" w:rsidRDefault="00A20F51" w:rsidP="00C64D39">
            <w:pPr>
              <w:pStyle w:val="BodyText2"/>
              <w:rPr>
                <w:rFonts w:asciiTheme="minorHAnsi" w:hAnsiTheme="minorHAnsi"/>
              </w:rPr>
            </w:pPr>
          </w:p>
          <w:p w14:paraId="3116BEBF" w14:textId="70528215" w:rsidR="00A20F51" w:rsidRPr="00845340" w:rsidRDefault="00A20F51" w:rsidP="00A20F51">
            <w:pPr>
              <w:pStyle w:val="BodyText2"/>
              <w:rPr>
                <w:rFonts w:asciiTheme="minorHAnsi" w:hAnsiTheme="minorHAnsi"/>
              </w:rPr>
            </w:pPr>
            <w:r>
              <w:rPr>
                <w:rFonts w:asciiTheme="minorHAnsi" w:hAnsiTheme="minorHAnsi"/>
              </w:rPr>
              <w:t>UNDP, in partnership with other UN Agencies, held a number of Post-2015 discussions in Azerbaijan. In 2014, the emphasis was made on the rural youth.</w:t>
            </w:r>
          </w:p>
        </w:tc>
      </w:tr>
      <w:tr w:rsidR="005719A3" w:rsidRPr="00DC7354" w14:paraId="0C600CAB" w14:textId="77777777" w:rsidTr="00C64D39">
        <w:tc>
          <w:tcPr>
            <w:tcW w:w="3060" w:type="dxa"/>
            <w:shd w:val="clear" w:color="auto" w:fill="95B3D7" w:themeFill="accent1" w:themeFillTint="99"/>
          </w:tcPr>
          <w:p w14:paraId="34B42E7B" w14:textId="6950537F" w:rsidR="005719A3" w:rsidRPr="005719A3" w:rsidRDefault="007C00A1" w:rsidP="00C64D39">
            <w:pPr>
              <w:pStyle w:val="BodyText2"/>
              <w:rPr>
                <w:rFonts w:asciiTheme="minorHAnsi" w:hAnsiTheme="minorHAnsi"/>
                <w:b/>
                <w:i/>
              </w:rPr>
            </w:pPr>
            <w:r w:rsidRPr="007C00A1">
              <w:rPr>
                <w:rFonts w:asciiTheme="minorHAnsi" w:hAnsiTheme="minorHAnsi"/>
                <w:b/>
                <w:i/>
              </w:rPr>
              <w:t>3.2 Efficiency, accountability and transparency in public administration enhanced through capacity development of State entities, including gender sensitive approaches</w:t>
            </w:r>
          </w:p>
        </w:tc>
        <w:tc>
          <w:tcPr>
            <w:tcW w:w="1530" w:type="dxa"/>
            <w:gridSpan w:val="2"/>
            <w:shd w:val="clear" w:color="auto" w:fill="auto"/>
          </w:tcPr>
          <w:p w14:paraId="7F67F7DA" w14:textId="76EDC343" w:rsidR="005719A3" w:rsidRPr="00DC7354" w:rsidRDefault="00585D69" w:rsidP="00585D69">
            <w:pPr>
              <w:pStyle w:val="BodyText2"/>
              <w:rPr>
                <w:rFonts w:asciiTheme="minorHAnsi" w:hAnsiTheme="minorHAnsi"/>
              </w:rPr>
            </w:pPr>
            <w:r>
              <w:rPr>
                <w:rFonts w:asciiTheme="minorHAnsi" w:hAnsiTheme="minorHAnsi"/>
              </w:rPr>
              <w:t xml:space="preserve"> $</w:t>
            </w:r>
            <w:r w:rsidRPr="00585D69">
              <w:rPr>
                <w:rFonts w:asciiTheme="minorHAnsi" w:hAnsiTheme="minorHAnsi"/>
              </w:rPr>
              <w:t>33,706,106</w:t>
            </w:r>
          </w:p>
        </w:tc>
        <w:tc>
          <w:tcPr>
            <w:tcW w:w="3960" w:type="dxa"/>
            <w:tcBorders>
              <w:left w:val="single" w:sz="4" w:space="0" w:color="auto"/>
            </w:tcBorders>
          </w:tcPr>
          <w:p w14:paraId="7FAB564C" w14:textId="77777777" w:rsidR="00AC6CAE" w:rsidRPr="00AC6CAE" w:rsidRDefault="00AC6CAE" w:rsidP="00AC6CAE">
            <w:pPr>
              <w:pStyle w:val="BodyText2"/>
              <w:rPr>
                <w:rFonts w:asciiTheme="minorHAnsi" w:hAnsiTheme="minorHAnsi"/>
                <w:i/>
                <w:lang w:val="en-GB"/>
              </w:rPr>
            </w:pPr>
            <w:r w:rsidRPr="00AC6CAE">
              <w:rPr>
                <w:rFonts w:asciiTheme="minorHAnsi" w:hAnsiTheme="minorHAnsi"/>
                <w:b/>
                <w:i/>
                <w:lang w:val="en-GB"/>
              </w:rPr>
              <w:t>Indicator:</w:t>
            </w:r>
            <w:r w:rsidRPr="00AC6CAE">
              <w:rPr>
                <w:rFonts w:asciiTheme="minorHAnsi" w:hAnsiTheme="minorHAnsi"/>
                <w:i/>
                <w:lang w:val="en-GB"/>
              </w:rPr>
              <w:t xml:space="preserve"> 3.2.1 The number of information technology innovations implemented contributing to increased transparency in public administration</w:t>
            </w:r>
          </w:p>
          <w:p w14:paraId="6B1AB0CC" w14:textId="77777777" w:rsidR="00AC6CAE" w:rsidRPr="00AC6CAE" w:rsidRDefault="00AC6CAE" w:rsidP="00AC6CAE">
            <w:pPr>
              <w:pStyle w:val="BodyText2"/>
              <w:rPr>
                <w:rFonts w:asciiTheme="minorHAnsi" w:hAnsiTheme="minorHAnsi"/>
                <w:i/>
                <w:lang w:val="en-GB"/>
              </w:rPr>
            </w:pPr>
            <w:r w:rsidRPr="00AC6CAE">
              <w:rPr>
                <w:rFonts w:asciiTheme="minorHAnsi" w:hAnsiTheme="minorHAnsi"/>
                <w:b/>
                <w:i/>
                <w:lang w:val="en-GB"/>
              </w:rPr>
              <w:t>Baseline:</w:t>
            </w:r>
            <w:r w:rsidRPr="00AC6CAE">
              <w:rPr>
                <w:rFonts w:asciiTheme="minorHAnsi" w:hAnsiTheme="minorHAnsi"/>
                <w:i/>
                <w:lang w:val="en-GB"/>
              </w:rPr>
              <w:t xml:space="preserve"> 2009: 2</w:t>
            </w:r>
          </w:p>
          <w:p w14:paraId="79FD6071" w14:textId="77777777" w:rsidR="00AC6CAE" w:rsidRPr="00AC6CAE" w:rsidRDefault="00AC6CAE" w:rsidP="00AC6CAE">
            <w:pPr>
              <w:pStyle w:val="BodyText2"/>
              <w:rPr>
                <w:rFonts w:asciiTheme="minorHAnsi" w:hAnsiTheme="minorHAnsi"/>
                <w:i/>
                <w:lang w:val="en-GB"/>
              </w:rPr>
            </w:pPr>
            <w:r w:rsidRPr="00AC6CAE">
              <w:rPr>
                <w:rFonts w:asciiTheme="minorHAnsi" w:hAnsiTheme="minorHAnsi"/>
                <w:b/>
                <w:i/>
                <w:lang w:val="en-GB"/>
              </w:rPr>
              <w:t xml:space="preserve">Target: </w:t>
            </w:r>
            <w:r w:rsidRPr="00AC6CAE">
              <w:rPr>
                <w:rFonts w:asciiTheme="minorHAnsi" w:hAnsiTheme="minorHAnsi"/>
                <w:i/>
                <w:lang w:val="en-GB"/>
              </w:rPr>
              <w:t>5</w:t>
            </w:r>
          </w:p>
          <w:p w14:paraId="0869C345" w14:textId="77777777" w:rsidR="00AC6CAE" w:rsidRPr="00AC6CAE" w:rsidRDefault="00AC6CAE" w:rsidP="00AC6CAE">
            <w:pPr>
              <w:pStyle w:val="BodyText2"/>
              <w:rPr>
                <w:rFonts w:asciiTheme="minorHAnsi" w:hAnsiTheme="minorHAnsi"/>
                <w:i/>
                <w:lang w:val="en-GB"/>
              </w:rPr>
            </w:pPr>
            <w:r w:rsidRPr="00AC6CAE">
              <w:rPr>
                <w:rFonts w:asciiTheme="minorHAnsi" w:hAnsiTheme="minorHAnsi"/>
                <w:b/>
                <w:i/>
                <w:lang w:val="en-GB"/>
              </w:rPr>
              <w:lastRenderedPageBreak/>
              <w:t>Indicator:</w:t>
            </w:r>
            <w:r w:rsidRPr="00AC6CAE">
              <w:rPr>
                <w:rFonts w:asciiTheme="minorHAnsi" w:hAnsiTheme="minorHAnsi"/>
                <w:i/>
                <w:lang w:val="en-GB"/>
              </w:rPr>
              <w:t xml:space="preserve"> 3.3.2: Share of women in civil service, by level</w:t>
            </w:r>
          </w:p>
          <w:p w14:paraId="5C74D70D" w14:textId="77777777" w:rsidR="00AC6CAE" w:rsidRPr="00AC6CAE" w:rsidRDefault="00AC6CAE" w:rsidP="00AC6CAE">
            <w:pPr>
              <w:pStyle w:val="BodyText2"/>
              <w:rPr>
                <w:rFonts w:asciiTheme="minorHAnsi" w:hAnsiTheme="minorHAnsi"/>
                <w:i/>
                <w:lang w:val="en-GB"/>
              </w:rPr>
            </w:pPr>
            <w:r w:rsidRPr="00AC6CAE">
              <w:rPr>
                <w:rFonts w:asciiTheme="minorHAnsi" w:hAnsiTheme="minorHAnsi"/>
                <w:b/>
                <w:i/>
                <w:lang w:val="en-GB"/>
              </w:rPr>
              <w:t>Baseline:</w:t>
            </w:r>
            <w:r w:rsidRPr="00AC6CAE">
              <w:rPr>
                <w:rFonts w:asciiTheme="minorHAnsi" w:hAnsiTheme="minorHAnsi"/>
                <w:i/>
                <w:lang w:val="en-GB"/>
              </w:rPr>
              <w:t xml:space="preserve"> 2007: Administrative posts: 18%, Supplementary posts: 10% </w:t>
            </w:r>
          </w:p>
          <w:p w14:paraId="52E381E4" w14:textId="096AF547" w:rsidR="005719A3" w:rsidRPr="00920DBC" w:rsidRDefault="00AC6CAE" w:rsidP="00AC6CAE">
            <w:pPr>
              <w:pStyle w:val="BodyText2"/>
              <w:rPr>
                <w:rFonts w:asciiTheme="minorHAnsi" w:hAnsiTheme="minorHAnsi"/>
                <w:i/>
              </w:rPr>
            </w:pPr>
            <w:r w:rsidRPr="00AC6CAE">
              <w:rPr>
                <w:rFonts w:asciiTheme="minorHAnsi" w:hAnsiTheme="minorHAnsi"/>
                <w:b/>
                <w:i/>
                <w:lang w:val="en-GB"/>
              </w:rPr>
              <w:t>Target:</w:t>
            </w:r>
            <w:r w:rsidRPr="00AC6CAE">
              <w:rPr>
                <w:rFonts w:asciiTheme="minorHAnsi" w:hAnsiTheme="minorHAnsi"/>
                <w:i/>
                <w:lang w:val="en-GB"/>
              </w:rPr>
              <w:t xml:space="preserve"> Administrative posts: 30%; Supplementary posts: 50%</w:t>
            </w:r>
          </w:p>
        </w:tc>
        <w:tc>
          <w:tcPr>
            <w:tcW w:w="5490" w:type="dxa"/>
            <w:shd w:val="clear" w:color="auto" w:fill="auto"/>
          </w:tcPr>
          <w:p w14:paraId="7E9E32C2" w14:textId="7D8F314E" w:rsidR="005719A3" w:rsidRDefault="002F4AFF" w:rsidP="003468EA">
            <w:pPr>
              <w:pStyle w:val="BodyText2"/>
              <w:numPr>
                <w:ilvl w:val="2"/>
                <w:numId w:val="25"/>
              </w:numPr>
              <w:rPr>
                <w:rFonts w:asciiTheme="minorHAnsi" w:hAnsiTheme="minorHAnsi"/>
                <w:i/>
              </w:rPr>
            </w:pPr>
            <w:r>
              <w:rPr>
                <w:rFonts w:asciiTheme="minorHAnsi" w:hAnsiTheme="minorHAnsi"/>
                <w:i/>
              </w:rPr>
              <w:lastRenderedPageBreak/>
              <w:t>Year of latest data: 2014 (some progress)</w:t>
            </w:r>
          </w:p>
          <w:p w14:paraId="05537DF8" w14:textId="77777777" w:rsidR="002F4AFF" w:rsidRDefault="002F4AFF" w:rsidP="002F4AFF">
            <w:pPr>
              <w:pStyle w:val="BodyText2"/>
              <w:ind w:left="720"/>
              <w:rPr>
                <w:rFonts w:asciiTheme="minorHAnsi" w:hAnsiTheme="minorHAnsi"/>
                <w:i/>
              </w:rPr>
            </w:pPr>
            <w:r>
              <w:rPr>
                <w:rFonts w:asciiTheme="minorHAnsi" w:hAnsiTheme="minorHAnsi"/>
                <w:i/>
              </w:rPr>
              <w:t>Actual Data: 1</w:t>
            </w:r>
          </w:p>
          <w:p w14:paraId="22B129AB" w14:textId="77777777" w:rsidR="003468EA" w:rsidRDefault="003468EA" w:rsidP="002F4AFF">
            <w:pPr>
              <w:pStyle w:val="BodyText2"/>
              <w:ind w:left="720"/>
              <w:rPr>
                <w:rFonts w:asciiTheme="minorHAnsi" w:hAnsiTheme="minorHAnsi"/>
                <w:i/>
              </w:rPr>
            </w:pPr>
            <w:r w:rsidRPr="003468EA">
              <w:rPr>
                <w:rFonts w:asciiTheme="minorHAnsi" w:hAnsiTheme="minorHAnsi"/>
                <w:i/>
              </w:rPr>
              <w:t>New mobile application for e-governance portal implemented.</w:t>
            </w:r>
          </w:p>
          <w:p w14:paraId="01984078" w14:textId="77777777" w:rsidR="006F1FAB" w:rsidRDefault="006F1FAB" w:rsidP="006F1FAB">
            <w:pPr>
              <w:pStyle w:val="BodyText2"/>
              <w:rPr>
                <w:rFonts w:asciiTheme="minorHAnsi" w:hAnsiTheme="minorHAnsi"/>
                <w:i/>
              </w:rPr>
            </w:pPr>
          </w:p>
          <w:p w14:paraId="6A2A6085" w14:textId="2A039ECD" w:rsidR="006F1FAB" w:rsidRDefault="006F1FAB" w:rsidP="006F1FAB">
            <w:pPr>
              <w:pStyle w:val="BodyText2"/>
              <w:rPr>
                <w:rFonts w:asciiTheme="minorHAnsi" w:hAnsiTheme="minorHAnsi"/>
                <w:i/>
              </w:rPr>
            </w:pPr>
            <w:r>
              <w:rPr>
                <w:rFonts w:asciiTheme="minorHAnsi" w:hAnsiTheme="minorHAnsi"/>
                <w:i/>
              </w:rPr>
              <w:t>3.3.2 Year of late</w:t>
            </w:r>
            <w:r w:rsidR="0085280C">
              <w:rPr>
                <w:rFonts w:asciiTheme="minorHAnsi" w:hAnsiTheme="minorHAnsi"/>
                <w:i/>
              </w:rPr>
              <w:t>st</w:t>
            </w:r>
            <w:r>
              <w:rPr>
                <w:rFonts w:asciiTheme="minorHAnsi" w:hAnsiTheme="minorHAnsi"/>
                <w:i/>
              </w:rPr>
              <w:t xml:space="preserve"> data: 2014 (no change)</w:t>
            </w:r>
          </w:p>
          <w:p w14:paraId="148E5C4E" w14:textId="77777777" w:rsidR="006F1FAB" w:rsidRDefault="006F1FAB" w:rsidP="006F1FAB">
            <w:pPr>
              <w:pStyle w:val="BodyText2"/>
              <w:rPr>
                <w:rFonts w:asciiTheme="minorHAnsi" w:hAnsiTheme="minorHAnsi"/>
                <w:i/>
              </w:rPr>
            </w:pPr>
            <w:r>
              <w:rPr>
                <w:rFonts w:asciiTheme="minorHAnsi" w:hAnsiTheme="minorHAnsi"/>
                <w:i/>
              </w:rPr>
              <w:lastRenderedPageBreak/>
              <w:t xml:space="preserve">Actual data: 9.59 </w:t>
            </w:r>
          </w:p>
          <w:p w14:paraId="3FBE8E26" w14:textId="52C9C586" w:rsidR="006F1FAB" w:rsidRPr="00920DBC" w:rsidRDefault="006F1FAB" w:rsidP="006F1FAB">
            <w:pPr>
              <w:pStyle w:val="BodyText2"/>
              <w:rPr>
                <w:rFonts w:asciiTheme="minorHAnsi" w:hAnsiTheme="minorHAnsi"/>
                <w:i/>
              </w:rPr>
            </w:pPr>
            <w:r w:rsidRPr="006F1FAB">
              <w:rPr>
                <w:rFonts w:asciiTheme="minorHAnsi" w:hAnsiTheme="minorHAnsi"/>
                <w:i/>
              </w:rPr>
              <w:t>Database and methodology for calculating th</w:t>
            </w:r>
            <w:r>
              <w:rPr>
                <w:rFonts w:asciiTheme="minorHAnsi" w:hAnsiTheme="minorHAnsi"/>
                <w:i/>
              </w:rPr>
              <w:t xml:space="preserve">is indicator vary from year to </w:t>
            </w:r>
            <w:r w:rsidRPr="006F1FAB">
              <w:rPr>
                <w:rFonts w:asciiTheme="minorHAnsi" w:hAnsiTheme="minorHAnsi"/>
                <w:i/>
              </w:rPr>
              <w:t>year. Hence, this indicator cannot be compared in time series, and progress towards the outcome cannot be adequately assessed. According to the existing methodology and database, the share of women in administrative positions was  9.89%  in 2008 and 9.59% in 2014, and share of women in general support position was 27.95 % in 2008 and 27.16 in 2014. It should also be noted that the statistics provides data only for grades 4-7 that are the junior and mid-level of civil service.</w:t>
            </w:r>
          </w:p>
        </w:tc>
      </w:tr>
      <w:tr w:rsidR="005719A3" w:rsidRPr="00DC7354" w14:paraId="7E5D18F4" w14:textId="77777777" w:rsidTr="00C64D39">
        <w:tc>
          <w:tcPr>
            <w:tcW w:w="14040" w:type="dxa"/>
            <w:gridSpan w:val="5"/>
          </w:tcPr>
          <w:p w14:paraId="5BD2ACD3" w14:textId="3477DA61" w:rsidR="005719A3" w:rsidRPr="00837C4B" w:rsidRDefault="005719A3" w:rsidP="00C64D39">
            <w:pPr>
              <w:pStyle w:val="BodyText2"/>
              <w:rPr>
                <w:rFonts w:asciiTheme="minorHAnsi" w:hAnsiTheme="minorHAnsi"/>
                <w:b/>
              </w:rPr>
            </w:pPr>
            <w:r w:rsidRPr="00837C4B">
              <w:rPr>
                <w:rFonts w:asciiTheme="minorHAnsi" w:hAnsiTheme="minorHAnsi"/>
                <w:b/>
              </w:rPr>
              <w:lastRenderedPageBreak/>
              <w:t>UNDP Contribution:</w:t>
            </w:r>
          </w:p>
          <w:p w14:paraId="09DE130D" w14:textId="77777777" w:rsidR="005719A3" w:rsidRDefault="005719A3" w:rsidP="00C64D39">
            <w:pPr>
              <w:pStyle w:val="BodyText2"/>
              <w:rPr>
                <w:rFonts w:asciiTheme="minorHAnsi" w:hAnsiTheme="minorHAnsi"/>
              </w:rPr>
            </w:pPr>
            <w:r w:rsidRPr="00B00E5C">
              <w:rPr>
                <w:rFonts w:asciiTheme="minorHAnsi" w:hAnsiTheme="minorHAnsi"/>
                <w:u w:val="single"/>
              </w:rPr>
              <w:t>CP Outputs</w:t>
            </w:r>
            <w:r>
              <w:rPr>
                <w:rFonts w:asciiTheme="minorHAnsi" w:hAnsiTheme="minorHAnsi"/>
              </w:rPr>
              <w:t>:</w:t>
            </w:r>
          </w:p>
          <w:p w14:paraId="561534DA" w14:textId="77777777" w:rsidR="006C7592" w:rsidRDefault="006C7592" w:rsidP="00C64D39">
            <w:pPr>
              <w:pStyle w:val="BodyText2"/>
              <w:rPr>
                <w:rFonts w:asciiTheme="minorHAnsi" w:hAnsiTheme="minorHAnsi"/>
              </w:rPr>
            </w:pPr>
          </w:p>
          <w:p w14:paraId="1F4719CA" w14:textId="77777777" w:rsidR="006C7592" w:rsidRPr="006C7592" w:rsidRDefault="006C7592" w:rsidP="006C7592">
            <w:pPr>
              <w:pStyle w:val="BodyText2"/>
              <w:rPr>
                <w:rFonts w:asciiTheme="minorHAnsi" w:hAnsiTheme="minorHAnsi"/>
              </w:rPr>
            </w:pPr>
            <w:r w:rsidRPr="006C7592">
              <w:rPr>
                <w:rFonts w:asciiTheme="minorHAnsi" w:hAnsiTheme="minorHAnsi"/>
              </w:rPr>
              <w:t>3.2.1 Capacity of the Azerbaijan National Agency for Mine Action to become an International Training Centre for De-mining Activities developed</w:t>
            </w:r>
          </w:p>
          <w:p w14:paraId="05B52DA2" w14:textId="77777777" w:rsidR="006C7592" w:rsidRPr="006C7592" w:rsidRDefault="006C7592" w:rsidP="006C7592">
            <w:pPr>
              <w:pStyle w:val="BodyText2"/>
              <w:rPr>
                <w:rFonts w:asciiTheme="minorHAnsi" w:hAnsiTheme="minorHAnsi"/>
              </w:rPr>
            </w:pPr>
            <w:r w:rsidRPr="006C7592">
              <w:rPr>
                <w:rFonts w:asciiTheme="minorHAnsi" w:hAnsiTheme="minorHAnsi"/>
              </w:rPr>
              <w:t>3.2.2 System to monitor and report on SPPRSD is established in Ministry of Economic Development</w:t>
            </w:r>
          </w:p>
          <w:p w14:paraId="12A44BC3" w14:textId="77777777" w:rsidR="006C7592" w:rsidRPr="006C7592" w:rsidRDefault="006C7592" w:rsidP="006C7592">
            <w:pPr>
              <w:pStyle w:val="BodyText2"/>
              <w:rPr>
                <w:rFonts w:asciiTheme="minorHAnsi" w:hAnsiTheme="minorHAnsi"/>
              </w:rPr>
            </w:pPr>
            <w:r w:rsidRPr="006C7592">
              <w:rPr>
                <w:rFonts w:asciiTheme="minorHAnsi" w:hAnsiTheme="minorHAnsi"/>
              </w:rPr>
              <w:t xml:space="preserve">3.2.3 Capacity of Civil Service Commission under the President of Azerbaijan  for recruitment/ training/performance of civil servants improved, including through the establishment of a dedicated civil service training </w:t>
            </w:r>
            <w:proofErr w:type="spellStart"/>
            <w:r w:rsidRPr="006C7592">
              <w:rPr>
                <w:rFonts w:asciiTheme="minorHAnsi" w:hAnsiTheme="minorHAnsi"/>
              </w:rPr>
              <w:t>centre</w:t>
            </w:r>
            <w:proofErr w:type="spellEnd"/>
          </w:p>
          <w:p w14:paraId="43FB3C40" w14:textId="77777777" w:rsidR="006C7592" w:rsidRPr="006C7592" w:rsidRDefault="006C7592" w:rsidP="006C7592">
            <w:pPr>
              <w:pStyle w:val="BodyText2"/>
              <w:rPr>
                <w:rFonts w:asciiTheme="minorHAnsi" w:hAnsiTheme="minorHAnsi"/>
              </w:rPr>
            </w:pPr>
            <w:r w:rsidRPr="006C7592">
              <w:rPr>
                <w:rFonts w:asciiTheme="minorHAnsi" w:hAnsiTheme="minorHAnsi"/>
              </w:rPr>
              <w:t>3.2.4 Social insurance/ pension services enhanced through State Social Protection Fund capacity development, improved performance of automated management, and establishment of client service network</w:t>
            </w:r>
          </w:p>
          <w:p w14:paraId="184336DF" w14:textId="77777777" w:rsidR="006C7592" w:rsidRPr="006C7592" w:rsidRDefault="006C7592" w:rsidP="006C7592">
            <w:pPr>
              <w:pStyle w:val="BodyText2"/>
              <w:rPr>
                <w:rFonts w:asciiTheme="minorHAnsi" w:hAnsiTheme="minorHAnsi"/>
              </w:rPr>
            </w:pPr>
            <w:r w:rsidRPr="006C7592">
              <w:rPr>
                <w:rFonts w:asciiTheme="minorHAnsi" w:hAnsiTheme="minorHAnsi"/>
              </w:rPr>
              <w:t xml:space="preserve">3.2.5 Centralized State Register of Population with capacity to produce gender-disaggregated data established </w:t>
            </w:r>
          </w:p>
          <w:p w14:paraId="48959677" w14:textId="659CD7C2" w:rsidR="006C7592" w:rsidRDefault="006C7592" w:rsidP="006C7592">
            <w:pPr>
              <w:pStyle w:val="BodyText2"/>
              <w:rPr>
                <w:rFonts w:asciiTheme="minorHAnsi" w:hAnsiTheme="minorHAnsi"/>
              </w:rPr>
            </w:pPr>
            <w:r w:rsidRPr="006C7592">
              <w:rPr>
                <w:rFonts w:asciiTheme="minorHAnsi" w:hAnsiTheme="minorHAnsi"/>
              </w:rPr>
              <w:t>3.2.6 Capacity of Ministry of Communications and Information Technologies to provide support on data communication and transmission further strengthened</w:t>
            </w:r>
          </w:p>
          <w:p w14:paraId="069977CD" w14:textId="77777777" w:rsidR="006C7592" w:rsidRPr="00845340" w:rsidRDefault="006C7592" w:rsidP="00C64D39">
            <w:pPr>
              <w:pStyle w:val="BodyText2"/>
              <w:rPr>
                <w:rFonts w:asciiTheme="minorHAnsi" w:hAnsiTheme="minorHAnsi"/>
              </w:rPr>
            </w:pPr>
          </w:p>
          <w:p w14:paraId="5F9212F9" w14:textId="77777777" w:rsidR="005719A3" w:rsidRDefault="005719A3" w:rsidP="00C64D39">
            <w:pPr>
              <w:pStyle w:val="BodyText2"/>
              <w:rPr>
                <w:rFonts w:asciiTheme="minorHAnsi" w:hAnsiTheme="minorHAnsi"/>
              </w:rPr>
            </w:pPr>
            <w:r w:rsidRPr="009B5F0D">
              <w:rPr>
                <w:rFonts w:asciiTheme="minorHAnsi" w:hAnsiTheme="minorHAnsi"/>
                <w:u w:val="single"/>
              </w:rPr>
              <w:t>Progress and Achievements</w:t>
            </w:r>
            <w:r w:rsidRPr="009B5F0D">
              <w:rPr>
                <w:rFonts w:asciiTheme="minorHAnsi" w:hAnsiTheme="minorHAnsi"/>
              </w:rPr>
              <w:t>:</w:t>
            </w:r>
          </w:p>
          <w:p w14:paraId="649B1092" w14:textId="1B048BEF" w:rsidR="0061327C" w:rsidRDefault="0061327C" w:rsidP="0061327C">
            <w:pPr>
              <w:rPr>
                <w:rFonts w:asciiTheme="minorHAnsi" w:hAnsiTheme="minorHAnsi"/>
                <w:sz w:val="20"/>
              </w:rPr>
            </w:pPr>
            <w:r w:rsidRPr="00DF681C">
              <w:rPr>
                <w:rFonts w:asciiTheme="minorHAnsi" w:hAnsiTheme="minorHAnsi"/>
                <w:sz w:val="20"/>
              </w:rPr>
              <w:t xml:space="preserve">UNDP has contributed to the outcome level change by supporting the ASAN service delivery </w:t>
            </w:r>
            <w:proofErr w:type="spellStart"/>
            <w:r w:rsidRPr="00DF681C">
              <w:rPr>
                <w:rFonts w:asciiTheme="minorHAnsi" w:hAnsiTheme="minorHAnsi"/>
                <w:sz w:val="20"/>
              </w:rPr>
              <w:t>centre</w:t>
            </w:r>
            <w:proofErr w:type="spellEnd"/>
            <w:r w:rsidRPr="00DF681C">
              <w:rPr>
                <w:rFonts w:asciiTheme="minorHAnsi" w:hAnsiTheme="minorHAnsi"/>
                <w:sz w:val="20"/>
              </w:rPr>
              <w:t xml:space="preserve"> and continuing e-governance </w:t>
            </w:r>
            <w:proofErr w:type="spellStart"/>
            <w:r w:rsidRPr="00DF681C">
              <w:rPr>
                <w:rFonts w:asciiTheme="minorHAnsi" w:hAnsiTheme="minorHAnsi"/>
                <w:sz w:val="20"/>
              </w:rPr>
              <w:t>programme</w:t>
            </w:r>
            <w:proofErr w:type="spellEnd"/>
            <w:r w:rsidRPr="00DF681C">
              <w:rPr>
                <w:rFonts w:asciiTheme="minorHAnsi" w:hAnsiTheme="minorHAnsi"/>
                <w:sz w:val="20"/>
              </w:rPr>
              <w:t xml:space="preserve"> with multiple state partners</w:t>
            </w:r>
            <w:r w:rsidR="008F72F5">
              <w:rPr>
                <w:rFonts w:asciiTheme="minorHAnsi" w:hAnsiTheme="minorHAnsi"/>
                <w:sz w:val="20"/>
              </w:rPr>
              <w:t xml:space="preserve"> (www.asan.az)</w:t>
            </w:r>
            <w:r w:rsidRPr="00DF681C">
              <w:rPr>
                <w:rFonts w:asciiTheme="minorHAnsi" w:hAnsiTheme="minorHAnsi"/>
                <w:sz w:val="20"/>
              </w:rPr>
              <w:t xml:space="preserve">. </w:t>
            </w:r>
            <w:r w:rsidR="008F72F5">
              <w:rPr>
                <w:rFonts w:asciiTheme="minorHAnsi" w:hAnsiTheme="minorHAnsi"/>
                <w:sz w:val="20"/>
              </w:rPr>
              <w:t xml:space="preserve"> </w:t>
            </w:r>
            <w:r w:rsidRPr="00DF681C">
              <w:rPr>
                <w:rFonts w:asciiTheme="minorHAnsi" w:hAnsiTheme="minorHAnsi"/>
                <w:sz w:val="20"/>
              </w:rPr>
              <w:t>The assistance to ASAN was provided in three areas – UNDP helped set up the ‘exit-poll’ system to assess client satisfaction; advised ASAN in preparation of the Strategic Management Plan Document which outlines its future work for years to come; held preparatory works for ISO9001:2008  certification and strengthened staff capacities in working with customers.</w:t>
            </w:r>
          </w:p>
          <w:p w14:paraId="0F2522ED" w14:textId="77777777" w:rsidR="0061327C" w:rsidRDefault="0061327C" w:rsidP="0061327C">
            <w:pPr>
              <w:rPr>
                <w:rFonts w:asciiTheme="minorHAnsi" w:hAnsiTheme="minorHAnsi"/>
                <w:sz w:val="20"/>
              </w:rPr>
            </w:pPr>
          </w:p>
          <w:p w14:paraId="0142D821" w14:textId="2DAD56D5" w:rsidR="0061327C" w:rsidRPr="00DF681C" w:rsidRDefault="0061327C" w:rsidP="0061327C">
            <w:pPr>
              <w:rPr>
                <w:rFonts w:asciiTheme="minorHAnsi" w:hAnsiTheme="minorHAnsi"/>
                <w:sz w:val="20"/>
              </w:rPr>
            </w:pPr>
            <w:r w:rsidRPr="00DF681C">
              <w:rPr>
                <w:rFonts w:asciiTheme="minorHAnsi" w:hAnsiTheme="minorHAnsi"/>
                <w:sz w:val="20"/>
              </w:rPr>
              <w:t>UNDP helped to further enhance the policy environment enabling wider use of ICT for Development through the preparation of the second National ICT strategy covering 2014-2020, and by supporting data exchange and secure data storage</w:t>
            </w:r>
            <w:r w:rsidR="008F72F5">
              <w:rPr>
                <w:rFonts w:asciiTheme="minorHAnsi" w:hAnsiTheme="minorHAnsi"/>
                <w:sz w:val="20"/>
              </w:rPr>
              <w:t xml:space="preserve"> (e.g. through Data Center with regional capacities)</w:t>
            </w:r>
            <w:r w:rsidRPr="00DF681C">
              <w:rPr>
                <w:rFonts w:asciiTheme="minorHAnsi" w:hAnsiTheme="minorHAnsi"/>
                <w:sz w:val="20"/>
              </w:rPr>
              <w:t xml:space="preserve">. UNDP advised on the design of the data exchange system between customs checkpoints across the country to improve tracking of all transit cargo entering Azerbaijan, resulting in greater effectiveness and time and costs savings. </w:t>
            </w:r>
          </w:p>
          <w:p w14:paraId="511DDA0C" w14:textId="77777777" w:rsidR="0061327C" w:rsidRPr="00DF681C" w:rsidRDefault="0061327C" w:rsidP="0061327C">
            <w:pPr>
              <w:rPr>
                <w:rFonts w:asciiTheme="minorHAnsi" w:hAnsiTheme="minorHAnsi"/>
                <w:sz w:val="20"/>
              </w:rPr>
            </w:pPr>
          </w:p>
          <w:p w14:paraId="5A2F7D19" w14:textId="7EB0C1C5" w:rsidR="0061327C" w:rsidRPr="00DF681C" w:rsidRDefault="008F72F5" w:rsidP="0061327C">
            <w:pPr>
              <w:rPr>
                <w:rFonts w:asciiTheme="minorHAnsi" w:hAnsiTheme="minorHAnsi"/>
                <w:sz w:val="20"/>
              </w:rPr>
            </w:pPr>
            <w:r>
              <w:rPr>
                <w:rFonts w:asciiTheme="minorHAnsi" w:hAnsiTheme="minorHAnsi"/>
                <w:sz w:val="20"/>
              </w:rPr>
              <w:t xml:space="preserve">UNDP helped in creation of the </w:t>
            </w:r>
            <w:r w:rsidR="0061327C" w:rsidRPr="00DF681C">
              <w:rPr>
                <w:rFonts w:asciiTheme="minorHAnsi" w:hAnsiTheme="minorHAnsi"/>
                <w:sz w:val="20"/>
              </w:rPr>
              <w:t xml:space="preserve">capacity of the Azerbaijan National Agency for Mine Action to become an International Training Centre for De-mining, as evidenced by the increased number of services and trainings provided by ANAMA. </w:t>
            </w:r>
            <w:r>
              <w:rPr>
                <w:rFonts w:asciiTheme="minorHAnsi" w:hAnsiTheme="minorHAnsi"/>
                <w:sz w:val="20"/>
              </w:rPr>
              <w:t xml:space="preserve">In 2013 </w:t>
            </w:r>
            <w:r w:rsidR="0061327C" w:rsidRPr="00DF681C">
              <w:rPr>
                <w:rFonts w:asciiTheme="minorHAnsi" w:hAnsiTheme="minorHAnsi"/>
                <w:sz w:val="20"/>
              </w:rPr>
              <w:t>ANAMA, with support from UNDP, provided training to their counterparts from Georgia.</w:t>
            </w:r>
          </w:p>
          <w:p w14:paraId="6ADF1699" w14:textId="77777777" w:rsidR="0061327C" w:rsidRPr="00DF681C" w:rsidRDefault="0061327C" w:rsidP="0061327C">
            <w:pPr>
              <w:rPr>
                <w:rFonts w:asciiTheme="minorHAnsi" w:hAnsiTheme="minorHAnsi"/>
                <w:sz w:val="20"/>
              </w:rPr>
            </w:pPr>
          </w:p>
          <w:p w14:paraId="0B72E8B7" w14:textId="77777777" w:rsidR="0061327C" w:rsidRPr="00DF681C" w:rsidRDefault="0061327C" w:rsidP="0061327C">
            <w:pPr>
              <w:rPr>
                <w:rFonts w:asciiTheme="minorHAnsi" w:hAnsiTheme="minorHAnsi"/>
                <w:sz w:val="20"/>
              </w:rPr>
            </w:pPr>
            <w:r w:rsidRPr="00DF681C">
              <w:rPr>
                <w:rFonts w:asciiTheme="minorHAnsi" w:hAnsiTheme="minorHAnsi"/>
                <w:sz w:val="20"/>
              </w:rPr>
              <w:lastRenderedPageBreak/>
              <w:t>UNDP supported initiation of the establishment of a dedicated training center for civil servants by conducting a legal review and a capacity needs assessment to identify the gaps in the training system and sharing of international experiences.</w:t>
            </w:r>
          </w:p>
          <w:p w14:paraId="525674FE" w14:textId="77777777" w:rsidR="0061327C" w:rsidRPr="00DF681C" w:rsidRDefault="0061327C" w:rsidP="0061327C">
            <w:pPr>
              <w:rPr>
                <w:rFonts w:asciiTheme="minorHAnsi" w:hAnsiTheme="minorHAnsi"/>
                <w:sz w:val="20"/>
              </w:rPr>
            </w:pPr>
          </w:p>
          <w:p w14:paraId="59D31D2C" w14:textId="77777777" w:rsidR="0061327C" w:rsidRPr="00DF681C" w:rsidRDefault="0061327C" w:rsidP="0061327C">
            <w:pPr>
              <w:rPr>
                <w:rFonts w:asciiTheme="minorHAnsi" w:hAnsiTheme="minorHAnsi"/>
                <w:sz w:val="20"/>
              </w:rPr>
            </w:pPr>
            <w:r w:rsidRPr="00DF681C">
              <w:rPr>
                <w:rFonts w:asciiTheme="minorHAnsi" w:hAnsiTheme="minorHAnsi"/>
                <w:sz w:val="20"/>
              </w:rPr>
              <w:t xml:space="preserve">UNDP went beyond the initial task of setting up a State Registry of Population (completed in 2013) and supported the establishment of a single system for tracking invalid documents. The conceptual design of the registry of invalid documents was </w:t>
            </w:r>
            <w:proofErr w:type="spellStart"/>
            <w:r w:rsidRPr="00DF681C">
              <w:rPr>
                <w:rFonts w:asciiTheme="minorHAnsi" w:hAnsiTheme="minorHAnsi"/>
                <w:sz w:val="20"/>
              </w:rPr>
              <w:t>finalised</w:t>
            </w:r>
            <w:proofErr w:type="spellEnd"/>
            <w:r w:rsidRPr="00DF681C">
              <w:rPr>
                <w:rFonts w:asciiTheme="minorHAnsi" w:hAnsiTheme="minorHAnsi"/>
                <w:sz w:val="20"/>
              </w:rPr>
              <w:t xml:space="preserve">, the system was installed, a database created at the Ministry of Justice, and data exchange enabled with the Ministry of Internal Affairs, the Migration Service and the Ministry of Taxes. </w:t>
            </w:r>
          </w:p>
          <w:p w14:paraId="278D9A16" w14:textId="77777777" w:rsidR="00A22D7B" w:rsidRPr="00845340" w:rsidRDefault="00A22D7B" w:rsidP="00C64D39">
            <w:pPr>
              <w:pStyle w:val="BodyText2"/>
              <w:rPr>
                <w:rFonts w:asciiTheme="minorHAnsi" w:hAnsiTheme="minorHAnsi"/>
              </w:rPr>
            </w:pPr>
          </w:p>
        </w:tc>
      </w:tr>
    </w:tbl>
    <w:p w14:paraId="2869F838" w14:textId="77777777" w:rsidR="004B3911" w:rsidRDefault="004B3911">
      <w:pPr>
        <w:pStyle w:val="BodyText2"/>
        <w:rPr>
          <w:rFonts w:ascii="Times New Roman" w:hAnsi="Times New Roman"/>
          <w:sz w:val="24"/>
        </w:rPr>
      </w:pPr>
    </w:p>
    <w:p w14:paraId="2869F839" w14:textId="1CD6159C" w:rsidR="00E37E7A" w:rsidRPr="005474ED" w:rsidRDefault="00EA7740" w:rsidP="00E37E7A">
      <w:pPr>
        <w:pStyle w:val="BodyText2"/>
        <w:jc w:val="center"/>
        <w:rPr>
          <w:rFonts w:asciiTheme="minorHAnsi" w:hAnsiTheme="minorHAnsi"/>
          <w:sz w:val="24"/>
        </w:rPr>
      </w:pPr>
      <w:r w:rsidRPr="00EB713B">
        <w:rPr>
          <w:rFonts w:asciiTheme="minorHAnsi" w:hAnsiTheme="minorHAnsi"/>
          <w:sz w:val="24"/>
        </w:rPr>
        <w:t xml:space="preserve">III. </w:t>
      </w:r>
      <w:r w:rsidR="00673710" w:rsidRPr="00EB713B">
        <w:rPr>
          <w:rFonts w:asciiTheme="minorHAnsi" w:hAnsiTheme="minorHAnsi"/>
          <w:sz w:val="24"/>
        </w:rPr>
        <w:t xml:space="preserve">Country Program </w:t>
      </w:r>
      <w:r w:rsidR="00EB713B" w:rsidRPr="00EB713B">
        <w:rPr>
          <w:rFonts w:asciiTheme="minorHAnsi" w:hAnsiTheme="minorHAnsi"/>
          <w:sz w:val="24"/>
        </w:rPr>
        <w:t>Resources</w:t>
      </w:r>
      <w:r w:rsidR="00EB713B">
        <w:rPr>
          <w:rFonts w:asciiTheme="minorHAnsi" w:hAnsiTheme="minorHAnsi"/>
          <w:sz w:val="24"/>
        </w:rPr>
        <w:t xml:space="preserve"> (2011 – 2015)</w:t>
      </w:r>
    </w:p>
    <w:tbl>
      <w:tblPr>
        <w:tblStyle w:val="TableGrid"/>
        <w:tblW w:w="0" w:type="auto"/>
        <w:tblLook w:val="04A0" w:firstRow="1" w:lastRow="0" w:firstColumn="1" w:lastColumn="0" w:noHBand="0" w:noVBand="1"/>
      </w:tblPr>
      <w:tblGrid>
        <w:gridCol w:w="6099"/>
        <w:gridCol w:w="1869"/>
        <w:gridCol w:w="2048"/>
        <w:gridCol w:w="1960"/>
        <w:gridCol w:w="1974"/>
      </w:tblGrid>
      <w:tr w:rsidR="0015409F" w:rsidRPr="006900FE" w14:paraId="2869F83D" w14:textId="77777777" w:rsidTr="000D6DE5">
        <w:tc>
          <w:tcPr>
            <w:tcW w:w="6228" w:type="dxa"/>
            <w:shd w:val="clear" w:color="auto" w:fill="000000" w:themeFill="text1"/>
          </w:tcPr>
          <w:p w14:paraId="2869F83A" w14:textId="77777777" w:rsidR="0015409F" w:rsidRPr="006900FE" w:rsidRDefault="0015409F"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Focus Area</w:t>
            </w:r>
          </w:p>
        </w:tc>
        <w:tc>
          <w:tcPr>
            <w:tcW w:w="5940" w:type="dxa"/>
            <w:gridSpan w:val="3"/>
            <w:shd w:val="clear" w:color="auto" w:fill="000000" w:themeFill="text1"/>
          </w:tcPr>
          <w:p w14:paraId="2869F83B" w14:textId="33AC080F" w:rsidR="0015409F" w:rsidRPr="006900FE" w:rsidRDefault="000D6DE5" w:rsidP="00EB713B">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xml:space="preserve">Program </w:t>
            </w:r>
            <w:r w:rsidR="0015409F" w:rsidRPr="006900FE">
              <w:rPr>
                <w:rFonts w:asciiTheme="minorHAnsi" w:hAnsiTheme="minorHAnsi"/>
                <w:b/>
                <w:color w:val="FFFFFF" w:themeColor="background1"/>
                <w:sz w:val="24"/>
              </w:rPr>
              <w:t>Expenditure ($)</w:t>
            </w:r>
          </w:p>
        </w:tc>
        <w:tc>
          <w:tcPr>
            <w:tcW w:w="2008" w:type="dxa"/>
            <w:shd w:val="clear" w:color="auto" w:fill="000000" w:themeFill="text1"/>
          </w:tcPr>
          <w:p w14:paraId="2869F83C" w14:textId="77777777" w:rsidR="0015409F" w:rsidRPr="006900FE" w:rsidRDefault="0015409F"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of Total</w:t>
            </w:r>
          </w:p>
        </w:tc>
      </w:tr>
      <w:tr w:rsidR="000D6DE5" w:rsidRPr="006900FE" w14:paraId="2869F843" w14:textId="77777777" w:rsidTr="000D6DE5">
        <w:tc>
          <w:tcPr>
            <w:tcW w:w="6228" w:type="dxa"/>
          </w:tcPr>
          <w:p w14:paraId="2869F83E" w14:textId="77777777" w:rsidR="000D6DE5" w:rsidRPr="006900FE" w:rsidRDefault="000D6DE5" w:rsidP="00A0001A">
            <w:pPr>
              <w:pStyle w:val="BodyText2"/>
              <w:rPr>
                <w:rFonts w:asciiTheme="minorHAnsi" w:hAnsiTheme="minorHAnsi"/>
              </w:rPr>
            </w:pPr>
          </w:p>
        </w:tc>
        <w:tc>
          <w:tcPr>
            <w:tcW w:w="1890" w:type="dxa"/>
          </w:tcPr>
          <w:p w14:paraId="2869F83F"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Regular (TRAC)</w:t>
            </w:r>
          </w:p>
        </w:tc>
        <w:tc>
          <w:tcPr>
            <w:tcW w:w="2070" w:type="dxa"/>
          </w:tcPr>
          <w:p w14:paraId="2869F840"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Other</w:t>
            </w:r>
          </w:p>
        </w:tc>
        <w:tc>
          <w:tcPr>
            <w:tcW w:w="1980" w:type="dxa"/>
          </w:tcPr>
          <w:p w14:paraId="2869F841"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Total</w:t>
            </w:r>
          </w:p>
        </w:tc>
        <w:tc>
          <w:tcPr>
            <w:tcW w:w="2008" w:type="dxa"/>
          </w:tcPr>
          <w:p w14:paraId="2869F842" w14:textId="77777777" w:rsidR="000D6DE5" w:rsidRPr="006900FE" w:rsidRDefault="000D6DE5" w:rsidP="00E37E7A">
            <w:pPr>
              <w:pStyle w:val="BodyText2"/>
              <w:jc w:val="center"/>
              <w:rPr>
                <w:rFonts w:asciiTheme="minorHAnsi" w:hAnsiTheme="minorHAnsi"/>
              </w:rPr>
            </w:pPr>
          </w:p>
        </w:tc>
      </w:tr>
      <w:tr w:rsidR="00142D6C" w:rsidRPr="006900FE" w14:paraId="2869F849" w14:textId="77777777" w:rsidTr="00CC5BE4">
        <w:tc>
          <w:tcPr>
            <w:tcW w:w="6228" w:type="dxa"/>
          </w:tcPr>
          <w:p w14:paraId="2869F844" w14:textId="60FCCF01" w:rsidR="00142D6C" w:rsidRPr="006900FE" w:rsidRDefault="00142D6C" w:rsidP="00A0001A">
            <w:pPr>
              <w:pStyle w:val="BodyText2"/>
              <w:rPr>
                <w:rFonts w:asciiTheme="minorHAnsi" w:hAnsiTheme="minorHAnsi"/>
              </w:rPr>
            </w:pPr>
            <w:r w:rsidRPr="006900FE">
              <w:rPr>
                <w:rFonts w:asciiTheme="minorHAnsi" w:hAnsiTheme="minorHAnsi"/>
              </w:rPr>
              <w:t>Poverty and MDGs</w:t>
            </w:r>
          </w:p>
        </w:tc>
        <w:tc>
          <w:tcPr>
            <w:tcW w:w="1890" w:type="dxa"/>
            <w:vAlign w:val="bottom"/>
          </w:tcPr>
          <w:p w14:paraId="2869F845" w14:textId="5D9E3C31" w:rsidR="00142D6C" w:rsidRPr="006900FE" w:rsidRDefault="00142D6C" w:rsidP="00E37E7A">
            <w:pPr>
              <w:pStyle w:val="BodyText2"/>
              <w:jc w:val="center"/>
              <w:rPr>
                <w:rFonts w:asciiTheme="minorHAnsi" w:hAnsiTheme="minorHAnsi"/>
              </w:rPr>
            </w:pPr>
            <w:r>
              <w:rPr>
                <w:rFonts w:ascii="Calibri" w:hAnsi="Calibri"/>
                <w:color w:val="000000"/>
                <w:sz w:val="22"/>
                <w:szCs w:val="22"/>
              </w:rPr>
              <w:t>1,061,023</w:t>
            </w:r>
          </w:p>
        </w:tc>
        <w:tc>
          <w:tcPr>
            <w:tcW w:w="2070" w:type="dxa"/>
            <w:vAlign w:val="bottom"/>
          </w:tcPr>
          <w:p w14:paraId="2869F846" w14:textId="1A78140C" w:rsidR="00142D6C" w:rsidRPr="006900FE" w:rsidRDefault="00142D6C" w:rsidP="00E37E7A">
            <w:pPr>
              <w:pStyle w:val="BodyText2"/>
              <w:jc w:val="center"/>
              <w:rPr>
                <w:rFonts w:asciiTheme="minorHAnsi" w:hAnsiTheme="minorHAnsi"/>
              </w:rPr>
            </w:pPr>
            <w:r>
              <w:rPr>
                <w:rFonts w:ascii="Calibri" w:hAnsi="Calibri"/>
                <w:color w:val="000000"/>
                <w:sz w:val="22"/>
                <w:szCs w:val="22"/>
              </w:rPr>
              <w:t>1,133,804</w:t>
            </w:r>
          </w:p>
        </w:tc>
        <w:tc>
          <w:tcPr>
            <w:tcW w:w="1980" w:type="dxa"/>
            <w:vAlign w:val="bottom"/>
          </w:tcPr>
          <w:p w14:paraId="2869F847" w14:textId="0BA5C796"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2,194,827</w:t>
            </w:r>
          </w:p>
        </w:tc>
        <w:tc>
          <w:tcPr>
            <w:tcW w:w="2008" w:type="dxa"/>
            <w:vAlign w:val="bottom"/>
          </w:tcPr>
          <w:p w14:paraId="2869F848" w14:textId="71E673F2" w:rsidR="00142D6C" w:rsidRPr="006900FE" w:rsidRDefault="00142D6C" w:rsidP="00E37E7A">
            <w:pPr>
              <w:pStyle w:val="BodyText2"/>
              <w:jc w:val="center"/>
              <w:rPr>
                <w:rFonts w:asciiTheme="minorHAnsi" w:hAnsiTheme="minorHAnsi"/>
              </w:rPr>
            </w:pPr>
            <w:r>
              <w:rPr>
                <w:rFonts w:ascii="Calibri" w:hAnsi="Calibri"/>
                <w:color w:val="000000"/>
                <w:sz w:val="22"/>
                <w:szCs w:val="22"/>
              </w:rPr>
              <w:t>4%</w:t>
            </w:r>
          </w:p>
        </w:tc>
      </w:tr>
      <w:tr w:rsidR="00142D6C" w:rsidRPr="006900FE" w14:paraId="2869F84F" w14:textId="77777777" w:rsidTr="00CC5BE4">
        <w:tc>
          <w:tcPr>
            <w:tcW w:w="6228" w:type="dxa"/>
          </w:tcPr>
          <w:p w14:paraId="2869F84A" w14:textId="27B2E8FF" w:rsidR="00142D6C" w:rsidRPr="006900FE" w:rsidRDefault="00142D6C" w:rsidP="00A0001A">
            <w:pPr>
              <w:pStyle w:val="BodyText2"/>
              <w:rPr>
                <w:rFonts w:asciiTheme="minorHAnsi" w:hAnsiTheme="minorHAnsi"/>
              </w:rPr>
            </w:pPr>
            <w:r w:rsidRPr="006900FE">
              <w:rPr>
                <w:rFonts w:asciiTheme="minorHAnsi" w:hAnsiTheme="minorHAnsi"/>
              </w:rPr>
              <w:t>Democratic Governance</w:t>
            </w:r>
          </w:p>
        </w:tc>
        <w:tc>
          <w:tcPr>
            <w:tcW w:w="1890" w:type="dxa"/>
            <w:vAlign w:val="bottom"/>
          </w:tcPr>
          <w:p w14:paraId="2869F84B" w14:textId="15A13ABB" w:rsidR="00142D6C" w:rsidRPr="006900FE" w:rsidRDefault="00142D6C" w:rsidP="00E37E7A">
            <w:pPr>
              <w:pStyle w:val="BodyText2"/>
              <w:jc w:val="center"/>
              <w:rPr>
                <w:rFonts w:asciiTheme="minorHAnsi" w:hAnsiTheme="minorHAnsi"/>
              </w:rPr>
            </w:pPr>
            <w:r>
              <w:rPr>
                <w:rFonts w:ascii="Calibri" w:hAnsi="Calibri"/>
                <w:color w:val="000000"/>
                <w:sz w:val="22"/>
                <w:szCs w:val="22"/>
              </w:rPr>
              <w:t>2,332,897</w:t>
            </w:r>
          </w:p>
        </w:tc>
        <w:tc>
          <w:tcPr>
            <w:tcW w:w="2070" w:type="dxa"/>
            <w:vAlign w:val="bottom"/>
          </w:tcPr>
          <w:p w14:paraId="2869F84C" w14:textId="6556E555" w:rsidR="00142D6C" w:rsidRPr="006900FE" w:rsidRDefault="00142D6C" w:rsidP="00E37E7A">
            <w:pPr>
              <w:pStyle w:val="BodyText2"/>
              <w:jc w:val="center"/>
              <w:rPr>
                <w:rFonts w:asciiTheme="minorHAnsi" w:hAnsiTheme="minorHAnsi"/>
              </w:rPr>
            </w:pPr>
            <w:r>
              <w:rPr>
                <w:rFonts w:ascii="Calibri" w:hAnsi="Calibri"/>
                <w:color w:val="000000"/>
                <w:sz w:val="22"/>
                <w:szCs w:val="22"/>
              </w:rPr>
              <w:t>23,543,450</w:t>
            </w:r>
          </w:p>
        </w:tc>
        <w:tc>
          <w:tcPr>
            <w:tcW w:w="1980" w:type="dxa"/>
            <w:vAlign w:val="bottom"/>
          </w:tcPr>
          <w:p w14:paraId="2869F84D" w14:textId="51A8E012"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25,876,347</w:t>
            </w:r>
          </w:p>
        </w:tc>
        <w:tc>
          <w:tcPr>
            <w:tcW w:w="2008" w:type="dxa"/>
            <w:vAlign w:val="bottom"/>
          </w:tcPr>
          <w:p w14:paraId="2869F84E" w14:textId="56A8E57C" w:rsidR="00142D6C" w:rsidRPr="006900FE" w:rsidRDefault="00142D6C" w:rsidP="00E37E7A">
            <w:pPr>
              <w:pStyle w:val="BodyText2"/>
              <w:jc w:val="center"/>
              <w:rPr>
                <w:rFonts w:asciiTheme="minorHAnsi" w:hAnsiTheme="minorHAnsi"/>
              </w:rPr>
            </w:pPr>
            <w:r>
              <w:rPr>
                <w:rFonts w:ascii="Calibri" w:hAnsi="Calibri"/>
                <w:color w:val="000000"/>
                <w:sz w:val="22"/>
                <w:szCs w:val="22"/>
              </w:rPr>
              <w:t>51%</w:t>
            </w:r>
          </w:p>
        </w:tc>
      </w:tr>
      <w:tr w:rsidR="00142D6C" w:rsidRPr="006900FE" w14:paraId="2869F855" w14:textId="77777777" w:rsidTr="00CC5BE4">
        <w:tc>
          <w:tcPr>
            <w:tcW w:w="6228" w:type="dxa"/>
          </w:tcPr>
          <w:p w14:paraId="2869F850" w14:textId="370AB418" w:rsidR="00142D6C" w:rsidRPr="006900FE" w:rsidRDefault="00142D6C" w:rsidP="00A0001A">
            <w:pPr>
              <w:pStyle w:val="BodyText2"/>
              <w:rPr>
                <w:rFonts w:asciiTheme="minorHAnsi" w:hAnsiTheme="minorHAnsi"/>
              </w:rPr>
            </w:pPr>
            <w:r w:rsidRPr="006900FE">
              <w:rPr>
                <w:rFonts w:asciiTheme="minorHAnsi" w:hAnsiTheme="minorHAnsi"/>
              </w:rPr>
              <w:t>Crisis Prevention and Recovery</w:t>
            </w:r>
          </w:p>
        </w:tc>
        <w:tc>
          <w:tcPr>
            <w:tcW w:w="1890" w:type="dxa"/>
            <w:vAlign w:val="bottom"/>
          </w:tcPr>
          <w:p w14:paraId="2869F851" w14:textId="30ABCED7" w:rsidR="00142D6C" w:rsidRPr="006900FE" w:rsidRDefault="00142D6C" w:rsidP="00E37E7A">
            <w:pPr>
              <w:pStyle w:val="BodyText2"/>
              <w:jc w:val="center"/>
              <w:rPr>
                <w:rFonts w:asciiTheme="minorHAnsi" w:hAnsiTheme="minorHAnsi"/>
              </w:rPr>
            </w:pPr>
            <w:r>
              <w:rPr>
                <w:rFonts w:ascii="Calibri" w:hAnsi="Calibri"/>
                <w:color w:val="000000"/>
                <w:sz w:val="22"/>
                <w:szCs w:val="22"/>
              </w:rPr>
              <w:t>816,183</w:t>
            </w:r>
          </w:p>
        </w:tc>
        <w:tc>
          <w:tcPr>
            <w:tcW w:w="2070" w:type="dxa"/>
            <w:vAlign w:val="bottom"/>
          </w:tcPr>
          <w:p w14:paraId="2869F852" w14:textId="4A2AEAF1" w:rsidR="00142D6C" w:rsidRPr="006900FE" w:rsidRDefault="00142D6C" w:rsidP="00E37E7A">
            <w:pPr>
              <w:pStyle w:val="BodyText2"/>
              <w:jc w:val="center"/>
              <w:rPr>
                <w:rFonts w:asciiTheme="minorHAnsi" w:hAnsiTheme="minorHAnsi"/>
              </w:rPr>
            </w:pPr>
            <w:r>
              <w:rPr>
                <w:rFonts w:ascii="Calibri" w:hAnsi="Calibri"/>
                <w:color w:val="000000"/>
                <w:sz w:val="22"/>
                <w:szCs w:val="22"/>
              </w:rPr>
              <w:t>11,393,730</w:t>
            </w:r>
          </w:p>
        </w:tc>
        <w:tc>
          <w:tcPr>
            <w:tcW w:w="1980" w:type="dxa"/>
            <w:vAlign w:val="bottom"/>
          </w:tcPr>
          <w:p w14:paraId="2869F853" w14:textId="6B83FB69"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12,209,913</w:t>
            </w:r>
          </w:p>
        </w:tc>
        <w:tc>
          <w:tcPr>
            <w:tcW w:w="2008" w:type="dxa"/>
            <w:vAlign w:val="bottom"/>
          </w:tcPr>
          <w:p w14:paraId="2869F854" w14:textId="4150DF82" w:rsidR="00142D6C" w:rsidRPr="006900FE" w:rsidRDefault="00142D6C" w:rsidP="00E37E7A">
            <w:pPr>
              <w:pStyle w:val="BodyText2"/>
              <w:jc w:val="center"/>
              <w:rPr>
                <w:rFonts w:asciiTheme="minorHAnsi" w:hAnsiTheme="minorHAnsi"/>
              </w:rPr>
            </w:pPr>
            <w:r>
              <w:rPr>
                <w:rFonts w:ascii="Calibri" w:hAnsi="Calibri"/>
                <w:color w:val="000000"/>
                <w:sz w:val="22"/>
                <w:szCs w:val="22"/>
              </w:rPr>
              <w:t>24%</w:t>
            </w:r>
          </w:p>
        </w:tc>
      </w:tr>
      <w:tr w:rsidR="00142D6C" w:rsidRPr="006900FE" w14:paraId="2869F85B" w14:textId="77777777" w:rsidTr="00CC5BE4">
        <w:tc>
          <w:tcPr>
            <w:tcW w:w="6228" w:type="dxa"/>
          </w:tcPr>
          <w:p w14:paraId="2869F856" w14:textId="21128FE7" w:rsidR="00142D6C" w:rsidRPr="006900FE" w:rsidRDefault="00142D6C" w:rsidP="00A0001A">
            <w:pPr>
              <w:pStyle w:val="BodyText2"/>
              <w:rPr>
                <w:rFonts w:asciiTheme="minorHAnsi" w:hAnsiTheme="minorHAnsi"/>
              </w:rPr>
            </w:pPr>
            <w:r w:rsidRPr="006900FE">
              <w:rPr>
                <w:rFonts w:asciiTheme="minorHAnsi" w:hAnsiTheme="minorHAnsi"/>
              </w:rPr>
              <w:t>Environment and Sustainable Development</w:t>
            </w:r>
          </w:p>
        </w:tc>
        <w:tc>
          <w:tcPr>
            <w:tcW w:w="1890" w:type="dxa"/>
            <w:vAlign w:val="bottom"/>
          </w:tcPr>
          <w:p w14:paraId="2869F857" w14:textId="60274631" w:rsidR="00142D6C" w:rsidRPr="006900FE" w:rsidRDefault="00142D6C" w:rsidP="00E37E7A">
            <w:pPr>
              <w:pStyle w:val="BodyText2"/>
              <w:jc w:val="center"/>
              <w:rPr>
                <w:rFonts w:asciiTheme="minorHAnsi" w:hAnsiTheme="minorHAnsi"/>
              </w:rPr>
            </w:pPr>
            <w:r>
              <w:rPr>
                <w:rFonts w:ascii="Calibri" w:hAnsi="Calibri"/>
                <w:color w:val="000000"/>
                <w:sz w:val="22"/>
                <w:szCs w:val="22"/>
              </w:rPr>
              <w:t>778,943</w:t>
            </w:r>
          </w:p>
        </w:tc>
        <w:tc>
          <w:tcPr>
            <w:tcW w:w="2070" w:type="dxa"/>
            <w:vAlign w:val="bottom"/>
          </w:tcPr>
          <w:p w14:paraId="2869F858" w14:textId="5DBCA542" w:rsidR="00142D6C" w:rsidRPr="006900FE" w:rsidRDefault="00142D6C" w:rsidP="00E37E7A">
            <w:pPr>
              <w:pStyle w:val="BodyText2"/>
              <w:jc w:val="center"/>
              <w:rPr>
                <w:rFonts w:asciiTheme="minorHAnsi" w:hAnsiTheme="minorHAnsi"/>
              </w:rPr>
            </w:pPr>
            <w:r>
              <w:rPr>
                <w:rFonts w:ascii="Calibri" w:hAnsi="Calibri"/>
                <w:color w:val="000000"/>
                <w:sz w:val="22"/>
                <w:szCs w:val="22"/>
              </w:rPr>
              <w:t>9,309,686</w:t>
            </w:r>
          </w:p>
        </w:tc>
        <w:tc>
          <w:tcPr>
            <w:tcW w:w="1980" w:type="dxa"/>
            <w:vAlign w:val="bottom"/>
          </w:tcPr>
          <w:p w14:paraId="2869F859" w14:textId="291CBE8D"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10,088,628</w:t>
            </w:r>
          </w:p>
        </w:tc>
        <w:tc>
          <w:tcPr>
            <w:tcW w:w="2008" w:type="dxa"/>
            <w:vAlign w:val="bottom"/>
          </w:tcPr>
          <w:p w14:paraId="2869F85A" w14:textId="4EC6FE70" w:rsidR="00142D6C" w:rsidRPr="006900FE" w:rsidRDefault="00142D6C" w:rsidP="00E37E7A">
            <w:pPr>
              <w:pStyle w:val="BodyText2"/>
              <w:jc w:val="center"/>
              <w:rPr>
                <w:rFonts w:asciiTheme="minorHAnsi" w:hAnsiTheme="minorHAnsi"/>
              </w:rPr>
            </w:pPr>
            <w:r>
              <w:rPr>
                <w:rFonts w:ascii="Calibri" w:hAnsi="Calibri"/>
                <w:color w:val="000000"/>
                <w:sz w:val="22"/>
                <w:szCs w:val="22"/>
              </w:rPr>
              <w:t>20%</w:t>
            </w:r>
          </w:p>
        </w:tc>
      </w:tr>
      <w:tr w:rsidR="00142D6C" w:rsidRPr="006900FE" w14:paraId="2869F861" w14:textId="77777777" w:rsidTr="00CC5BE4">
        <w:tc>
          <w:tcPr>
            <w:tcW w:w="6228" w:type="dxa"/>
            <w:shd w:val="clear" w:color="auto" w:fill="00B0F0"/>
          </w:tcPr>
          <w:p w14:paraId="2869F85C" w14:textId="232CB844" w:rsidR="00142D6C" w:rsidRPr="006900FE" w:rsidRDefault="00142D6C" w:rsidP="00A0001A">
            <w:pPr>
              <w:pStyle w:val="BodyText2"/>
              <w:jc w:val="center"/>
              <w:rPr>
                <w:rFonts w:asciiTheme="minorHAnsi" w:hAnsiTheme="minorHAnsi"/>
              </w:rPr>
            </w:pPr>
            <w:r w:rsidRPr="006900FE">
              <w:rPr>
                <w:rFonts w:asciiTheme="minorHAnsi" w:hAnsiTheme="minorHAnsi"/>
              </w:rPr>
              <w:t>Total</w:t>
            </w:r>
          </w:p>
        </w:tc>
        <w:tc>
          <w:tcPr>
            <w:tcW w:w="1890" w:type="dxa"/>
            <w:shd w:val="clear" w:color="auto" w:fill="00B0F0"/>
            <w:vAlign w:val="bottom"/>
          </w:tcPr>
          <w:p w14:paraId="2869F85D" w14:textId="05A5C9D2"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4,989,045</w:t>
            </w:r>
          </w:p>
        </w:tc>
        <w:tc>
          <w:tcPr>
            <w:tcW w:w="2070" w:type="dxa"/>
            <w:shd w:val="clear" w:color="auto" w:fill="00B0F0"/>
            <w:vAlign w:val="bottom"/>
          </w:tcPr>
          <w:p w14:paraId="2869F85E" w14:textId="443C2AD8"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45,380,670</w:t>
            </w:r>
          </w:p>
        </w:tc>
        <w:tc>
          <w:tcPr>
            <w:tcW w:w="1980" w:type="dxa"/>
            <w:shd w:val="clear" w:color="auto" w:fill="00B0F0"/>
            <w:vAlign w:val="bottom"/>
          </w:tcPr>
          <w:p w14:paraId="2869F85F" w14:textId="53448B17" w:rsidR="00142D6C" w:rsidRPr="006900FE" w:rsidRDefault="00142D6C" w:rsidP="00E37E7A">
            <w:pPr>
              <w:pStyle w:val="BodyText2"/>
              <w:jc w:val="center"/>
              <w:rPr>
                <w:rFonts w:asciiTheme="minorHAnsi" w:hAnsiTheme="minorHAnsi"/>
              </w:rPr>
            </w:pPr>
            <w:r>
              <w:rPr>
                <w:rFonts w:ascii="Calibri" w:hAnsi="Calibri"/>
                <w:b/>
                <w:bCs/>
                <w:color w:val="000000"/>
                <w:sz w:val="22"/>
                <w:szCs w:val="22"/>
              </w:rPr>
              <w:t>50,369,714</w:t>
            </w:r>
          </w:p>
        </w:tc>
        <w:tc>
          <w:tcPr>
            <w:tcW w:w="2008" w:type="dxa"/>
            <w:shd w:val="clear" w:color="auto" w:fill="00B0F0"/>
            <w:vAlign w:val="bottom"/>
          </w:tcPr>
          <w:p w14:paraId="2869F860" w14:textId="0798DD68" w:rsidR="00142D6C" w:rsidRPr="006900FE" w:rsidRDefault="00142D6C" w:rsidP="00E37E7A">
            <w:pPr>
              <w:pStyle w:val="BodyText2"/>
              <w:jc w:val="center"/>
              <w:rPr>
                <w:rFonts w:asciiTheme="minorHAnsi" w:hAnsiTheme="minorHAnsi"/>
              </w:rPr>
            </w:pPr>
            <w:r w:rsidRPr="004C489D">
              <w:rPr>
                <w:rFonts w:ascii="Calibri" w:hAnsi="Calibri"/>
                <w:b/>
                <w:color w:val="000000"/>
                <w:sz w:val="22"/>
                <w:szCs w:val="22"/>
              </w:rPr>
              <w:t>100%</w:t>
            </w:r>
          </w:p>
        </w:tc>
      </w:tr>
    </w:tbl>
    <w:p w14:paraId="2869F862" w14:textId="77777777" w:rsidR="00635929" w:rsidRPr="006900FE" w:rsidRDefault="00635929" w:rsidP="002315A5">
      <w:pPr>
        <w:pStyle w:val="BodyText2"/>
        <w:rPr>
          <w:rFonts w:asciiTheme="minorHAnsi" w:hAnsiTheme="minorHAnsi"/>
          <w:sz w:val="24"/>
        </w:rPr>
      </w:pPr>
    </w:p>
    <w:tbl>
      <w:tblPr>
        <w:tblStyle w:val="TableGrid"/>
        <w:tblW w:w="0" w:type="auto"/>
        <w:tblLook w:val="04A0" w:firstRow="1" w:lastRow="0" w:firstColumn="1" w:lastColumn="0" w:noHBand="0" w:noVBand="1"/>
      </w:tblPr>
      <w:tblGrid>
        <w:gridCol w:w="13950"/>
      </w:tblGrid>
      <w:tr w:rsidR="000D57A4" w:rsidRPr="006900FE" w14:paraId="5A5F466D" w14:textId="77777777" w:rsidTr="000143F9">
        <w:tc>
          <w:tcPr>
            <w:tcW w:w="14176" w:type="dxa"/>
          </w:tcPr>
          <w:p w14:paraId="0E07C00C" w14:textId="6F608AD2" w:rsidR="000D57A4" w:rsidRPr="006900FE" w:rsidRDefault="000D57A4" w:rsidP="000143F9">
            <w:pPr>
              <w:pStyle w:val="BodyText2"/>
              <w:rPr>
                <w:rFonts w:asciiTheme="minorHAnsi" w:hAnsiTheme="minorHAnsi"/>
                <w:b/>
              </w:rPr>
            </w:pPr>
            <w:r w:rsidRPr="006900FE">
              <w:rPr>
                <w:rFonts w:asciiTheme="minorHAnsi" w:hAnsiTheme="minorHAnsi"/>
                <w:b/>
              </w:rPr>
              <w:t xml:space="preserve">Data sources:  </w:t>
            </w:r>
          </w:p>
        </w:tc>
      </w:tr>
      <w:tr w:rsidR="000D57A4" w:rsidRPr="006900FE" w14:paraId="4826DD99" w14:textId="77777777" w:rsidTr="000143F9">
        <w:tc>
          <w:tcPr>
            <w:tcW w:w="14176" w:type="dxa"/>
          </w:tcPr>
          <w:p w14:paraId="141DBB09" w14:textId="77777777" w:rsidR="000D57A4" w:rsidRDefault="000D57A4" w:rsidP="000143F9">
            <w:pPr>
              <w:pStyle w:val="BodyText2"/>
              <w:rPr>
                <w:rFonts w:asciiTheme="minorHAnsi" w:hAnsiTheme="minorHAnsi"/>
                <w:b/>
              </w:rPr>
            </w:pPr>
          </w:p>
          <w:p w14:paraId="539D1046" w14:textId="77777777" w:rsidR="000D57A4" w:rsidRPr="000143F9" w:rsidRDefault="000D57A4" w:rsidP="000143F9">
            <w:pPr>
              <w:pStyle w:val="BodyText2"/>
              <w:rPr>
                <w:rFonts w:asciiTheme="minorHAnsi" w:hAnsiTheme="minorHAnsi"/>
              </w:rPr>
            </w:pPr>
            <w:r w:rsidRPr="000143F9">
              <w:rPr>
                <w:rFonts w:asciiTheme="minorHAnsi" w:hAnsiTheme="minorHAnsi"/>
              </w:rPr>
              <w:t>Outcome Evaluation “National policies and institutions strengthened to increase private sector competitiveness, remove  trade barriers, especially for exports, while reducing vulnerability of the economy and population to external shocks”, 2014</w:t>
            </w:r>
          </w:p>
          <w:p w14:paraId="4B863C9F" w14:textId="77777777" w:rsidR="000D57A4" w:rsidRPr="000143F9" w:rsidRDefault="000D57A4" w:rsidP="000143F9">
            <w:pPr>
              <w:pStyle w:val="BodyText2"/>
              <w:rPr>
                <w:rFonts w:asciiTheme="minorHAnsi" w:hAnsiTheme="minorHAnsi"/>
              </w:rPr>
            </w:pPr>
          </w:p>
          <w:p w14:paraId="77D08EE1" w14:textId="77777777" w:rsidR="000D57A4" w:rsidRPr="000143F9" w:rsidRDefault="000D57A4" w:rsidP="000143F9">
            <w:pPr>
              <w:pStyle w:val="BodyText2"/>
              <w:rPr>
                <w:rFonts w:asciiTheme="minorHAnsi" w:hAnsiTheme="minorHAnsi"/>
              </w:rPr>
            </w:pPr>
            <w:r w:rsidRPr="000143F9">
              <w:rPr>
                <w:rFonts w:asciiTheme="minorHAnsi" w:hAnsiTheme="minorHAnsi"/>
              </w:rPr>
              <w:t>Outcome Evaluation “National strategies, policies, capacity to address regional and gender disparities in work opportunities strengthened, with focus on increasing the ability of vulnerable groups to manage and mitigate risks “,  2014</w:t>
            </w:r>
          </w:p>
          <w:p w14:paraId="170635E4" w14:textId="77777777" w:rsidR="000D57A4" w:rsidRPr="000143F9" w:rsidRDefault="000D57A4" w:rsidP="000143F9">
            <w:pPr>
              <w:pStyle w:val="BodyText2"/>
              <w:rPr>
                <w:rFonts w:asciiTheme="minorHAnsi" w:hAnsiTheme="minorHAnsi"/>
              </w:rPr>
            </w:pPr>
          </w:p>
          <w:p w14:paraId="644E31BC" w14:textId="77777777" w:rsidR="000D57A4" w:rsidRPr="000143F9" w:rsidRDefault="000D57A4" w:rsidP="000143F9">
            <w:pPr>
              <w:pStyle w:val="BodyText2"/>
              <w:rPr>
                <w:rFonts w:asciiTheme="minorHAnsi" w:hAnsiTheme="minorHAnsi"/>
              </w:rPr>
            </w:pPr>
            <w:r w:rsidRPr="000143F9">
              <w:rPr>
                <w:rFonts w:asciiTheme="minorHAnsi" w:hAnsiTheme="minorHAnsi"/>
              </w:rPr>
              <w:t>Outcome Evaluation “Efficiency, accountability and transparency in public administration enhanced through capacity development of State entities, including gender sensitive approaches “, 2013</w:t>
            </w:r>
          </w:p>
          <w:p w14:paraId="26D6E532" w14:textId="77777777" w:rsidR="000D57A4" w:rsidRPr="000143F9" w:rsidRDefault="000D57A4" w:rsidP="000143F9">
            <w:pPr>
              <w:pStyle w:val="BodyText2"/>
              <w:rPr>
                <w:rFonts w:asciiTheme="minorHAnsi" w:hAnsiTheme="minorHAnsi"/>
              </w:rPr>
            </w:pPr>
          </w:p>
          <w:p w14:paraId="1D237839" w14:textId="77777777" w:rsidR="000D57A4" w:rsidRPr="000143F9" w:rsidRDefault="000D57A4" w:rsidP="000143F9">
            <w:pPr>
              <w:pStyle w:val="BodyText2"/>
              <w:rPr>
                <w:rFonts w:asciiTheme="minorHAnsi" w:hAnsiTheme="minorHAnsi"/>
              </w:rPr>
            </w:pPr>
            <w:r w:rsidRPr="000143F9">
              <w:rPr>
                <w:rFonts w:asciiTheme="minorHAnsi" w:hAnsiTheme="minorHAnsi"/>
              </w:rPr>
              <w:t xml:space="preserve">Project Evaluation “Capacity </w:t>
            </w:r>
            <w:proofErr w:type="spellStart"/>
            <w:r w:rsidRPr="000143F9">
              <w:rPr>
                <w:rFonts w:asciiTheme="minorHAnsi" w:hAnsiTheme="minorHAnsi"/>
              </w:rPr>
              <w:t>Buidling</w:t>
            </w:r>
            <w:proofErr w:type="spellEnd"/>
            <w:r w:rsidRPr="000143F9">
              <w:rPr>
                <w:rFonts w:asciiTheme="minorHAnsi" w:hAnsiTheme="minorHAnsi"/>
              </w:rPr>
              <w:t xml:space="preserve"> for the State Social Protection Fund” , 2011 </w:t>
            </w:r>
          </w:p>
          <w:p w14:paraId="74C7DA00" w14:textId="77777777" w:rsidR="000D57A4" w:rsidRPr="000143F9" w:rsidRDefault="000D57A4" w:rsidP="000143F9">
            <w:pPr>
              <w:pStyle w:val="BodyText2"/>
              <w:rPr>
                <w:rFonts w:asciiTheme="minorHAnsi" w:hAnsiTheme="minorHAnsi"/>
              </w:rPr>
            </w:pPr>
          </w:p>
          <w:p w14:paraId="32033427" w14:textId="77777777" w:rsidR="000D57A4" w:rsidRPr="000143F9" w:rsidRDefault="000D57A4" w:rsidP="000143F9">
            <w:pPr>
              <w:pStyle w:val="BodyText2"/>
              <w:rPr>
                <w:rFonts w:asciiTheme="minorHAnsi" w:hAnsiTheme="minorHAnsi"/>
              </w:rPr>
            </w:pPr>
            <w:r w:rsidRPr="000143F9">
              <w:rPr>
                <w:rFonts w:asciiTheme="minorHAnsi" w:hAnsiTheme="minorHAnsi"/>
              </w:rPr>
              <w:t>Project Evaluation “Institutional Support to the Ministry of Culture and Tourism to facilitate effective development of domestic tourism in Azerbaijan”, 2012</w:t>
            </w:r>
          </w:p>
          <w:p w14:paraId="3FF48346" w14:textId="77777777" w:rsidR="000D57A4" w:rsidRPr="000143F9" w:rsidRDefault="000D57A4" w:rsidP="000143F9">
            <w:pPr>
              <w:pStyle w:val="BodyText2"/>
              <w:rPr>
                <w:rFonts w:asciiTheme="minorHAnsi" w:hAnsiTheme="minorHAnsi"/>
              </w:rPr>
            </w:pPr>
          </w:p>
          <w:p w14:paraId="225CFCBB" w14:textId="77777777" w:rsidR="000D57A4" w:rsidRPr="000143F9" w:rsidRDefault="000D57A4" w:rsidP="000143F9">
            <w:pPr>
              <w:pStyle w:val="BodyText2"/>
              <w:rPr>
                <w:rFonts w:asciiTheme="minorHAnsi" w:hAnsiTheme="minorHAnsi"/>
              </w:rPr>
            </w:pPr>
            <w:r w:rsidRPr="000143F9">
              <w:rPr>
                <w:rFonts w:asciiTheme="minorHAnsi" w:hAnsiTheme="minorHAnsi"/>
              </w:rPr>
              <w:t>Project Evaluation “Establishment and Development of the State Register of Population of the Republic of Azerbaijan”, 2012</w:t>
            </w:r>
          </w:p>
          <w:p w14:paraId="645865C7" w14:textId="77777777" w:rsidR="000D57A4" w:rsidRPr="000143F9" w:rsidRDefault="000D57A4" w:rsidP="000143F9">
            <w:pPr>
              <w:pStyle w:val="BodyText2"/>
              <w:rPr>
                <w:rFonts w:asciiTheme="minorHAnsi" w:hAnsiTheme="minorHAnsi"/>
              </w:rPr>
            </w:pPr>
          </w:p>
          <w:p w14:paraId="2E4566F3" w14:textId="77777777" w:rsidR="000D57A4" w:rsidRPr="000143F9" w:rsidRDefault="000D57A4" w:rsidP="000143F9">
            <w:pPr>
              <w:pStyle w:val="BodyText2"/>
              <w:rPr>
                <w:rFonts w:asciiTheme="minorHAnsi" w:hAnsiTheme="minorHAnsi"/>
              </w:rPr>
            </w:pPr>
            <w:r w:rsidRPr="000143F9">
              <w:rPr>
                <w:rFonts w:asciiTheme="minorHAnsi" w:hAnsiTheme="minorHAnsi"/>
              </w:rPr>
              <w:t>Project Evaluation “Strengthening the capacity of educational Institutions for teaching and applying human development concepts”, 2013</w:t>
            </w:r>
          </w:p>
          <w:p w14:paraId="378B4215" w14:textId="77777777" w:rsidR="000D57A4" w:rsidRPr="000143F9" w:rsidRDefault="000D57A4" w:rsidP="000143F9">
            <w:pPr>
              <w:pStyle w:val="BodyText2"/>
              <w:rPr>
                <w:rFonts w:asciiTheme="minorHAnsi" w:hAnsiTheme="minorHAnsi"/>
              </w:rPr>
            </w:pPr>
          </w:p>
          <w:p w14:paraId="7472F63E" w14:textId="77777777" w:rsidR="000D57A4" w:rsidRPr="000143F9" w:rsidRDefault="000D57A4" w:rsidP="000143F9">
            <w:pPr>
              <w:pStyle w:val="BodyText2"/>
              <w:rPr>
                <w:rFonts w:asciiTheme="minorHAnsi" w:hAnsiTheme="minorHAnsi"/>
              </w:rPr>
            </w:pPr>
            <w:r w:rsidRPr="000143F9">
              <w:rPr>
                <w:rFonts w:asciiTheme="minorHAnsi" w:hAnsiTheme="minorHAnsi"/>
              </w:rPr>
              <w:t xml:space="preserve">Project Evaluation “ Promoting Development of Sustainable Energy in Azerbaijan“, 2014 </w:t>
            </w:r>
          </w:p>
          <w:p w14:paraId="795DA7D3" w14:textId="77777777" w:rsidR="000D57A4" w:rsidRPr="000143F9" w:rsidRDefault="000D57A4" w:rsidP="000143F9">
            <w:pPr>
              <w:pStyle w:val="BodyText2"/>
              <w:rPr>
                <w:rFonts w:asciiTheme="minorHAnsi" w:hAnsiTheme="minorHAnsi"/>
              </w:rPr>
            </w:pPr>
          </w:p>
          <w:p w14:paraId="70D65E8F" w14:textId="77777777" w:rsidR="000D57A4" w:rsidRPr="000143F9" w:rsidRDefault="000D57A4" w:rsidP="000143F9">
            <w:pPr>
              <w:pStyle w:val="BodyText2"/>
              <w:rPr>
                <w:rFonts w:asciiTheme="minorHAnsi" w:hAnsiTheme="minorHAnsi"/>
              </w:rPr>
            </w:pPr>
            <w:r w:rsidRPr="000143F9">
              <w:rPr>
                <w:rFonts w:asciiTheme="minorHAnsi" w:hAnsiTheme="minorHAnsi"/>
              </w:rPr>
              <w:t>ROARs, 2011-2014</w:t>
            </w:r>
          </w:p>
          <w:p w14:paraId="6AF68636" w14:textId="77777777" w:rsidR="000D57A4" w:rsidRPr="000143F9" w:rsidRDefault="000D57A4" w:rsidP="000143F9">
            <w:pPr>
              <w:pStyle w:val="BodyText2"/>
              <w:rPr>
                <w:rFonts w:asciiTheme="minorHAnsi" w:hAnsiTheme="minorHAnsi"/>
              </w:rPr>
            </w:pPr>
          </w:p>
          <w:p w14:paraId="0E87C5F9" w14:textId="32B47A11" w:rsidR="000D57A4" w:rsidRPr="000143F9" w:rsidRDefault="000D57A4" w:rsidP="000143F9">
            <w:pPr>
              <w:pStyle w:val="BodyText2"/>
              <w:rPr>
                <w:rFonts w:asciiTheme="minorHAnsi" w:hAnsiTheme="minorHAnsi"/>
              </w:rPr>
            </w:pPr>
            <w:r w:rsidRPr="000143F9">
              <w:rPr>
                <w:rFonts w:asciiTheme="minorHAnsi" w:hAnsiTheme="minorHAnsi"/>
              </w:rPr>
              <w:t xml:space="preserve">Baku Commitments </w:t>
            </w:r>
            <w:r>
              <w:rPr>
                <w:rFonts w:asciiTheme="minorHAnsi" w:hAnsiTheme="minorHAnsi"/>
              </w:rPr>
              <w:t>to</w:t>
            </w:r>
            <w:r w:rsidRPr="000143F9">
              <w:rPr>
                <w:rFonts w:asciiTheme="minorHAnsi" w:hAnsiTheme="minorHAnsi"/>
              </w:rPr>
              <w:t xml:space="preserve"> Youth</w:t>
            </w:r>
            <w:r>
              <w:rPr>
                <w:rFonts w:asciiTheme="minorHAnsi" w:hAnsiTheme="minorHAnsi"/>
              </w:rPr>
              <w:t xml:space="preserve"> Policies</w:t>
            </w:r>
            <w:r w:rsidRPr="000143F9">
              <w:rPr>
                <w:rFonts w:asciiTheme="minorHAnsi" w:hAnsiTheme="minorHAnsi"/>
              </w:rPr>
              <w:t xml:space="preserve">, </w:t>
            </w:r>
            <w:hyperlink r:id="rId15" w:history="1">
              <w:r w:rsidRPr="00640892">
                <w:rPr>
                  <w:rStyle w:val="Hyperlink"/>
                  <w:rFonts w:asciiTheme="minorHAnsi" w:hAnsiTheme="minorHAnsi"/>
                </w:rPr>
                <w:t>http://youthpolicyforum.org/documents/commitment.pdf</w:t>
              </w:r>
            </w:hyperlink>
            <w:r w:rsidRPr="00640892">
              <w:rPr>
                <w:rFonts w:asciiTheme="minorHAnsi" w:hAnsiTheme="minorHAnsi"/>
              </w:rPr>
              <w:t xml:space="preserve"> </w:t>
            </w:r>
          </w:p>
          <w:p w14:paraId="09C29AC8" w14:textId="77777777" w:rsidR="000D57A4" w:rsidRPr="000143F9" w:rsidRDefault="000D57A4" w:rsidP="000143F9">
            <w:pPr>
              <w:pStyle w:val="BodyText2"/>
              <w:rPr>
                <w:rFonts w:asciiTheme="minorHAnsi" w:hAnsiTheme="minorHAnsi"/>
              </w:rPr>
            </w:pPr>
          </w:p>
          <w:p w14:paraId="09B89C6A" w14:textId="77777777" w:rsidR="000D57A4" w:rsidRPr="000143F9" w:rsidRDefault="000D57A4" w:rsidP="000143F9">
            <w:pPr>
              <w:pStyle w:val="BodyText2"/>
              <w:rPr>
                <w:rFonts w:asciiTheme="minorHAnsi" w:hAnsiTheme="minorHAnsi"/>
              </w:rPr>
            </w:pPr>
            <w:r w:rsidRPr="000143F9">
              <w:rPr>
                <w:rFonts w:asciiTheme="minorHAnsi" w:hAnsiTheme="minorHAnsi"/>
              </w:rPr>
              <w:t xml:space="preserve">State Statistics Committee, </w:t>
            </w:r>
            <w:hyperlink r:id="rId16" w:history="1">
              <w:r w:rsidRPr="000143F9">
                <w:rPr>
                  <w:rStyle w:val="Hyperlink"/>
                  <w:rFonts w:asciiTheme="minorHAnsi" w:hAnsiTheme="minorHAnsi"/>
                </w:rPr>
                <w:t>www.stat.gov.az</w:t>
              </w:r>
            </w:hyperlink>
          </w:p>
          <w:p w14:paraId="0A553300" w14:textId="77777777" w:rsidR="000D57A4" w:rsidRPr="000143F9" w:rsidRDefault="000D57A4" w:rsidP="000143F9">
            <w:pPr>
              <w:pStyle w:val="BodyText2"/>
              <w:rPr>
                <w:rFonts w:asciiTheme="minorHAnsi" w:hAnsiTheme="minorHAnsi"/>
              </w:rPr>
            </w:pPr>
          </w:p>
          <w:p w14:paraId="01924C17" w14:textId="77777777" w:rsidR="000D57A4" w:rsidRPr="000143F9" w:rsidRDefault="000D57A4" w:rsidP="000143F9">
            <w:pPr>
              <w:pStyle w:val="BodyText2"/>
              <w:rPr>
                <w:rFonts w:asciiTheme="minorHAnsi" w:hAnsiTheme="minorHAnsi"/>
              </w:rPr>
            </w:pPr>
            <w:r w:rsidRPr="000143F9">
              <w:rPr>
                <w:rFonts w:asciiTheme="minorHAnsi" w:hAnsiTheme="minorHAnsi"/>
              </w:rPr>
              <w:t>State Civil Servants Registry</w:t>
            </w:r>
          </w:p>
          <w:p w14:paraId="647DAD99" w14:textId="77777777" w:rsidR="000D57A4" w:rsidRPr="000143F9" w:rsidRDefault="000D57A4" w:rsidP="000143F9">
            <w:pPr>
              <w:pStyle w:val="BodyText2"/>
              <w:rPr>
                <w:rFonts w:asciiTheme="minorHAnsi" w:hAnsiTheme="minorHAnsi"/>
              </w:rPr>
            </w:pPr>
          </w:p>
          <w:p w14:paraId="4479BCF8" w14:textId="77777777" w:rsidR="000D57A4" w:rsidRPr="000143F9" w:rsidRDefault="000D57A4" w:rsidP="000143F9">
            <w:pPr>
              <w:pStyle w:val="BodyText2"/>
              <w:rPr>
                <w:rFonts w:asciiTheme="minorHAnsi" w:hAnsiTheme="minorHAnsi"/>
              </w:rPr>
            </w:pPr>
            <w:r w:rsidRPr="000143F9">
              <w:rPr>
                <w:rFonts w:asciiTheme="minorHAnsi" w:hAnsiTheme="minorHAnsi"/>
              </w:rPr>
              <w:t>NGO Sustainability Index, USAID, http://www.usaid.gov/sites/default/files/documents/1863/E%26E%202013%20CSOSI%20Final%2010-29-14.pdf</w:t>
            </w:r>
          </w:p>
          <w:p w14:paraId="0D535B1A" w14:textId="77777777" w:rsidR="000D57A4" w:rsidRPr="000143F9" w:rsidRDefault="000D57A4" w:rsidP="000143F9">
            <w:pPr>
              <w:pStyle w:val="BodyText2"/>
              <w:rPr>
                <w:rFonts w:asciiTheme="minorHAnsi" w:hAnsiTheme="minorHAnsi"/>
              </w:rPr>
            </w:pPr>
          </w:p>
          <w:p w14:paraId="51DAA23A" w14:textId="77777777" w:rsidR="000D57A4" w:rsidRPr="000143F9" w:rsidRDefault="000D57A4" w:rsidP="000143F9">
            <w:pPr>
              <w:pStyle w:val="BodyText2"/>
              <w:rPr>
                <w:rFonts w:asciiTheme="minorHAnsi" w:hAnsiTheme="minorHAnsi"/>
              </w:rPr>
            </w:pPr>
            <w:r w:rsidRPr="000143F9">
              <w:rPr>
                <w:rFonts w:asciiTheme="minorHAnsi" w:hAnsiTheme="minorHAnsi"/>
              </w:rPr>
              <w:t xml:space="preserve">E-government portal, </w:t>
            </w:r>
            <w:hyperlink r:id="rId17" w:history="1">
              <w:r w:rsidRPr="000143F9">
                <w:rPr>
                  <w:rStyle w:val="Hyperlink"/>
                  <w:rFonts w:asciiTheme="minorHAnsi" w:hAnsiTheme="minorHAnsi"/>
                </w:rPr>
                <w:t>www.e-gov.az</w:t>
              </w:r>
            </w:hyperlink>
            <w:r w:rsidRPr="000143F9">
              <w:rPr>
                <w:rFonts w:asciiTheme="minorHAnsi" w:hAnsiTheme="minorHAnsi"/>
              </w:rPr>
              <w:t xml:space="preserve"> </w:t>
            </w:r>
          </w:p>
          <w:p w14:paraId="4B8E643C" w14:textId="77777777" w:rsidR="000D57A4" w:rsidRPr="000143F9" w:rsidRDefault="000D57A4" w:rsidP="000143F9">
            <w:pPr>
              <w:pStyle w:val="BodyText2"/>
              <w:rPr>
                <w:rFonts w:asciiTheme="minorHAnsi" w:hAnsiTheme="minorHAnsi"/>
              </w:rPr>
            </w:pPr>
          </w:p>
          <w:p w14:paraId="30A8317B" w14:textId="77777777" w:rsidR="000D57A4" w:rsidRPr="000143F9" w:rsidRDefault="000D57A4" w:rsidP="000143F9">
            <w:pPr>
              <w:pStyle w:val="BodyText2"/>
              <w:rPr>
                <w:rFonts w:asciiTheme="minorHAnsi" w:hAnsiTheme="minorHAnsi"/>
              </w:rPr>
            </w:pPr>
          </w:p>
          <w:p w14:paraId="3F7F13CD" w14:textId="77777777" w:rsidR="000D57A4" w:rsidRPr="006900FE" w:rsidRDefault="000D57A4" w:rsidP="000143F9">
            <w:pPr>
              <w:pStyle w:val="BodyText2"/>
              <w:rPr>
                <w:rFonts w:asciiTheme="minorHAnsi" w:hAnsiTheme="minorHAnsi"/>
                <w:b/>
              </w:rPr>
            </w:pPr>
          </w:p>
          <w:p w14:paraId="09276A54" w14:textId="77777777" w:rsidR="000D57A4" w:rsidRPr="006900FE" w:rsidRDefault="000D57A4" w:rsidP="000143F9">
            <w:pPr>
              <w:pStyle w:val="BodyText2"/>
              <w:rPr>
                <w:rFonts w:asciiTheme="minorHAnsi" w:hAnsiTheme="minorHAnsi"/>
                <w:b/>
              </w:rPr>
            </w:pPr>
          </w:p>
        </w:tc>
      </w:tr>
    </w:tbl>
    <w:p w14:paraId="2869F86B" w14:textId="77777777" w:rsidR="00635929" w:rsidRDefault="00635929" w:rsidP="005E0C05">
      <w:pPr>
        <w:pStyle w:val="BodyText2"/>
        <w:rPr>
          <w:rFonts w:ascii="Times New Roman" w:hAnsi="Times New Roman"/>
          <w:sz w:val="24"/>
        </w:rPr>
      </w:pPr>
    </w:p>
    <w:sectPr w:rsidR="00635929" w:rsidSect="0037523B">
      <w:footerReference w:type="default" r:id="rId18"/>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8CA6" w14:textId="77777777" w:rsidR="00B53984" w:rsidRDefault="00B53984">
      <w:r>
        <w:separator/>
      </w:r>
    </w:p>
  </w:endnote>
  <w:endnote w:type="continuationSeparator" w:id="0">
    <w:p w14:paraId="6CE9F508" w14:textId="77777777" w:rsidR="00B53984" w:rsidRDefault="00B5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798C7" w14:textId="77777777" w:rsidR="0079480A" w:rsidRDefault="0079480A">
    <w:pPr>
      <w:pStyle w:val="Footer"/>
      <w:jc w:val="center"/>
    </w:pPr>
    <w:r>
      <w:fldChar w:fldCharType="begin"/>
    </w:r>
    <w:r>
      <w:instrText xml:space="preserve"> PAGE   \* MERGEFORMAT </w:instrText>
    </w:r>
    <w:r>
      <w:fldChar w:fldCharType="separate"/>
    </w:r>
    <w:r w:rsidR="009267D1">
      <w:rPr>
        <w:noProof/>
      </w:rPr>
      <w:t>1</w:t>
    </w:r>
    <w:r>
      <w:rPr>
        <w:noProof/>
      </w:rPr>
      <w:fldChar w:fldCharType="end"/>
    </w:r>
  </w:p>
  <w:p w14:paraId="532CE687" w14:textId="77777777" w:rsidR="0079480A" w:rsidRDefault="00794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07"/>
      <w:docPartObj>
        <w:docPartGallery w:val="Page Numbers (Bottom of Page)"/>
        <w:docPartUnique/>
      </w:docPartObj>
    </w:sdtPr>
    <w:sdtEndPr/>
    <w:sdtContent>
      <w:p w14:paraId="2869F871" w14:textId="77777777" w:rsidR="00A210CD" w:rsidRDefault="00B91215">
        <w:pPr>
          <w:pStyle w:val="Footer"/>
          <w:jc w:val="center"/>
        </w:pPr>
        <w:r>
          <w:fldChar w:fldCharType="begin"/>
        </w:r>
        <w:r>
          <w:instrText xml:space="preserve"> PAGE   \* MERGEFORMAT </w:instrText>
        </w:r>
        <w:r>
          <w:fldChar w:fldCharType="separate"/>
        </w:r>
        <w:r w:rsidR="009267D1">
          <w:rPr>
            <w:noProof/>
          </w:rPr>
          <w:t>9</w:t>
        </w:r>
        <w:r>
          <w:rPr>
            <w:noProof/>
          </w:rPr>
          <w:fldChar w:fldCharType="end"/>
        </w:r>
      </w:p>
    </w:sdtContent>
  </w:sdt>
  <w:p w14:paraId="2869F872" w14:textId="77777777" w:rsidR="00A210CD" w:rsidRDefault="00A21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63F4D" w14:textId="77777777" w:rsidR="00B53984" w:rsidRDefault="00B53984">
      <w:r>
        <w:separator/>
      </w:r>
    </w:p>
  </w:footnote>
  <w:footnote w:type="continuationSeparator" w:id="0">
    <w:p w14:paraId="10960BE2" w14:textId="77777777" w:rsidR="00B53984" w:rsidRDefault="00B53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B520F"/>
    <w:multiLevelType w:val="multilevel"/>
    <w:tmpl w:val="B7C8F388"/>
    <w:lvl w:ilvl="0">
      <w:start w:val="1"/>
      <w:numFmt w:val="decimal"/>
      <w:lvlText w:val="%1"/>
      <w:lvlJc w:val="left"/>
      <w:pPr>
        <w:ind w:left="400" w:hanging="400"/>
      </w:pPr>
      <w:rPr>
        <w:rFonts w:hint="default"/>
      </w:rPr>
    </w:lvl>
    <w:lvl w:ilvl="1">
      <w:start w:val="2"/>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37B02"/>
    <w:multiLevelType w:val="multilevel"/>
    <w:tmpl w:val="83748C56"/>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B211164"/>
    <w:multiLevelType w:val="multilevel"/>
    <w:tmpl w:val="9FD6786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2"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416CC"/>
    <w:multiLevelType w:val="multilevel"/>
    <w:tmpl w:val="8EAA8756"/>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D3BAF"/>
    <w:multiLevelType w:val="multilevel"/>
    <w:tmpl w:val="D6C84B7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8816A97"/>
    <w:multiLevelType w:val="multilevel"/>
    <w:tmpl w:val="041CF5EE"/>
    <w:lvl w:ilvl="0">
      <w:start w:val="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E8053F"/>
    <w:multiLevelType w:val="multilevel"/>
    <w:tmpl w:val="D2E08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466A7E"/>
    <w:multiLevelType w:val="hybridMultilevel"/>
    <w:tmpl w:val="D3528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9627688"/>
    <w:multiLevelType w:val="multilevel"/>
    <w:tmpl w:val="28FA5AD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
  </w:num>
  <w:num w:numId="3">
    <w:abstractNumId w:val="7"/>
  </w:num>
  <w:num w:numId="4">
    <w:abstractNumId w:val="4"/>
  </w:num>
  <w:num w:numId="5">
    <w:abstractNumId w:val="15"/>
  </w:num>
  <w:num w:numId="6">
    <w:abstractNumId w:val="17"/>
  </w:num>
  <w:num w:numId="7">
    <w:abstractNumId w:val="3"/>
  </w:num>
  <w:num w:numId="8">
    <w:abstractNumId w:val="16"/>
  </w:num>
  <w:num w:numId="9">
    <w:abstractNumId w:val="5"/>
  </w:num>
  <w:num w:numId="10">
    <w:abstractNumId w:val="9"/>
  </w:num>
  <w:num w:numId="11">
    <w:abstractNumId w:val="24"/>
  </w:num>
  <w:num w:numId="12">
    <w:abstractNumId w:val="12"/>
  </w:num>
  <w:num w:numId="13">
    <w:abstractNumId w:val="14"/>
  </w:num>
  <w:num w:numId="14">
    <w:abstractNumId w:val="8"/>
  </w:num>
  <w:num w:numId="15">
    <w:abstractNumId w:val="0"/>
  </w:num>
  <w:num w:numId="16">
    <w:abstractNumId w:val="19"/>
  </w:num>
  <w:num w:numId="17">
    <w:abstractNumId w:val="18"/>
  </w:num>
  <w:num w:numId="18">
    <w:abstractNumId w:val="22"/>
  </w:num>
  <w:num w:numId="19">
    <w:abstractNumId w:val="23"/>
  </w:num>
  <w:num w:numId="20">
    <w:abstractNumId w:val="1"/>
  </w:num>
  <w:num w:numId="21">
    <w:abstractNumId w:val="20"/>
  </w:num>
  <w:num w:numId="22">
    <w:abstractNumId w:val="13"/>
  </w:num>
  <w:num w:numId="23">
    <w:abstractNumId w:val="6"/>
  </w:num>
  <w:num w:numId="24">
    <w:abstractNumId w:val="21"/>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7461"/>
    <w:rsid w:val="000079CC"/>
    <w:rsid w:val="00011A63"/>
    <w:rsid w:val="0001327A"/>
    <w:rsid w:val="00025811"/>
    <w:rsid w:val="000419B6"/>
    <w:rsid w:val="000502AD"/>
    <w:rsid w:val="000823AC"/>
    <w:rsid w:val="000A049E"/>
    <w:rsid w:val="000B4A0C"/>
    <w:rsid w:val="000C09B4"/>
    <w:rsid w:val="000C1729"/>
    <w:rsid w:val="000C4457"/>
    <w:rsid w:val="000D57A4"/>
    <w:rsid w:val="000D6DE5"/>
    <w:rsid w:val="000E110E"/>
    <w:rsid w:val="000E473D"/>
    <w:rsid w:val="000F77FD"/>
    <w:rsid w:val="0010160D"/>
    <w:rsid w:val="001032AD"/>
    <w:rsid w:val="001279F9"/>
    <w:rsid w:val="001417B6"/>
    <w:rsid w:val="00142D6C"/>
    <w:rsid w:val="0015409F"/>
    <w:rsid w:val="0015507A"/>
    <w:rsid w:val="00156DBF"/>
    <w:rsid w:val="00157815"/>
    <w:rsid w:val="00160A0A"/>
    <w:rsid w:val="001663A4"/>
    <w:rsid w:val="00167DA9"/>
    <w:rsid w:val="00176076"/>
    <w:rsid w:val="0018561B"/>
    <w:rsid w:val="00191BAC"/>
    <w:rsid w:val="00192C9E"/>
    <w:rsid w:val="00193B5C"/>
    <w:rsid w:val="001956C7"/>
    <w:rsid w:val="001A4D75"/>
    <w:rsid w:val="001B721D"/>
    <w:rsid w:val="001E2183"/>
    <w:rsid w:val="001E6158"/>
    <w:rsid w:val="001F3524"/>
    <w:rsid w:val="002009E0"/>
    <w:rsid w:val="00201E0F"/>
    <w:rsid w:val="00204694"/>
    <w:rsid w:val="002200C5"/>
    <w:rsid w:val="00230A0E"/>
    <w:rsid w:val="002315A5"/>
    <w:rsid w:val="00232597"/>
    <w:rsid w:val="00240384"/>
    <w:rsid w:val="00245489"/>
    <w:rsid w:val="00247F1D"/>
    <w:rsid w:val="002547CF"/>
    <w:rsid w:val="002573FD"/>
    <w:rsid w:val="0026321D"/>
    <w:rsid w:val="002A3852"/>
    <w:rsid w:val="002A54C6"/>
    <w:rsid w:val="002A5850"/>
    <w:rsid w:val="002C4B80"/>
    <w:rsid w:val="002D77C0"/>
    <w:rsid w:val="002F4AFF"/>
    <w:rsid w:val="002F7E65"/>
    <w:rsid w:val="00310DCE"/>
    <w:rsid w:val="003165B0"/>
    <w:rsid w:val="0032175A"/>
    <w:rsid w:val="00322DEA"/>
    <w:rsid w:val="00325D96"/>
    <w:rsid w:val="00326F70"/>
    <w:rsid w:val="00327998"/>
    <w:rsid w:val="00337310"/>
    <w:rsid w:val="00340A34"/>
    <w:rsid w:val="00346615"/>
    <w:rsid w:val="003468EA"/>
    <w:rsid w:val="00347116"/>
    <w:rsid w:val="00352281"/>
    <w:rsid w:val="00354CB5"/>
    <w:rsid w:val="00357B0E"/>
    <w:rsid w:val="00363EC5"/>
    <w:rsid w:val="00366AD1"/>
    <w:rsid w:val="0037523B"/>
    <w:rsid w:val="003B037A"/>
    <w:rsid w:val="003B41DF"/>
    <w:rsid w:val="003B422F"/>
    <w:rsid w:val="003C34C8"/>
    <w:rsid w:val="003D653B"/>
    <w:rsid w:val="003E2638"/>
    <w:rsid w:val="004004FC"/>
    <w:rsid w:val="0040462A"/>
    <w:rsid w:val="00407F63"/>
    <w:rsid w:val="00412E4B"/>
    <w:rsid w:val="00417008"/>
    <w:rsid w:val="00424E4F"/>
    <w:rsid w:val="00460F19"/>
    <w:rsid w:val="00461D62"/>
    <w:rsid w:val="00461E81"/>
    <w:rsid w:val="00467DDB"/>
    <w:rsid w:val="00477D59"/>
    <w:rsid w:val="00484D9E"/>
    <w:rsid w:val="00487F19"/>
    <w:rsid w:val="00492675"/>
    <w:rsid w:val="004B3911"/>
    <w:rsid w:val="004C006E"/>
    <w:rsid w:val="004C595C"/>
    <w:rsid w:val="004D3DBE"/>
    <w:rsid w:val="004E3A7C"/>
    <w:rsid w:val="004E4A15"/>
    <w:rsid w:val="004F3200"/>
    <w:rsid w:val="00516AC8"/>
    <w:rsid w:val="00517955"/>
    <w:rsid w:val="00525525"/>
    <w:rsid w:val="00530FDE"/>
    <w:rsid w:val="00535E30"/>
    <w:rsid w:val="0054399B"/>
    <w:rsid w:val="005474ED"/>
    <w:rsid w:val="00547D62"/>
    <w:rsid w:val="005719A3"/>
    <w:rsid w:val="00585D69"/>
    <w:rsid w:val="00595DD2"/>
    <w:rsid w:val="005A7B65"/>
    <w:rsid w:val="005C6168"/>
    <w:rsid w:val="005E0C05"/>
    <w:rsid w:val="005F2E08"/>
    <w:rsid w:val="005F4246"/>
    <w:rsid w:val="005F6261"/>
    <w:rsid w:val="00612159"/>
    <w:rsid w:val="0061327C"/>
    <w:rsid w:val="006352DA"/>
    <w:rsid w:val="00635929"/>
    <w:rsid w:val="0064746F"/>
    <w:rsid w:val="0066089C"/>
    <w:rsid w:val="00672D36"/>
    <w:rsid w:val="00673710"/>
    <w:rsid w:val="00674B1A"/>
    <w:rsid w:val="006900FE"/>
    <w:rsid w:val="006A1CFD"/>
    <w:rsid w:val="006B71DC"/>
    <w:rsid w:val="006C7592"/>
    <w:rsid w:val="006F1FAB"/>
    <w:rsid w:val="00700521"/>
    <w:rsid w:val="00713D22"/>
    <w:rsid w:val="00752836"/>
    <w:rsid w:val="00760E32"/>
    <w:rsid w:val="0076414C"/>
    <w:rsid w:val="00764E41"/>
    <w:rsid w:val="00771515"/>
    <w:rsid w:val="00776056"/>
    <w:rsid w:val="00790C12"/>
    <w:rsid w:val="0079480A"/>
    <w:rsid w:val="007A0ECC"/>
    <w:rsid w:val="007A636E"/>
    <w:rsid w:val="007B264D"/>
    <w:rsid w:val="007C00A1"/>
    <w:rsid w:val="007C1B15"/>
    <w:rsid w:val="007C4A6F"/>
    <w:rsid w:val="007E1663"/>
    <w:rsid w:val="007F4DC0"/>
    <w:rsid w:val="007F512A"/>
    <w:rsid w:val="008018C5"/>
    <w:rsid w:val="00813F1E"/>
    <w:rsid w:val="0081403B"/>
    <w:rsid w:val="00824248"/>
    <w:rsid w:val="008263A2"/>
    <w:rsid w:val="008311D7"/>
    <w:rsid w:val="00837C4B"/>
    <w:rsid w:val="008418A6"/>
    <w:rsid w:val="00842737"/>
    <w:rsid w:val="00843006"/>
    <w:rsid w:val="008440D9"/>
    <w:rsid w:val="00845340"/>
    <w:rsid w:val="0085280C"/>
    <w:rsid w:val="00867AAC"/>
    <w:rsid w:val="00871C69"/>
    <w:rsid w:val="00882ECA"/>
    <w:rsid w:val="00886998"/>
    <w:rsid w:val="00887205"/>
    <w:rsid w:val="008A7878"/>
    <w:rsid w:val="008B06DD"/>
    <w:rsid w:val="008C283D"/>
    <w:rsid w:val="008D434D"/>
    <w:rsid w:val="008D4556"/>
    <w:rsid w:val="008D791F"/>
    <w:rsid w:val="008E2D81"/>
    <w:rsid w:val="008E61ED"/>
    <w:rsid w:val="008F0A97"/>
    <w:rsid w:val="008F1591"/>
    <w:rsid w:val="008F4603"/>
    <w:rsid w:val="008F72F5"/>
    <w:rsid w:val="00920DBC"/>
    <w:rsid w:val="009267D1"/>
    <w:rsid w:val="009353D7"/>
    <w:rsid w:val="00942B3B"/>
    <w:rsid w:val="00961264"/>
    <w:rsid w:val="0097197E"/>
    <w:rsid w:val="00975566"/>
    <w:rsid w:val="00975873"/>
    <w:rsid w:val="009901B6"/>
    <w:rsid w:val="00990CED"/>
    <w:rsid w:val="009A0D48"/>
    <w:rsid w:val="009A71BF"/>
    <w:rsid w:val="009B1F52"/>
    <w:rsid w:val="009B4E19"/>
    <w:rsid w:val="009B5F0D"/>
    <w:rsid w:val="009B76A1"/>
    <w:rsid w:val="009B7B16"/>
    <w:rsid w:val="009C0D91"/>
    <w:rsid w:val="009E0F80"/>
    <w:rsid w:val="009E7526"/>
    <w:rsid w:val="009F21FD"/>
    <w:rsid w:val="009F6D7E"/>
    <w:rsid w:val="00A0001A"/>
    <w:rsid w:val="00A15BB1"/>
    <w:rsid w:val="00A1786A"/>
    <w:rsid w:val="00A20F51"/>
    <w:rsid w:val="00A210CD"/>
    <w:rsid w:val="00A22056"/>
    <w:rsid w:val="00A22D7B"/>
    <w:rsid w:val="00A26E70"/>
    <w:rsid w:val="00A30EBB"/>
    <w:rsid w:val="00A40130"/>
    <w:rsid w:val="00A44F24"/>
    <w:rsid w:val="00A45528"/>
    <w:rsid w:val="00A57912"/>
    <w:rsid w:val="00A74149"/>
    <w:rsid w:val="00A7470D"/>
    <w:rsid w:val="00A75DFE"/>
    <w:rsid w:val="00A85E34"/>
    <w:rsid w:val="00AA5A9D"/>
    <w:rsid w:val="00AB0DF3"/>
    <w:rsid w:val="00AB60E4"/>
    <w:rsid w:val="00AC6CAE"/>
    <w:rsid w:val="00AF7805"/>
    <w:rsid w:val="00B00E5C"/>
    <w:rsid w:val="00B053BE"/>
    <w:rsid w:val="00B14677"/>
    <w:rsid w:val="00B2050D"/>
    <w:rsid w:val="00B25B8C"/>
    <w:rsid w:val="00B32ADA"/>
    <w:rsid w:val="00B43FF7"/>
    <w:rsid w:val="00B467D2"/>
    <w:rsid w:val="00B53984"/>
    <w:rsid w:val="00B646CB"/>
    <w:rsid w:val="00B64ACA"/>
    <w:rsid w:val="00B91215"/>
    <w:rsid w:val="00B91632"/>
    <w:rsid w:val="00B97E65"/>
    <w:rsid w:val="00BA647B"/>
    <w:rsid w:val="00BC095A"/>
    <w:rsid w:val="00BC38E0"/>
    <w:rsid w:val="00BE2925"/>
    <w:rsid w:val="00BF2826"/>
    <w:rsid w:val="00BF466A"/>
    <w:rsid w:val="00BF5AE4"/>
    <w:rsid w:val="00C0617F"/>
    <w:rsid w:val="00C064B1"/>
    <w:rsid w:val="00C14C8B"/>
    <w:rsid w:val="00C17136"/>
    <w:rsid w:val="00C17AA7"/>
    <w:rsid w:val="00C304AD"/>
    <w:rsid w:val="00C31261"/>
    <w:rsid w:val="00C318F2"/>
    <w:rsid w:val="00C46D41"/>
    <w:rsid w:val="00C51DD1"/>
    <w:rsid w:val="00C541F2"/>
    <w:rsid w:val="00C5571D"/>
    <w:rsid w:val="00C66DE1"/>
    <w:rsid w:val="00C702DE"/>
    <w:rsid w:val="00C71367"/>
    <w:rsid w:val="00C862DA"/>
    <w:rsid w:val="00C90E39"/>
    <w:rsid w:val="00C96E76"/>
    <w:rsid w:val="00C97E31"/>
    <w:rsid w:val="00CB647D"/>
    <w:rsid w:val="00CD0119"/>
    <w:rsid w:val="00CE4F8A"/>
    <w:rsid w:val="00D20E8A"/>
    <w:rsid w:val="00D30BE3"/>
    <w:rsid w:val="00D80A4F"/>
    <w:rsid w:val="00D9192E"/>
    <w:rsid w:val="00DB4A8F"/>
    <w:rsid w:val="00DB6435"/>
    <w:rsid w:val="00DB7132"/>
    <w:rsid w:val="00DC2B47"/>
    <w:rsid w:val="00DC4D86"/>
    <w:rsid w:val="00DC7354"/>
    <w:rsid w:val="00DD4368"/>
    <w:rsid w:val="00DF0357"/>
    <w:rsid w:val="00E06A4E"/>
    <w:rsid w:val="00E1192F"/>
    <w:rsid w:val="00E1547F"/>
    <w:rsid w:val="00E31AD0"/>
    <w:rsid w:val="00E32ACA"/>
    <w:rsid w:val="00E37E7A"/>
    <w:rsid w:val="00E42BAE"/>
    <w:rsid w:val="00E436C5"/>
    <w:rsid w:val="00E613C8"/>
    <w:rsid w:val="00E70396"/>
    <w:rsid w:val="00E770DC"/>
    <w:rsid w:val="00EA25E0"/>
    <w:rsid w:val="00EA7740"/>
    <w:rsid w:val="00EB713B"/>
    <w:rsid w:val="00EC419A"/>
    <w:rsid w:val="00EC7BBC"/>
    <w:rsid w:val="00EE1D60"/>
    <w:rsid w:val="00EF6085"/>
    <w:rsid w:val="00F01FDE"/>
    <w:rsid w:val="00F16195"/>
    <w:rsid w:val="00F31949"/>
    <w:rsid w:val="00F378C0"/>
    <w:rsid w:val="00F37FA7"/>
    <w:rsid w:val="00F826EC"/>
    <w:rsid w:val="00F84FD4"/>
    <w:rsid w:val="00FA51CA"/>
    <w:rsid w:val="00FB2C4C"/>
    <w:rsid w:val="00FB3DB2"/>
    <w:rsid w:val="00FE1EC7"/>
    <w:rsid w:val="00FE3711"/>
    <w:rsid w:val="00FE64EA"/>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F7D6"/>
  <w15:docId w15:val="{2323A59E-763B-40BE-B782-C13D92FF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link w:val="BodyText2Char"/>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basedOn w:val="Normal"/>
    <w:link w:val="FootnoteTextChar"/>
    <w:rsid w:val="001F3524"/>
    <w:rPr>
      <w:sz w:val="20"/>
    </w:rPr>
  </w:style>
  <w:style w:type="character" w:customStyle="1" w:styleId="FootnoteTextChar">
    <w:name w:val="Footnote Text Char"/>
    <w:basedOn w:val="DefaultParagraphFont"/>
    <w:link w:val="FootnoteText"/>
    <w:rsid w:val="001F3524"/>
  </w:style>
  <w:style w:type="character" w:styleId="FootnoteReference">
    <w:name w:val="footnote reference"/>
    <w:basedOn w:val="DefaultParagraphFont"/>
    <w:rsid w:val="001F3524"/>
    <w:rPr>
      <w:vertAlign w:val="superscript"/>
    </w:rPr>
  </w:style>
  <w:style w:type="character" w:customStyle="1" w:styleId="BodyText2Char">
    <w:name w:val="Body Text 2 Char"/>
    <w:basedOn w:val="DefaultParagraphFont"/>
    <w:link w:val="BodyText2"/>
    <w:rsid w:val="005719A3"/>
    <w:rPr>
      <w:rFonts w:ascii="Arial" w:hAnsi="Arial"/>
    </w:rPr>
  </w:style>
  <w:style w:type="paragraph" w:styleId="BalloonText">
    <w:name w:val="Balloon Text"/>
    <w:basedOn w:val="Normal"/>
    <w:link w:val="BalloonTextChar"/>
    <w:uiPriority w:val="99"/>
    <w:semiHidden/>
    <w:unhideWhenUsed/>
    <w:rsid w:val="00487F19"/>
    <w:pPr>
      <w:widowControl/>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87F19"/>
    <w:rPr>
      <w:rFonts w:ascii="Tahoma" w:eastAsiaTheme="minorHAnsi" w:hAnsi="Tahoma" w:cs="Tahoma"/>
      <w:sz w:val="16"/>
      <w:szCs w:val="16"/>
      <w:lang w:val="en-GB"/>
    </w:rPr>
  </w:style>
  <w:style w:type="character" w:styleId="CommentReference">
    <w:name w:val="annotation reference"/>
    <w:basedOn w:val="DefaultParagraphFont"/>
    <w:semiHidden/>
    <w:unhideWhenUsed/>
    <w:rsid w:val="00B43FF7"/>
    <w:rPr>
      <w:sz w:val="16"/>
      <w:szCs w:val="16"/>
    </w:rPr>
  </w:style>
  <w:style w:type="paragraph" w:styleId="CommentText">
    <w:name w:val="annotation text"/>
    <w:basedOn w:val="Normal"/>
    <w:link w:val="CommentTextChar"/>
    <w:semiHidden/>
    <w:unhideWhenUsed/>
    <w:rsid w:val="00B43FF7"/>
    <w:rPr>
      <w:sz w:val="20"/>
    </w:rPr>
  </w:style>
  <w:style w:type="character" w:customStyle="1" w:styleId="CommentTextChar">
    <w:name w:val="Comment Text Char"/>
    <w:basedOn w:val="DefaultParagraphFont"/>
    <w:link w:val="CommentText"/>
    <w:semiHidden/>
    <w:rsid w:val="00B43FF7"/>
  </w:style>
  <w:style w:type="paragraph" w:styleId="CommentSubject">
    <w:name w:val="annotation subject"/>
    <w:basedOn w:val="CommentText"/>
    <w:next w:val="CommentText"/>
    <w:link w:val="CommentSubjectChar"/>
    <w:semiHidden/>
    <w:unhideWhenUsed/>
    <w:rsid w:val="00B43FF7"/>
    <w:rPr>
      <w:b/>
      <w:bCs/>
    </w:rPr>
  </w:style>
  <w:style w:type="character" w:customStyle="1" w:styleId="CommentSubjectChar">
    <w:name w:val="Comment Subject Char"/>
    <w:basedOn w:val="CommentTextChar"/>
    <w:link w:val="CommentSubject"/>
    <w:semiHidden/>
    <w:rsid w:val="00B43FF7"/>
    <w:rPr>
      <w:b/>
      <w:bCs/>
    </w:rPr>
  </w:style>
  <w:style w:type="character" w:styleId="Hyperlink">
    <w:name w:val="Hyperlink"/>
    <w:basedOn w:val="DefaultParagraphFont"/>
    <w:unhideWhenUsed/>
    <w:rsid w:val="00201E0F"/>
    <w:rPr>
      <w:color w:val="0000FF" w:themeColor="hyperlink"/>
      <w:u w:val="single"/>
    </w:rPr>
  </w:style>
  <w:style w:type="paragraph" w:styleId="PlainText">
    <w:name w:val="Plain Text"/>
    <w:basedOn w:val="Normal"/>
    <w:link w:val="PlainTextChar"/>
    <w:uiPriority w:val="99"/>
    <w:semiHidden/>
    <w:unhideWhenUsed/>
    <w:rsid w:val="00A15BB1"/>
    <w:pPr>
      <w:widowControl/>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A15BB1"/>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gov.az" TargetMode="External"/><Relationship Id="rId2" Type="http://schemas.openxmlformats.org/officeDocument/2006/relationships/customXml" Target="../customXml/item2.xml"/><Relationship Id="rId16" Type="http://schemas.openxmlformats.org/officeDocument/2006/relationships/hyperlink" Target="http://www.stat.gov.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youthpolicyforum.org/documents/commitment.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youthpolicyforum.org/documents/commit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5.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8f51a9bb55ccdb67ad49e9de7ce83471">
  <xsd:schema xmlns:xsd="http://www.w3.org/2001/XMLSchema" xmlns:xs="http://www.w3.org/2001/XMLSchema" xmlns:p="http://schemas.microsoft.com/office/2006/metadata/properties" xmlns:ns2="83ed2304-0f0e-45ba-b0cc-7d360cbc1769" targetNamespace="http://schemas.microsoft.com/office/2006/metadata/properties" ma:root="true" ma:fieldsID="d37ea4175c3e3aa15f908f44740efddf"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2.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3.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4.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5.xml><?xml version="1.0" encoding="utf-8"?>
<ds:datastoreItem xmlns:ds="http://schemas.openxmlformats.org/officeDocument/2006/customXml" ds:itemID="{0D982BBA-3E97-4EE8-9D3B-0DAE4F3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3143A0-1104-4640-B1E7-731291D8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24294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creator>DGO</dc:creator>
  <cp:lastModifiedBy>Svetlana Iazykova</cp:lastModifiedBy>
  <cp:revision>2</cp:revision>
  <cp:lastPrinted>2008-06-06T15:39:00Z</cp:lastPrinted>
  <dcterms:created xsi:type="dcterms:W3CDTF">2015-06-06T23:32:00Z</dcterms:created>
  <dcterms:modified xsi:type="dcterms:W3CDTF">2015-06-06T23:32:00Z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