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2" w:rsidRDefault="00C47582" w:rsidP="00C47582">
      <w:pPr>
        <w:pStyle w:val="Heading2"/>
        <w:ind w:left="1267" w:right="1267"/>
        <w:jc w:val="both"/>
      </w:pPr>
      <w:r w:rsidRPr="00A43330">
        <w:rPr>
          <w:rFonts w:ascii="Times New Roman" w:hAnsi="Times New Roman"/>
          <w:bCs/>
          <w:color w:val="000000"/>
          <w:sz w:val="20"/>
        </w:rPr>
        <w:t>ANNEX</w:t>
      </w:r>
      <w:bookmarkStart w:id="0" w:name="_GoBack"/>
      <w:bookmarkEnd w:id="0"/>
      <w:r w:rsidRPr="00A43330">
        <w:rPr>
          <w:rFonts w:ascii="Times New Roman" w:hAnsi="Times New Roman"/>
          <w:bCs/>
          <w:color w:val="000000"/>
          <w:sz w:val="20"/>
        </w:rPr>
        <w:t>. FULLY-</w:t>
      </w:r>
      <w:r w:rsidRPr="00A43330">
        <w:rPr>
          <w:rFonts w:ascii="Times New Roman" w:hAnsi="Times New Roman"/>
          <w:color w:val="000000"/>
          <w:sz w:val="20"/>
        </w:rPr>
        <w:t>COSTED EVALUATION PLAN</w:t>
      </w:r>
    </w:p>
    <w:tbl>
      <w:tblPr>
        <w:tblpPr w:leftFromText="187" w:rightFromText="187" w:vertAnchor="text" w:horzAnchor="margin" w:tblpXSpec="center" w:tblpY="145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5"/>
        <w:gridCol w:w="1717"/>
        <w:gridCol w:w="1532"/>
        <w:gridCol w:w="1799"/>
        <w:gridCol w:w="1208"/>
        <w:gridCol w:w="1211"/>
        <w:gridCol w:w="1710"/>
        <w:gridCol w:w="2060"/>
        <w:gridCol w:w="1302"/>
      </w:tblGrid>
      <w:tr w:rsidR="0018274E" w:rsidTr="0018274E">
        <w:trPr>
          <w:trHeight w:val="107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UNDAF (or equivalent)</w:t>
            </w:r>
          </w:p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UNDP Strategic Plan Outcome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Evaluation Title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Partners (joint evaluation)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Evaluation commissioned by (if not UNDP)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Type of evaluation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Planned Evaluation Completion Date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Default="00C47582" w:rsidP="00A26F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Estimated Cost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7582" w:rsidRPr="00185048" w:rsidRDefault="00C47582" w:rsidP="00A26F51">
            <w:pPr>
              <w:jc w:val="both"/>
              <w:rPr>
                <w:b/>
                <w:bCs/>
              </w:rPr>
            </w:pPr>
            <w:r w:rsidRPr="00185048">
              <w:rPr>
                <w:b/>
                <w:bCs/>
              </w:rPr>
              <w:t>Provisional Source of Funding</w:t>
            </w:r>
          </w:p>
        </w:tc>
      </w:tr>
      <w:tr w:rsidR="00BE32C8" w:rsidTr="0018274E">
        <w:trPr>
          <w:trHeight w:val="116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pStyle w:val="NormalWeb"/>
              <w:rPr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Outcome 1.1</w:t>
            </w:r>
            <w:r>
              <w:rPr>
                <w:bCs/>
                <w:kern w:val="24"/>
                <w:sz w:val="20"/>
                <w:szCs w:val="20"/>
              </w:rPr>
              <w:t>.</w:t>
            </w: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  <w:lang w:val="en-US"/>
              </w:rPr>
              <w:t>By end 2020, Rule of Law, Separation of powers, constitutional democracy are entrenched in Uganda and all individuals are treated equally under the law and have equitable access to justice.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tabs>
                <w:tab w:val="left" w:pos="1253"/>
              </w:tabs>
              <w:ind w:right="63"/>
              <w:rPr>
                <w:lang w:val="en-GB"/>
              </w:rPr>
            </w:pPr>
            <w:r>
              <w:rPr>
                <w:lang w:val="en-GB"/>
              </w:rPr>
              <w:t>2. Citizen expectations for voice, development, the rule of law and accountability are met by stronger sy</w:t>
            </w:r>
            <w:r w:rsidR="00BE32C8">
              <w:rPr>
                <w:lang w:val="en-GB"/>
              </w:rPr>
              <w:t>stems of democratic governance.</w:t>
            </w:r>
          </w:p>
          <w:p w:rsidR="00C47582" w:rsidRDefault="00C47582" w:rsidP="00BE32C8">
            <w:pPr>
              <w:rPr>
                <w:lang w:val="en-GB"/>
              </w:rPr>
            </w:pPr>
          </w:p>
          <w:p w:rsidR="00C47582" w:rsidRDefault="00C47582" w:rsidP="00BE32C8">
            <w:pPr>
              <w:rPr>
                <w:lang w:val="en-GB"/>
              </w:rPr>
            </w:pPr>
            <w:r>
              <w:rPr>
                <w:lang w:val="en-GB"/>
              </w:rPr>
              <w:t>3. Countries have strengthened institutions to progressively deliver uni</w:t>
            </w:r>
            <w:r w:rsidR="00BE32C8">
              <w:rPr>
                <w:lang w:val="en-GB"/>
              </w:rPr>
              <w:t>versal access to basic services.</w:t>
            </w:r>
          </w:p>
          <w:p w:rsidR="0018274E" w:rsidRDefault="0018274E" w:rsidP="00BE32C8">
            <w:pPr>
              <w:rPr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BE32C8" w:rsidP="00BE32C8">
            <w:r>
              <w:t>Mid-term</w:t>
            </w:r>
            <w:r w:rsidR="00C47582">
              <w:t xml:space="preserve"> evaluation</w:t>
            </w:r>
            <w:r w:rsidR="0018274E">
              <w:t>.</w:t>
            </w:r>
            <w:r w:rsidR="00C47582">
              <w:t xml:space="preserve"> 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Local Government; JLOS sectors, Ministry of Internal Affairs; UNICEF,</w:t>
            </w:r>
            <w:r w:rsidR="00ED58B8">
              <w:t xml:space="preserve"> </w:t>
            </w:r>
            <w:r>
              <w:t>WFP,</w:t>
            </w:r>
            <w:r w:rsidR="00ED58B8">
              <w:t xml:space="preserve"> </w:t>
            </w:r>
            <w:r>
              <w:t>UN Women</w:t>
            </w:r>
            <w:r w:rsidR="00ED58B8"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UNDP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Outcome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July</w:t>
            </w:r>
            <w:r w:rsidR="00BE32C8">
              <w:t xml:space="preserve"> </w:t>
            </w:r>
            <w:r>
              <w:t>2018</w:t>
            </w: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$40</w:t>
            </w:r>
            <w:r w:rsidR="00BE32C8">
              <w:t>,</w:t>
            </w:r>
            <w:r>
              <w:t>000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BE32C8" w:rsidRDefault="00C47582" w:rsidP="00BE32C8">
            <w:pPr>
              <w:spacing w:before="40" w:after="40"/>
            </w:pPr>
            <w:r w:rsidRPr="00BE32C8">
              <w:t>Project budget</w:t>
            </w: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</w:tc>
      </w:tr>
      <w:tr w:rsidR="00BE32C8" w:rsidTr="0018274E">
        <w:trPr>
          <w:trHeight w:val="5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Outcome 1.3 </w:t>
            </w:r>
            <w:r>
              <w:rPr>
                <w:bCs/>
                <w:lang w:eastAsia="ja-JP"/>
              </w:rPr>
              <w:t>By end 2020, targeted public institutions and Public-Private-Partnerships are fully functional at all levels, inclusive, resourced, performance-oriented, innovative and evidence-seeking supported by a strategic evaluation function; and with Uganda’s citizenry enforcing a culture of mutual accountability, transparency and integrity</w:t>
            </w:r>
            <w:r w:rsidR="00BE32C8">
              <w:rPr>
                <w:bCs/>
                <w:lang w:eastAsia="ja-JP"/>
              </w:rPr>
              <w:t>.</w:t>
            </w:r>
          </w:p>
          <w:p w:rsidR="0018274E" w:rsidRDefault="0018274E" w:rsidP="00BE32C8">
            <w:pPr>
              <w:rPr>
                <w:bCs/>
                <w:lang w:eastAsia="ja-JP"/>
              </w:rPr>
            </w:pPr>
          </w:p>
          <w:p w:rsidR="0018274E" w:rsidRDefault="0018274E" w:rsidP="00BE32C8">
            <w:pPr>
              <w:rPr>
                <w:bCs/>
                <w:lang w:eastAsia="ja-JP"/>
              </w:rPr>
            </w:pPr>
          </w:p>
          <w:p w:rsidR="0018274E" w:rsidRDefault="0018274E" w:rsidP="00BE32C8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lang w:val="en-GB"/>
              </w:rPr>
            </w:pPr>
            <w:r>
              <w:rPr>
                <w:lang w:val="en-GB"/>
              </w:rPr>
              <w:t>2. Citizen expectations for voice, development, the rule of law and accountability are met by stronger sy</w:t>
            </w:r>
            <w:r w:rsidR="00BE32C8">
              <w:rPr>
                <w:lang w:val="en-GB"/>
              </w:rPr>
              <w:t>stems of democratic governance.</w:t>
            </w:r>
          </w:p>
          <w:p w:rsidR="0018274E" w:rsidRDefault="0018274E" w:rsidP="00BE32C8">
            <w:pPr>
              <w:rPr>
                <w:lang w:val="en-GB"/>
              </w:rPr>
            </w:pPr>
          </w:p>
          <w:p w:rsidR="00C47582" w:rsidRDefault="00C47582" w:rsidP="00BE32C8">
            <w:pPr>
              <w:rPr>
                <w:lang w:val="en-GB"/>
              </w:rPr>
            </w:pPr>
            <w:r>
              <w:rPr>
                <w:lang w:val="en-GB"/>
              </w:rPr>
              <w:t>3. Countries have strengthened institutions to progressively deliver uni</w:t>
            </w:r>
            <w:r w:rsidR="00BE32C8">
              <w:rPr>
                <w:lang w:val="en-GB"/>
              </w:rPr>
              <w:t>versal access to basic services.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lang w:val="en-GB"/>
              </w:rPr>
            </w:pPr>
            <w:r>
              <w:t>Mid-term evaluation of Institutional Development</w:t>
            </w:r>
          </w:p>
          <w:p w:rsidR="00C47582" w:rsidRDefault="00C47582" w:rsidP="00BE32C8">
            <w:pPr>
              <w:rPr>
                <w:lang w:val="en-GB"/>
              </w:rPr>
            </w:pPr>
            <w:r>
              <w:t>Accountability &amp;Transparency</w:t>
            </w:r>
            <w:r w:rsidR="0018274E">
              <w:t>.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>
            <w:pPr>
              <w:rPr>
                <w:lang w:val="en-GB"/>
              </w:rPr>
            </w:pPr>
          </w:p>
          <w:p w:rsidR="00C47582" w:rsidRDefault="00C47582" w:rsidP="00BE32C8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ED58B8" w:rsidP="00ED58B8">
            <w:r>
              <w:t>Parliament, Partner o</w:t>
            </w:r>
            <w:r w:rsidR="00C47582">
              <w:t>versight institutions</w:t>
            </w:r>
            <w: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UNDP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Outcome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June 2018</w:t>
            </w: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  <w:rPr>
                <w:iCs/>
                <w:lang w:val="en-GB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50,000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BE32C8" w:rsidRDefault="00C47582" w:rsidP="00BE32C8">
            <w:pPr>
              <w:spacing w:before="40" w:after="40"/>
            </w:pPr>
            <w:r w:rsidRPr="00BE32C8">
              <w:t>Project budget</w:t>
            </w: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</w:tc>
      </w:tr>
      <w:tr w:rsidR="00BE32C8" w:rsidTr="0018274E">
        <w:trPr>
          <w:trHeight w:val="5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rPr>
                <w:b/>
                <w:bCs/>
              </w:rPr>
              <w:lastRenderedPageBreak/>
              <w:t xml:space="preserve">Outcome 1.4 </w:t>
            </w:r>
            <w:r>
              <w:rPr>
                <w:bCs/>
              </w:rPr>
              <w:t>By end 2020, a resilient Uganda enjoys sustained peace and security and is free of all forms of discrimination and violence</w:t>
            </w:r>
            <w:r w:rsidR="00BE32C8">
              <w:rPr>
                <w:bCs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rPr>
                <w:iCs/>
                <w:lang w:val="en-GB"/>
              </w:rPr>
              <w:t>5. Countries are able to reduce the likelihood of conflict and lower the risk of natural disasters</w:t>
            </w:r>
            <w:r w:rsidR="00BE32C8">
              <w:rPr>
                <w:iCs/>
                <w:lang w:val="en-GB"/>
              </w:rPr>
              <w:t>, including from climate change.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Mid-term Evaluation of the Peace, Security and Resilience</w:t>
            </w:r>
            <w:r w:rsidR="0018274E">
              <w:t>.</w:t>
            </w:r>
            <w:r>
              <w:t xml:space="preserve"> </w:t>
            </w:r>
          </w:p>
          <w:p w:rsidR="00C47582" w:rsidRDefault="00C47582" w:rsidP="00BE32C8"/>
          <w:p w:rsidR="00C47582" w:rsidRDefault="00C47582" w:rsidP="00BE32C8"/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Office of the Prime Minister; Selected District Local Government; JLOS sectors, Ministry of Internal Affairs; UNICEF,</w:t>
            </w:r>
            <w:r w:rsidR="00ED58B8">
              <w:t xml:space="preserve"> </w:t>
            </w:r>
            <w:r>
              <w:t>WFP,</w:t>
            </w:r>
            <w:r w:rsidR="00ED58B8">
              <w:t xml:space="preserve"> </w:t>
            </w:r>
            <w:r>
              <w:t>UN Women</w:t>
            </w:r>
            <w:r w:rsidR="00ED58B8"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</w:t>
            </w:r>
            <w:r w:rsidR="00BE32C8">
              <w:t>DP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Outcome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May 2018</w:t>
            </w: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50,000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BE32C8" w:rsidRDefault="00C47582" w:rsidP="00BE32C8">
            <w:pPr>
              <w:spacing w:before="40" w:after="40"/>
            </w:pPr>
            <w:r w:rsidRPr="00BE32C8">
              <w:t>Project</w:t>
            </w: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BE32C8" w:rsidRDefault="00C47582" w:rsidP="00BE32C8">
            <w:pPr>
              <w:spacing w:before="40" w:after="40"/>
            </w:pPr>
          </w:p>
        </w:tc>
      </w:tr>
      <w:tr w:rsidR="00BE32C8" w:rsidTr="0018274E">
        <w:trPr>
          <w:trHeight w:val="242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lang w:val="en-GB"/>
              </w:rPr>
            </w:pPr>
            <w:r>
              <w:rPr>
                <w:b/>
              </w:rPr>
              <w:t xml:space="preserve">Outcome 3.1 </w:t>
            </w:r>
            <w:r>
              <w:t xml:space="preserve">By end 2020, Natural resources management and energy access is gender responsive, effective &amp; efficient, </w:t>
            </w:r>
            <w:r>
              <w:rPr>
                <w:u w:val="single"/>
              </w:rPr>
              <w:t>reducin</w:t>
            </w:r>
            <w:r>
              <w:t xml:space="preserve">g emissions, </w:t>
            </w:r>
            <w:r>
              <w:rPr>
                <w:u w:val="single"/>
              </w:rPr>
              <w:t>negating</w:t>
            </w:r>
            <w:r>
              <w:t xml:space="preserve"> the impact of climate-induced disasters and environmental degradation on livelihoods and production systems, and </w:t>
            </w:r>
            <w:r>
              <w:rPr>
                <w:u w:val="single"/>
              </w:rPr>
              <w:t>strengthening</w:t>
            </w:r>
            <w:r>
              <w:t xml:space="preserve"> community resilience.</w:t>
            </w:r>
          </w:p>
          <w:p w:rsidR="00C47582" w:rsidRDefault="00C47582" w:rsidP="00BE32C8"/>
          <w:p w:rsidR="00C47582" w:rsidRDefault="00C47582" w:rsidP="00BE32C8"/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1.</w:t>
            </w:r>
            <w:r w:rsidR="00BE32C8">
              <w:t xml:space="preserve"> </w:t>
            </w:r>
            <w:r>
              <w:t>Growth and development are inclusive and sustainable, incorporating productive capacities that create employment and livelihoods for the poor and excluded</w:t>
            </w:r>
            <w:r w:rsidR="00BE32C8">
              <w:t>.</w:t>
            </w:r>
          </w:p>
          <w:p w:rsidR="0018274E" w:rsidRDefault="0018274E" w:rsidP="00BE32C8"/>
          <w:p w:rsidR="00C47582" w:rsidRDefault="00BE32C8" w:rsidP="00BE32C8">
            <w:r>
              <w:rPr>
                <w:lang w:val="en-GB"/>
              </w:rPr>
              <w:t xml:space="preserve">3. </w:t>
            </w:r>
            <w:r w:rsidR="00C47582">
              <w:rPr>
                <w:iCs/>
              </w:rPr>
              <w:t>Countries have strengthened institutions to progressively deliver universal access to basic services</w:t>
            </w:r>
            <w:r w:rsidR="00ED58B8">
              <w:rPr>
                <w:iCs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BE32C8" w:rsidP="00BE32C8">
            <w:r>
              <w:t>Mid-ter</w:t>
            </w:r>
            <w:r w:rsidR="0018274E">
              <w:t>m evaluation.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contextualSpacing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Ministry of Water and Environment, Ministry of Local Government, Ministry of Agriculture, Animal Industry and Fisheries, Ministry of Energy and Mineral Development;</w:t>
            </w:r>
          </w:p>
          <w:p w:rsidR="00C47582" w:rsidRDefault="00C47582" w:rsidP="00BE32C8">
            <w:pPr>
              <w:rPr>
                <w:iCs/>
                <w:lang w:val="en-GB"/>
              </w:rPr>
            </w:pPr>
          </w:p>
          <w:p w:rsidR="00C47582" w:rsidRDefault="00C47582" w:rsidP="00BE32C8">
            <w:r>
              <w:t>Ministry of Tourism, Enterprise Uganda</w:t>
            </w:r>
            <w:r w:rsidR="00ED58B8"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BE32C8" w:rsidP="00BE32C8">
            <w:r>
              <w:t>UNDP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Outcome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September 2018</w:t>
            </w: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  <w:p w:rsidR="00C47582" w:rsidRDefault="00C47582" w:rsidP="00BE32C8">
            <w:pPr>
              <w:spacing w:before="40" w:after="4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C8" w:rsidRPr="00BE32C8" w:rsidRDefault="00BE32C8" w:rsidP="00BE32C8">
            <w:pPr>
              <w:rPr>
                <w:sz w:val="2"/>
              </w:rPr>
            </w:pPr>
          </w:p>
          <w:p w:rsidR="00C47582" w:rsidRDefault="00C47582" w:rsidP="00BE32C8">
            <w:r>
              <w:t>50,000</w:t>
            </w:r>
          </w:p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  <w:p w:rsidR="00C47582" w:rsidRDefault="00C47582" w:rsidP="00BE32C8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BE32C8" w:rsidRDefault="00C47582" w:rsidP="00BE32C8">
            <w:pPr>
              <w:spacing w:before="40" w:after="40"/>
            </w:pPr>
            <w:r w:rsidRPr="00BE32C8">
              <w:t>Project funded</w:t>
            </w: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  <w:p w:rsidR="00C47582" w:rsidRPr="00185048" w:rsidRDefault="00C47582" w:rsidP="00BE32C8">
            <w:pPr>
              <w:spacing w:before="40" w:after="40"/>
            </w:pPr>
          </w:p>
        </w:tc>
      </w:tr>
      <w:tr w:rsidR="00BE32C8" w:rsidTr="0018274E">
        <w:trPr>
          <w:trHeight w:val="557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Project Evaluation of Early Warning project</w:t>
            </w:r>
            <w:r w:rsidR="0018274E">
              <w:t>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GEF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Project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December  2017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25,000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185048" w:rsidRDefault="00C47582" w:rsidP="00BE32C8">
            <w:pPr>
              <w:spacing w:before="40" w:after="40"/>
            </w:pPr>
            <w:r w:rsidRPr="00BE32C8">
              <w:t>Project funded</w:t>
            </w:r>
          </w:p>
        </w:tc>
      </w:tr>
      <w:tr w:rsidR="00BE32C8" w:rsidTr="0018274E">
        <w:trPr>
          <w:trHeight w:val="755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 RED (Reducing emissions through deforestation and forest degradation</w:t>
            </w:r>
            <w:r w:rsidR="00BE32C8">
              <w:t>)</w:t>
            </w:r>
            <w:r w:rsidR="0018274E">
              <w:t>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 RED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Project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December 2018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30</w:t>
            </w:r>
            <w:r w:rsidR="00BE32C8">
              <w:t>,</w:t>
            </w:r>
            <w: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185048" w:rsidRDefault="00C47582" w:rsidP="00BE32C8">
            <w:pPr>
              <w:spacing w:before="40" w:after="40"/>
            </w:pPr>
            <w:r w:rsidRPr="00BE32C8">
              <w:t>Project funded</w:t>
            </w:r>
          </w:p>
        </w:tc>
      </w:tr>
      <w:tr w:rsidR="00BE32C8" w:rsidTr="0018274E">
        <w:trPr>
          <w:trHeight w:val="557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 xml:space="preserve">Terminal evaluation of </w:t>
            </w:r>
            <w:proofErr w:type="spellStart"/>
            <w:r>
              <w:t>Kidepo</w:t>
            </w:r>
            <w:proofErr w:type="spellEnd"/>
            <w:r>
              <w:t xml:space="preserve"> Critical Landscape project</w:t>
            </w:r>
            <w:r w:rsidR="0018274E">
              <w:t>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GEF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Project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December 2017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30,000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185048" w:rsidRDefault="00C47582" w:rsidP="00BE32C8">
            <w:pPr>
              <w:spacing w:before="40" w:after="40"/>
            </w:pPr>
            <w:r w:rsidRPr="00BE32C8">
              <w:t>Project funded</w:t>
            </w:r>
          </w:p>
        </w:tc>
      </w:tr>
      <w:tr w:rsidR="00BE32C8" w:rsidTr="0018274E">
        <w:trPr>
          <w:trHeight w:val="557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Terminal evaluation of Adoption of efficient Charcoal technologies</w:t>
            </w:r>
            <w:r w:rsidR="0018274E">
              <w:t>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82" w:rsidRDefault="00C47582" w:rsidP="00BE32C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GEF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Project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November 2018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30,000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185048" w:rsidRDefault="00C47582" w:rsidP="00BE32C8">
            <w:pPr>
              <w:spacing w:before="40" w:after="40"/>
            </w:pPr>
            <w:r w:rsidRPr="00BE32C8">
              <w:t>Project funded</w:t>
            </w:r>
          </w:p>
        </w:tc>
      </w:tr>
      <w:tr w:rsidR="00BE32C8" w:rsidTr="0018274E">
        <w:trPr>
          <w:trHeight w:val="5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CPD OUTCOMES 1.1; 1.3, 1.4 and 3.1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b/>
              </w:rPr>
            </w:pPr>
            <w:r>
              <w:rPr>
                <w:b/>
              </w:rPr>
              <w:t>SP Outcomes 1,</w:t>
            </w:r>
            <w:r w:rsidR="00ED58B8">
              <w:rPr>
                <w:b/>
              </w:rPr>
              <w:t xml:space="preserve"> </w:t>
            </w:r>
            <w:r>
              <w:rPr>
                <w:b/>
              </w:rPr>
              <w:t>2,</w:t>
            </w:r>
            <w:r w:rsidR="00ED58B8">
              <w:rPr>
                <w:b/>
              </w:rPr>
              <w:t xml:space="preserve"> </w:t>
            </w:r>
            <w:r>
              <w:rPr>
                <w:b/>
              </w:rPr>
              <w:t>3, 5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End of cycle CPD evaluation</w:t>
            </w:r>
            <w:r w:rsidR="0018274E">
              <w:t>.</w:t>
            </w:r>
            <w: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Target Ministries/Departments/CSOs/UN agencies</w:t>
            </w:r>
            <w:r w:rsidR="00ED58B8">
              <w:rPr>
                <w:iCs/>
                <w:lang w:val="en-GB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UNDP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Other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December 2019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100,000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185048" w:rsidRDefault="00C47582" w:rsidP="00BE32C8">
            <w:pPr>
              <w:spacing w:before="40" w:after="40"/>
            </w:pPr>
            <w:r w:rsidRPr="00185048">
              <w:t>Project funded</w:t>
            </w:r>
          </w:p>
        </w:tc>
      </w:tr>
      <w:tr w:rsidR="00BE32C8" w:rsidTr="0018274E">
        <w:trPr>
          <w:trHeight w:val="5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CPD OUTCOMES 1.1; 1.3, 1.4 and 3.1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ED58B8">
            <w:pPr>
              <w:rPr>
                <w:b/>
              </w:rPr>
            </w:pPr>
            <w:r>
              <w:rPr>
                <w:b/>
              </w:rPr>
              <w:t>SP Outcomes 1,</w:t>
            </w:r>
            <w:r w:rsidR="00ED58B8">
              <w:rPr>
                <w:b/>
              </w:rPr>
              <w:t xml:space="preserve"> </w:t>
            </w:r>
            <w:r>
              <w:rPr>
                <w:b/>
              </w:rPr>
              <w:t>2,</w:t>
            </w:r>
            <w:r w:rsidR="00ED58B8">
              <w:rPr>
                <w:b/>
              </w:rPr>
              <w:t xml:space="preserve"> </w:t>
            </w:r>
            <w:r>
              <w:rPr>
                <w:b/>
              </w:rPr>
              <w:t>3,</w:t>
            </w:r>
            <w:r w:rsidR="00ED58B8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Mid-term UNDAF evaluation</w:t>
            </w:r>
            <w:r w:rsidR="0018274E"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Target Ministries/Departments/CSOs/UN agencies</w:t>
            </w:r>
            <w:r w:rsidR="00ED58B8">
              <w:rPr>
                <w:iCs/>
                <w:lang w:val="en-GB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UNCT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Other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pPr>
              <w:spacing w:before="40" w:after="40"/>
            </w:pPr>
            <w:r>
              <w:t>August 2018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Default="00C47582" w:rsidP="00BE32C8">
            <w:r>
              <w:t>100,000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82" w:rsidRPr="00BE32C8" w:rsidRDefault="00C47582" w:rsidP="00BE32C8">
            <w:pPr>
              <w:spacing w:before="40" w:after="40"/>
            </w:pPr>
            <w:r w:rsidRPr="00BE32C8">
              <w:t>Programme funded</w:t>
            </w:r>
          </w:p>
        </w:tc>
      </w:tr>
    </w:tbl>
    <w:p w:rsidR="00BE32C8" w:rsidRDefault="00BE32C8" w:rsidP="00C47582">
      <w:pPr>
        <w:jc w:val="both"/>
        <w:rPr>
          <w:b/>
          <w:color w:val="000000"/>
        </w:rPr>
      </w:pPr>
    </w:p>
    <w:p w:rsidR="00C47582" w:rsidRPr="00BE32C8" w:rsidRDefault="00C47582" w:rsidP="00BE32C8">
      <w:pPr>
        <w:jc w:val="both"/>
        <w:rPr>
          <w:color w:val="000000"/>
          <w:lang w:val="en-GB"/>
        </w:rPr>
        <w:sectPr w:rsidR="00C47582" w:rsidRPr="00BE32C8">
          <w:pgSz w:w="15840" w:h="12240" w:orient="landscape"/>
          <w:pgMar w:top="720" w:right="432" w:bottom="720" w:left="432" w:header="720" w:footer="720" w:gutter="0"/>
          <w:cols w:space="720"/>
          <w:docGrid w:linePitch="272"/>
        </w:sectPr>
      </w:pPr>
      <w:r>
        <w:rPr>
          <w:b/>
          <w:color w:val="000000"/>
        </w:rPr>
        <w:t>Note</w:t>
      </w:r>
      <w:r>
        <w:rPr>
          <w:color w:val="000000"/>
        </w:rPr>
        <w:t xml:space="preserve">: The 2014 CPAP Evaluation informed the CO to adopt a programmatic approach </w:t>
      </w:r>
      <w:r>
        <w:rPr>
          <w:color w:val="000000"/>
          <w:lang w:val="en-GB"/>
        </w:rPr>
        <w:t xml:space="preserve">to form organic unity, which is essential for achieving the programme’s objectives instead of disparate projects. Hence, UNDP Uganda has adopted it and </w:t>
      </w:r>
      <w:r>
        <w:rPr>
          <w:color w:val="000000"/>
        </w:rPr>
        <w:t>will focus on conducting thematic evaluations to inform programme design and implementation.</w:t>
      </w:r>
    </w:p>
    <w:p w:rsidR="0044554C" w:rsidRPr="00C47582" w:rsidRDefault="0044554C" w:rsidP="00C47582"/>
    <w:sectPr w:rsidR="0044554C" w:rsidRPr="00C4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2"/>
    <w:rsid w:val="0018274E"/>
    <w:rsid w:val="0044554C"/>
    <w:rsid w:val="00476B50"/>
    <w:rsid w:val="00BE32C8"/>
    <w:rsid w:val="00C47582"/>
    <w:rsid w:val="00E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49832-1B00-465C-B39F-FCEA823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47582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7582"/>
    <w:rPr>
      <w:rFonts w:ascii="Arial" w:eastAsia="Times New Roman" w:hAnsi="Arial" w:cs="Times New Roman"/>
      <w:b/>
      <w:sz w:val="28"/>
      <w:szCs w:val="20"/>
    </w:rPr>
  </w:style>
  <w:style w:type="character" w:styleId="CommentReference">
    <w:name w:val="annotation reference"/>
    <w:rsid w:val="00C47582"/>
    <w:rPr>
      <w:rFonts w:cs="Times New Roman"/>
      <w:sz w:val="6"/>
      <w:szCs w:val="6"/>
    </w:rPr>
  </w:style>
  <w:style w:type="paragraph" w:styleId="NormalWeb">
    <w:name w:val="Normal (Web)"/>
    <w:basedOn w:val="Normal"/>
    <w:uiPriority w:val="99"/>
    <w:unhideWhenUsed/>
    <w:rsid w:val="00C475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E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3596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El Azem</dc:creator>
  <cp:keywords/>
  <dc:description/>
  <cp:lastModifiedBy>Svetlana Iazykova</cp:lastModifiedBy>
  <cp:revision>2</cp:revision>
  <dcterms:created xsi:type="dcterms:W3CDTF">2015-03-02T17:23:00Z</dcterms:created>
  <dcterms:modified xsi:type="dcterms:W3CDTF">2015-03-02T17:23:00Z</dcterms:modified>
</cp:coreProperties>
</file>