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25A7" w14:textId="7F02CAB1" w:rsidR="00E20250" w:rsidRDefault="0019508C" w:rsidP="00E20250">
      <w:pPr>
        <w:rPr>
          <w:b/>
          <w:color w:val="000000"/>
          <w:sz w:val="22"/>
          <w:szCs w:val="22"/>
        </w:rPr>
      </w:pPr>
      <w:r w:rsidRPr="00C4212E">
        <w:rPr>
          <w:b/>
          <w:bCs/>
          <w:color w:val="000000"/>
          <w:sz w:val="22"/>
          <w:szCs w:val="22"/>
        </w:rPr>
        <w:t>ANNEX</w:t>
      </w:r>
      <w:r w:rsidRPr="00C4212E">
        <w:rPr>
          <w:bCs/>
          <w:color w:val="000000"/>
          <w:sz w:val="22"/>
          <w:szCs w:val="22"/>
        </w:rPr>
        <w:t xml:space="preserve">. </w:t>
      </w:r>
      <w:r w:rsidRPr="00C4212E">
        <w:rPr>
          <w:b/>
          <w:bCs/>
          <w:color w:val="000000"/>
          <w:sz w:val="22"/>
          <w:szCs w:val="22"/>
        </w:rPr>
        <w:t>FULLY-</w:t>
      </w:r>
      <w:r w:rsidRPr="00C4212E">
        <w:rPr>
          <w:b/>
          <w:color w:val="000000"/>
          <w:sz w:val="22"/>
          <w:szCs w:val="22"/>
        </w:rPr>
        <w:t xml:space="preserve">COSTED EVALUATION PLAN </w:t>
      </w:r>
    </w:p>
    <w:p w14:paraId="38366C04" w14:textId="77777777" w:rsidR="007804B2" w:rsidRDefault="007804B2" w:rsidP="00E20250">
      <w:pPr>
        <w:rPr>
          <w:b/>
          <w:color w:val="000000"/>
          <w:sz w:val="22"/>
          <w:szCs w:val="22"/>
        </w:rPr>
      </w:pPr>
    </w:p>
    <w:p w14:paraId="7D8BCA05" w14:textId="0440FA37" w:rsidR="007804B2" w:rsidRPr="00876629" w:rsidRDefault="007804B2" w:rsidP="00876629">
      <w:pPr>
        <w:rPr>
          <w:b/>
          <w:color w:val="000000"/>
        </w:rPr>
      </w:pPr>
      <w:r w:rsidRPr="00876629">
        <w:rPr>
          <w:b/>
          <w:color w:val="000000"/>
        </w:rPr>
        <w:t>Rationale</w:t>
      </w:r>
      <w:r w:rsidR="007E68A5" w:rsidRPr="00876629">
        <w:rPr>
          <w:b/>
          <w:color w:val="000000"/>
        </w:rPr>
        <w:t xml:space="preserve"> for the Evaluation Plan</w:t>
      </w:r>
      <w:r w:rsidRPr="00876629">
        <w:rPr>
          <w:b/>
          <w:color w:val="000000"/>
        </w:rPr>
        <w:t xml:space="preserve">: </w:t>
      </w:r>
    </w:p>
    <w:p w14:paraId="4B0B8565" w14:textId="23A9D4E5" w:rsidR="00CA29FC" w:rsidRPr="00876629" w:rsidRDefault="00CA29FC" w:rsidP="00876629">
      <w:pPr>
        <w:jc w:val="both"/>
        <w:rPr>
          <w:bCs/>
          <w:color w:val="000000"/>
        </w:rPr>
      </w:pPr>
      <w:r w:rsidRPr="00876629">
        <w:rPr>
          <w:bCs/>
          <w:color w:val="000000"/>
        </w:rPr>
        <w:t xml:space="preserve">The Evaluation Plan </w:t>
      </w:r>
      <w:r w:rsidR="00DB0EA8">
        <w:rPr>
          <w:bCs/>
          <w:color w:val="000000"/>
        </w:rPr>
        <w:t xml:space="preserve">for the UNDP Moldova CPD 2023-2027 </w:t>
      </w:r>
      <w:r w:rsidRPr="00876629">
        <w:rPr>
          <w:bCs/>
          <w:color w:val="000000"/>
        </w:rPr>
        <w:t xml:space="preserve">is an important accountability and knowledge management instrument for the Country Office (CO) and </w:t>
      </w:r>
      <w:r w:rsidR="003F0641" w:rsidRPr="00876629">
        <w:rPr>
          <w:bCs/>
          <w:color w:val="000000"/>
        </w:rPr>
        <w:t>it</w:t>
      </w:r>
      <w:r w:rsidRPr="00876629">
        <w:rPr>
          <w:bCs/>
          <w:color w:val="000000"/>
        </w:rPr>
        <w:t xml:space="preserve"> is designed as a strategic tool to inform decision-making at both project and programme levels. </w:t>
      </w:r>
      <w:r w:rsidR="00910C8D" w:rsidRPr="00876629">
        <w:rPr>
          <w:bCs/>
          <w:color w:val="000000"/>
        </w:rPr>
        <w:t>It</w:t>
      </w:r>
      <w:r w:rsidRPr="00876629">
        <w:rPr>
          <w:bCs/>
          <w:color w:val="000000"/>
        </w:rPr>
        <w:t xml:space="preserve"> </w:t>
      </w:r>
      <w:r w:rsidR="00352211" w:rsidRPr="00876629">
        <w:rPr>
          <w:bCs/>
          <w:color w:val="000000"/>
        </w:rPr>
        <w:t xml:space="preserve">is compliant </w:t>
      </w:r>
      <w:r w:rsidR="002007FE" w:rsidRPr="00876629">
        <w:rPr>
          <w:bCs/>
          <w:color w:val="000000"/>
        </w:rPr>
        <w:t xml:space="preserve">with the UNDP Evaluation Guidelines and </w:t>
      </w:r>
      <w:r w:rsidRPr="00876629">
        <w:rPr>
          <w:bCs/>
          <w:color w:val="000000"/>
        </w:rPr>
        <w:t>covers evaluations of 1) all projects with a budget of over 3 million USD and 2) those with a duration of more than five years, and 3) those entering the second phase. It also includes evaluations of all GEF/GCF-funded projects following donors’ evaluation policy</w:t>
      </w:r>
      <w:r w:rsidR="003E3A24" w:rsidRPr="00876629">
        <w:rPr>
          <w:bCs/>
          <w:color w:val="000000"/>
        </w:rPr>
        <w:t xml:space="preserve">, </w:t>
      </w:r>
      <w:r w:rsidR="00B1631B" w:rsidRPr="00876629">
        <w:rPr>
          <w:bCs/>
          <w:color w:val="000000"/>
        </w:rPr>
        <w:t xml:space="preserve">outcome evaluations, </w:t>
      </w:r>
      <w:r w:rsidR="003E3A24" w:rsidRPr="00876629">
        <w:rPr>
          <w:bCs/>
          <w:color w:val="000000"/>
        </w:rPr>
        <w:t>the</w:t>
      </w:r>
      <w:r w:rsidR="00270A69" w:rsidRPr="00876629">
        <w:rPr>
          <w:bCs/>
          <w:color w:val="000000"/>
        </w:rPr>
        <w:t xml:space="preserve">matic </w:t>
      </w:r>
      <w:r w:rsidR="00AD3C2B" w:rsidRPr="00876629">
        <w:rPr>
          <w:bCs/>
          <w:color w:val="000000"/>
        </w:rPr>
        <w:t>evaluations</w:t>
      </w:r>
      <w:r w:rsidR="000534D1" w:rsidRPr="00876629">
        <w:rPr>
          <w:bCs/>
          <w:color w:val="000000"/>
        </w:rPr>
        <w:t xml:space="preserve"> and UN </w:t>
      </w:r>
      <w:r w:rsidR="003E3A24" w:rsidRPr="00876629">
        <w:rPr>
          <w:bCs/>
          <w:color w:val="000000"/>
        </w:rPr>
        <w:t>joint evaluations</w:t>
      </w:r>
      <w:r w:rsidRPr="00876629">
        <w:rPr>
          <w:bCs/>
          <w:color w:val="000000"/>
        </w:rPr>
        <w:t xml:space="preserve">.  </w:t>
      </w:r>
    </w:p>
    <w:p w14:paraId="0C0AD33E" w14:textId="77777777" w:rsidR="00876629" w:rsidRPr="00876629" w:rsidRDefault="00876629" w:rsidP="00876629">
      <w:pPr>
        <w:jc w:val="both"/>
        <w:rPr>
          <w:bCs/>
          <w:color w:val="000000"/>
        </w:rPr>
      </w:pPr>
    </w:p>
    <w:p w14:paraId="271CBD4B" w14:textId="7A7E13CA" w:rsidR="001D0BD9" w:rsidRPr="00876629" w:rsidRDefault="0075640C" w:rsidP="00876629">
      <w:pPr>
        <w:jc w:val="both"/>
        <w:rPr>
          <w:bCs/>
          <w:color w:val="000000"/>
        </w:rPr>
      </w:pPr>
      <w:r>
        <w:rPr>
          <w:bCs/>
          <w:color w:val="000000"/>
        </w:rPr>
        <w:t>The proposed 13 evaluations</w:t>
      </w:r>
      <w:r w:rsidR="004419A4" w:rsidRPr="004419A4">
        <w:t xml:space="preserve"> </w:t>
      </w:r>
      <w:r w:rsidR="004419A4" w:rsidRPr="004419A4">
        <w:rPr>
          <w:bCs/>
          <w:color w:val="000000"/>
        </w:rPr>
        <w:t xml:space="preserve">are evenly distributed between years and outcomes taking into account </w:t>
      </w:r>
      <w:r w:rsidR="007D7E04">
        <w:rPr>
          <w:bCs/>
          <w:color w:val="000000"/>
        </w:rPr>
        <w:t xml:space="preserve">the </w:t>
      </w:r>
      <w:r w:rsidR="004F5086">
        <w:rPr>
          <w:bCs/>
          <w:color w:val="000000"/>
        </w:rPr>
        <w:t xml:space="preserve">CPD </w:t>
      </w:r>
      <w:r w:rsidR="004419A4" w:rsidRPr="004419A4">
        <w:rPr>
          <w:bCs/>
          <w:color w:val="000000"/>
        </w:rPr>
        <w:t>programme priorities and projects</w:t>
      </w:r>
      <w:r w:rsidR="004F5086">
        <w:rPr>
          <w:bCs/>
          <w:color w:val="000000"/>
        </w:rPr>
        <w:t>’</w:t>
      </w:r>
      <w:r w:rsidR="004419A4" w:rsidRPr="004419A4">
        <w:rPr>
          <w:bCs/>
          <w:color w:val="000000"/>
        </w:rPr>
        <w:t xml:space="preserve"> lifecycle</w:t>
      </w:r>
      <w:r w:rsidR="007C0A39">
        <w:rPr>
          <w:bCs/>
          <w:color w:val="000000"/>
        </w:rPr>
        <w:t xml:space="preserve">. </w:t>
      </w:r>
      <w:r w:rsidR="009466D3" w:rsidRPr="00876629">
        <w:rPr>
          <w:bCs/>
          <w:color w:val="000000"/>
        </w:rPr>
        <w:t xml:space="preserve">All evaluations are balanced across the outcomes </w:t>
      </w:r>
      <w:r w:rsidR="0010383D" w:rsidRPr="00876629">
        <w:rPr>
          <w:bCs/>
          <w:color w:val="000000"/>
        </w:rPr>
        <w:t xml:space="preserve">with </w:t>
      </w:r>
      <w:r w:rsidR="00AD3C2B" w:rsidRPr="00876629">
        <w:rPr>
          <w:bCs/>
          <w:color w:val="000000"/>
        </w:rPr>
        <w:t>2</w:t>
      </w:r>
      <w:r w:rsidR="00CA29FC" w:rsidRPr="00876629">
        <w:rPr>
          <w:bCs/>
          <w:color w:val="000000"/>
        </w:rPr>
        <w:t xml:space="preserve"> evaluations under CPD Outcome 1, </w:t>
      </w:r>
      <w:r w:rsidR="0010383D" w:rsidRPr="00876629">
        <w:rPr>
          <w:bCs/>
          <w:color w:val="000000"/>
        </w:rPr>
        <w:t>3</w:t>
      </w:r>
      <w:r w:rsidR="00CA29FC" w:rsidRPr="00876629">
        <w:rPr>
          <w:bCs/>
          <w:color w:val="000000"/>
        </w:rPr>
        <w:t xml:space="preserve"> under CPD Outcome 2, </w:t>
      </w:r>
      <w:r w:rsidR="0010383D" w:rsidRPr="00876629">
        <w:rPr>
          <w:bCs/>
          <w:color w:val="000000"/>
        </w:rPr>
        <w:t xml:space="preserve">3 </w:t>
      </w:r>
      <w:r w:rsidR="00CA29FC" w:rsidRPr="00876629">
        <w:rPr>
          <w:bCs/>
          <w:color w:val="000000"/>
        </w:rPr>
        <w:t>under CPD Outcome 3</w:t>
      </w:r>
      <w:r w:rsidR="0010383D" w:rsidRPr="00876629">
        <w:rPr>
          <w:bCs/>
          <w:color w:val="000000"/>
        </w:rPr>
        <w:t xml:space="preserve"> and </w:t>
      </w:r>
      <w:r w:rsidR="00AD3C2B" w:rsidRPr="00876629">
        <w:rPr>
          <w:bCs/>
          <w:color w:val="000000"/>
        </w:rPr>
        <w:t>5 evaluations under Outcome 4</w:t>
      </w:r>
      <w:r w:rsidR="00CA29FC" w:rsidRPr="00876629">
        <w:rPr>
          <w:bCs/>
          <w:color w:val="000000"/>
        </w:rPr>
        <w:t xml:space="preserve">. </w:t>
      </w:r>
      <w:r w:rsidR="00943FCA">
        <w:rPr>
          <w:bCs/>
          <w:color w:val="000000"/>
        </w:rPr>
        <w:t xml:space="preserve">The </w:t>
      </w:r>
      <w:r w:rsidR="00CA29FC" w:rsidRPr="00876629">
        <w:rPr>
          <w:bCs/>
          <w:color w:val="000000"/>
        </w:rPr>
        <w:t xml:space="preserve">CPD Outcome </w:t>
      </w:r>
      <w:r w:rsidR="00AD3C2B" w:rsidRPr="00876629">
        <w:rPr>
          <w:bCs/>
          <w:color w:val="000000"/>
        </w:rPr>
        <w:t>4</w:t>
      </w:r>
      <w:r w:rsidR="00CA29FC" w:rsidRPr="00876629">
        <w:rPr>
          <w:bCs/>
          <w:color w:val="000000"/>
        </w:rPr>
        <w:t xml:space="preserve"> has more evaluations compared to the other </w:t>
      </w:r>
      <w:r w:rsidR="00383E37" w:rsidRPr="00876629">
        <w:rPr>
          <w:bCs/>
          <w:color w:val="000000"/>
        </w:rPr>
        <w:t>Outcomes</w:t>
      </w:r>
      <w:r w:rsidR="00CA29FC" w:rsidRPr="00876629">
        <w:rPr>
          <w:bCs/>
          <w:color w:val="000000"/>
        </w:rPr>
        <w:t xml:space="preserve"> because of the large number of GEF/GCF/AF-funded projects </w:t>
      </w:r>
      <w:r w:rsidR="00383E37" w:rsidRPr="00876629">
        <w:rPr>
          <w:bCs/>
          <w:color w:val="000000"/>
        </w:rPr>
        <w:t>under this pillar</w:t>
      </w:r>
      <w:r w:rsidR="00CA29FC" w:rsidRPr="00876629">
        <w:rPr>
          <w:bCs/>
          <w:color w:val="000000"/>
        </w:rPr>
        <w:t xml:space="preserve">. </w:t>
      </w:r>
      <w:r w:rsidR="001D0BD9" w:rsidRPr="00876629">
        <w:rPr>
          <w:bCs/>
          <w:color w:val="000000"/>
        </w:rPr>
        <w:t>For the new projects to be designed and implemented in the CPD cycle, results will be captured either in outcome evaluations or project evaluations</w:t>
      </w:r>
      <w:r w:rsidR="00EB32CD" w:rsidRPr="00876629">
        <w:rPr>
          <w:bCs/>
          <w:color w:val="000000"/>
        </w:rPr>
        <w:t>,</w:t>
      </w:r>
      <w:r w:rsidR="001D0BD9" w:rsidRPr="00876629">
        <w:rPr>
          <w:bCs/>
          <w:color w:val="000000"/>
        </w:rPr>
        <w:t xml:space="preserve"> which can be added </w:t>
      </w:r>
      <w:r w:rsidR="00EB32CD" w:rsidRPr="00876629">
        <w:rPr>
          <w:bCs/>
          <w:color w:val="000000"/>
        </w:rPr>
        <w:t>during</w:t>
      </w:r>
      <w:r w:rsidR="001D0BD9" w:rsidRPr="00876629">
        <w:rPr>
          <w:bCs/>
          <w:color w:val="000000"/>
        </w:rPr>
        <w:t xml:space="preserve"> the yearly evaluation plan review.</w:t>
      </w:r>
    </w:p>
    <w:p w14:paraId="169CF04F" w14:textId="77777777" w:rsidR="00876629" w:rsidRPr="00876629" w:rsidRDefault="00876629" w:rsidP="00876629">
      <w:pPr>
        <w:jc w:val="both"/>
        <w:rPr>
          <w:bCs/>
          <w:color w:val="000000"/>
        </w:rPr>
      </w:pPr>
    </w:p>
    <w:p w14:paraId="436C0862" w14:textId="0862F12C" w:rsidR="00D65144" w:rsidRPr="00876629" w:rsidRDefault="00D65144" w:rsidP="00876629">
      <w:pPr>
        <w:jc w:val="both"/>
        <w:rPr>
          <w:bCs/>
          <w:color w:val="000000"/>
        </w:rPr>
      </w:pPr>
      <w:r w:rsidRPr="00876629">
        <w:rPr>
          <w:bCs/>
          <w:color w:val="000000"/>
        </w:rPr>
        <w:t>The three key outcome level evaluations will serve as a compass to</w:t>
      </w:r>
      <w:r w:rsidR="00073318" w:rsidRPr="00876629">
        <w:rPr>
          <w:bCs/>
          <w:color w:val="000000"/>
        </w:rPr>
        <w:t xml:space="preserve"> assess </w:t>
      </w:r>
      <w:r w:rsidRPr="00876629">
        <w:rPr>
          <w:bCs/>
          <w:color w:val="000000"/>
        </w:rPr>
        <w:t>the progress towards strategic results and gauge the risks for the remaining period of the program cycle</w:t>
      </w:r>
      <w:r w:rsidR="00337640" w:rsidRPr="00876629">
        <w:rPr>
          <w:bCs/>
          <w:color w:val="000000"/>
        </w:rPr>
        <w:t xml:space="preserve"> and will</w:t>
      </w:r>
      <w:r w:rsidRPr="00876629">
        <w:rPr>
          <w:bCs/>
          <w:color w:val="000000"/>
        </w:rPr>
        <w:t xml:space="preserve"> contribute </w:t>
      </w:r>
      <w:r w:rsidR="00337640" w:rsidRPr="00876629">
        <w:rPr>
          <w:bCs/>
          <w:color w:val="000000"/>
        </w:rPr>
        <w:t>to</w:t>
      </w:r>
      <w:r w:rsidRPr="00876629">
        <w:rPr>
          <w:bCs/>
          <w:color w:val="000000"/>
        </w:rPr>
        <w:t xml:space="preserve"> documenting success</w:t>
      </w:r>
      <w:r w:rsidR="00073318" w:rsidRPr="00876629">
        <w:rPr>
          <w:bCs/>
          <w:color w:val="000000"/>
        </w:rPr>
        <w:t>es</w:t>
      </w:r>
      <w:r w:rsidRPr="00876629">
        <w:rPr>
          <w:bCs/>
          <w:color w:val="000000"/>
        </w:rPr>
        <w:t xml:space="preserve"> and lesson</w:t>
      </w:r>
      <w:r w:rsidR="00073318" w:rsidRPr="00876629">
        <w:rPr>
          <w:bCs/>
          <w:color w:val="000000"/>
        </w:rPr>
        <w:t>s</w:t>
      </w:r>
      <w:r w:rsidRPr="00876629">
        <w:rPr>
          <w:bCs/>
          <w:color w:val="000000"/>
        </w:rPr>
        <w:t xml:space="preserve"> of </w:t>
      </w:r>
      <w:r w:rsidR="00500574" w:rsidRPr="00876629">
        <w:rPr>
          <w:bCs/>
          <w:color w:val="000000"/>
        </w:rPr>
        <w:t xml:space="preserve">all three </w:t>
      </w:r>
      <w:r w:rsidRPr="00876629">
        <w:rPr>
          <w:bCs/>
          <w:color w:val="000000"/>
        </w:rPr>
        <w:t>UNDP Strategic Plan Outcome</w:t>
      </w:r>
      <w:r w:rsidR="00500574" w:rsidRPr="00876629">
        <w:rPr>
          <w:bCs/>
          <w:color w:val="000000"/>
        </w:rPr>
        <w:t xml:space="preserve">s. </w:t>
      </w:r>
      <w:r w:rsidR="00B104BD">
        <w:rPr>
          <w:bCs/>
          <w:color w:val="000000"/>
        </w:rPr>
        <w:t xml:space="preserve">The CO will be proactively engaged in the </w:t>
      </w:r>
      <w:r w:rsidR="00E6248B" w:rsidRPr="00876629">
        <w:rPr>
          <w:bCs/>
          <w:color w:val="000000"/>
        </w:rPr>
        <w:t>Independent Country Programme Evaluation and the UNSDCF evaluation.</w:t>
      </w:r>
    </w:p>
    <w:p w14:paraId="4A1AF165" w14:textId="77777777" w:rsidR="00876629" w:rsidRPr="00876629" w:rsidRDefault="00876629" w:rsidP="00876629">
      <w:pPr>
        <w:jc w:val="both"/>
        <w:rPr>
          <w:bCs/>
          <w:color w:val="000000"/>
        </w:rPr>
      </w:pPr>
    </w:p>
    <w:p w14:paraId="1C86BE6E" w14:textId="52BC443A" w:rsidR="00DC14B1" w:rsidRPr="00876629" w:rsidRDefault="00CA29FC" w:rsidP="00876629">
      <w:pPr>
        <w:jc w:val="both"/>
        <w:rPr>
          <w:bCs/>
          <w:color w:val="000000"/>
        </w:rPr>
      </w:pPr>
      <w:r w:rsidRPr="00876629">
        <w:rPr>
          <w:bCs/>
          <w:color w:val="000000"/>
        </w:rPr>
        <w:t xml:space="preserve">While conducting these evaluations, CO will organize a series of stakeholder consultations to receive feedback to improve the programme and enhance knowledge sharing among </w:t>
      </w:r>
      <w:r w:rsidR="00032E50">
        <w:rPr>
          <w:bCs/>
          <w:color w:val="000000"/>
        </w:rPr>
        <w:t>partner</w:t>
      </w:r>
      <w:r w:rsidR="00E21E2C">
        <w:rPr>
          <w:bCs/>
          <w:color w:val="000000"/>
        </w:rPr>
        <w:t>s</w:t>
      </w:r>
      <w:r w:rsidRPr="00876629">
        <w:rPr>
          <w:bCs/>
          <w:color w:val="000000"/>
        </w:rPr>
        <w:t>.</w:t>
      </w:r>
      <w:r w:rsidR="00E20250" w:rsidRPr="00876629">
        <w:rPr>
          <w:b/>
          <w:color w:val="000000"/>
        </w:rPr>
        <w:t xml:space="preserve">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3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767"/>
        <w:gridCol w:w="1716"/>
        <w:gridCol w:w="1598"/>
        <w:gridCol w:w="1245"/>
        <w:gridCol w:w="1567"/>
        <w:gridCol w:w="1538"/>
        <w:gridCol w:w="1526"/>
        <w:gridCol w:w="1435"/>
      </w:tblGrid>
      <w:tr w:rsidR="00C04DE2" w:rsidRPr="00C04DE2" w14:paraId="58BC88FC" w14:textId="77777777" w:rsidTr="00A03D75">
        <w:trPr>
          <w:trHeight w:val="841"/>
        </w:trPr>
        <w:tc>
          <w:tcPr>
            <w:tcW w:w="681" w:type="pct"/>
            <w:shd w:val="clear" w:color="auto" w:fill="D9E2F3" w:themeFill="accent1" w:themeFillTint="33"/>
            <w:vAlign w:val="center"/>
          </w:tcPr>
          <w:p w14:paraId="021A0989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UNDAF (or equivalent)</w:t>
            </w:r>
          </w:p>
          <w:p w14:paraId="3BEC7A7A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16" w:type="pct"/>
            <w:shd w:val="clear" w:color="auto" w:fill="D9E2F3" w:themeFill="accent1" w:themeFillTint="33"/>
            <w:vAlign w:val="center"/>
          </w:tcPr>
          <w:p w14:paraId="7A236C84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98" w:type="pct"/>
            <w:shd w:val="clear" w:color="auto" w:fill="D9E2F3" w:themeFill="accent1" w:themeFillTint="33"/>
            <w:vAlign w:val="center"/>
          </w:tcPr>
          <w:p w14:paraId="3C06FEC3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57" w:type="pct"/>
            <w:shd w:val="clear" w:color="auto" w:fill="D9E2F3" w:themeFill="accent1" w:themeFillTint="33"/>
            <w:vAlign w:val="center"/>
          </w:tcPr>
          <w:p w14:paraId="73684D96" w14:textId="77777777" w:rsidR="0019508C" w:rsidRPr="00C04DE2" w:rsidDel="00BA628C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34" w:type="pct"/>
            <w:shd w:val="clear" w:color="auto" w:fill="D9E2F3" w:themeFill="accent1" w:themeFillTint="33"/>
            <w:vAlign w:val="center"/>
          </w:tcPr>
          <w:p w14:paraId="03757007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46" w:type="pct"/>
            <w:shd w:val="clear" w:color="auto" w:fill="D9E2F3" w:themeFill="accent1" w:themeFillTint="33"/>
            <w:vAlign w:val="center"/>
          </w:tcPr>
          <w:p w14:paraId="4B576BD3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36" w:type="pct"/>
            <w:shd w:val="clear" w:color="auto" w:fill="D9E2F3" w:themeFill="accent1" w:themeFillTint="33"/>
            <w:vAlign w:val="center"/>
          </w:tcPr>
          <w:p w14:paraId="73D048BA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32" w:type="pct"/>
            <w:shd w:val="clear" w:color="auto" w:fill="D9E2F3" w:themeFill="accent1" w:themeFillTint="33"/>
            <w:vAlign w:val="center"/>
          </w:tcPr>
          <w:p w14:paraId="188307ED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00" w:type="pct"/>
            <w:shd w:val="clear" w:color="auto" w:fill="D9E2F3" w:themeFill="accent1" w:themeFillTint="33"/>
            <w:vAlign w:val="center"/>
          </w:tcPr>
          <w:p w14:paraId="75D3C86A" w14:textId="77777777" w:rsidR="0019508C" w:rsidRPr="00C04DE2" w:rsidRDefault="0019508C" w:rsidP="00A62B69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C04DE2" w:rsidRPr="00C04DE2" w14:paraId="4942A564" w14:textId="77777777" w:rsidTr="00A03D75">
        <w:trPr>
          <w:trHeight w:val="487"/>
        </w:trPr>
        <w:tc>
          <w:tcPr>
            <w:tcW w:w="681" w:type="pct"/>
            <w:vMerge w:val="restart"/>
          </w:tcPr>
          <w:p w14:paraId="7C939DE1" w14:textId="2927DD59" w:rsidR="00FD162A" w:rsidRPr="00C04DE2" w:rsidRDefault="00FD162A" w:rsidP="00592067">
            <w:pPr>
              <w:jc w:val="both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 xml:space="preserve">Outcome 1: </w:t>
            </w:r>
          </w:p>
          <w:p w14:paraId="5CE66313" w14:textId="1158A578" w:rsidR="00FD162A" w:rsidRPr="00C04DE2" w:rsidRDefault="00FD162A" w:rsidP="00592067">
            <w:pPr>
              <w:jc w:val="both"/>
              <w:rPr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By 2027, institutions deliver human rights, evidence-based and gender-responsive services for all with the focus on those who are left behind</w:t>
            </w:r>
            <w:r w:rsidRPr="00C04DE2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616" w:type="pct"/>
            <w:vMerge w:val="restart"/>
          </w:tcPr>
          <w:p w14:paraId="0D73C2C5" w14:textId="7D493E9C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Outcome 2. No one left behind, centering on equitable access to opportunities and a rights-based approach to human agency and human development.</w:t>
            </w:r>
          </w:p>
        </w:tc>
        <w:tc>
          <w:tcPr>
            <w:tcW w:w="598" w:type="pct"/>
          </w:tcPr>
          <w:p w14:paraId="72DAAA17" w14:textId="77777777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>Confidence Building Measures Programme V (CBM V)</w:t>
            </w:r>
          </w:p>
          <w:p w14:paraId="49BC2532" w14:textId="77777777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>Final Project Evaluation</w:t>
            </w:r>
          </w:p>
          <w:p w14:paraId="2D03C480" w14:textId="47AEB4E2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</w:tcPr>
          <w:p w14:paraId="0496408A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1336A00A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31A65210" w14:textId="51EBDE48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Project Evaluation</w:t>
            </w:r>
          </w:p>
        </w:tc>
        <w:tc>
          <w:tcPr>
            <w:tcW w:w="536" w:type="pct"/>
          </w:tcPr>
          <w:p w14:paraId="54A6ECA7" w14:textId="60BB584E" w:rsidR="00FD162A" w:rsidRPr="00C04DE2" w:rsidRDefault="00FD162A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June 2023</w:t>
            </w:r>
          </w:p>
        </w:tc>
        <w:tc>
          <w:tcPr>
            <w:tcW w:w="532" w:type="pct"/>
          </w:tcPr>
          <w:p w14:paraId="22D1AF64" w14:textId="0E37949C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$15,000</w:t>
            </w:r>
          </w:p>
        </w:tc>
        <w:tc>
          <w:tcPr>
            <w:tcW w:w="500" w:type="pct"/>
          </w:tcPr>
          <w:p w14:paraId="054CEA36" w14:textId="77777777" w:rsidR="00FD162A" w:rsidRPr="00C04DE2" w:rsidRDefault="00FD162A" w:rsidP="00AA2BB3">
            <w:pPr>
              <w:spacing w:before="40" w:after="40"/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funds/EUD</w:t>
            </w:r>
          </w:p>
          <w:p w14:paraId="6142584E" w14:textId="77777777" w:rsidR="00FD162A" w:rsidRPr="00C04DE2" w:rsidRDefault="00FD162A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C04DE2" w:rsidRPr="00C04DE2" w14:paraId="51C27FD1" w14:textId="77777777" w:rsidTr="00A03D75">
        <w:trPr>
          <w:trHeight w:val="487"/>
        </w:trPr>
        <w:tc>
          <w:tcPr>
            <w:tcW w:w="681" w:type="pct"/>
            <w:vMerge/>
          </w:tcPr>
          <w:p w14:paraId="32128E31" w14:textId="77777777" w:rsidR="00FD162A" w:rsidRPr="00C04DE2" w:rsidRDefault="00FD162A" w:rsidP="0059206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0CE5B609" w14:textId="77777777" w:rsidR="00FD162A" w:rsidRPr="00C04DE2" w:rsidRDefault="00FD162A" w:rsidP="00AA2B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34B94FBD" w14:textId="77777777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Joint Action to Strengthen Human Rights in the Transnistrian Region of the Republic of Moldova</w:t>
            </w:r>
          </w:p>
          <w:p w14:paraId="63852EA4" w14:textId="73879DB0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</w:rPr>
              <w:t>Final Project Evaluation</w:t>
            </w:r>
          </w:p>
        </w:tc>
        <w:tc>
          <w:tcPr>
            <w:tcW w:w="557" w:type="pct"/>
          </w:tcPr>
          <w:p w14:paraId="075B2C56" w14:textId="29372E9A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 xml:space="preserve">OHCHR, UNDP, UNAIDS / UNODC, UNICEF, IOM, UNFPA </w:t>
            </w:r>
          </w:p>
        </w:tc>
        <w:tc>
          <w:tcPr>
            <w:tcW w:w="434" w:type="pct"/>
          </w:tcPr>
          <w:p w14:paraId="4FC0A227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2C1993E0" w14:textId="01005129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536" w:type="pct"/>
          </w:tcPr>
          <w:p w14:paraId="6C4ACCD1" w14:textId="39F0B85D" w:rsidR="00FD162A" w:rsidRPr="00C04DE2" w:rsidRDefault="00FD162A" w:rsidP="00AA2BB3">
            <w:pPr>
              <w:spacing w:before="40" w:after="40"/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>May 2025</w:t>
            </w:r>
          </w:p>
        </w:tc>
        <w:tc>
          <w:tcPr>
            <w:tcW w:w="532" w:type="pct"/>
          </w:tcPr>
          <w:p w14:paraId="0CA062F8" w14:textId="3EA9ABDB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$20,000</w:t>
            </w:r>
          </w:p>
        </w:tc>
        <w:tc>
          <w:tcPr>
            <w:tcW w:w="500" w:type="pct"/>
          </w:tcPr>
          <w:p w14:paraId="00016D15" w14:textId="59CB93E0" w:rsidR="00FD162A" w:rsidRPr="00C04DE2" w:rsidRDefault="00FD162A" w:rsidP="00AA2BB3">
            <w:pPr>
              <w:spacing w:before="40" w:after="40"/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funds/SIDA</w:t>
            </w:r>
          </w:p>
        </w:tc>
      </w:tr>
      <w:tr w:rsidR="00C04DE2" w:rsidRPr="00C04DE2" w14:paraId="73A94E5D" w14:textId="77777777" w:rsidTr="00A03D75">
        <w:trPr>
          <w:trHeight w:val="487"/>
        </w:trPr>
        <w:tc>
          <w:tcPr>
            <w:tcW w:w="681" w:type="pct"/>
            <w:vMerge w:val="restart"/>
          </w:tcPr>
          <w:p w14:paraId="423BDB72" w14:textId="05DF9FF2" w:rsidR="00CC303F" w:rsidRPr="00C04DE2" w:rsidRDefault="00CC303F" w:rsidP="00592067">
            <w:pPr>
              <w:jc w:val="both"/>
              <w:rPr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 xml:space="preserve">Outcome 2: </w:t>
            </w:r>
            <w:r w:rsidRPr="00C04DE2">
              <w:t xml:space="preserve"> </w:t>
            </w:r>
            <w:r w:rsidR="00977471">
              <w:t xml:space="preserve"> </w:t>
            </w:r>
            <w:r w:rsidR="00977471" w:rsidRPr="00977471">
              <w:rPr>
                <w:b/>
                <w:bCs/>
                <w:sz w:val="16"/>
                <w:szCs w:val="16"/>
              </w:rPr>
              <w:t xml:space="preserve">By 2027, more accountable, and transparent, human rights based and gender responsive governance </w:t>
            </w:r>
            <w:r w:rsidR="00977471" w:rsidRPr="00977471">
              <w:rPr>
                <w:b/>
                <w:bCs/>
                <w:sz w:val="16"/>
                <w:szCs w:val="16"/>
              </w:rPr>
              <w:lastRenderedPageBreak/>
              <w:t>empowers all people of Moldova to participate in and to contribute to development processes.</w:t>
            </w:r>
          </w:p>
        </w:tc>
        <w:tc>
          <w:tcPr>
            <w:tcW w:w="616" w:type="pct"/>
            <w:vMerge w:val="restart"/>
          </w:tcPr>
          <w:p w14:paraId="0D5E75A4" w14:textId="6EBA937B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lastRenderedPageBreak/>
              <w:t xml:space="preserve">Outcome 1. Structural transformation accelerated, particularly green, </w:t>
            </w:r>
            <w:r w:rsidRPr="00C04DE2">
              <w:rPr>
                <w:b/>
                <w:bCs/>
                <w:sz w:val="16"/>
                <w:szCs w:val="16"/>
              </w:rPr>
              <w:lastRenderedPageBreak/>
              <w:t>inclusive and digital transitions</w:t>
            </w:r>
          </w:p>
        </w:tc>
        <w:tc>
          <w:tcPr>
            <w:tcW w:w="598" w:type="pct"/>
          </w:tcPr>
          <w:p w14:paraId="00CAA990" w14:textId="77777777" w:rsidR="00CC303F" w:rsidRPr="00C04DE2" w:rsidRDefault="00CC303F" w:rsidP="00AA2BB3">
            <w:pPr>
              <w:rPr>
                <w:iCs/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lastRenderedPageBreak/>
              <w:t xml:space="preserve">“Enhancing democracy in Moldova through inclusive and transparent elections” (EDMITE II) </w:t>
            </w:r>
          </w:p>
          <w:p w14:paraId="7BD3C427" w14:textId="4B0458AC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lastRenderedPageBreak/>
              <w:t>Final Project Evaluation</w:t>
            </w:r>
          </w:p>
        </w:tc>
        <w:tc>
          <w:tcPr>
            <w:tcW w:w="557" w:type="pct"/>
          </w:tcPr>
          <w:p w14:paraId="0619197D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0BF373B4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15AA8913" w14:textId="078F17BA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 xml:space="preserve">Project Evaluation </w:t>
            </w:r>
          </w:p>
        </w:tc>
        <w:tc>
          <w:tcPr>
            <w:tcW w:w="536" w:type="pct"/>
          </w:tcPr>
          <w:p w14:paraId="4A5958B9" w14:textId="6D553A80" w:rsidR="00CC303F" w:rsidRPr="00C04DE2" w:rsidRDefault="00B33840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January 2024</w:t>
            </w:r>
          </w:p>
        </w:tc>
        <w:tc>
          <w:tcPr>
            <w:tcW w:w="532" w:type="pct"/>
          </w:tcPr>
          <w:p w14:paraId="60AD7B3C" w14:textId="38880FD6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$16,000</w:t>
            </w:r>
          </w:p>
        </w:tc>
        <w:tc>
          <w:tcPr>
            <w:tcW w:w="500" w:type="pct"/>
          </w:tcPr>
          <w:p w14:paraId="7A5D9851" w14:textId="56D461CD" w:rsidR="00CC303F" w:rsidRPr="00C04DE2" w:rsidRDefault="00CC303F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iCs/>
                <w:sz w:val="16"/>
                <w:szCs w:val="16"/>
              </w:rPr>
              <w:t>Project (donor) funds</w:t>
            </w:r>
          </w:p>
        </w:tc>
      </w:tr>
      <w:tr w:rsidR="00C04DE2" w:rsidRPr="00C04DE2" w14:paraId="60EA1212" w14:textId="77777777" w:rsidTr="00CC303F">
        <w:trPr>
          <w:trHeight w:val="530"/>
        </w:trPr>
        <w:tc>
          <w:tcPr>
            <w:tcW w:w="681" w:type="pct"/>
            <w:vMerge/>
          </w:tcPr>
          <w:p w14:paraId="3574ED5C" w14:textId="77777777" w:rsidR="00CC303F" w:rsidRPr="00C04DE2" w:rsidRDefault="00CC303F" w:rsidP="0059206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61C29FA3" w14:textId="77777777" w:rsidR="00CC303F" w:rsidRPr="00C04DE2" w:rsidRDefault="00CC303F" w:rsidP="00AA2B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pct"/>
          </w:tcPr>
          <w:p w14:paraId="0273196B" w14:textId="0E379397" w:rsidR="00CC303F" w:rsidRPr="00C04DE2" w:rsidRDefault="00CC303F" w:rsidP="00AA2BB3">
            <w:pPr>
              <w:rPr>
                <w:iCs/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 xml:space="preserve">LNOB thematic evaluation </w:t>
            </w:r>
          </w:p>
        </w:tc>
        <w:tc>
          <w:tcPr>
            <w:tcW w:w="557" w:type="pct"/>
          </w:tcPr>
          <w:p w14:paraId="14A2D240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45689374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57EDAE71" w14:textId="5AB84B7E" w:rsidR="00CC303F" w:rsidRPr="00C04DE2" w:rsidRDefault="00CC303F" w:rsidP="00AA2BB3">
            <w:pPr>
              <w:rPr>
                <w:iCs/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 xml:space="preserve">Thematic evaluation </w:t>
            </w:r>
          </w:p>
        </w:tc>
        <w:tc>
          <w:tcPr>
            <w:tcW w:w="536" w:type="pct"/>
          </w:tcPr>
          <w:p w14:paraId="544A1511" w14:textId="2658D34E" w:rsidR="00CC303F" w:rsidRPr="00C04DE2" w:rsidRDefault="00CC303F" w:rsidP="00AA2BB3">
            <w:pPr>
              <w:spacing w:before="40" w:after="40"/>
              <w:rPr>
                <w:iCs/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January 2026</w:t>
            </w:r>
          </w:p>
        </w:tc>
        <w:tc>
          <w:tcPr>
            <w:tcW w:w="532" w:type="pct"/>
          </w:tcPr>
          <w:p w14:paraId="39171C38" w14:textId="09D8FE85" w:rsidR="00CC303F" w:rsidRPr="00C04DE2" w:rsidRDefault="00CC303F" w:rsidP="00AA2BB3">
            <w:pPr>
              <w:rPr>
                <w:iCs/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$ 2</w:t>
            </w:r>
            <w:r w:rsidR="009223AF" w:rsidRPr="00C04DE2">
              <w:rPr>
                <w:iCs/>
                <w:sz w:val="16"/>
                <w:szCs w:val="16"/>
              </w:rPr>
              <w:t>5</w:t>
            </w:r>
            <w:r w:rsidRPr="00C04DE2">
              <w:rPr>
                <w:iCs/>
                <w:sz w:val="16"/>
                <w:szCs w:val="16"/>
              </w:rPr>
              <w:t>,000</w:t>
            </w:r>
          </w:p>
        </w:tc>
        <w:tc>
          <w:tcPr>
            <w:tcW w:w="500" w:type="pct"/>
          </w:tcPr>
          <w:p w14:paraId="46A27187" w14:textId="51F230D5" w:rsidR="00CC303F" w:rsidRPr="00C04DE2" w:rsidRDefault="00CC303F" w:rsidP="00AA2BB3">
            <w:pPr>
              <w:rPr>
                <w:iCs/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CO Budget combined with projects’ budget</w:t>
            </w:r>
          </w:p>
        </w:tc>
      </w:tr>
      <w:tr w:rsidR="00C04DE2" w:rsidRPr="00C04DE2" w14:paraId="68F7D820" w14:textId="77777777" w:rsidTr="00A03D75">
        <w:trPr>
          <w:trHeight w:val="487"/>
        </w:trPr>
        <w:tc>
          <w:tcPr>
            <w:tcW w:w="681" w:type="pct"/>
            <w:vMerge/>
          </w:tcPr>
          <w:p w14:paraId="59F726C8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7997B0FA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14:paraId="4B6D5D5B" w14:textId="2CB8E63E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 xml:space="preserve">Effective Governance Outcome Evaluation </w:t>
            </w:r>
          </w:p>
        </w:tc>
        <w:tc>
          <w:tcPr>
            <w:tcW w:w="557" w:type="pct"/>
          </w:tcPr>
          <w:p w14:paraId="3DA353AF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3DCE426E" w14:textId="77777777" w:rsidR="00CC303F" w:rsidRPr="00C04DE2" w:rsidRDefault="00CC303F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2CD75858" w14:textId="722887DE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Outcome Evaluation</w:t>
            </w:r>
          </w:p>
        </w:tc>
        <w:tc>
          <w:tcPr>
            <w:tcW w:w="536" w:type="pct"/>
          </w:tcPr>
          <w:p w14:paraId="5C64EE66" w14:textId="26A8EEE4" w:rsidR="00CC303F" w:rsidRPr="00C04DE2" w:rsidRDefault="00F85E27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 xml:space="preserve">December </w:t>
            </w:r>
            <w:r w:rsidR="00CC303F" w:rsidRPr="00C04DE2">
              <w:rPr>
                <w:iCs/>
                <w:sz w:val="16"/>
                <w:szCs w:val="16"/>
              </w:rPr>
              <w:t>2025</w:t>
            </w:r>
          </w:p>
        </w:tc>
        <w:tc>
          <w:tcPr>
            <w:tcW w:w="532" w:type="pct"/>
          </w:tcPr>
          <w:p w14:paraId="271AB55E" w14:textId="1EF8E243" w:rsidR="00CC303F" w:rsidRPr="00C04DE2" w:rsidRDefault="00CC303F" w:rsidP="00AA2BB3">
            <w:pPr>
              <w:rPr>
                <w:sz w:val="16"/>
                <w:szCs w:val="16"/>
              </w:rPr>
            </w:pPr>
            <w:r w:rsidRPr="00C04DE2">
              <w:rPr>
                <w:iCs/>
                <w:sz w:val="16"/>
                <w:szCs w:val="16"/>
              </w:rPr>
              <w:t>$40,000</w:t>
            </w:r>
          </w:p>
        </w:tc>
        <w:tc>
          <w:tcPr>
            <w:tcW w:w="500" w:type="pct"/>
          </w:tcPr>
          <w:p w14:paraId="46ACA9B8" w14:textId="57880BB9" w:rsidR="00CC303F" w:rsidRPr="00C04DE2" w:rsidRDefault="00CC303F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iCs/>
                <w:sz w:val="16"/>
                <w:szCs w:val="16"/>
              </w:rPr>
              <w:t>CO Budget combined with projects’ budget</w:t>
            </w:r>
          </w:p>
        </w:tc>
      </w:tr>
      <w:tr w:rsidR="00C04DE2" w:rsidRPr="00C04DE2" w14:paraId="073E2AD0" w14:textId="77777777" w:rsidTr="00E125A8">
        <w:trPr>
          <w:trHeight w:val="800"/>
        </w:trPr>
        <w:tc>
          <w:tcPr>
            <w:tcW w:w="681" w:type="pct"/>
            <w:vMerge w:val="restart"/>
          </w:tcPr>
          <w:p w14:paraId="7A457420" w14:textId="7577B3B9" w:rsidR="00FD162A" w:rsidRPr="00C04DE2" w:rsidRDefault="00FD162A" w:rsidP="00592067">
            <w:pPr>
              <w:jc w:val="both"/>
              <w:rPr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 xml:space="preserve">Outcome 3. </w:t>
            </w:r>
            <w:r w:rsidRPr="00C04DE2">
              <w:t xml:space="preserve"> </w:t>
            </w:r>
            <w:r w:rsidR="00F91156">
              <w:t xml:space="preserve"> </w:t>
            </w:r>
            <w:r w:rsidR="00F91156" w:rsidRPr="00F91156">
              <w:rPr>
                <w:b/>
                <w:bCs/>
                <w:sz w:val="16"/>
                <w:szCs w:val="16"/>
              </w:rPr>
              <w:t>By 2027, all people of Moldova, especially the most vulnerable, benefit from inclusive, competitive and sustainable economic development and equal access to decent work and productive employment.</w:t>
            </w:r>
          </w:p>
        </w:tc>
        <w:tc>
          <w:tcPr>
            <w:tcW w:w="616" w:type="pct"/>
            <w:vMerge w:val="restart"/>
          </w:tcPr>
          <w:p w14:paraId="1AAB0FDE" w14:textId="18F27A70" w:rsidR="00FD162A" w:rsidRPr="00C04DE2" w:rsidRDefault="00FD162A" w:rsidP="00AA2BB3">
            <w:pPr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>Outcome 2: No one left behind centering on equitable access to opportunities and a rights-based approach to human agency and human development.</w:t>
            </w:r>
          </w:p>
          <w:p w14:paraId="5584E1AA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14:paraId="65D22247" w14:textId="472C92D3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“Advanced cross-river capacities for trade” Final Project Evaluation</w:t>
            </w:r>
          </w:p>
        </w:tc>
        <w:tc>
          <w:tcPr>
            <w:tcW w:w="557" w:type="pct"/>
          </w:tcPr>
          <w:p w14:paraId="4979F0BC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66152832" w14:textId="5E9D77CF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54B40671" w14:textId="66A004C4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Project Evaluation</w:t>
            </w:r>
          </w:p>
        </w:tc>
        <w:tc>
          <w:tcPr>
            <w:tcW w:w="536" w:type="pct"/>
          </w:tcPr>
          <w:p w14:paraId="1967F5B2" w14:textId="783C8CC8" w:rsidR="00FD162A" w:rsidRPr="00C04DE2" w:rsidRDefault="009C3659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 xml:space="preserve">January </w:t>
            </w:r>
            <w:r w:rsidR="00FD162A" w:rsidRPr="00C04DE2">
              <w:rPr>
                <w:sz w:val="16"/>
                <w:szCs w:val="16"/>
                <w:lang w:val="en-GB"/>
              </w:rPr>
              <w:t>202</w:t>
            </w:r>
            <w:r w:rsidRPr="00C04DE2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44495C92" w14:textId="6ED7EAAD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$10,000</w:t>
            </w:r>
          </w:p>
        </w:tc>
        <w:tc>
          <w:tcPr>
            <w:tcW w:w="500" w:type="pct"/>
          </w:tcPr>
          <w:p w14:paraId="4D711BA3" w14:textId="367A9BBF" w:rsidR="00FD162A" w:rsidRPr="00C04DE2" w:rsidRDefault="00FD162A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val="en-GB" w:eastAsia="uk-UA"/>
              </w:rPr>
              <w:t xml:space="preserve">Project (donor) funds/ CO Budget </w:t>
            </w:r>
          </w:p>
        </w:tc>
      </w:tr>
      <w:tr w:rsidR="00C04DE2" w:rsidRPr="00C04DE2" w14:paraId="116061D6" w14:textId="77777777" w:rsidTr="00A03D75">
        <w:trPr>
          <w:trHeight w:val="487"/>
        </w:trPr>
        <w:tc>
          <w:tcPr>
            <w:tcW w:w="681" w:type="pct"/>
            <w:vMerge/>
          </w:tcPr>
          <w:p w14:paraId="1CA2DEC4" w14:textId="77777777" w:rsidR="00FD162A" w:rsidRPr="00C04DE2" w:rsidRDefault="00FD162A" w:rsidP="00592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2F48CFC2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14:paraId="69BF06D0" w14:textId="77777777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 xml:space="preserve">“EU4Moldova: Focal regions” </w:t>
            </w:r>
          </w:p>
          <w:p w14:paraId="05852479" w14:textId="77777777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>Final Project Evaluation</w:t>
            </w:r>
          </w:p>
          <w:p w14:paraId="1757150E" w14:textId="2441A5DF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</w:tcPr>
          <w:p w14:paraId="02CF69D2" w14:textId="3988F031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UNICEF</w:t>
            </w:r>
          </w:p>
        </w:tc>
        <w:tc>
          <w:tcPr>
            <w:tcW w:w="434" w:type="pct"/>
            <w:shd w:val="clear" w:color="auto" w:fill="auto"/>
          </w:tcPr>
          <w:p w14:paraId="6A1B4573" w14:textId="2CB8C25B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EUD</w:t>
            </w:r>
          </w:p>
        </w:tc>
        <w:tc>
          <w:tcPr>
            <w:tcW w:w="546" w:type="pct"/>
            <w:shd w:val="clear" w:color="auto" w:fill="auto"/>
          </w:tcPr>
          <w:p w14:paraId="33443468" w14:textId="4704F2ED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Project Evaluation</w:t>
            </w:r>
          </w:p>
        </w:tc>
        <w:tc>
          <w:tcPr>
            <w:tcW w:w="536" w:type="pct"/>
            <w:shd w:val="clear" w:color="auto" w:fill="auto"/>
          </w:tcPr>
          <w:p w14:paraId="5A9B4C47" w14:textId="7128231F" w:rsidR="00FD162A" w:rsidRPr="00C04DE2" w:rsidRDefault="00FD162A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November 2024</w:t>
            </w:r>
          </w:p>
        </w:tc>
        <w:tc>
          <w:tcPr>
            <w:tcW w:w="532" w:type="pct"/>
            <w:shd w:val="clear" w:color="auto" w:fill="auto"/>
          </w:tcPr>
          <w:p w14:paraId="12CA191C" w14:textId="484AEA09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$15,000</w:t>
            </w:r>
          </w:p>
        </w:tc>
        <w:tc>
          <w:tcPr>
            <w:tcW w:w="500" w:type="pct"/>
          </w:tcPr>
          <w:p w14:paraId="4F64C8E7" w14:textId="082ED1B7" w:rsidR="00FD162A" w:rsidRPr="00C04DE2" w:rsidRDefault="00FD162A" w:rsidP="00AA2BB3">
            <w:pPr>
              <w:spacing w:before="40" w:after="40"/>
              <w:rPr>
                <w:sz w:val="16"/>
                <w:szCs w:val="16"/>
                <w:lang w:val="en-GB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 / EUD</w:t>
            </w:r>
          </w:p>
          <w:p w14:paraId="6E320E6D" w14:textId="77777777" w:rsidR="00FD162A" w:rsidRPr="00C04DE2" w:rsidRDefault="00FD162A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C04DE2" w:rsidRPr="00C04DE2" w14:paraId="1AE28C82" w14:textId="77777777" w:rsidTr="00A03D75">
        <w:trPr>
          <w:trHeight w:val="487"/>
        </w:trPr>
        <w:tc>
          <w:tcPr>
            <w:tcW w:w="681" w:type="pct"/>
            <w:vMerge/>
          </w:tcPr>
          <w:p w14:paraId="64D7AE6F" w14:textId="77777777" w:rsidR="00FD162A" w:rsidRPr="00C04DE2" w:rsidRDefault="00FD162A" w:rsidP="00592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414BD754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14:paraId="159086C9" w14:textId="2E4D8916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 xml:space="preserve">Inclusive </w:t>
            </w:r>
            <w:r w:rsidR="00B93902">
              <w:rPr>
                <w:sz w:val="16"/>
                <w:szCs w:val="16"/>
                <w:lang w:val="en-GB"/>
              </w:rPr>
              <w:t>G</w:t>
            </w:r>
            <w:r w:rsidRPr="00C04DE2">
              <w:rPr>
                <w:sz w:val="16"/>
                <w:szCs w:val="16"/>
                <w:lang w:val="en-GB"/>
              </w:rPr>
              <w:t>rowth Outcome Evaluation</w:t>
            </w:r>
          </w:p>
        </w:tc>
        <w:tc>
          <w:tcPr>
            <w:tcW w:w="557" w:type="pct"/>
            <w:shd w:val="clear" w:color="auto" w:fill="auto"/>
          </w:tcPr>
          <w:p w14:paraId="648F9B9E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14:paraId="7451EAFD" w14:textId="77777777" w:rsidR="00FD162A" w:rsidRPr="00C04DE2" w:rsidRDefault="00FD162A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05B0F003" w14:textId="3D70C24C" w:rsidR="00FD162A" w:rsidRPr="00C04DE2" w:rsidRDefault="00FD162A" w:rsidP="00AA2BB3">
            <w:pPr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>Outcome Evaluation</w:t>
            </w:r>
          </w:p>
        </w:tc>
        <w:tc>
          <w:tcPr>
            <w:tcW w:w="536" w:type="pct"/>
            <w:shd w:val="clear" w:color="auto" w:fill="auto"/>
          </w:tcPr>
          <w:p w14:paraId="6FF45F8E" w14:textId="11AD84DC" w:rsidR="00FD162A" w:rsidRPr="00C04DE2" w:rsidRDefault="007929CD" w:rsidP="00AA2BB3">
            <w:pPr>
              <w:spacing w:before="40" w:after="40"/>
              <w:rPr>
                <w:sz w:val="16"/>
                <w:szCs w:val="16"/>
                <w:lang w:val="en-GB"/>
              </w:rPr>
            </w:pPr>
            <w:r w:rsidRPr="00C04DE2">
              <w:rPr>
                <w:sz w:val="16"/>
                <w:szCs w:val="16"/>
                <w:lang w:val="en-GB"/>
              </w:rPr>
              <w:t>February</w:t>
            </w:r>
            <w:r w:rsidR="00E77B1A" w:rsidRPr="00C04DE2">
              <w:rPr>
                <w:sz w:val="16"/>
                <w:szCs w:val="16"/>
                <w:lang w:val="en-GB"/>
              </w:rPr>
              <w:t xml:space="preserve"> </w:t>
            </w:r>
            <w:r w:rsidR="00C35239" w:rsidRPr="00C04DE2">
              <w:rPr>
                <w:sz w:val="16"/>
                <w:szCs w:val="16"/>
                <w:lang w:val="en-GB"/>
              </w:rPr>
              <w:t>2026</w:t>
            </w:r>
          </w:p>
        </w:tc>
        <w:tc>
          <w:tcPr>
            <w:tcW w:w="532" w:type="pct"/>
            <w:shd w:val="clear" w:color="auto" w:fill="auto"/>
          </w:tcPr>
          <w:p w14:paraId="0D02BAD5" w14:textId="2CDFBA2C" w:rsidR="00FD162A" w:rsidRPr="00C04DE2" w:rsidRDefault="00FD162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  <w:lang w:val="en-GB"/>
              </w:rPr>
              <w:t>$40,000</w:t>
            </w:r>
          </w:p>
        </w:tc>
        <w:tc>
          <w:tcPr>
            <w:tcW w:w="500" w:type="pct"/>
            <w:shd w:val="clear" w:color="auto" w:fill="auto"/>
          </w:tcPr>
          <w:p w14:paraId="3CC634C0" w14:textId="1E8975CB" w:rsidR="00FD162A" w:rsidRPr="00C04DE2" w:rsidRDefault="00FD162A" w:rsidP="00AA2BB3">
            <w:pPr>
              <w:spacing w:before="40" w:after="40"/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CO Budget</w:t>
            </w:r>
            <w:r w:rsidRPr="00C04DE2">
              <w:t xml:space="preserve"> </w:t>
            </w:r>
            <w:r w:rsidRPr="00C04DE2">
              <w:rPr>
                <w:rStyle w:val="CommentReference"/>
                <w:sz w:val="16"/>
                <w:szCs w:val="16"/>
                <w:lang w:eastAsia="uk-UA"/>
              </w:rPr>
              <w:t>combined with projects’ budget</w:t>
            </w:r>
          </w:p>
        </w:tc>
      </w:tr>
      <w:tr w:rsidR="00C04DE2" w:rsidRPr="00C04DE2" w14:paraId="2E133ACB" w14:textId="77777777" w:rsidTr="00A03D75">
        <w:trPr>
          <w:trHeight w:val="1244"/>
        </w:trPr>
        <w:tc>
          <w:tcPr>
            <w:tcW w:w="681" w:type="pct"/>
            <w:vMerge w:val="restart"/>
          </w:tcPr>
          <w:p w14:paraId="7D88ADE2" w14:textId="72ECD886" w:rsidR="00AA2BB3" w:rsidRPr="00C04DE2" w:rsidRDefault="00AA2BB3" w:rsidP="00592067">
            <w:pPr>
              <w:jc w:val="both"/>
              <w:rPr>
                <w:b/>
                <w:bCs/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</w:rPr>
              <w:t xml:space="preserve">Outcome 4.  </w:t>
            </w:r>
            <w:r w:rsidR="002B2473">
              <w:t xml:space="preserve"> </w:t>
            </w:r>
            <w:r w:rsidR="002B2473" w:rsidRPr="002B2473">
              <w:rPr>
                <w:b/>
                <w:bCs/>
                <w:sz w:val="16"/>
                <w:szCs w:val="16"/>
              </w:rPr>
              <w:t>By 2027, institutions and all people of Moldova benefit from and contribute to green and resilient development, sustainable use of natural resources and effective gender-responsive climate change action and disaster risk management.</w:t>
            </w:r>
          </w:p>
        </w:tc>
        <w:tc>
          <w:tcPr>
            <w:tcW w:w="616" w:type="pct"/>
            <w:vMerge w:val="restart"/>
          </w:tcPr>
          <w:p w14:paraId="7F83C11E" w14:textId="287A8A91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b/>
                <w:bCs/>
                <w:sz w:val="16"/>
                <w:szCs w:val="16"/>
                <w:lang w:val="en-GB"/>
              </w:rPr>
              <w:t>Outcome 3: Resilience built to respond to systemic uncertainty and risk</w:t>
            </w:r>
          </w:p>
        </w:tc>
        <w:tc>
          <w:tcPr>
            <w:tcW w:w="598" w:type="pct"/>
          </w:tcPr>
          <w:p w14:paraId="7C948C36" w14:textId="054EEA77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Sustainable and Resilient Communities through Women Empowerment Final Evaluation</w:t>
            </w:r>
          </w:p>
        </w:tc>
        <w:tc>
          <w:tcPr>
            <w:tcW w:w="557" w:type="pct"/>
          </w:tcPr>
          <w:p w14:paraId="69D3FE9B" w14:textId="5CD60789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04DB7E6B" w14:textId="18FAA624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SIDA</w:t>
            </w:r>
          </w:p>
        </w:tc>
        <w:tc>
          <w:tcPr>
            <w:tcW w:w="546" w:type="pct"/>
          </w:tcPr>
          <w:p w14:paraId="738D76E1" w14:textId="3F859C2A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Project Evaluation</w:t>
            </w:r>
          </w:p>
        </w:tc>
        <w:tc>
          <w:tcPr>
            <w:tcW w:w="536" w:type="pct"/>
          </w:tcPr>
          <w:p w14:paraId="151695CB" w14:textId="03C4D54C" w:rsidR="00AA2BB3" w:rsidRPr="00C04DE2" w:rsidRDefault="00AA2BB3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February 2023</w:t>
            </w:r>
          </w:p>
        </w:tc>
        <w:tc>
          <w:tcPr>
            <w:tcW w:w="532" w:type="pct"/>
          </w:tcPr>
          <w:p w14:paraId="1E7D508F" w14:textId="31377683" w:rsidR="00AA2BB3" w:rsidRPr="00C04DE2" w:rsidRDefault="00AA2BB3" w:rsidP="00AA2BB3">
            <w:pPr>
              <w:spacing w:before="40" w:after="40" w:line="276" w:lineRule="auto"/>
              <w:rPr>
                <w:sz w:val="16"/>
                <w:szCs w:val="16"/>
                <w:lang w:eastAsia="ja-JP"/>
              </w:rPr>
            </w:pPr>
            <w:r w:rsidRPr="00C04DE2">
              <w:rPr>
                <w:sz w:val="16"/>
                <w:szCs w:val="16"/>
              </w:rPr>
              <w:t>$25,000</w:t>
            </w:r>
          </w:p>
        </w:tc>
        <w:tc>
          <w:tcPr>
            <w:tcW w:w="500" w:type="pct"/>
          </w:tcPr>
          <w:p w14:paraId="48884030" w14:textId="37CA5861" w:rsidR="00AA2BB3" w:rsidRPr="00C04DE2" w:rsidRDefault="00AA2BB3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 / SIDA</w:t>
            </w:r>
          </w:p>
        </w:tc>
      </w:tr>
      <w:tr w:rsidR="00C04DE2" w:rsidRPr="00C04DE2" w14:paraId="7BE3FE39" w14:textId="77777777" w:rsidTr="00A03D75">
        <w:trPr>
          <w:trHeight w:val="59"/>
        </w:trPr>
        <w:tc>
          <w:tcPr>
            <w:tcW w:w="681" w:type="pct"/>
            <w:vMerge/>
          </w:tcPr>
          <w:p w14:paraId="1CCFCD3D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6B0163D1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14:paraId="2F5F2DC8" w14:textId="6C5EDC9B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Moldova Sustainable Green Cities Final Evaluation</w:t>
            </w:r>
          </w:p>
        </w:tc>
        <w:tc>
          <w:tcPr>
            <w:tcW w:w="557" w:type="pct"/>
          </w:tcPr>
          <w:p w14:paraId="716C1803" w14:textId="19EBEE69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5AE21A6F" w14:textId="0189E244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GEF</w:t>
            </w:r>
          </w:p>
        </w:tc>
        <w:tc>
          <w:tcPr>
            <w:tcW w:w="546" w:type="pct"/>
          </w:tcPr>
          <w:p w14:paraId="2F1CEB2B" w14:textId="21BA0D64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Project Evaluation</w:t>
            </w:r>
          </w:p>
        </w:tc>
        <w:tc>
          <w:tcPr>
            <w:tcW w:w="536" w:type="pct"/>
          </w:tcPr>
          <w:p w14:paraId="0376981B" w14:textId="6FEB72A8" w:rsidR="00AA2BB3" w:rsidRPr="00C04DE2" w:rsidRDefault="00AA2BB3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July 2023</w:t>
            </w:r>
          </w:p>
        </w:tc>
        <w:tc>
          <w:tcPr>
            <w:tcW w:w="532" w:type="pct"/>
          </w:tcPr>
          <w:p w14:paraId="77B60239" w14:textId="40BE9BA5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$19,300</w:t>
            </w:r>
          </w:p>
        </w:tc>
        <w:tc>
          <w:tcPr>
            <w:tcW w:w="500" w:type="pct"/>
          </w:tcPr>
          <w:p w14:paraId="1C802A50" w14:textId="1489F7D9" w:rsidR="00AA2BB3" w:rsidRPr="00C04DE2" w:rsidRDefault="00AA2BB3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 / GEF</w:t>
            </w:r>
          </w:p>
        </w:tc>
      </w:tr>
      <w:tr w:rsidR="00C04DE2" w:rsidRPr="00C04DE2" w14:paraId="069A48A9" w14:textId="77777777" w:rsidTr="00A03D75">
        <w:trPr>
          <w:trHeight w:val="59"/>
        </w:trPr>
        <w:tc>
          <w:tcPr>
            <w:tcW w:w="681" w:type="pct"/>
            <w:vMerge/>
          </w:tcPr>
          <w:p w14:paraId="28BA0491" w14:textId="77777777" w:rsidR="005A24D3" w:rsidRPr="00C04DE2" w:rsidRDefault="005A24D3" w:rsidP="00AA2BB3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034E03B9" w14:textId="77777777" w:rsidR="005A24D3" w:rsidRPr="00C04DE2" w:rsidRDefault="005A24D3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14:paraId="62F189E6" w14:textId="1B32DED8" w:rsidR="005A24D3" w:rsidRPr="00C04DE2" w:rsidRDefault="00924020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Conservation and sustainable management of wetlands with focus on high-nature value areas in the Prut River basin</w:t>
            </w:r>
            <w:r w:rsidR="00600F26" w:rsidRPr="00C04DE2">
              <w:rPr>
                <w:sz w:val="16"/>
                <w:szCs w:val="16"/>
              </w:rPr>
              <w:t xml:space="preserve">. Final evaluation </w:t>
            </w:r>
          </w:p>
        </w:tc>
        <w:tc>
          <w:tcPr>
            <w:tcW w:w="557" w:type="pct"/>
          </w:tcPr>
          <w:p w14:paraId="67443783" w14:textId="77777777" w:rsidR="005A24D3" w:rsidRPr="00C04DE2" w:rsidRDefault="005A24D3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3F129034" w14:textId="63E1F7B6" w:rsidR="005A24D3" w:rsidRPr="00C04DE2" w:rsidRDefault="00924020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 xml:space="preserve">GEF </w:t>
            </w:r>
          </w:p>
        </w:tc>
        <w:tc>
          <w:tcPr>
            <w:tcW w:w="546" w:type="pct"/>
          </w:tcPr>
          <w:p w14:paraId="4632FF25" w14:textId="28D54830" w:rsidR="005A24D3" w:rsidRPr="00C04DE2" w:rsidRDefault="00E82ADA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Project Evaluation</w:t>
            </w:r>
            <w:r w:rsidR="00FE2758" w:rsidRPr="00C04D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</w:tcPr>
          <w:p w14:paraId="2D7309A1" w14:textId="7A5E17FB" w:rsidR="005A24D3" w:rsidRPr="00C04DE2" w:rsidRDefault="00994D14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 xml:space="preserve">September </w:t>
            </w:r>
            <w:r w:rsidR="00595F0E" w:rsidRPr="00C04DE2">
              <w:rPr>
                <w:sz w:val="16"/>
                <w:szCs w:val="16"/>
              </w:rPr>
              <w:t>2026</w:t>
            </w:r>
          </w:p>
        </w:tc>
        <w:tc>
          <w:tcPr>
            <w:tcW w:w="532" w:type="pct"/>
          </w:tcPr>
          <w:p w14:paraId="31454180" w14:textId="261C4859" w:rsidR="005A24D3" w:rsidRPr="00C04DE2" w:rsidRDefault="008A3264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</w:t>
            </w:r>
            <w:r w:rsidR="00734A25" w:rsidRPr="00C04DE2">
              <w:rPr>
                <w:sz w:val="16"/>
                <w:szCs w:val="16"/>
              </w:rPr>
              <w:t>3</w:t>
            </w:r>
            <w:r w:rsidRPr="00C04DE2">
              <w:rPr>
                <w:sz w:val="16"/>
                <w:szCs w:val="16"/>
              </w:rPr>
              <w:t>5,250</w:t>
            </w:r>
          </w:p>
        </w:tc>
        <w:tc>
          <w:tcPr>
            <w:tcW w:w="500" w:type="pct"/>
          </w:tcPr>
          <w:p w14:paraId="48EEA770" w14:textId="4236F8DD" w:rsidR="005A24D3" w:rsidRPr="00C04DE2" w:rsidRDefault="001C4DE5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 / GEF</w:t>
            </w:r>
          </w:p>
        </w:tc>
      </w:tr>
      <w:tr w:rsidR="00C04DE2" w:rsidRPr="00C04DE2" w14:paraId="7811511F" w14:textId="77777777" w:rsidTr="00A03D75">
        <w:trPr>
          <w:trHeight w:val="59"/>
        </w:trPr>
        <w:tc>
          <w:tcPr>
            <w:tcW w:w="681" w:type="pct"/>
            <w:vMerge/>
          </w:tcPr>
          <w:p w14:paraId="56C64E96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10C1C77B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14:paraId="750E7E3D" w14:textId="2F670AB6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Advancing Moldova’s National Climate Change Adaptation Planning (phase 2) Final Evaluation</w:t>
            </w:r>
          </w:p>
        </w:tc>
        <w:tc>
          <w:tcPr>
            <w:tcW w:w="557" w:type="pct"/>
          </w:tcPr>
          <w:p w14:paraId="480DF214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5A0CD649" w14:textId="62BDE4DC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GCF</w:t>
            </w:r>
          </w:p>
        </w:tc>
        <w:tc>
          <w:tcPr>
            <w:tcW w:w="546" w:type="pct"/>
          </w:tcPr>
          <w:p w14:paraId="39859360" w14:textId="393D83E7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Project Evaluation</w:t>
            </w:r>
          </w:p>
        </w:tc>
        <w:tc>
          <w:tcPr>
            <w:tcW w:w="536" w:type="pct"/>
          </w:tcPr>
          <w:p w14:paraId="54739015" w14:textId="6EA328D9" w:rsidR="00AA2BB3" w:rsidRPr="00C04DE2" w:rsidRDefault="00AA2BB3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January 2025</w:t>
            </w:r>
          </w:p>
        </w:tc>
        <w:tc>
          <w:tcPr>
            <w:tcW w:w="532" w:type="pct"/>
          </w:tcPr>
          <w:p w14:paraId="706B5708" w14:textId="638F8BEA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$24,900</w:t>
            </w:r>
          </w:p>
        </w:tc>
        <w:tc>
          <w:tcPr>
            <w:tcW w:w="500" w:type="pct"/>
          </w:tcPr>
          <w:p w14:paraId="60F6D334" w14:textId="3ECFF0CE" w:rsidR="00AA2BB3" w:rsidRPr="00C04DE2" w:rsidRDefault="00AA2BB3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rStyle w:val="CommentReference"/>
                <w:sz w:val="16"/>
                <w:szCs w:val="16"/>
                <w:lang w:eastAsia="uk-UA"/>
              </w:rPr>
              <w:t>Project (donor) funds / GCF</w:t>
            </w:r>
          </w:p>
        </w:tc>
      </w:tr>
      <w:tr w:rsidR="00C04DE2" w:rsidRPr="00C04DE2" w14:paraId="7C08B0A1" w14:textId="77777777" w:rsidTr="00A03D75">
        <w:trPr>
          <w:trHeight w:val="59"/>
        </w:trPr>
        <w:tc>
          <w:tcPr>
            <w:tcW w:w="681" w:type="pct"/>
            <w:vMerge/>
          </w:tcPr>
          <w:p w14:paraId="0B1E8801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14:paraId="2D543B2C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14:paraId="136ED24A" w14:textId="26F8B86C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 xml:space="preserve">Energy and Environment Outcome </w:t>
            </w:r>
            <w:r w:rsidR="00225A3B">
              <w:rPr>
                <w:sz w:val="16"/>
                <w:szCs w:val="16"/>
              </w:rPr>
              <w:t>E</w:t>
            </w:r>
            <w:r w:rsidRPr="00C04DE2">
              <w:rPr>
                <w:sz w:val="16"/>
                <w:szCs w:val="16"/>
              </w:rPr>
              <w:t>valuation</w:t>
            </w:r>
          </w:p>
        </w:tc>
        <w:tc>
          <w:tcPr>
            <w:tcW w:w="557" w:type="pct"/>
          </w:tcPr>
          <w:p w14:paraId="1D86296A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</w:tcPr>
          <w:p w14:paraId="3EEF9AC1" w14:textId="77777777" w:rsidR="00AA2BB3" w:rsidRPr="00C04DE2" w:rsidRDefault="00AA2BB3" w:rsidP="00AA2BB3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14:paraId="0910B063" w14:textId="28B692AC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Outcome Evaluation</w:t>
            </w:r>
          </w:p>
        </w:tc>
        <w:tc>
          <w:tcPr>
            <w:tcW w:w="536" w:type="pct"/>
          </w:tcPr>
          <w:p w14:paraId="604B8A5F" w14:textId="2567ED22" w:rsidR="00AA2BB3" w:rsidRPr="00C04DE2" w:rsidRDefault="00ED468B" w:rsidP="00AA2BB3">
            <w:pPr>
              <w:spacing w:before="40" w:after="40"/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 xml:space="preserve">January </w:t>
            </w:r>
            <w:r w:rsidR="00AA2BB3" w:rsidRPr="00C04DE2">
              <w:rPr>
                <w:sz w:val="16"/>
                <w:szCs w:val="16"/>
              </w:rPr>
              <w:t>2027</w:t>
            </w:r>
          </w:p>
        </w:tc>
        <w:tc>
          <w:tcPr>
            <w:tcW w:w="532" w:type="pct"/>
          </w:tcPr>
          <w:p w14:paraId="4D08587F" w14:textId="4F594F2F" w:rsidR="00AA2BB3" w:rsidRPr="00C04DE2" w:rsidRDefault="00AA2BB3" w:rsidP="00AA2BB3">
            <w:pPr>
              <w:rPr>
                <w:sz w:val="16"/>
                <w:szCs w:val="16"/>
              </w:rPr>
            </w:pPr>
            <w:r w:rsidRPr="00C04DE2">
              <w:rPr>
                <w:sz w:val="16"/>
                <w:szCs w:val="16"/>
              </w:rPr>
              <w:t>$30,000</w:t>
            </w:r>
          </w:p>
        </w:tc>
        <w:tc>
          <w:tcPr>
            <w:tcW w:w="500" w:type="pct"/>
          </w:tcPr>
          <w:p w14:paraId="5437CEE3" w14:textId="47421F4F" w:rsidR="00AA2BB3" w:rsidRPr="00C04DE2" w:rsidRDefault="00AA2BB3" w:rsidP="00AA2BB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C04DE2">
              <w:rPr>
                <w:iCs/>
                <w:sz w:val="16"/>
                <w:szCs w:val="16"/>
              </w:rPr>
              <w:t>CO Budget combined with project</w:t>
            </w:r>
            <w:r w:rsidR="00EF57ED" w:rsidRPr="00C04DE2">
              <w:rPr>
                <w:iCs/>
                <w:sz w:val="16"/>
                <w:szCs w:val="16"/>
              </w:rPr>
              <w:t xml:space="preserve">s’ </w:t>
            </w:r>
            <w:r w:rsidRPr="00C04DE2">
              <w:rPr>
                <w:iCs/>
                <w:sz w:val="16"/>
                <w:szCs w:val="16"/>
              </w:rPr>
              <w:t>budget</w:t>
            </w:r>
          </w:p>
        </w:tc>
      </w:tr>
    </w:tbl>
    <w:p w14:paraId="6C7CA676" w14:textId="3F445F8F" w:rsidR="0019508C" w:rsidRPr="00F85F3E" w:rsidRDefault="0019508C" w:rsidP="0019508C">
      <w:pPr>
        <w:rPr>
          <w:rFonts w:asciiTheme="minorHAnsi" w:hAnsiTheme="minorHAnsi"/>
          <w:color w:val="000000"/>
        </w:rPr>
        <w:sectPr w:rsidR="0019508C" w:rsidRPr="00F85F3E" w:rsidSect="00A62B69"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14:paraId="050AEEC3" w14:textId="77777777" w:rsidR="0019508C" w:rsidRPr="00F85F3E" w:rsidRDefault="0019508C">
      <w:pPr>
        <w:rPr>
          <w:rFonts w:asciiTheme="minorHAnsi" w:hAnsiTheme="minorHAnsi"/>
        </w:rPr>
      </w:pPr>
    </w:p>
    <w:sectPr w:rsidR="0019508C" w:rsidRPr="00F85F3E" w:rsidSect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B8D1" w14:textId="77777777" w:rsidR="002868BD" w:rsidRDefault="002868BD" w:rsidP="0019508C">
      <w:r>
        <w:separator/>
      </w:r>
    </w:p>
  </w:endnote>
  <w:endnote w:type="continuationSeparator" w:id="0">
    <w:p w14:paraId="5B9383FE" w14:textId="77777777" w:rsidR="002868BD" w:rsidRDefault="002868BD" w:rsidP="0019508C">
      <w:r>
        <w:continuationSeparator/>
      </w:r>
    </w:p>
  </w:endnote>
  <w:endnote w:type="continuationNotice" w:id="1">
    <w:p w14:paraId="1B3BD484" w14:textId="77777777" w:rsidR="002868BD" w:rsidRDefault="00286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F6A2" w14:textId="77777777" w:rsidR="002868BD" w:rsidRDefault="002868BD" w:rsidP="0019508C">
      <w:r>
        <w:separator/>
      </w:r>
    </w:p>
  </w:footnote>
  <w:footnote w:type="continuationSeparator" w:id="0">
    <w:p w14:paraId="119FB257" w14:textId="77777777" w:rsidR="002868BD" w:rsidRDefault="002868BD" w:rsidP="0019508C">
      <w:r>
        <w:continuationSeparator/>
      </w:r>
    </w:p>
  </w:footnote>
  <w:footnote w:type="continuationNotice" w:id="1">
    <w:p w14:paraId="4F7B2B5A" w14:textId="77777777" w:rsidR="002868BD" w:rsidRDefault="002868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DQyMjExMrI0NTFV0lEKTi0uzszPAykwrQUAPcw3VywAAAA="/>
  </w:docVars>
  <w:rsids>
    <w:rsidRoot w:val="0019508C"/>
    <w:rsid w:val="000242F4"/>
    <w:rsid w:val="00025220"/>
    <w:rsid w:val="00032E50"/>
    <w:rsid w:val="00050497"/>
    <w:rsid w:val="000534D1"/>
    <w:rsid w:val="000537D7"/>
    <w:rsid w:val="00054182"/>
    <w:rsid w:val="000544DA"/>
    <w:rsid w:val="000633D6"/>
    <w:rsid w:val="0006549C"/>
    <w:rsid w:val="00066278"/>
    <w:rsid w:val="000730BD"/>
    <w:rsid w:val="00073318"/>
    <w:rsid w:val="000A3ED6"/>
    <w:rsid w:val="000B3960"/>
    <w:rsid w:val="000D05D1"/>
    <w:rsid w:val="000D0FBF"/>
    <w:rsid w:val="000D2322"/>
    <w:rsid w:val="000D64A8"/>
    <w:rsid w:val="000F0872"/>
    <w:rsid w:val="000F29FC"/>
    <w:rsid w:val="0010383D"/>
    <w:rsid w:val="00107138"/>
    <w:rsid w:val="00121F92"/>
    <w:rsid w:val="001229E8"/>
    <w:rsid w:val="00123FF0"/>
    <w:rsid w:val="00131AFE"/>
    <w:rsid w:val="00132F88"/>
    <w:rsid w:val="00151182"/>
    <w:rsid w:val="00165438"/>
    <w:rsid w:val="00172623"/>
    <w:rsid w:val="0019508C"/>
    <w:rsid w:val="001A0ABF"/>
    <w:rsid w:val="001C15A1"/>
    <w:rsid w:val="001C3B22"/>
    <w:rsid w:val="001C4DE5"/>
    <w:rsid w:val="001D0BD9"/>
    <w:rsid w:val="001D1DEF"/>
    <w:rsid w:val="001E2540"/>
    <w:rsid w:val="001E5CD6"/>
    <w:rsid w:val="001E66F5"/>
    <w:rsid w:val="002007FE"/>
    <w:rsid w:val="00202117"/>
    <w:rsid w:val="00203217"/>
    <w:rsid w:val="002033F6"/>
    <w:rsid w:val="00225A3B"/>
    <w:rsid w:val="00227164"/>
    <w:rsid w:val="002348ED"/>
    <w:rsid w:val="00246B29"/>
    <w:rsid w:val="00265091"/>
    <w:rsid w:val="00266B62"/>
    <w:rsid w:val="00270A69"/>
    <w:rsid w:val="00280C1A"/>
    <w:rsid w:val="002868BD"/>
    <w:rsid w:val="0029341F"/>
    <w:rsid w:val="0029722F"/>
    <w:rsid w:val="002A4379"/>
    <w:rsid w:val="002A6A46"/>
    <w:rsid w:val="002B20E2"/>
    <w:rsid w:val="002B2473"/>
    <w:rsid w:val="002B49FC"/>
    <w:rsid w:val="002C1CF2"/>
    <w:rsid w:val="002C2F53"/>
    <w:rsid w:val="002C7566"/>
    <w:rsid w:val="002D5516"/>
    <w:rsid w:val="002E0F50"/>
    <w:rsid w:val="002E47A8"/>
    <w:rsid w:val="00305DE0"/>
    <w:rsid w:val="00310CD5"/>
    <w:rsid w:val="00312FB9"/>
    <w:rsid w:val="00337640"/>
    <w:rsid w:val="00344BB0"/>
    <w:rsid w:val="00344D70"/>
    <w:rsid w:val="00352211"/>
    <w:rsid w:val="00360BB3"/>
    <w:rsid w:val="00363887"/>
    <w:rsid w:val="003661E4"/>
    <w:rsid w:val="00383E37"/>
    <w:rsid w:val="0038633B"/>
    <w:rsid w:val="00392B74"/>
    <w:rsid w:val="00393F8E"/>
    <w:rsid w:val="003B30D6"/>
    <w:rsid w:val="003E3A24"/>
    <w:rsid w:val="003E53D7"/>
    <w:rsid w:val="003F0641"/>
    <w:rsid w:val="003F3041"/>
    <w:rsid w:val="00403C2C"/>
    <w:rsid w:val="00411191"/>
    <w:rsid w:val="00427001"/>
    <w:rsid w:val="004271D0"/>
    <w:rsid w:val="00436C8A"/>
    <w:rsid w:val="004406EC"/>
    <w:rsid w:val="004419A4"/>
    <w:rsid w:val="00451A72"/>
    <w:rsid w:val="00460E4B"/>
    <w:rsid w:val="0046135F"/>
    <w:rsid w:val="00462536"/>
    <w:rsid w:val="0047199D"/>
    <w:rsid w:val="00476C4E"/>
    <w:rsid w:val="00492C9E"/>
    <w:rsid w:val="00495276"/>
    <w:rsid w:val="004A03BF"/>
    <w:rsid w:val="004A23D0"/>
    <w:rsid w:val="004A3948"/>
    <w:rsid w:val="004B667F"/>
    <w:rsid w:val="004C01D5"/>
    <w:rsid w:val="004C0385"/>
    <w:rsid w:val="004F5086"/>
    <w:rsid w:val="004F6F4E"/>
    <w:rsid w:val="00500574"/>
    <w:rsid w:val="00510376"/>
    <w:rsid w:val="0051418C"/>
    <w:rsid w:val="00522104"/>
    <w:rsid w:val="00532404"/>
    <w:rsid w:val="00535F25"/>
    <w:rsid w:val="00541999"/>
    <w:rsid w:val="0054390C"/>
    <w:rsid w:val="00557781"/>
    <w:rsid w:val="0057457A"/>
    <w:rsid w:val="005855B4"/>
    <w:rsid w:val="00592067"/>
    <w:rsid w:val="00595F0E"/>
    <w:rsid w:val="005A24D3"/>
    <w:rsid w:val="005E1DA7"/>
    <w:rsid w:val="005E3C74"/>
    <w:rsid w:val="005E6DC9"/>
    <w:rsid w:val="005E7C2A"/>
    <w:rsid w:val="005F2E3B"/>
    <w:rsid w:val="00600F26"/>
    <w:rsid w:val="0060198D"/>
    <w:rsid w:val="00626787"/>
    <w:rsid w:val="00634447"/>
    <w:rsid w:val="00646C26"/>
    <w:rsid w:val="00662578"/>
    <w:rsid w:val="00684DF9"/>
    <w:rsid w:val="006902B7"/>
    <w:rsid w:val="006B22B6"/>
    <w:rsid w:val="006B281E"/>
    <w:rsid w:val="006C636D"/>
    <w:rsid w:val="006E052B"/>
    <w:rsid w:val="006F2391"/>
    <w:rsid w:val="006F28CC"/>
    <w:rsid w:val="006F4B80"/>
    <w:rsid w:val="006F501E"/>
    <w:rsid w:val="0070343D"/>
    <w:rsid w:val="00723AB8"/>
    <w:rsid w:val="0073485A"/>
    <w:rsid w:val="00734A25"/>
    <w:rsid w:val="00737DF4"/>
    <w:rsid w:val="0075146F"/>
    <w:rsid w:val="00753ED2"/>
    <w:rsid w:val="0075640C"/>
    <w:rsid w:val="0077259A"/>
    <w:rsid w:val="00773BE1"/>
    <w:rsid w:val="007804B2"/>
    <w:rsid w:val="007929CD"/>
    <w:rsid w:val="00793DD4"/>
    <w:rsid w:val="00797710"/>
    <w:rsid w:val="007A6951"/>
    <w:rsid w:val="007B4D54"/>
    <w:rsid w:val="007C0A39"/>
    <w:rsid w:val="007C6039"/>
    <w:rsid w:val="007D7E04"/>
    <w:rsid w:val="007E68A5"/>
    <w:rsid w:val="007F0D0D"/>
    <w:rsid w:val="00805047"/>
    <w:rsid w:val="00811A5B"/>
    <w:rsid w:val="008150B1"/>
    <w:rsid w:val="00824702"/>
    <w:rsid w:val="00840DCE"/>
    <w:rsid w:val="00842385"/>
    <w:rsid w:val="008479BE"/>
    <w:rsid w:val="00876629"/>
    <w:rsid w:val="0088763D"/>
    <w:rsid w:val="008962C5"/>
    <w:rsid w:val="008A3264"/>
    <w:rsid w:val="008C324C"/>
    <w:rsid w:val="008C5247"/>
    <w:rsid w:val="008D1483"/>
    <w:rsid w:val="008D671C"/>
    <w:rsid w:val="008E13C0"/>
    <w:rsid w:val="008E37B4"/>
    <w:rsid w:val="00905134"/>
    <w:rsid w:val="00910C8D"/>
    <w:rsid w:val="00914975"/>
    <w:rsid w:val="00921B5C"/>
    <w:rsid w:val="009223AF"/>
    <w:rsid w:val="00924020"/>
    <w:rsid w:val="00926DDD"/>
    <w:rsid w:val="00933512"/>
    <w:rsid w:val="0094121E"/>
    <w:rsid w:val="00943FCA"/>
    <w:rsid w:val="009466D3"/>
    <w:rsid w:val="00964253"/>
    <w:rsid w:val="00966FCC"/>
    <w:rsid w:val="00967FFA"/>
    <w:rsid w:val="0097046F"/>
    <w:rsid w:val="00975951"/>
    <w:rsid w:val="00977471"/>
    <w:rsid w:val="00985288"/>
    <w:rsid w:val="00994D14"/>
    <w:rsid w:val="009A75D1"/>
    <w:rsid w:val="009B41E4"/>
    <w:rsid w:val="009B705B"/>
    <w:rsid w:val="009C3659"/>
    <w:rsid w:val="009D1E66"/>
    <w:rsid w:val="009D3A76"/>
    <w:rsid w:val="009D4B86"/>
    <w:rsid w:val="009D7E32"/>
    <w:rsid w:val="009E1475"/>
    <w:rsid w:val="00A03D75"/>
    <w:rsid w:val="00A10B75"/>
    <w:rsid w:val="00A423C2"/>
    <w:rsid w:val="00A54D1E"/>
    <w:rsid w:val="00A62B69"/>
    <w:rsid w:val="00A650C3"/>
    <w:rsid w:val="00A654FA"/>
    <w:rsid w:val="00A71F52"/>
    <w:rsid w:val="00A842F6"/>
    <w:rsid w:val="00A86049"/>
    <w:rsid w:val="00A86CCD"/>
    <w:rsid w:val="00AA2BB3"/>
    <w:rsid w:val="00AB6404"/>
    <w:rsid w:val="00AC7B6F"/>
    <w:rsid w:val="00AD3C2B"/>
    <w:rsid w:val="00AF4F1E"/>
    <w:rsid w:val="00B024A6"/>
    <w:rsid w:val="00B104BD"/>
    <w:rsid w:val="00B1631B"/>
    <w:rsid w:val="00B24F25"/>
    <w:rsid w:val="00B30662"/>
    <w:rsid w:val="00B33416"/>
    <w:rsid w:val="00B33840"/>
    <w:rsid w:val="00B446E9"/>
    <w:rsid w:val="00B452FC"/>
    <w:rsid w:val="00B552C8"/>
    <w:rsid w:val="00B57AD0"/>
    <w:rsid w:val="00B60CDC"/>
    <w:rsid w:val="00B769FD"/>
    <w:rsid w:val="00B93902"/>
    <w:rsid w:val="00B96AB6"/>
    <w:rsid w:val="00BA180B"/>
    <w:rsid w:val="00BB08A8"/>
    <w:rsid w:val="00C04DE2"/>
    <w:rsid w:val="00C12E53"/>
    <w:rsid w:val="00C21529"/>
    <w:rsid w:val="00C2534C"/>
    <w:rsid w:val="00C35239"/>
    <w:rsid w:val="00C3728C"/>
    <w:rsid w:val="00C4212E"/>
    <w:rsid w:val="00C42D06"/>
    <w:rsid w:val="00C75150"/>
    <w:rsid w:val="00C775E2"/>
    <w:rsid w:val="00C86E40"/>
    <w:rsid w:val="00CA0168"/>
    <w:rsid w:val="00CA29FC"/>
    <w:rsid w:val="00CC303F"/>
    <w:rsid w:val="00CD10B9"/>
    <w:rsid w:val="00CD24BF"/>
    <w:rsid w:val="00CF2DD5"/>
    <w:rsid w:val="00D13F5F"/>
    <w:rsid w:val="00D41B85"/>
    <w:rsid w:val="00D4251B"/>
    <w:rsid w:val="00D50809"/>
    <w:rsid w:val="00D65144"/>
    <w:rsid w:val="00D77AEF"/>
    <w:rsid w:val="00DB0EA8"/>
    <w:rsid w:val="00DC14B1"/>
    <w:rsid w:val="00DD3BDE"/>
    <w:rsid w:val="00E00D53"/>
    <w:rsid w:val="00E0122F"/>
    <w:rsid w:val="00E10DD2"/>
    <w:rsid w:val="00E125A8"/>
    <w:rsid w:val="00E16661"/>
    <w:rsid w:val="00E20250"/>
    <w:rsid w:val="00E21E2C"/>
    <w:rsid w:val="00E232C8"/>
    <w:rsid w:val="00E24499"/>
    <w:rsid w:val="00E41855"/>
    <w:rsid w:val="00E422E5"/>
    <w:rsid w:val="00E4702A"/>
    <w:rsid w:val="00E614E8"/>
    <w:rsid w:val="00E6248B"/>
    <w:rsid w:val="00E62918"/>
    <w:rsid w:val="00E67DAD"/>
    <w:rsid w:val="00E70EAE"/>
    <w:rsid w:val="00E714FE"/>
    <w:rsid w:val="00E77613"/>
    <w:rsid w:val="00E77B1A"/>
    <w:rsid w:val="00E82ADA"/>
    <w:rsid w:val="00E8539F"/>
    <w:rsid w:val="00E96363"/>
    <w:rsid w:val="00EB32CD"/>
    <w:rsid w:val="00ED468B"/>
    <w:rsid w:val="00EE4C9A"/>
    <w:rsid w:val="00EE65A2"/>
    <w:rsid w:val="00EF57ED"/>
    <w:rsid w:val="00F01CA3"/>
    <w:rsid w:val="00F046F2"/>
    <w:rsid w:val="00F05DCD"/>
    <w:rsid w:val="00F06EA5"/>
    <w:rsid w:val="00F16831"/>
    <w:rsid w:val="00F176FE"/>
    <w:rsid w:val="00F25B6F"/>
    <w:rsid w:val="00F337B9"/>
    <w:rsid w:val="00F42496"/>
    <w:rsid w:val="00F55BE9"/>
    <w:rsid w:val="00F56490"/>
    <w:rsid w:val="00F67DE7"/>
    <w:rsid w:val="00F80D96"/>
    <w:rsid w:val="00F85E27"/>
    <w:rsid w:val="00F85F3E"/>
    <w:rsid w:val="00F91156"/>
    <w:rsid w:val="00F95F2D"/>
    <w:rsid w:val="00F97E89"/>
    <w:rsid w:val="00FA61B6"/>
    <w:rsid w:val="00FB030C"/>
    <w:rsid w:val="00FB464C"/>
    <w:rsid w:val="00FD162A"/>
    <w:rsid w:val="00FE1553"/>
    <w:rsid w:val="00FE2758"/>
    <w:rsid w:val="00FE6A03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58600"/>
  <w15:chartTrackingRefBased/>
  <w15:docId w15:val="{1B06D49A-FDC9-440E-92B4-F343E1A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8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9508C"/>
    <w:rPr>
      <w:rFonts w:cs="Times New Roman"/>
      <w:sz w:val="6"/>
      <w:szCs w:val="6"/>
    </w:rPr>
  </w:style>
  <w:style w:type="paragraph" w:styleId="Header">
    <w:name w:val="header"/>
    <w:basedOn w:val="Normal"/>
    <w:link w:val="HeaderChar"/>
    <w:uiPriority w:val="99"/>
    <w:unhideWhenUsed/>
    <w:rsid w:val="0019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0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8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F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F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F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UNITOFFICE-440-2236</_dlc_DocId>
    <_dlc_DocIdUrl xmlns="5ebeba3d-fd60-4dcb-8548-a9fd3c51d9ff">
      <Url>https://intranet.undp.org/unit/office/exo/sp2014/SP201417/_layouts/15/DocIdRedir.aspx?ID=UNITOFFICE-440-2236</Url>
      <Description>UNITOFFICE-440-2236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997A7-D3F9-4C93-811C-8B19765F80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0294D-A154-4032-A54C-CDA013148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43B22D-2517-4B42-972A-0B19922AF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59F20-F9B8-4F8D-AD26-44DEC2B21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4815</Characters>
  <Application>Microsoft Office Word</Application>
  <DocSecurity>4</DocSecurity>
  <Lines>137</Lines>
  <Paragraphs>76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Opar</dc:creator>
  <cp:keywords/>
  <dc:description/>
  <cp:lastModifiedBy>Svetlana Iazykova</cp:lastModifiedBy>
  <cp:revision>2</cp:revision>
  <cp:lastPrinted>2022-03-17T14:44:00Z</cp:lastPrinted>
  <dcterms:created xsi:type="dcterms:W3CDTF">2022-05-11T19:32:00Z</dcterms:created>
  <dcterms:modified xsi:type="dcterms:W3CDTF">2022-05-11T19:32:00Z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67acb68a-764a-4127-a3c0-4431caa4047c</vt:lpwstr>
  </property>
  <property fmtid="{D5CDD505-2E9C-101B-9397-08002B2CF9AE}" pid="4" name="POPPBusinessProcess">
    <vt:lpwstr/>
  </property>
  <property fmtid="{D5CDD505-2E9C-101B-9397-08002B2CF9AE}" pid="5" name="UNDP_POPP_BUSINESSUNIT">
    <vt:lpwstr>669;#Programme and Project Management|1c019435-9793-447e-8959-0b32d23bf3d5</vt:lpwstr>
  </property>
</Properties>
</file>