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EE67" w14:textId="77777777" w:rsidR="00FE77ED" w:rsidRPr="009E6278" w:rsidRDefault="00FE77ED" w:rsidP="00FE77ED">
      <w:pPr>
        <w:rPr>
          <w:color w:val="000000"/>
          <w:sz w:val="6"/>
          <w:lang w:val="en-GB"/>
        </w:rPr>
      </w:pPr>
    </w:p>
    <w:p w14:paraId="3A494209" w14:textId="77777777" w:rsidR="00FE77ED" w:rsidRPr="00547151" w:rsidRDefault="00FE77ED" w:rsidP="00FE77ED">
      <w:pPr>
        <w:tabs>
          <w:tab w:val="left" w:pos="8789"/>
        </w:tabs>
        <w:ind w:right="288"/>
        <w:rPr>
          <w:b/>
          <w:color w:val="000000"/>
          <w:lang w:val="en-GB"/>
        </w:rPr>
      </w:pPr>
      <w:r w:rsidRPr="00547151">
        <w:rPr>
          <w:b/>
          <w:color w:val="000000"/>
          <w:lang w:val="en-GB"/>
        </w:rPr>
        <w:t>Annual session 2022</w:t>
      </w:r>
    </w:p>
    <w:p w14:paraId="277714AF" w14:textId="7A72D9A5" w:rsidR="00FE77ED" w:rsidRPr="00547151" w:rsidRDefault="00FE77ED" w:rsidP="00FE77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547151">
        <w:rPr>
          <w:color w:val="000000"/>
          <w:lang w:val="en-GB"/>
        </w:rPr>
        <w:t>6</w:t>
      </w:r>
      <w:r w:rsidR="00EF5BF6" w:rsidRPr="00547151">
        <w:rPr>
          <w:color w:val="000000"/>
          <w:lang w:val="en-GB"/>
        </w:rPr>
        <w:t>-</w:t>
      </w:r>
      <w:r w:rsidRPr="00547151">
        <w:rPr>
          <w:color w:val="000000"/>
          <w:lang w:val="en-GB"/>
        </w:rPr>
        <w:t>10 June 2022, New York</w:t>
      </w:r>
    </w:p>
    <w:p w14:paraId="1E614702" w14:textId="0A4BC2C8" w:rsidR="00FE77ED" w:rsidRPr="00547151" w:rsidRDefault="00FE77ED" w:rsidP="00FE77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547151">
        <w:rPr>
          <w:color w:val="000000"/>
          <w:lang w:val="en-GB"/>
        </w:rPr>
        <w:t xml:space="preserve">Item </w:t>
      </w:r>
      <w:r w:rsidR="00E4347C">
        <w:rPr>
          <w:color w:val="000000"/>
          <w:lang w:val="en-GB"/>
        </w:rPr>
        <w:t>7</w:t>
      </w:r>
      <w:r w:rsidRPr="00547151">
        <w:rPr>
          <w:color w:val="000000"/>
          <w:lang w:val="en-GB"/>
        </w:rPr>
        <w:t xml:space="preserve"> of the provisional agenda</w:t>
      </w:r>
    </w:p>
    <w:p w14:paraId="14EDCB81" w14:textId="77777777" w:rsidR="00FE77ED" w:rsidRPr="00547151" w:rsidRDefault="00FE77ED" w:rsidP="00FE77ED">
      <w:pPr>
        <w:ind w:right="1260"/>
        <w:rPr>
          <w:b/>
          <w:color w:val="000000"/>
          <w:lang w:val="en-GB"/>
        </w:rPr>
      </w:pPr>
      <w:r w:rsidRPr="00547151">
        <w:rPr>
          <w:b/>
          <w:color w:val="000000"/>
          <w:lang w:val="en-GB"/>
        </w:rPr>
        <w:t>Country programmes and related matters</w:t>
      </w:r>
    </w:p>
    <w:p w14:paraId="01A4DB0D" w14:textId="77777777" w:rsidR="00FE77ED" w:rsidRPr="00547151" w:rsidRDefault="00FE77ED" w:rsidP="00FE77ED">
      <w:pPr>
        <w:jc w:val="both"/>
        <w:rPr>
          <w:b/>
          <w:lang w:val="en-GB"/>
        </w:rPr>
      </w:pPr>
    </w:p>
    <w:p w14:paraId="2C742444" w14:textId="77777777" w:rsidR="00FE77ED" w:rsidRPr="00547151" w:rsidRDefault="00FE77ED" w:rsidP="00FE77ED">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lang w:val="en-GB"/>
        </w:rPr>
      </w:pPr>
    </w:p>
    <w:p w14:paraId="7EA0146D" w14:textId="73FABF80" w:rsidR="00FE77ED" w:rsidRPr="00547151" w:rsidRDefault="00FE77ED" w:rsidP="00FE77ED">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left="720" w:right="328"/>
        <w:outlineLvl w:val="0"/>
        <w:rPr>
          <w:color w:val="000000"/>
          <w:kern w:val="14"/>
          <w:sz w:val="28"/>
          <w:lang w:val="en-GB" w:eastAsia="fr-FR"/>
        </w:rPr>
      </w:pPr>
      <w:r w:rsidRPr="00547151">
        <w:rPr>
          <w:b/>
          <w:sz w:val="28"/>
          <w:szCs w:val="28"/>
          <w:lang w:val="en-GB"/>
        </w:rPr>
        <w:t>Draft country programme document for Kenya (2022-2026)</w:t>
      </w:r>
      <w:r w:rsidRPr="00547151">
        <w:rPr>
          <w:b/>
          <w:sz w:val="28"/>
          <w:szCs w:val="28"/>
          <w:lang w:val="en-GB"/>
        </w:rPr>
        <w:br/>
      </w:r>
    </w:p>
    <w:p w14:paraId="5E3C8920" w14:textId="77777777" w:rsidR="00FE77ED" w:rsidRPr="00547151" w:rsidRDefault="00FE77ED" w:rsidP="00FE77ED">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547151">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260"/>
        <w:gridCol w:w="8109"/>
        <w:gridCol w:w="171"/>
        <w:gridCol w:w="362"/>
      </w:tblGrid>
      <w:tr w:rsidR="00FE77ED" w:rsidRPr="00547151" w14:paraId="4BF6A2D7" w14:textId="77777777" w:rsidTr="00234E84">
        <w:tc>
          <w:tcPr>
            <w:tcW w:w="1260" w:type="dxa"/>
            <w:shd w:val="clear" w:color="auto" w:fill="auto"/>
          </w:tcPr>
          <w:p w14:paraId="53658C08" w14:textId="77777777" w:rsidR="00FE77ED" w:rsidRPr="00547151" w:rsidRDefault="00FE77ED" w:rsidP="00234E84">
            <w:pPr>
              <w:tabs>
                <w:tab w:val="left" w:pos="1620"/>
              </w:tabs>
              <w:suppressAutoHyphens/>
              <w:spacing w:after="120"/>
              <w:jc w:val="right"/>
              <w:rPr>
                <w:i/>
                <w:color w:val="000000"/>
                <w:spacing w:val="4"/>
                <w:w w:val="103"/>
                <w:kern w:val="14"/>
                <w:sz w:val="14"/>
                <w:lang w:val="en-GB" w:eastAsia="fr-FR"/>
              </w:rPr>
            </w:pPr>
            <w:r w:rsidRPr="00547151">
              <w:rPr>
                <w:i/>
                <w:color w:val="000000"/>
                <w:spacing w:val="4"/>
                <w:w w:val="103"/>
                <w:kern w:val="14"/>
                <w:sz w:val="14"/>
                <w:lang w:val="en-GB" w:eastAsia="fr-FR"/>
              </w:rPr>
              <w:t>Chapter</w:t>
            </w:r>
          </w:p>
        </w:tc>
        <w:tc>
          <w:tcPr>
            <w:tcW w:w="8280" w:type="dxa"/>
            <w:gridSpan w:val="2"/>
            <w:shd w:val="clear" w:color="auto" w:fill="auto"/>
          </w:tcPr>
          <w:p w14:paraId="79B9EEF6" w14:textId="77777777" w:rsidR="00FE77ED" w:rsidRPr="00547151" w:rsidRDefault="00FE77ED" w:rsidP="00234E84">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6D114E52" w14:textId="77777777" w:rsidR="00FE77ED" w:rsidRPr="00547151" w:rsidRDefault="00FE77ED" w:rsidP="00234E84">
            <w:pPr>
              <w:tabs>
                <w:tab w:val="left" w:pos="1620"/>
              </w:tabs>
              <w:suppressAutoHyphens/>
              <w:spacing w:after="120"/>
              <w:jc w:val="right"/>
              <w:rPr>
                <w:i/>
                <w:color w:val="000000"/>
                <w:spacing w:val="4"/>
                <w:w w:val="103"/>
                <w:kern w:val="14"/>
                <w:sz w:val="14"/>
                <w:lang w:val="en-GB" w:eastAsia="fr-FR"/>
              </w:rPr>
            </w:pPr>
            <w:r w:rsidRPr="00547151">
              <w:rPr>
                <w:i/>
                <w:iCs/>
                <w:color w:val="000000"/>
                <w:kern w:val="14"/>
                <w:sz w:val="14"/>
                <w:lang w:val="en-GB" w:eastAsia="fr-FR"/>
              </w:rPr>
              <w:t>Page</w:t>
            </w:r>
          </w:p>
        </w:tc>
      </w:tr>
      <w:tr w:rsidR="00FE77ED" w:rsidRPr="00547151" w14:paraId="2CF8674B" w14:textId="77777777" w:rsidTr="00234E84">
        <w:tc>
          <w:tcPr>
            <w:tcW w:w="9540" w:type="dxa"/>
            <w:gridSpan w:val="3"/>
            <w:shd w:val="clear" w:color="auto" w:fill="auto"/>
          </w:tcPr>
          <w:p w14:paraId="4FD1E01B" w14:textId="77777777" w:rsidR="00FE77ED" w:rsidRPr="00547151" w:rsidRDefault="00FE77ED" w:rsidP="00FE77ED">
            <w:pPr>
              <w:numPr>
                <w:ilvl w:val="0"/>
                <w:numId w:val="16"/>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547151">
              <w:rPr>
                <w:color w:val="000000"/>
                <w:kern w:val="14"/>
                <w:lang w:val="en-GB" w:eastAsia="fr-FR"/>
              </w:rPr>
              <w:tab/>
              <w:t>UNDP within the United Nations Sustainable Development Cooperation Framework</w:t>
            </w:r>
            <w:r w:rsidRPr="00547151">
              <w:rPr>
                <w:color w:val="000000"/>
                <w:sz w:val="24"/>
                <w:szCs w:val="24"/>
                <w:lang w:val="en-GB" w:eastAsia="fr-FR"/>
              </w:rPr>
              <w:tab/>
            </w:r>
          </w:p>
        </w:tc>
        <w:tc>
          <w:tcPr>
            <w:tcW w:w="362" w:type="dxa"/>
            <w:vMerge w:val="restart"/>
            <w:shd w:val="clear" w:color="auto" w:fill="auto"/>
            <w:vAlign w:val="bottom"/>
          </w:tcPr>
          <w:p w14:paraId="418F4905" w14:textId="77777777" w:rsidR="00FE77ED" w:rsidRPr="00547151" w:rsidRDefault="00FE77ED" w:rsidP="00234E84">
            <w:pPr>
              <w:tabs>
                <w:tab w:val="left" w:pos="1620"/>
              </w:tabs>
              <w:suppressAutoHyphens/>
              <w:spacing w:after="120" w:line="240" w:lineRule="exact"/>
              <w:jc w:val="right"/>
              <w:rPr>
                <w:color w:val="000000"/>
                <w:spacing w:val="4"/>
                <w:w w:val="103"/>
                <w:kern w:val="14"/>
                <w:lang w:val="en-GB" w:eastAsia="fr-FR"/>
              </w:rPr>
            </w:pPr>
            <w:r w:rsidRPr="00547151">
              <w:rPr>
                <w:color w:val="000000"/>
                <w:kern w:val="14"/>
                <w:lang w:val="en-GB" w:eastAsia="fr-FR"/>
              </w:rPr>
              <w:t>2</w:t>
            </w:r>
          </w:p>
          <w:p w14:paraId="30F11D28" w14:textId="5BC281F6" w:rsidR="00FE77ED" w:rsidRPr="00547151" w:rsidRDefault="00E4347C" w:rsidP="00234E84">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4</w:t>
            </w:r>
          </w:p>
        </w:tc>
      </w:tr>
      <w:tr w:rsidR="00FE77ED" w:rsidRPr="00547151" w14:paraId="7CF31A79" w14:textId="77777777" w:rsidTr="00234E84">
        <w:tc>
          <w:tcPr>
            <w:tcW w:w="9540" w:type="dxa"/>
            <w:gridSpan w:val="3"/>
            <w:shd w:val="clear" w:color="auto" w:fill="auto"/>
          </w:tcPr>
          <w:p w14:paraId="509F60F7" w14:textId="77777777" w:rsidR="00FE77ED" w:rsidRPr="00547151" w:rsidRDefault="00FE77ED" w:rsidP="00FE77ED">
            <w:pPr>
              <w:numPr>
                <w:ilvl w:val="0"/>
                <w:numId w:val="16"/>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547151">
              <w:rPr>
                <w:color w:val="000000"/>
                <w:kern w:val="14"/>
                <w:lang w:val="en-GB" w:eastAsia="fr-FR"/>
              </w:rPr>
              <w:tab/>
              <w:t>Programme priorities and partnerships</w:t>
            </w:r>
            <w:r w:rsidRPr="00547151">
              <w:rPr>
                <w:color w:val="000000"/>
                <w:lang w:val="en-GB" w:eastAsia="fr-FR"/>
              </w:rPr>
              <w:t>………………………………………………….</w:t>
            </w:r>
            <w:r w:rsidRPr="00547151">
              <w:rPr>
                <w:color w:val="000000"/>
                <w:lang w:val="en-GB" w:eastAsia="fr-FR"/>
              </w:rPr>
              <w:tab/>
              <w:t>……….…</w:t>
            </w:r>
          </w:p>
        </w:tc>
        <w:tc>
          <w:tcPr>
            <w:tcW w:w="362" w:type="dxa"/>
            <w:vMerge/>
            <w:shd w:val="clear" w:color="auto" w:fill="auto"/>
            <w:vAlign w:val="bottom"/>
          </w:tcPr>
          <w:p w14:paraId="0D57D0D4" w14:textId="77777777" w:rsidR="00FE77ED" w:rsidRPr="00547151" w:rsidRDefault="00FE77ED" w:rsidP="00234E84">
            <w:pPr>
              <w:tabs>
                <w:tab w:val="left" w:pos="1620"/>
              </w:tabs>
              <w:suppressAutoHyphens/>
              <w:spacing w:after="120" w:line="240" w:lineRule="exact"/>
              <w:jc w:val="right"/>
              <w:rPr>
                <w:color w:val="000000"/>
                <w:spacing w:val="4"/>
                <w:w w:val="103"/>
                <w:kern w:val="14"/>
                <w:lang w:val="en-GB" w:eastAsia="fr-FR"/>
              </w:rPr>
            </w:pPr>
          </w:p>
        </w:tc>
      </w:tr>
      <w:tr w:rsidR="00FE77ED" w:rsidRPr="00547151" w14:paraId="1D3FABE8" w14:textId="77777777" w:rsidTr="00234E84">
        <w:tc>
          <w:tcPr>
            <w:tcW w:w="9540" w:type="dxa"/>
            <w:gridSpan w:val="3"/>
            <w:shd w:val="clear" w:color="auto" w:fill="auto"/>
          </w:tcPr>
          <w:p w14:paraId="154B7C69" w14:textId="77777777" w:rsidR="00FE77ED" w:rsidRPr="00547151" w:rsidRDefault="00FE77ED" w:rsidP="00FE77ED">
            <w:pPr>
              <w:numPr>
                <w:ilvl w:val="0"/>
                <w:numId w:val="16"/>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547151">
              <w:rPr>
                <w:color w:val="000000"/>
                <w:kern w:val="14"/>
                <w:lang w:val="en-GB" w:eastAsia="fr-FR"/>
              </w:rPr>
              <w:tab/>
              <w:t xml:space="preserve">Programme and risk management </w:t>
            </w:r>
            <w:r w:rsidRPr="00547151">
              <w:rPr>
                <w:color w:val="000000"/>
                <w:lang w:val="en-GB" w:eastAsia="fr-FR"/>
              </w:rPr>
              <w:t>……………………………………………….…………………</w:t>
            </w:r>
          </w:p>
        </w:tc>
        <w:tc>
          <w:tcPr>
            <w:tcW w:w="362" w:type="dxa"/>
            <w:vMerge w:val="restart"/>
            <w:shd w:val="clear" w:color="auto" w:fill="auto"/>
            <w:vAlign w:val="bottom"/>
          </w:tcPr>
          <w:p w14:paraId="0BF083B7" w14:textId="77777777" w:rsidR="00FE77ED" w:rsidRPr="00547151" w:rsidRDefault="00FE77ED" w:rsidP="00234E84">
            <w:pPr>
              <w:tabs>
                <w:tab w:val="left" w:pos="1620"/>
              </w:tabs>
              <w:suppressAutoHyphens/>
              <w:spacing w:after="120" w:line="240" w:lineRule="exact"/>
              <w:jc w:val="right"/>
              <w:rPr>
                <w:color w:val="000000"/>
                <w:spacing w:val="4"/>
                <w:w w:val="103"/>
                <w:kern w:val="14"/>
                <w:lang w:val="en-GB" w:eastAsia="fr-FR"/>
              </w:rPr>
            </w:pPr>
            <w:r w:rsidRPr="00547151">
              <w:rPr>
                <w:color w:val="000000"/>
                <w:spacing w:val="4"/>
                <w:w w:val="103"/>
                <w:kern w:val="14"/>
                <w:lang w:val="en-GB" w:eastAsia="fr-FR"/>
              </w:rPr>
              <w:t>7</w:t>
            </w:r>
          </w:p>
          <w:p w14:paraId="24F9C678" w14:textId="77777777" w:rsidR="00FE77ED" w:rsidRPr="00547151" w:rsidRDefault="00FE77ED" w:rsidP="00234E84">
            <w:pPr>
              <w:tabs>
                <w:tab w:val="left" w:pos="1620"/>
              </w:tabs>
              <w:suppressAutoHyphens/>
              <w:spacing w:after="120" w:line="240" w:lineRule="exact"/>
              <w:jc w:val="right"/>
              <w:rPr>
                <w:color w:val="000000"/>
                <w:spacing w:val="4"/>
                <w:w w:val="103"/>
                <w:kern w:val="14"/>
                <w:lang w:val="en-GB" w:eastAsia="fr-FR"/>
              </w:rPr>
            </w:pPr>
            <w:r w:rsidRPr="00547151">
              <w:rPr>
                <w:color w:val="000000"/>
                <w:spacing w:val="4"/>
                <w:w w:val="103"/>
                <w:kern w:val="14"/>
                <w:lang w:val="en-GB" w:eastAsia="fr-FR"/>
              </w:rPr>
              <w:t>8</w:t>
            </w:r>
          </w:p>
        </w:tc>
      </w:tr>
      <w:tr w:rsidR="00FE77ED" w:rsidRPr="00547151" w14:paraId="75FD6519" w14:textId="77777777" w:rsidTr="00234E84">
        <w:tc>
          <w:tcPr>
            <w:tcW w:w="9540" w:type="dxa"/>
            <w:gridSpan w:val="3"/>
            <w:shd w:val="clear" w:color="auto" w:fill="auto"/>
          </w:tcPr>
          <w:p w14:paraId="2EB2B39B" w14:textId="77777777" w:rsidR="00FE77ED" w:rsidRPr="00547151" w:rsidRDefault="00FE77ED" w:rsidP="00FE77ED">
            <w:pPr>
              <w:numPr>
                <w:ilvl w:val="0"/>
                <w:numId w:val="16"/>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547151">
              <w:rPr>
                <w:color w:val="000000"/>
                <w:kern w:val="14"/>
                <w:lang w:val="en-GB" w:eastAsia="fr-FR"/>
              </w:rPr>
              <w:tab/>
              <w:t>Monitoring and evaluation</w:t>
            </w:r>
            <w:r w:rsidRPr="00547151">
              <w:rPr>
                <w:color w:val="000000"/>
                <w:sz w:val="24"/>
                <w:szCs w:val="24"/>
                <w:lang w:val="en-GB" w:eastAsia="fr-FR"/>
              </w:rPr>
              <w:tab/>
            </w:r>
            <w:r w:rsidRPr="00547151">
              <w:rPr>
                <w:color w:val="000000"/>
                <w:lang w:val="en-GB" w:eastAsia="fr-FR"/>
              </w:rPr>
              <w:t>…………………………………………………….……………………</w:t>
            </w:r>
          </w:p>
        </w:tc>
        <w:tc>
          <w:tcPr>
            <w:tcW w:w="362" w:type="dxa"/>
            <w:vMerge/>
            <w:shd w:val="clear" w:color="auto" w:fill="auto"/>
            <w:vAlign w:val="bottom"/>
          </w:tcPr>
          <w:p w14:paraId="18A1105C" w14:textId="77777777" w:rsidR="00FE77ED" w:rsidRPr="00547151" w:rsidRDefault="00FE77ED" w:rsidP="00234E84">
            <w:pPr>
              <w:tabs>
                <w:tab w:val="left" w:pos="1620"/>
              </w:tabs>
              <w:suppressAutoHyphens/>
              <w:spacing w:after="120" w:line="240" w:lineRule="exact"/>
              <w:jc w:val="right"/>
              <w:rPr>
                <w:color w:val="000000"/>
                <w:spacing w:val="4"/>
                <w:w w:val="103"/>
                <w:kern w:val="14"/>
                <w:lang w:val="en-GB" w:eastAsia="fr-FR"/>
              </w:rPr>
            </w:pPr>
          </w:p>
        </w:tc>
      </w:tr>
      <w:tr w:rsidR="00FE77ED" w:rsidRPr="00547151" w14:paraId="5B117D75" w14:textId="77777777" w:rsidTr="00234E84">
        <w:tc>
          <w:tcPr>
            <w:tcW w:w="9369" w:type="dxa"/>
            <w:gridSpan w:val="2"/>
            <w:shd w:val="clear" w:color="auto" w:fill="auto"/>
          </w:tcPr>
          <w:p w14:paraId="151C5B75" w14:textId="77777777" w:rsidR="00FE77ED" w:rsidRPr="00547151" w:rsidRDefault="00FE77ED" w:rsidP="00234E84">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547151">
              <w:rPr>
                <w:color w:val="000000"/>
                <w:kern w:val="14"/>
                <w:lang w:val="en-GB" w:eastAsia="fr-FR"/>
              </w:rPr>
              <w:t>Annex</w:t>
            </w:r>
          </w:p>
        </w:tc>
        <w:tc>
          <w:tcPr>
            <w:tcW w:w="533" w:type="dxa"/>
            <w:gridSpan w:val="2"/>
            <w:shd w:val="clear" w:color="auto" w:fill="auto"/>
            <w:vAlign w:val="bottom"/>
          </w:tcPr>
          <w:p w14:paraId="7BED5637" w14:textId="77777777" w:rsidR="00FE77ED" w:rsidRPr="00547151" w:rsidRDefault="00FE77ED" w:rsidP="00234E84">
            <w:pPr>
              <w:tabs>
                <w:tab w:val="left" w:pos="1620"/>
              </w:tabs>
              <w:suppressAutoHyphens/>
              <w:spacing w:after="120" w:line="240" w:lineRule="exact"/>
              <w:jc w:val="right"/>
              <w:rPr>
                <w:color w:val="000000"/>
                <w:spacing w:val="4"/>
                <w:w w:val="103"/>
                <w:kern w:val="14"/>
                <w:lang w:val="en-GB" w:eastAsia="fr-FR"/>
              </w:rPr>
            </w:pPr>
          </w:p>
        </w:tc>
      </w:tr>
      <w:tr w:rsidR="00FE77ED" w:rsidRPr="00547151" w14:paraId="0D57B3F8" w14:textId="77777777" w:rsidTr="00234E84">
        <w:tc>
          <w:tcPr>
            <w:tcW w:w="9369" w:type="dxa"/>
            <w:gridSpan w:val="2"/>
            <w:shd w:val="clear" w:color="auto" w:fill="auto"/>
          </w:tcPr>
          <w:p w14:paraId="4906C68C" w14:textId="5A0BA157" w:rsidR="00FE77ED" w:rsidRPr="00547151" w:rsidRDefault="00FE77ED" w:rsidP="00234E84">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490"/>
                <w:tab w:val="left" w:pos="5580"/>
                <w:tab w:val="left" w:pos="5616"/>
                <w:tab w:val="right" w:leader="dot" w:pos="9360"/>
              </w:tabs>
              <w:suppressAutoHyphens/>
              <w:spacing w:after="120" w:line="240" w:lineRule="exact"/>
              <w:ind w:left="1296"/>
              <w:rPr>
                <w:color w:val="000000"/>
                <w:spacing w:val="60"/>
                <w:w w:val="103"/>
                <w:kern w:val="14"/>
                <w:sz w:val="17"/>
                <w:lang w:val="en-GB" w:eastAsia="fr-FR"/>
              </w:rPr>
            </w:pPr>
            <w:r w:rsidRPr="00547151">
              <w:rPr>
                <w:color w:val="000000"/>
                <w:kern w:val="14"/>
                <w:lang w:val="en-GB" w:eastAsia="fr-FR"/>
              </w:rPr>
              <w:t xml:space="preserve">Results and resources framework for </w:t>
            </w:r>
            <w:r w:rsidR="00322814" w:rsidRPr="00547151">
              <w:rPr>
                <w:color w:val="000000"/>
                <w:kern w:val="14"/>
                <w:lang w:val="en-GB" w:eastAsia="fr-FR"/>
              </w:rPr>
              <w:t>Kenya</w:t>
            </w:r>
            <w:r w:rsidRPr="00547151">
              <w:rPr>
                <w:color w:val="000000"/>
                <w:kern w:val="14"/>
                <w:lang w:val="en-GB" w:eastAsia="fr-FR"/>
              </w:rPr>
              <w:t xml:space="preserve"> (2022-202</w:t>
            </w:r>
            <w:r w:rsidR="00322814" w:rsidRPr="00547151">
              <w:rPr>
                <w:color w:val="000000"/>
                <w:kern w:val="14"/>
                <w:lang w:val="en-GB" w:eastAsia="fr-FR"/>
              </w:rPr>
              <w:t>6</w:t>
            </w:r>
            <w:r w:rsidRPr="00547151">
              <w:rPr>
                <w:color w:val="000000"/>
                <w:kern w:val="14"/>
                <w:lang w:val="en-GB" w:eastAsia="fr-FR"/>
              </w:rPr>
              <w:t>)</w:t>
            </w:r>
            <w:r w:rsidRPr="00547151">
              <w:rPr>
                <w:color w:val="000000"/>
                <w:sz w:val="24"/>
                <w:szCs w:val="24"/>
                <w:lang w:val="en-GB" w:eastAsia="fr-FR"/>
              </w:rPr>
              <w:tab/>
            </w:r>
          </w:p>
        </w:tc>
        <w:tc>
          <w:tcPr>
            <w:tcW w:w="533" w:type="dxa"/>
            <w:gridSpan w:val="2"/>
            <w:shd w:val="clear" w:color="auto" w:fill="auto"/>
            <w:vAlign w:val="bottom"/>
          </w:tcPr>
          <w:p w14:paraId="23FBC8EB" w14:textId="231485A1" w:rsidR="00FE77ED" w:rsidRPr="00547151" w:rsidRDefault="00C105B2" w:rsidP="00234E84">
            <w:pPr>
              <w:tabs>
                <w:tab w:val="left" w:pos="1620"/>
              </w:tabs>
              <w:suppressAutoHyphens/>
              <w:spacing w:after="120" w:line="240" w:lineRule="exact"/>
              <w:jc w:val="right"/>
              <w:rPr>
                <w:color w:val="000000"/>
                <w:spacing w:val="4"/>
                <w:w w:val="103"/>
                <w:kern w:val="14"/>
                <w:lang w:val="en-GB" w:eastAsia="fr-FR"/>
              </w:rPr>
            </w:pPr>
            <w:r w:rsidRPr="00547151">
              <w:rPr>
                <w:color w:val="000000"/>
                <w:spacing w:val="4"/>
                <w:w w:val="103"/>
                <w:kern w:val="14"/>
                <w:lang w:val="en-GB" w:eastAsia="fr-FR"/>
              </w:rPr>
              <w:t>9</w:t>
            </w:r>
          </w:p>
        </w:tc>
      </w:tr>
    </w:tbl>
    <w:p w14:paraId="4576D6D4" w14:textId="031A9889" w:rsidR="008955C0" w:rsidRPr="009E6278" w:rsidRDefault="000F3DF1" w:rsidP="000F3DF1">
      <w:pPr>
        <w:rPr>
          <w:lang w:val="en-GB"/>
        </w:rPr>
      </w:pPr>
      <w:r w:rsidRPr="009E6278">
        <w:rPr>
          <w:color w:val="FF0000"/>
          <w:lang w:val="en-GB"/>
        </w:rPr>
        <w:br w:type="page"/>
      </w:r>
    </w:p>
    <w:p w14:paraId="2440D3A4" w14:textId="156E97C9" w:rsidR="00954D28" w:rsidRPr="009E6278" w:rsidRDefault="00954D28" w:rsidP="00EC2CA6">
      <w:pPr>
        <w:rPr>
          <w:lang w:val="en-GB"/>
        </w:rPr>
        <w:sectPr w:rsidR="00954D28" w:rsidRPr="009E6278" w:rsidSect="00677A8F">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2440D3D7" w14:textId="2740FC3C" w:rsidR="00A918A7" w:rsidRPr="009E6278" w:rsidRDefault="0059112A" w:rsidP="0028392C">
      <w:pPr>
        <w:pStyle w:val="Heading2"/>
        <w:spacing w:after="200" w:line="240" w:lineRule="exact"/>
        <w:ind w:left="810" w:right="720" w:hanging="450"/>
        <w:jc w:val="both"/>
        <w:rPr>
          <w:rFonts w:ascii="Times New Roman" w:hAnsi="Times New Roman"/>
          <w:bCs/>
          <w:color w:val="000000"/>
          <w:sz w:val="24"/>
          <w:szCs w:val="24"/>
          <w:lang w:val="en-GB"/>
        </w:rPr>
      </w:pPr>
      <w:r w:rsidRPr="009E6278">
        <w:rPr>
          <w:rFonts w:ascii="Times New Roman" w:hAnsi="Times New Roman"/>
          <w:bCs/>
          <w:color w:val="000000"/>
          <w:sz w:val="24"/>
          <w:szCs w:val="24"/>
          <w:lang w:val="en-GB"/>
        </w:rPr>
        <w:lastRenderedPageBreak/>
        <w:t xml:space="preserve">I. </w:t>
      </w:r>
      <w:r w:rsidR="0028392C" w:rsidRPr="009E6278">
        <w:rPr>
          <w:rFonts w:ascii="Times New Roman" w:hAnsi="Times New Roman"/>
          <w:bCs/>
          <w:color w:val="000000"/>
          <w:sz w:val="24"/>
          <w:szCs w:val="24"/>
          <w:lang w:val="en-GB"/>
        </w:rPr>
        <w:tab/>
      </w:r>
      <w:r w:rsidR="007C2934" w:rsidRPr="009E6278">
        <w:rPr>
          <w:rFonts w:ascii="Times New Roman" w:hAnsi="Times New Roman"/>
          <w:bCs/>
          <w:color w:val="000000"/>
          <w:sz w:val="24"/>
          <w:szCs w:val="24"/>
          <w:lang w:val="en-GB"/>
        </w:rPr>
        <w:t xml:space="preserve">UNDP </w:t>
      </w:r>
      <w:r w:rsidR="00363EED" w:rsidRPr="009E6278">
        <w:rPr>
          <w:rFonts w:ascii="Times New Roman" w:hAnsi="Times New Roman"/>
          <w:bCs/>
          <w:color w:val="000000"/>
          <w:sz w:val="24"/>
          <w:szCs w:val="24"/>
          <w:lang w:val="en-GB"/>
        </w:rPr>
        <w:t>within the</w:t>
      </w:r>
      <w:r w:rsidR="007C2934" w:rsidRPr="009E6278">
        <w:rPr>
          <w:rFonts w:ascii="Times New Roman" w:hAnsi="Times New Roman"/>
          <w:bCs/>
          <w:color w:val="000000"/>
          <w:sz w:val="24"/>
          <w:szCs w:val="24"/>
          <w:lang w:val="en-GB"/>
        </w:rPr>
        <w:t xml:space="preserve"> </w:t>
      </w:r>
      <w:r w:rsidR="0028392C" w:rsidRPr="009E6278">
        <w:rPr>
          <w:rFonts w:ascii="Times New Roman" w:hAnsi="Times New Roman"/>
          <w:bCs/>
          <w:color w:val="000000"/>
          <w:sz w:val="24"/>
          <w:szCs w:val="24"/>
          <w:lang w:val="en-GB"/>
        </w:rPr>
        <w:t xml:space="preserve">United Nations Sustainable Development </w:t>
      </w:r>
      <w:r w:rsidR="0049255A" w:rsidRPr="009E6278">
        <w:rPr>
          <w:rFonts w:ascii="Times New Roman" w:hAnsi="Times New Roman"/>
          <w:bCs/>
          <w:color w:val="000000"/>
          <w:sz w:val="24"/>
          <w:szCs w:val="24"/>
          <w:lang w:val="en-GB"/>
        </w:rPr>
        <w:t>Cooper</w:t>
      </w:r>
      <w:r w:rsidR="0067557E" w:rsidRPr="009E6278">
        <w:rPr>
          <w:rFonts w:ascii="Times New Roman" w:hAnsi="Times New Roman"/>
          <w:bCs/>
          <w:color w:val="000000"/>
          <w:sz w:val="24"/>
          <w:szCs w:val="24"/>
          <w:lang w:val="en-GB"/>
        </w:rPr>
        <w:t>ation Framework</w:t>
      </w:r>
    </w:p>
    <w:p w14:paraId="75BCAAEF" w14:textId="6A132E0B" w:rsidR="00E402F1" w:rsidRPr="009E6278" w:rsidRDefault="00A146C8" w:rsidP="00143015">
      <w:pPr>
        <w:pStyle w:val="ListParagraph"/>
        <w:numPr>
          <w:ilvl w:val="0"/>
          <w:numId w:val="8"/>
        </w:numPr>
        <w:tabs>
          <w:tab w:val="left" w:pos="1170"/>
        </w:tabs>
        <w:spacing w:after="120" w:line="240" w:lineRule="exact"/>
        <w:ind w:left="810" w:right="720" w:firstLine="0"/>
        <w:jc w:val="both"/>
        <w:rPr>
          <w:color w:val="000000"/>
          <w:lang w:val="en-GB" w:eastAsia="it-IT"/>
        </w:rPr>
      </w:pPr>
      <w:r w:rsidRPr="009E6278">
        <w:rPr>
          <w:color w:val="000000"/>
          <w:lang w:val="en-GB" w:eastAsia="it-IT"/>
        </w:rPr>
        <w:t>T</w:t>
      </w:r>
      <w:r w:rsidR="003A3958" w:rsidRPr="009E6278">
        <w:rPr>
          <w:color w:val="000000"/>
          <w:lang w:val="en-GB" w:eastAsia="it-IT"/>
        </w:rPr>
        <w:t xml:space="preserve">he </w:t>
      </w:r>
      <w:r w:rsidR="00547151">
        <w:rPr>
          <w:color w:val="000000"/>
          <w:lang w:val="en-GB" w:eastAsia="it-IT"/>
        </w:rPr>
        <w:t>gross</w:t>
      </w:r>
      <w:r w:rsidR="00123651" w:rsidRPr="009E6278">
        <w:rPr>
          <w:color w:val="000000"/>
          <w:lang w:val="en-GB" w:eastAsia="it-IT"/>
        </w:rPr>
        <w:t xml:space="preserve"> </w:t>
      </w:r>
      <w:r w:rsidR="003A3958" w:rsidRPr="009E6278">
        <w:rPr>
          <w:color w:val="000000"/>
          <w:lang w:val="en-GB" w:eastAsia="it-IT"/>
        </w:rPr>
        <w:t>d</w:t>
      </w:r>
      <w:r w:rsidR="004C03C5" w:rsidRPr="009E6278">
        <w:rPr>
          <w:color w:val="000000"/>
          <w:lang w:val="en-GB" w:eastAsia="it-IT"/>
        </w:rPr>
        <w:t xml:space="preserve">omestic </w:t>
      </w:r>
      <w:r w:rsidR="003A3958" w:rsidRPr="009E6278">
        <w:rPr>
          <w:color w:val="000000"/>
          <w:lang w:val="en-GB" w:eastAsia="it-IT"/>
        </w:rPr>
        <w:t>p</w:t>
      </w:r>
      <w:r w:rsidR="004C03C5" w:rsidRPr="009E6278">
        <w:rPr>
          <w:color w:val="000000"/>
          <w:lang w:val="en-GB" w:eastAsia="it-IT"/>
        </w:rPr>
        <w:t xml:space="preserve">roduct </w:t>
      </w:r>
      <w:r w:rsidR="00747BCA" w:rsidRPr="009E6278">
        <w:rPr>
          <w:color w:val="000000"/>
          <w:lang w:val="en-GB" w:eastAsia="it-IT"/>
        </w:rPr>
        <w:t>(</w:t>
      </w:r>
      <w:r w:rsidR="00E402F1" w:rsidRPr="009E6278">
        <w:rPr>
          <w:color w:val="000000"/>
          <w:lang w:val="en-GB" w:eastAsia="it-IT"/>
        </w:rPr>
        <w:t>GDP</w:t>
      </w:r>
      <w:r w:rsidR="00747BCA" w:rsidRPr="009E6278">
        <w:rPr>
          <w:color w:val="000000"/>
          <w:lang w:val="en-GB" w:eastAsia="it-IT"/>
        </w:rPr>
        <w:t>)</w:t>
      </w:r>
      <w:r w:rsidR="00E402F1" w:rsidRPr="009E6278">
        <w:rPr>
          <w:color w:val="000000"/>
          <w:lang w:val="en-GB" w:eastAsia="it-IT"/>
        </w:rPr>
        <w:t xml:space="preserve"> </w:t>
      </w:r>
      <w:r w:rsidR="003A3958" w:rsidRPr="009E6278">
        <w:rPr>
          <w:color w:val="000000"/>
          <w:lang w:val="en-GB" w:eastAsia="it-IT"/>
        </w:rPr>
        <w:t xml:space="preserve">of Kenya </w:t>
      </w:r>
      <w:r w:rsidR="00E402F1" w:rsidRPr="009E6278">
        <w:rPr>
          <w:color w:val="000000"/>
          <w:lang w:val="en-GB" w:eastAsia="it-IT"/>
        </w:rPr>
        <w:t>grew at an average annual rate</w:t>
      </w:r>
      <w:r w:rsidR="0028392C" w:rsidRPr="009E6278">
        <w:rPr>
          <w:color w:val="000000"/>
          <w:lang w:val="en-GB" w:eastAsia="it-IT"/>
        </w:rPr>
        <w:t xml:space="preserve"> </w:t>
      </w:r>
      <w:r w:rsidR="00E402F1" w:rsidRPr="009E6278">
        <w:rPr>
          <w:color w:val="000000"/>
          <w:lang w:val="en-GB" w:eastAsia="it-IT"/>
        </w:rPr>
        <w:t>of 5.6</w:t>
      </w:r>
      <w:r w:rsidR="003A3958" w:rsidRPr="009E6278">
        <w:rPr>
          <w:color w:val="000000"/>
          <w:lang w:val="en-GB" w:eastAsia="it-IT"/>
        </w:rPr>
        <w:t xml:space="preserve"> per cent</w:t>
      </w:r>
      <w:r w:rsidR="00E402F1" w:rsidRPr="009E6278">
        <w:rPr>
          <w:color w:val="000000"/>
          <w:lang w:val="en-GB" w:eastAsia="it-IT"/>
        </w:rPr>
        <w:t xml:space="preserve"> between 2013 and 2019, </w:t>
      </w:r>
      <w:r w:rsidR="00747BCA" w:rsidRPr="009E6278">
        <w:rPr>
          <w:color w:val="000000"/>
          <w:lang w:val="en-GB" w:eastAsia="it-IT"/>
        </w:rPr>
        <w:t>below its Vision 2030</w:t>
      </w:r>
      <w:r w:rsidR="003167E9" w:rsidRPr="009E6278">
        <w:rPr>
          <w:color w:val="000000"/>
          <w:lang w:val="en-GB" w:eastAsia="it-IT"/>
        </w:rPr>
        <w:t xml:space="preserve"> target of 10</w:t>
      </w:r>
      <w:r w:rsidR="00BE2B75" w:rsidRPr="009E6278">
        <w:rPr>
          <w:color w:val="000000"/>
          <w:lang w:val="en-GB" w:eastAsia="it-IT"/>
        </w:rPr>
        <w:t xml:space="preserve"> per cent</w:t>
      </w:r>
      <w:r w:rsidR="00513468" w:rsidRPr="009E6278">
        <w:rPr>
          <w:color w:val="000000"/>
          <w:lang w:val="en-GB" w:eastAsia="it-IT"/>
        </w:rPr>
        <w:t>.</w:t>
      </w:r>
      <w:r w:rsidR="00747BCA" w:rsidRPr="009E6278">
        <w:rPr>
          <w:color w:val="000000"/>
          <w:lang w:val="en-GB" w:eastAsia="it-IT"/>
        </w:rPr>
        <w:t xml:space="preserve"> </w:t>
      </w:r>
      <w:r w:rsidR="00E402F1" w:rsidRPr="009E6278">
        <w:rPr>
          <w:color w:val="000000"/>
          <w:lang w:val="en-GB" w:eastAsia="it-IT"/>
        </w:rPr>
        <w:t xml:space="preserve">GDP per capita </w:t>
      </w:r>
      <w:r w:rsidR="00513468" w:rsidRPr="009E6278">
        <w:rPr>
          <w:color w:val="000000"/>
          <w:lang w:val="en-GB" w:eastAsia="it-IT"/>
        </w:rPr>
        <w:t xml:space="preserve">has </w:t>
      </w:r>
      <w:r w:rsidR="00E402F1" w:rsidRPr="009E6278">
        <w:rPr>
          <w:color w:val="000000"/>
          <w:lang w:val="en-GB" w:eastAsia="it-IT"/>
        </w:rPr>
        <w:t xml:space="preserve">steadily </w:t>
      </w:r>
      <w:r w:rsidR="00513468" w:rsidRPr="009E6278">
        <w:rPr>
          <w:color w:val="000000"/>
          <w:lang w:val="en-GB" w:eastAsia="it-IT"/>
        </w:rPr>
        <w:t>increased</w:t>
      </w:r>
      <w:r w:rsidRPr="009E6278">
        <w:rPr>
          <w:color w:val="000000"/>
          <w:lang w:val="en-GB" w:eastAsia="it-IT"/>
        </w:rPr>
        <w:t>,</w:t>
      </w:r>
      <w:r w:rsidR="00513468" w:rsidRPr="009E6278">
        <w:rPr>
          <w:color w:val="000000"/>
          <w:lang w:val="en-GB" w:eastAsia="it-IT"/>
        </w:rPr>
        <w:t xml:space="preserve"> </w:t>
      </w:r>
      <w:r w:rsidRPr="009E6278">
        <w:rPr>
          <w:color w:val="000000"/>
          <w:lang w:val="en-GB" w:eastAsia="it-IT"/>
        </w:rPr>
        <w:t xml:space="preserve">reaching </w:t>
      </w:r>
      <w:r w:rsidR="00E402F1" w:rsidRPr="009E6278">
        <w:rPr>
          <w:color w:val="000000"/>
          <w:lang w:val="en-GB" w:eastAsia="it-IT"/>
        </w:rPr>
        <w:t>$1</w:t>
      </w:r>
      <w:r w:rsidR="00C105B2" w:rsidRPr="00547151">
        <w:rPr>
          <w:color w:val="000000"/>
          <w:lang w:val="en-GB" w:eastAsia="it-IT"/>
        </w:rPr>
        <w:t>,</w:t>
      </w:r>
      <w:r w:rsidR="00E402F1" w:rsidRPr="009E6278">
        <w:rPr>
          <w:color w:val="000000"/>
          <w:lang w:val="en-GB" w:eastAsia="it-IT"/>
        </w:rPr>
        <w:t xml:space="preserve">816.50 in 2019. </w:t>
      </w:r>
      <w:r w:rsidR="00C105B2" w:rsidRPr="00547151">
        <w:rPr>
          <w:color w:val="000000"/>
          <w:lang w:val="en-GB" w:eastAsia="it-IT"/>
        </w:rPr>
        <w:t>The</w:t>
      </w:r>
      <w:r w:rsidRPr="009E6278">
        <w:rPr>
          <w:color w:val="000000"/>
          <w:lang w:val="en-GB" w:eastAsia="it-IT"/>
        </w:rPr>
        <w:t xml:space="preserve"> </w:t>
      </w:r>
      <w:r w:rsidR="00E402F1" w:rsidRPr="009E6278">
        <w:rPr>
          <w:color w:val="000000"/>
          <w:lang w:val="en-GB" w:eastAsia="it-IT"/>
        </w:rPr>
        <w:t>attainment of middle-income status saw monetary poverty rates declin</w:t>
      </w:r>
      <w:r w:rsidR="00C105B2" w:rsidRPr="00547151">
        <w:rPr>
          <w:color w:val="000000"/>
          <w:lang w:val="en-GB" w:eastAsia="it-IT"/>
        </w:rPr>
        <w:t>e</w:t>
      </w:r>
      <w:r w:rsidR="00E402F1" w:rsidRPr="009E6278">
        <w:rPr>
          <w:color w:val="000000"/>
          <w:lang w:val="en-GB" w:eastAsia="it-IT"/>
        </w:rPr>
        <w:t xml:space="preserve"> to 36.1</w:t>
      </w:r>
      <w:r w:rsidR="00BE2B75" w:rsidRPr="009E6278">
        <w:rPr>
          <w:color w:val="000000"/>
          <w:lang w:val="en-GB" w:eastAsia="it-IT"/>
        </w:rPr>
        <w:t xml:space="preserve"> per cent</w:t>
      </w:r>
      <w:r w:rsidR="00E402F1" w:rsidRPr="009E6278">
        <w:rPr>
          <w:color w:val="000000"/>
          <w:lang w:val="en-GB" w:eastAsia="it-IT"/>
        </w:rPr>
        <w:t xml:space="preserve"> in 2015</w:t>
      </w:r>
      <w:r w:rsidRPr="009E6278">
        <w:rPr>
          <w:color w:val="000000"/>
          <w:lang w:val="en-GB" w:eastAsia="it-IT"/>
        </w:rPr>
        <w:t>-20</w:t>
      </w:r>
      <w:r w:rsidR="00E402F1" w:rsidRPr="009E6278">
        <w:rPr>
          <w:color w:val="000000"/>
          <w:lang w:val="en-GB" w:eastAsia="it-IT"/>
        </w:rPr>
        <w:t>16</w:t>
      </w:r>
      <w:r w:rsidR="00747BCA" w:rsidRPr="009E6278">
        <w:rPr>
          <w:color w:val="000000"/>
          <w:lang w:val="en-GB" w:eastAsia="it-IT"/>
        </w:rPr>
        <w:t>, but</w:t>
      </w:r>
      <w:r w:rsidR="00E402F1" w:rsidRPr="00547151">
        <w:rPr>
          <w:color w:val="000000"/>
          <w:lang w:val="en-GB" w:eastAsia="it-IT"/>
        </w:rPr>
        <w:t xml:space="preserve"> absolute numbers of poor </w:t>
      </w:r>
      <w:r w:rsidR="00B8369B" w:rsidRPr="00547151">
        <w:rPr>
          <w:color w:val="000000"/>
          <w:lang w:val="en-GB" w:eastAsia="it-IT"/>
        </w:rPr>
        <w:t>ha</w:t>
      </w:r>
      <w:r w:rsidRPr="00547151">
        <w:rPr>
          <w:color w:val="000000"/>
          <w:lang w:val="en-GB" w:eastAsia="it-IT"/>
        </w:rPr>
        <w:t>ve</w:t>
      </w:r>
      <w:r w:rsidR="00B8369B" w:rsidRPr="00547151">
        <w:rPr>
          <w:color w:val="000000"/>
          <w:lang w:val="en-GB" w:eastAsia="it-IT"/>
        </w:rPr>
        <w:t xml:space="preserve"> </w:t>
      </w:r>
      <w:r w:rsidR="00E402F1" w:rsidRPr="00547151">
        <w:rPr>
          <w:color w:val="000000"/>
          <w:lang w:val="en-GB" w:eastAsia="it-IT"/>
        </w:rPr>
        <w:t xml:space="preserve">increased, driven </w:t>
      </w:r>
      <w:r w:rsidRPr="00547151">
        <w:rPr>
          <w:color w:val="000000"/>
          <w:lang w:val="en-GB" w:eastAsia="it-IT"/>
        </w:rPr>
        <w:t>mainly b</w:t>
      </w:r>
      <w:r w:rsidR="00E402F1" w:rsidRPr="00547151">
        <w:rPr>
          <w:color w:val="000000"/>
          <w:lang w:val="en-GB" w:eastAsia="it-IT"/>
        </w:rPr>
        <w:t>y population growth.</w:t>
      </w:r>
      <w:r w:rsidRPr="00547151">
        <w:rPr>
          <w:color w:val="000000"/>
          <w:lang w:val="en-GB" w:eastAsia="it-IT"/>
        </w:rPr>
        <w:t xml:space="preserve"> </w:t>
      </w:r>
      <w:r w:rsidR="00C105B2" w:rsidRPr="00547151">
        <w:rPr>
          <w:color w:val="000000"/>
          <w:lang w:val="en-GB" w:eastAsia="it-IT"/>
        </w:rPr>
        <w:t>While g</w:t>
      </w:r>
      <w:r w:rsidR="00E402F1" w:rsidRPr="009E6278">
        <w:rPr>
          <w:color w:val="000000"/>
          <w:lang w:val="en-GB" w:eastAsia="it-IT"/>
        </w:rPr>
        <w:t xml:space="preserve">overnment spending has </w:t>
      </w:r>
      <w:r w:rsidR="00B8369B" w:rsidRPr="009E6278">
        <w:rPr>
          <w:color w:val="000000"/>
          <w:lang w:val="en-GB" w:eastAsia="it-IT"/>
        </w:rPr>
        <w:t>stimulated</w:t>
      </w:r>
      <w:r w:rsidR="00E402F1" w:rsidRPr="009E6278">
        <w:rPr>
          <w:color w:val="000000"/>
          <w:lang w:val="en-GB" w:eastAsia="it-IT"/>
        </w:rPr>
        <w:t xml:space="preserve"> growth, </w:t>
      </w:r>
      <w:r w:rsidR="00747BCA" w:rsidRPr="009E6278">
        <w:rPr>
          <w:color w:val="000000"/>
          <w:lang w:val="en-GB" w:eastAsia="it-IT"/>
        </w:rPr>
        <w:t>sustainability is not secured</w:t>
      </w:r>
      <w:r w:rsidRPr="009E6278">
        <w:rPr>
          <w:color w:val="000000"/>
          <w:lang w:val="en-GB" w:eastAsia="it-IT"/>
        </w:rPr>
        <w:t>;</w:t>
      </w:r>
      <w:r w:rsidR="00747BCA" w:rsidRPr="009E6278">
        <w:rPr>
          <w:color w:val="000000"/>
          <w:lang w:val="en-GB" w:eastAsia="it-IT"/>
        </w:rPr>
        <w:t xml:space="preserve"> </w:t>
      </w:r>
      <w:r w:rsidR="00E402F1" w:rsidRPr="009E6278">
        <w:rPr>
          <w:color w:val="000000"/>
          <w:lang w:val="en-GB" w:eastAsia="it-IT"/>
        </w:rPr>
        <w:t xml:space="preserve">debt levels </w:t>
      </w:r>
      <w:r w:rsidR="00747BCA" w:rsidRPr="009E6278">
        <w:rPr>
          <w:color w:val="000000"/>
          <w:lang w:val="en-GB" w:eastAsia="it-IT"/>
        </w:rPr>
        <w:t xml:space="preserve">increased </w:t>
      </w:r>
      <w:r w:rsidR="00E402F1" w:rsidRPr="009E6278">
        <w:rPr>
          <w:color w:val="000000"/>
          <w:lang w:val="en-GB" w:eastAsia="it-IT"/>
        </w:rPr>
        <w:t>to over 70</w:t>
      </w:r>
      <w:r w:rsidR="00BE2B75" w:rsidRPr="009E6278">
        <w:rPr>
          <w:color w:val="000000"/>
          <w:lang w:val="en-GB" w:eastAsia="it-IT"/>
        </w:rPr>
        <w:t xml:space="preserve"> per cent</w:t>
      </w:r>
      <w:r w:rsidR="00E402F1" w:rsidRPr="009E6278">
        <w:rPr>
          <w:color w:val="000000"/>
          <w:lang w:val="en-GB" w:eastAsia="it-IT"/>
        </w:rPr>
        <w:t xml:space="preserve"> of GDP in 2021. </w:t>
      </w:r>
    </w:p>
    <w:p w14:paraId="7659092A" w14:textId="67E23729" w:rsidR="00A146C8" w:rsidRPr="009E6278" w:rsidRDefault="006268F7" w:rsidP="00A146C8">
      <w:pPr>
        <w:pStyle w:val="ListParagraph"/>
        <w:numPr>
          <w:ilvl w:val="0"/>
          <w:numId w:val="8"/>
        </w:numPr>
        <w:tabs>
          <w:tab w:val="left" w:pos="1170"/>
        </w:tabs>
        <w:spacing w:after="120" w:line="240" w:lineRule="exact"/>
        <w:ind w:left="810" w:right="720" w:firstLine="0"/>
        <w:jc w:val="both"/>
        <w:rPr>
          <w:color w:val="000000"/>
          <w:lang w:val="en-GB" w:eastAsia="it-IT"/>
        </w:rPr>
      </w:pPr>
      <w:r w:rsidRPr="009E6278">
        <w:rPr>
          <w:lang w:val="en-GB"/>
        </w:rPr>
        <w:t>Kenya has made progress</w:t>
      </w:r>
      <w:r w:rsidR="00DB643C" w:rsidRPr="009E6278">
        <w:rPr>
          <w:lang w:val="en-GB"/>
        </w:rPr>
        <w:t xml:space="preserve"> </w:t>
      </w:r>
      <w:r w:rsidR="009F366C" w:rsidRPr="009E6278">
        <w:rPr>
          <w:lang w:val="en-GB"/>
        </w:rPr>
        <w:t xml:space="preserve">in </w:t>
      </w:r>
      <w:r w:rsidR="00DB643C" w:rsidRPr="009E6278">
        <w:rPr>
          <w:lang w:val="en-GB"/>
        </w:rPr>
        <w:t>implement</w:t>
      </w:r>
      <w:r w:rsidR="009F366C" w:rsidRPr="009E6278">
        <w:rPr>
          <w:lang w:val="en-GB"/>
        </w:rPr>
        <w:t>ing</w:t>
      </w:r>
      <w:r w:rsidR="000368DA" w:rsidRPr="009E6278">
        <w:rPr>
          <w:rStyle w:val="FootnoteReference"/>
          <w:lang w:val="en-GB"/>
        </w:rPr>
        <w:footnoteReference w:id="2"/>
      </w:r>
      <w:r w:rsidR="009C435F" w:rsidRPr="009E6278">
        <w:rPr>
          <w:lang w:val="en-GB"/>
        </w:rPr>
        <w:t xml:space="preserve"> the </w:t>
      </w:r>
      <w:r w:rsidR="00A146C8" w:rsidRPr="009E6278">
        <w:rPr>
          <w:lang w:val="en-GB"/>
        </w:rPr>
        <w:t>S</w:t>
      </w:r>
      <w:r w:rsidR="00CD1CF0" w:rsidRPr="009E6278">
        <w:rPr>
          <w:lang w:val="en-GB"/>
        </w:rPr>
        <w:t xml:space="preserve">ustainable </w:t>
      </w:r>
      <w:r w:rsidR="00A146C8" w:rsidRPr="009E6278">
        <w:rPr>
          <w:lang w:val="en-GB"/>
        </w:rPr>
        <w:t>D</w:t>
      </w:r>
      <w:r w:rsidR="00CD1CF0" w:rsidRPr="009E6278">
        <w:rPr>
          <w:lang w:val="en-GB"/>
        </w:rPr>
        <w:t xml:space="preserve">evelopment </w:t>
      </w:r>
      <w:r w:rsidR="00A146C8" w:rsidRPr="009E6278">
        <w:rPr>
          <w:lang w:val="en-GB"/>
        </w:rPr>
        <w:t>G</w:t>
      </w:r>
      <w:r w:rsidR="00CD1CF0" w:rsidRPr="009E6278">
        <w:rPr>
          <w:lang w:val="en-GB"/>
        </w:rPr>
        <w:t>oals</w:t>
      </w:r>
      <w:r w:rsidR="00A146C8" w:rsidRPr="009E6278">
        <w:rPr>
          <w:lang w:val="en-GB"/>
        </w:rPr>
        <w:t>,</w:t>
      </w:r>
      <w:r w:rsidR="00206795" w:rsidRPr="009E6278">
        <w:rPr>
          <w:lang w:val="en-GB"/>
        </w:rPr>
        <w:t xml:space="preserve"> ranking 118</w:t>
      </w:r>
      <w:r w:rsidR="00A146C8" w:rsidRPr="009E6278">
        <w:rPr>
          <w:vertAlign w:val="superscript"/>
          <w:lang w:val="en-GB"/>
        </w:rPr>
        <w:t>th</w:t>
      </w:r>
      <w:r w:rsidR="00A146C8" w:rsidRPr="009E6278">
        <w:rPr>
          <w:lang w:val="en-GB"/>
        </w:rPr>
        <w:t xml:space="preserve"> </w:t>
      </w:r>
      <w:r w:rsidR="00206795" w:rsidRPr="009E6278">
        <w:rPr>
          <w:lang w:val="en-GB"/>
        </w:rPr>
        <w:t>out of 165 globally and in the top 10 best</w:t>
      </w:r>
      <w:r w:rsidR="00A146C8" w:rsidRPr="009E6278">
        <w:rPr>
          <w:lang w:val="en-GB"/>
        </w:rPr>
        <w:t>-</w:t>
      </w:r>
      <w:r w:rsidR="00206795" w:rsidRPr="009E6278">
        <w:rPr>
          <w:lang w:val="en-GB"/>
        </w:rPr>
        <w:t xml:space="preserve">performing countries in </w:t>
      </w:r>
      <w:r w:rsidR="00A146C8" w:rsidRPr="009E6278">
        <w:rPr>
          <w:lang w:val="en-GB"/>
        </w:rPr>
        <w:t>s</w:t>
      </w:r>
      <w:r w:rsidR="00206795" w:rsidRPr="009E6278">
        <w:rPr>
          <w:lang w:val="en-GB"/>
        </w:rPr>
        <w:t>ub-Saharan Africa.</w:t>
      </w:r>
      <w:r w:rsidRPr="009E6278">
        <w:rPr>
          <w:lang w:val="en-GB"/>
        </w:rPr>
        <w:t xml:space="preserve"> Out of the 14 </w:t>
      </w:r>
      <w:r w:rsidR="00A146C8" w:rsidRPr="009E6278">
        <w:rPr>
          <w:lang w:val="en-GB"/>
        </w:rPr>
        <w:t>Sustainable Development Goals</w:t>
      </w:r>
      <w:r w:rsidRPr="009E6278">
        <w:rPr>
          <w:lang w:val="en-GB"/>
        </w:rPr>
        <w:t xml:space="preserve"> whose data was collectable, </w:t>
      </w:r>
      <w:r w:rsidR="00A146C8" w:rsidRPr="009E6278">
        <w:rPr>
          <w:lang w:val="en-GB"/>
        </w:rPr>
        <w:t>six</w:t>
      </w:r>
      <w:r w:rsidR="00206795" w:rsidRPr="009E6278">
        <w:rPr>
          <w:rStyle w:val="FootnoteReference"/>
          <w:lang w:val="en-GB"/>
        </w:rPr>
        <w:footnoteReference w:id="3"/>
      </w:r>
      <w:r w:rsidRPr="009E6278">
        <w:rPr>
          <w:lang w:val="en-GB"/>
        </w:rPr>
        <w:t xml:space="preserve"> are moderately improving and one, </w:t>
      </w:r>
      <w:r w:rsidR="00A146C8" w:rsidRPr="009E6278">
        <w:rPr>
          <w:lang w:val="en-GB"/>
        </w:rPr>
        <w:t>Goal</w:t>
      </w:r>
      <w:r w:rsidRPr="009E6278">
        <w:rPr>
          <w:lang w:val="en-GB"/>
        </w:rPr>
        <w:t xml:space="preserve"> 13</w:t>
      </w:r>
      <w:r w:rsidR="00F31ED7" w:rsidRPr="009E6278">
        <w:rPr>
          <w:lang w:val="en-GB"/>
        </w:rPr>
        <w:t>,</w:t>
      </w:r>
      <w:r w:rsidRPr="009E6278">
        <w:rPr>
          <w:lang w:val="en-GB"/>
        </w:rPr>
        <w:t xml:space="preserve"> on track</w:t>
      </w:r>
      <w:r w:rsidR="00A146C8" w:rsidRPr="009E6278">
        <w:rPr>
          <w:lang w:val="en-GB"/>
        </w:rPr>
        <w:t>,</w:t>
      </w:r>
      <w:r w:rsidRPr="009E6278">
        <w:rPr>
          <w:lang w:val="en-GB"/>
        </w:rPr>
        <w:t xml:space="preserve"> whil</w:t>
      </w:r>
      <w:r w:rsidR="00A146C8" w:rsidRPr="009E6278">
        <w:rPr>
          <w:lang w:val="en-GB"/>
        </w:rPr>
        <w:t>e</w:t>
      </w:r>
      <w:r w:rsidRPr="009E6278">
        <w:rPr>
          <w:lang w:val="en-GB"/>
        </w:rPr>
        <w:t xml:space="preserve"> the remaining seven are either stagnating or decreasing. </w:t>
      </w:r>
    </w:p>
    <w:p w14:paraId="55C9ACB5" w14:textId="027C22B6" w:rsidR="00D63477" w:rsidRPr="00547151" w:rsidRDefault="006268F7" w:rsidP="00D63477">
      <w:pPr>
        <w:pStyle w:val="ListParagraph"/>
        <w:numPr>
          <w:ilvl w:val="0"/>
          <w:numId w:val="8"/>
        </w:numPr>
        <w:tabs>
          <w:tab w:val="left" w:pos="1170"/>
        </w:tabs>
        <w:spacing w:after="120" w:line="240" w:lineRule="exact"/>
        <w:ind w:left="810" w:right="720" w:firstLine="0"/>
        <w:jc w:val="both"/>
        <w:rPr>
          <w:rStyle w:val="normaltextrun"/>
          <w:color w:val="0A0A0A"/>
          <w:lang w:val="en-GB"/>
        </w:rPr>
      </w:pPr>
      <w:r w:rsidRPr="00547151">
        <w:rPr>
          <w:rStyle w:val="normaltextrun"/>
          <w:color w:val="0A0A0A"/>
          <w:lang w:val="en-GB"/>
        </w:rPr>
        <w:t>Kenya is recognized as an innovation hub</w:t>
      </w:r>
      <w:r w:rsidR="00D63477" w:rsidRPr="00547151">
        <w:rPr>
          <w:rStyle w:val="normaltextrun"/>
          <w:color w:val="0A0A0A"/>
          <w:lang w:val="en-GB"/>
        </w:rPr>
        <w:t>,</w:t>
      </w:r>
      <w:r w:rsidRPr="00547151">
        <w:rPr>
          <w:rStyle w:val="normaltextrun"/>
          <w:color w:val="0A0A0A"/>
          <w:lang w:val="en-GB"/>
        </w:rPr>
        <w:t xml:space="preserve"> ranking 7</w:t>
      </w:r>
      <w:r w:rsidRPr="00547151">
        <w:rPr>
          <w:rStyle w:val="normaltextrun"/>
          <w:color w:val="0A0A0A"/>
          <w:vertAlign w:val="superscript"/>
          <w:lang w:val="en-GB"/>
        </w:rPr>
        <w:t>th</w:t>
      </w:r>
      <w:r w:rsidRPr="00547151">
        <w:rPr>
          <w:rStyle w:val="normaltextrun"/>
          <w:color w:val="0A0A0A"/>
          <w:lang w:val="en-GB"/>
        </w:rPr>
        <w:t xml:space="preserve"> </w:t>
      </w:r>
      <w:r w:rsidR="00FE41A5" w:rsidRPr="00547151">
        <w:rPr>
          <w:rStyle w:val="normaltextrun"/>
          <w:color w:val="0A0A0A"/>
          <w:lang w:val="en-GB"/>
        </w:rPr>
        <w:t xml:space="preserve">in Africa </w:t>
      </w:r>
      <w:r w:rsidRPr="00547151">
        <w:rPr>
          <w:rStyle w:val="normaltextrun"/>
          <w:color w:val="0A0A0A"/>
          <w:lang w:val="en-GB"/>
        </w:rPr>
        <w:t>on the Global Innovation Index</w:t>
      </w:r>
      <w:r w:rsidR="00FE41A5" w:rsidRPr="00547151">
        <w:rPr>
          <w:rStyle w:val="normaltextrun"/>
          <w:color w:val="0A0A0A"/>
          <w:lang w:val="en-GB"/>
        </w:rPr>
        <w:t>, 2021,</w:t>
      </w:r>
      <w:r w:rsidRPr="00547151">
        <w:rPr>
          <w:rStyle w:val="normaltextrun"/>
          <w:color w:val="0A0A0A"/>
          <w:lang w:val="en-GB"/>
        </w:rPr>
        <w:t xml:space="preserve"> and 82</w:t>
      </w:r>
      <w:r w:rsidRPr="00547151">
        <w:rPr>
          <w:rStyle w:val="normaltextrun"/>
          <w:color w:val="0A0A0A"/>
          <w:vertAlign w:val="superscript"/>
          <w:lang w:val="en-GB"/>
        </w:rPr>
        <w:t>nd</w:t>
      </w:r>
      <w:r w:rsidRPr="00547151">
        <w:rPr>
          <w:rStyle w:val="normaltextrun"/>
          <w:color w:val="0A0A0A"/>
          <w:lang w:val="en-GB"/>
        </w:rPr>
        <w:t xml:space="preserve"> globally</w:t>
      </w:r>
      <w:r w:rsidR="00D63477" w:rsidRPr="00547151">
        <w:rPr>
          <w:rStyle w:val="normaltextrun"/>
          <w:color w:val="0A0A0A"/>
          <w:lang w:val="en-GB"/>
        </w:rPr>
        <w:t>,</w:t>
      </w:r>
      <w:r w:rsidR="00CF7519" w:rsidRPr="00547151">
        <w:rPr>
          <w:rStyle w:val="normaltextrun"/>
          <w:color w:val="0A0A0A"/>
          <w:lang w:val="en-GB"/>
        </w:rPr>
        <w:t xml:space="preserve"> with </w:t>
      </w:r>
      <w:r w:rsidRPr="00547151">
        <w:rPr>
          <w:rStyle w:val="normaltextrun"/>
          <w:color w:val="0A0A0A"/>
          <w:lang w:val="en-GB"/>
        </w:rPr>
        <w:t>an increasing number of innovation tech</w:t>
      </w:r>
      <w:r w:rsidR="00D63477" w:rsidRPr="00547151">
        <w:rPr>
          <w:rStyle w:val="normaltextrun"/>
          <w:color w:val="0A0A0A"/>
          <w:lang w:val="en-GB"/>
        </w:rPr>
        <w:t>nical</w:t>
      </w:r>
      <w:r w:rsidRPr="00547151">
        <w:rPr>
          <w:rStyle w:val="normaltextrun"/>
          <w:color w:val="0A0A0A"/>
          <w:lang w:val="en-GB"/>
        </w:rPr>
        <w:t xml:space="preserve"> hubs across the country</w:t>
      </w:r>
      <w:r w:rsidR="00FE41A5" w:rsidRPr="00547151">
        <w:rPr>
          <w:rStyle w:val="normaltextrun"/>
          <w:color w:val="0A0A0A"/>
          <w:lang w:val="en-GB"/>
        </w:rPr>
        <w:t>,</w:t>
      </w:r>
      <w:r w:rsidRPr="00547151">
        <w:rPr>
          <w:rStyle w:val="FootnoteReference"/>
          <w:color w:val="0A0A0A"/>
          <w:lang w:val="en-GB"/>
        </w:rPr>
        <w:footnoteReference w:id="4"/>
      </w:r>
      <w:r w:rsidRPr="00547151">
        <w:rPr>
          <w:rStyle w:val="normaltextrun"/>
          <w:color w:val="0A0A0A"/>
          <w:lang w:val="en-GB"/>
        </w:rPr>
        <w:t xml:space="preserve"> </w:t>
      </w:r>
      <w:r w:rsidR="00CF7519" w:rsidRPr="00547151">
        <w:rPr>
          <w:rStyle w:val="normaltextrun"/>
          <w:color w:val="0A0A0A"/>
          <w:lang w:val="en-GB"/>
        </w:rPr>
        <w:t xml:space="preserve">increased </w:t>
      </w:r>
      <w:r w:rsidRPr="00547151">
        <w:rPr>
          <w:rStyle w:val="normaltextrun"/>
          <w:color w:val="0A0A0A"/>
          <w:lang w:val="en-GB"/>
        </w:rPr>
        <w:t xml:space="preserve">broadband connectivity, </w:t>
      </w:r>
      <w:r w:rsidR="00CF7519" w:rsidRPr="00547151">
        <w:rPr>
          <w:rStyle w:val="normaltextrun"/>
          <w:color w:val="0A0A0A"/>
          <w:lang w:val="en-GB"/>
        </w:rPr>
        <w:t xml:space="preserve">and </w:t>
      </w:r>
      <w:r w:rsidRPr="00547151">
        <w:rPr>
          <w:rStyle w:val="normaltextrun"/>
          <w:color w:val="0A0A0A"/>
          <w:lang w:val="en-GB"/>
        </w:rPr>
        <w:t xml:space="preserve">increased investment </w:t>
      </w:r>
      <w:r w:rsidR="00FE41A5" w:rsidRPr="00547151">
        <w:rPr>
          <w:rStyle w:val="normaltextrun"/>
          <w:color w:val="0A0A0A"/>
          <w:lang w:val="en-GB"/>
        </w:rPr>
        <w:t xml:space="preserve">in </w:t>
      </w:r>
      <w:r w:rsidRPr="00547151">
        <w:rPr>
          <w:rStyle w:val="normaltextrun"/>
          <w:color w:val="0A0A0A"/>
          <w:lang w:val="en-GB"/>
        </w:rPr>
        <w:t>decentrali</w:t>
      </w:r>
      <w:r w:rsidR="00D63477" w:rsidRPr="00547151">
        <w:rPr>
          <w:rStyle w:val="normaltextrun"/>
          <w:color w:val="0A0A0A"/>
          <w:lang w:val="en-GB"/>
        </w:rPr>
        <w:t>z</w:t>
      </w:r>
      <w:r w:rsidRPr="00547151">
        <w:rPr>
          <w:rStyle w:val="normaltextrun"/>
          <w:color w:val="0A0A0A"/>
          <w:lang w:val="en-GB"/>
        </w:rPr>
        <w:t xml:space="preserve">ation and local </w:t>
      </w:r>
      <w:r w:rsidR="00703F49" w:rsidRPr="00547151">
        <w:rPr>
          <w:rStyle w:val="normaltextrun"/>
          <w:color w:val="0A0A0A"/>
          <w:lang w:val="en-GB"/>
        </w:rPr>
        <w:t>development of tech</w:t>
      </w:r>
      <w:r w:rsidR="00D63477" w:rsidRPr="00547151">
        <w:rPr>
          <w:rStyle w:val="normaltextrun"/>
          <w:color w:val="0A0A0A"/>
          <w:lang w:val="en-GB"/>
        </w:rPr>
        <w:t>nical</w:t>
      </w:r>
      <w:r w:rsidR="00703F49" w:rsidRPr="00547151">
        <w:rPr>
          <w:rStyle w:val="normaltextrun"/>
          <w:color w:val="0A0A0A"/>
          <w:lang w:val="en-GB"/>
        </w:rPr>
        <w:t xml:space="preserve"> </w:t>
      </w:r>
      <w:r w:rsidRPr="00547151">
        <w:rPr>
          <w:rStyle w:val="normaltextrun"/>
          <w:color w:val="0A0A0A"/>
          <w:lang w:val="en-GB"/>
        </w:rPr>
        <w:t>capacit</w:t>
      </w:r>
      <w:r w:rsidR="00703F49" w:rsidRPr="00547151">
        <w:rPr>
          <w:rStyle w:val="normaltextrun"/>
          <w:color w:val="0A0A0A"/>
          <w:lang w:val="en-GB"/>
        </w:rPr>
        <w:t>y</w:t>
      </w:r>
      <w:r w:rsidRPr="00547151">
        <w:rPr>
          <w:rStyle w:val="normaltextrun"/>
          <w:color w:val="0A0A0A"/>
          <w:lang w:val="en-GB"/>
        </w:rPr>
        <w:t>.</w:t>
      </w:r>
      <w:r w:rsidR="00D63477" w:rsidRPr="00547151">
        <w:rPr>
          <w:rStyle w:val="eop"/>
          <w:color w:val="0A0A0A"/>
          <w:lang w:val="en-GB"/>
        </w:rPr>
        <w:t xml:space="preserve"> </w:t>
      </w:r>
      <w:r w:rsidR="00D63477" w:rsidRPr="00547151">
        <w:rPr>
          <w:rStyle w:val="normaltextrun"/>
          <w:color w:val="0A0A0A"/>
          <w:lang w:val="en-GB"/>
        </w:rPr>
        <w:t>Over</w:t>
      </w:r>
      <w:r w:rsidRPr="00547151">
        <w:rPr>
          <w:rStyle w:val="normaltextrun"/>
          <w:color w:val="0A0A0A"/>
          <w:lang w:val="en-GB"/>
        </w:rPr>
        <w:t xml:space="preserve"> the </w:t>
      </w:r>
      <w:r w:rsidR="00D63477" w:rsidRPr="00547151">
        <w:rPr>
          <w:rStyle w:val="normaltextrun"/>
          <w:color w:val="0A0A0A"/>
          <w:lang w:val="en-GB"/>
        </w:rPr>
        <w:t>p</w:t>
      </w:r>
      <w:r w:rsidRPr="00547151">
        <w:rPr>
          <w:rStyle w:val="normaltextrun"/>
          <w:color w:val="0A0A0A"/>
          <w:lang w:val="en-GB"/>
        </w:rPr>
        <w:t xml:space="preserve">ast </w:t>
      </w:r>
      <w:r w:rsidR="00CF7519" w:rsidRPr="00547151">
        <w:rPr>
          <w:rStyle w:val="normaltextrun"/>
          <w:color w:val="0A0A0A"/>
          <w:lang w:val="en-GB"/>
        </w:rPr>
        <w:t>decade</w:t>
      </w:r>
      <w:r w:rsidRPr="00547151">
        <w:rPr>
          <w:rStyle w:val="normaltextrun"/>
          <w:color w:val="0A0A0A"/>
          <w:lang w:val="en-GB"/>
        </w:rPr>
        <w:t xml:space="preserve">, Kenya has seen more </w:t>
      </w:r>
      <w:r w:rsidR="00CF7519" w:rsidRPr="00547151">
        <w:rPr>
          <w:rStyle w:val="normaltextrun"/>
          <w:color w:val="0A0A0A"/>
          <w:lang w:val="en-GB"/>
        </w:rPr>
        <w:t xml:space="preserve">start-ups and </w:t>
      </w:r>
      <w:r w:rsidRPr="00547151">
        <w:rPr>
          <w:rStyle w:val="normaltextrun"/>
          <w:color w:val="0A0A0A"/>
          <w:lang w:val="en-GB"/>
        </w:rPr>
        <w:t>businesses registered</w:t>
      </w:r>
      <w:r w:rsidR="00D63477" w:rsidRPr="00547151">
        <w:rPr>
          <w:rStyle w:val="normaltextrun"/>
          <w:color w:val="0A0A0A"/>
          <w:lang w:val="en-GB"/>
        </w:rPr>
        <w:t>,</w:t>
      </w:r>
      <w:r w:rsidR="00290CF1" w:rsidRPr="00547151">
        <w:rPr>
          <w:rStyle w:val="normaltextrun"/>
          <w:color w:val="0A0A0A"/>
          <w:lang w:val="en-GB"/>
        </w:rPr>
        <w:t xml:space="preserve"> </w:t>
      </w:r>
      <w:r w:rsidR="00151445" w:rsidRPr="00547151">
        <w:rPr>
          <w:rStyle w:val="normaltextrun"/>
          <w:color w:val="0A0A0A"/>
          <w:lang w:val="en-GB"/>
        </w:rPr>
        <w:t>due to strong demand for innovative products and services. I</w:t>
      </w:r>
      <w:r w:rsidR="00CF7519" w:rsidRPr="00547151">
        <w:rPr>
          <w:rStyle w:val="normaltextrun"/>
          <w:color w:val="0A0A0A"/>
          <w:lang w:val="en-GB"/>
        </w:rPr>
        <w:t xml:space="preserve">n </w:t>
      </w:r>
      <w:r w:rsidRPr="00547151">
        <w:rPr>
          <w:rStyle w:val="normaltextrun"/>
          <w:color w:val="0A0A0A"/>
          <w:lang w:val="en-GB"/>
        </w:rPr>
        <w:t xml:space="preserve">2021, </w:t>
      </w:r>
      <w:r w:rsidR="003F5C6C" w:rsidRPr="00547151">
        <w:rPr>
          <w:rStyle w:val="normaltextrun"/>
          <w:color w:val="0A0A0A"/>
          <w:lang w:val="en-GB"/>
        </w:rPr>
        <w:t xml:space="preserve">despite the ongoing pandemic, </w:t>
      </w:r>
      <w:r w:rsidR="00CF7519" w:rsidRPr="00547151">
        <w:rPr>
          <w:rStyle w:val="normaltextrun"/>
          <w:color w:val="0A0A0A"/>
          <w:lang w:val="en-GB"/>
        </w:rPr>
        <w:t xml:space="preserve">an increase of </w:t>
      </w:r>
      <w:r w:rsidRPr="00547151">
        <w:rPr>
          <w:rStyle w:val="normaltextrun"/>
          <w:color w:val="0A0A0A"/>
          <w:lang w:val="en-GB"/>
        </w:rPr>
        <w:t>38.7</w:t>
      </w:r>
      <w:r w:rsidR="00BE2B75" w:rsidRPr="00547151">
        <w:rPr>
          <w:rStyle w:val="normaltextrun"/>
          <w:color w:val="0A0A0A"/>
          <w:lang w:val="en-GB"/>
        </w:rPr>
        <w:t xml:space="preserve"> per cent</w:t>
      </w:r>
      <w:r w:rsidR="00290CF1" w:rsidRPr="00547151">
        <w:rPr>
          <w:rStyle w:val="normaltextrun"/>
          <w:color w:val="0A0A0A"/>
          <w:lang w:val="en-GB"/>
        </w:rPr>
        <w:t xml:space="preserve"> </w:t>
      </w:r>
      <w:r w:rsidR="00151445" w:rsidRPr="00547151">
        <w:rPr>
          <w:rStyle w:val="normaltextrun"/>
          <w:color w:val="0A0A0A"/>
          <w:lang w:val="en-GB"/>
        </w:rPr>
        <w:t>was recorded</w:t>
      </w:r>
      <w:r w:rsidR="00EB6E56" w:rsidRPr="00547151">
        <w:rPr>
          <w:rStyle w:val="normaltextrun"/>
          <w:color w:val="0A0A0A"/>
          <w:lang w:val="en-GB"/>
        </w:rPr>
        <w:t>.</w:t>
      </w:r>
      <w:r w:rsidR="00027234" w:rsidRPr="00547151">
        <w:rPr>
          <w:rStyle w:val="FootnoteReference"/>
          <w:color w:val="0A0A0A"/>
          <w:lang w:val="en-GB"/>
        </w:rPr>
        <w:footnoteReference w:id="5"/>
      </w:r>
      <w:r w:rsidRPr="00547151">
        <w:rPr>
          <w:rStyle w:val="normaltextrun"/>
          <w:color w:val="0A0A0A"/>
          <w:lang w:val="en-GB"/>
        </w:rPr>
        <w:t xml:space="preserve"> </w:t>
      </w:r>
    </w:p>
    <w:p w14:paraId="34F37631" w14:textId="50600AC3" w:rsidR="00D63477" w:rsidRPr="00547151" w:rsidRDefault="004F1F69" w:rsidP="00D63477">
      <w:pPr>
        <w:pStyle w:val="ListParagraph"/>
        <w:numPr>
          <w:ilvl w:val="0"/>
          <w:numId w:val="8"/>
        </w:numPr>
        <w:tabs>
          <w:tab w:val="left" w:pos="1170"/>
        </w:tabs>
        <w:spacing w:after="120" w:line="240" w:lineRule="exact"/>
        <w:ind w:left="810" w:right="720" w:firstLine="0"/>
        <w:jc w:val="both"/>
        <w:rPr>
          <w:rStyle w:val="normaltextrun"/>
          <w:color w:val="0A0A0A"/>
          <w:lang w:val="en-GB"/>
        </w:rPr>
      </w:pPr>
      <w:r w:rsidRPr="00547151">
        <w:rPr>
          <w:rStyle w:val="normaltextrun"/>
          <w:color w:val="0A0A0A"/>
          <w:lang w:val="en-GB"/>
        </w:rPr>
        <w:t>Micro</w:t>
      </w:r>
      <w:r w:rsidR="00BC0A69" w:rsidRPr="00547151">
        <w:rPr>
          <w:rStyle w:val="normaltextrun"/>
          <w:color w:val="0A0A0A"/>
          <w:lang w:val="en-GB"/>
        </w:rPr>
        <w:t>, small and medium</w:t>
      </w:r>
      <w:r w:rsidR="003F5C6C" w:rsidRPr="00547151">
        <w:rPr>
          <w:rStyle w:val="normaltextrun"/>
          <w:color w:val="0A0A0A"/>
          <w:lang w:val="en-GB"/>
        </w:rPr>
        <w:t>-sized</w:t>
      </w:r>
      <w:r w:rsidR="00BC0A69" w:rsidRPr="00547151">
        <w:rPr>
          <w:rStyle w:val="normaltextrun"/>
          <w:color w:val="0A0A0A"/>
          <w:lang w:val="en-GB"/>
        </w:rPr>
        <w:t xml:space="preserve"> enterprises </w:t>
      </w:r>
      <w:r w:rsidR="006268F7" w:rsidRPr="00547151">
        <w:rPr>
          <w:rStyle w:val="normaltextrun"/>
          <w:color w:val="0A0A0A"/>
          <w:lang w:val="en-GB"/>
        </w:rPr>
        <w:t xml:space="preserve">play a critical role in economic development and employment creation. </w:t>
      </w:r>
      <w:r w:rsidR="00B90AF1" w:rsidRPr="00547151">
        <w:rPr>
          <w:rStyle w:val="normaltextrun"/>
          <w:color w:val="0A0A0A"/>
          <w:lang w:val="en-GB"/>
        </w:rPr>
        <w:t>Over</w:t>
      </w:r>
      <w:r w:rsidR="006268F7" w:rsidRPr="00547151">
        <w:rPr>
          <w:rStyle w:val="normaltextrun"/>
          <w:color w:val="0A0A0A"/>
          <w:lang w:val="en-GB"/>
        </w:rPr>
        <w:t xml:space="preserve"> 7.4 million </w:t>
      </w:r>
      <w:r w:rsidR="00D63477" w:rsidRPr="00547151">
        <w:rPr>
          <w:rStyle w:val="normaltextrun"/>
          <w:color w:val="0A0A0A"/>
          <w:lang w:val="en-GB"/>
        </w:rPr>
        <w:t>of them</w:t>
      </w:r>
      <w:r w:rsidR="006268F7" w:rsidRPr="00547151">
        <w:rPr>
          <w:rStyle w:val="normaltextrun"/>
          <w:color w:val="0A0A0A"/>
          <w:lang w:val="en-GB"/>
        </w:rPr>
        <w:t xml:space="preserve"> emplo</w:t>
      </w:r>
      <w:r w:rsidR="00D63477" w:rsidRPr="00547151">
        <w:rPr>
          <w:rStyle w:val="normaltextrun"/>
          <w:color w:val="0A0A0A"/>
          <w:lang w:val="en-GB"/>
        </w:rPr>
        <w:t>y</w:t>
      </w:r>
      <w:r w:rsidR="006268F7" w:rsidRPr="00547151">
        <w:rPr>
          <w:rStyle w:val="normaltextrun"/>
          <w:color w:val="0A0A0A"/>
          <w:lang w:val="en-GB"/>
        </w:rPr>
        <w:t xml:space="preserve"> approximately 14.9 million </w:t>
      </w:r>
      <w:r w:rsidR="00B968D7" w:rsidRPr="00547151">
        <w:rPr>
          <w:rStyle w:val="normaltextrun"/>
          <w:color w:val="0A0A0A"/>
          <w:lang w:val="en-GB"/>
        </w:rPr>
        <w:t>Kenyans</w:t>
      </w:r>
      <w:r w:rsidR="00D63477" w:rsidRPr="00547151">
        <w:rPr>
          <w:rStyle w:val="normaltextrun"/>
          <w:color w:val="0A0A0A"/>
          <w:lang w:val="en-GB"/>
        </w:rPr>
        <w:t>,</w:t>
      </w:r>
      <w:r w:rsidR="00B968D7" w:rsidRPr="00547151">
        <w:rPr>
          <w:rStyle w:val="normaltextrun"/>
          <w:color w:val="0A0A0A"/>
          <w:lang w:val="en-GB"/>
        </w:rPr>
        <w:t xml:space="preserve"> contributing</w:t>
      </w:r>
      <w:r w:rsidR="00077BBC" w:rsidRPr="00547151">
        <w:rPr>
          <w:rStyle w:val="normaltextrun"/>
          <w:color w:val="0A0A0A"/>
          <w:lang w:val="en-GB"/>
        </w:rPr>
        <w:t xml:space="preserve"> </w:t>
      </w:r>
      <w:r w:rsidR="006268F7" w:rsidRPr="00547151">
        <w:rPr>
          <w:rStyle w:val="normaltextrun"/>
          <w:color w:val="0A0A0A"/>
          <w:lang w:val="en-GB"/>
        </w:rPr>
        <w:t>approximately 40</w:t>
      </w:r>
      <w:r w:rsidR="00BE2B75" w:rsidRPr="00547151">
        <w:rPr>
          <w:rStyle w:val="normaltextrun"/>
          <w:color w:val="0A0A0A"/>
          <w:lang w:val="en-GB"/>
        </w:rPr>
        <w:t xml:space="preserve"> per cent</w:t>
      </w:r>
      <w:r w:rsidR="006268F7" w:rsidRPr="00547151">
        <w:rPr>
          <w:rStyle w:val="normaltextrun"/>
          <w:color w:val="0A0A0A"/>
          <w:lang w:val="en-GB"/>
        </w:rPr>
        <w:t xml:space="preserve"> of GDP</w:t>
      </w:r>
      <w:r w:rsidR="00B90AF1" w:rsidRPr="00547151">
        <w:rPr>
          <w:rStyle w:val="normaltextrun"/>
          <w:color w:val="0A0A0A"/>
          <w:lang w:val="en-GB"/>
        </w:rPr>
        <w:t xml:space="preserve"> </w:t>
      </w:r>
      <w:r w:rsidR="00D63477" w:rsidRPr="00547151">
        <w:rPr>
          <w:rStyle w:val="normaltextrun"/>
          <w:color w:val="0A0A0A"/>
          <w:lang w:val="en-GB"/>
        </w:rPr>
        <w:t xml:space="preserve">and </w:t>
      </w:r>
      <w:r w:rsidR="00B90AF1" w:rsidRPr="00547151">
        <w:rPr>
          <w:rStyle w:val="normaltextrun"/>
          <w:color w:val="0A0A0A"/>
          <w:lang w:val="en-GB"/>
        </w:rPr>
        <w:t xml:space="preserve">providing </w:t>
      </w:r>
      <w:r w:rsidR="006268F7" w:rsidRPr="00547151">
        <w:rPr>
          <w:rStyle w:val="normaltextrun"/>
          <w:color w:val="0A0A0A"/>
          <w:lang w:val="en-GB"/>
        </w:rPr>
        <w:t>a</w:t>
      </w:r>
      <w:r w:rsidR="00D63477" w:rsidRPr="00547151">
        <w:rPr>
          <w:rStyle w:val="normaltextrun"/>
          <w:color w:val="0A0A0A"/>
          <w:lang w:val="en-GB"/>
        </w:rPr>
        <w:t>n</w:t>
      </w:r>
      <w:r w:rsidR="006268F7" w:rsidRPr="00547151">
        <w:rPr>
          <w:rStyle w:val="normaltextrun"/>
          <w:color w:val="0A0A0A"/>
          <w:lang w:val="en-GB"/>
        </w:rPr>
        <w:t xml:space="preserve"> engine </w:t>
      </w:r>
      <w:r w:rsidR="002A7266" w:rsidRPr="00547151">
        <w:rPr>
          <w:rStyle w:val="normaltextrun"/>
          <w:color w:val="0A0A0A"/>
          <w:lang w:val="en-GB"/>
        </w:rPr>
        <w:t xml:space="preserve">for </w:t>
      </w:r>
      <w:r w:rsidR="006268F7" w:rsidRPr="00547151">
        <w:rPr>
          <w:rStyle w:val="normaltextrun"/>
          <w:color w:val="0A0A0A"/>
          <w:lang w:val="en-GB"/>
        </w:rPr>
        <w:t>inclusive economic growth</w:t>
      </w:r>
      <w:r w:rsidR="00142ADC" w:rsidRPr="00547151">
        <w:rPr>
          <w:rStyle w:val="normaltextrun"/>
          <w:color w:val="0A0A0A"/>
          <w:lang w:val="en-GB"/>
        </w:rPr>
        <w:t xml:space="preserve">. However, </w:t>
      </w:r>
      <w:r w:rsidR="00D63477" w:rsidRPr="00547151">
        <w:rPr>
          <w:rStyle w:val="normaltextrun"/>
          <w:color w:val="0A0A0A"/>
          <w:lang w:val="en-GB"/>
        </w:rPr>
        <w:t xml:space="preserve">they </w:t>
      </w:r>
      <w:r w:rsidR="006268F7" w:rsidRPr="00547151">
        <w:rPr>
          <w:rStyle w:val="normaltextrun"/>
          <w:color w:val="0A0A0A"/>
          <w:lang w:val="en-GB"/>
        </w:rPr>
        <w:t xml:space="preserve">remain largely informal and </w:t>
      </w:r>
      <w:r w:rsidR="00CD080F" w:rsidRPr="00547151">
        <w:rPr>
          <w:rStyle w:val="normaltextrun"/>
          <w:color w:val="0A0A0A"/>
          <w:lang w:val="en-GB"/>
        </w:rPr>
        <w:t>vulnerable to economic and climate shocks</w:t>
      </w:r>
      <w:r w:rsidR="00D63477" w:rsidRPr="00547151">
        <w:rPr>
          <w:rStyle w:val="normaltextrun"/>
          <w:color w:val="0A0A0A"/>
          <w:lang w:val="en-GB"/>
        </w:rPr>
        <w:t>,</w:t>
      </w:r>
      <w:r w:rsidR="00CD080F" w:rsidRPr="00547151">
        <w:rPr>
          <w:rStyle w:val="normaltextrun"/>
          <w:color w:val="0A0A0A"/>
          <w:lang w:val="en-GB"/>
        </w:rPr>
        <w:t xml:space="preserve"> </w:t>
      </w:r>
      <w:r w:rsidR="00D44FD7" w:rsidRPr="00547151">
        <w:rPr>
          <w:rStyle w:val="normaltextrun"/>
          <w:color w:val="0A0A0A"/>
          <w:lang w:val="en-GB"/>
        </w:rPr>
        <w:t>lacking</w:t>
      </w:r>
      <w:r w:rsidR="00E51AE8" w:rsidRPr="00547151">
        <w:rPr>
          <w:rStyle w:val="normaltextrun"/>
          <w:color w:val="0A0A0A"/>
          <w:lang w:val="en-GB"/>
        </w:rPr>
        <w:t xml:space="preserve"> access </w:t>
      </w:r>
      <w:r w:rsidR="00AB4FCD" w:rsidRPr="00547151">
        <w:rPr>
          <w:rStyle w:val="normaltextrun"/>
          <w:color w:val="0A0A0A"/>
          <w:lang w:val="en-GB"/>
        </w:rPr>
        <w:t xml:space="preserve">to </w:t>
      </w:r>
      <w:r w:rsidR="00D44FD7" w:rsidRPr="00547151">
        <w:rPr>
          <w:rStyle w:val="normaltextrun"/>
          <w:color w:val="0A0A0A"/>
          <w:lang w:val="en-GB"/>
        </w:rPr>
        <w:t xml:space="preserve">the </w:t>
      </w:r>
      <w:r w:rsidR="006268F7" w:rsidRPr="00547151">
        <w:rPr>
          <w:rStyle w:val="normaltextrun"/>
          <w:color w:val="0A0A0A"/>
          <w:lang w:val="en-GB"/>
        </w:rPr>
        <w:t xml:space="preserve">economic and financial opportunities </w:t>
      </w:r>
      <w:r w:rsidR="00E51AE8" w:rsidRPr="00547151">
        <w:rPr>
          <w:rStyle w:val="normaltextrun"/>
          <w:color w:val="0A0A0A"/>
          <w:lang w:val="en-GB"/>
        </w:rPr>
        <w:t xml:space="preserve">associated with </w:t>
      </w:r>
      <w:r w:rsidR="006268F7" w:rsidRPr="00547151">
        <w:rPr>
          <w:rStyle w:val="normaltextrun"/>
          <w:color w:val="0A0A0A"/>
          <w:lang w:val="en-GB"/>
        </w:rPr>
        <w:t xml:space="preserve">formalization. </w:t>
      </w:r>
    </w:p>
    <w:p w14:paraId="31F6FEFA" w14:textId="321803F7" w:rsidR="00EE1062" w:rsidRPr="00547151" w:rsidRDefault="006268F7" w:rsidP="00143015">
      <w:pPr>
        <w:pStyle w:val="ListParagraph"/>
        <w:numPr>
          <w:ilvl w:val="0"/>
          <w:numId w:val="8"/>
        </w:numPr>
        <w:tabs>
          <w:tab w:val="left" w:pos="1170"/>
        </w:tabs>
        <w:spacing w:after="120" w:line="240" w:lineRule="exact"/>
        <w:ind w:left="810" w:right="720" w:firstLine="0"/>
        <w:jc w:val="both"/>
        <w:rPr>
          <w:lang w:val="en-GB"/>
        </w:rPr>
      </w:pPr>
      <w:bookmarkStart w:id="0" w:name="_Hlk96779457"/>
      <w:r w:rsidRPr="00547151">
        <w:rPr>
          <w:iCs/>
          <w:lang w:val="en-GB"/>
        </w:rPr>
        <w:t>The 2020 Human Development Index was 0.601</w:t>
      </w:r>
      <w:r w:rsidR="00D44FD7" w:rsidRPr="00547151">
        <w:rPr>
          <w:iCs/>
          <w:lang w:val="en-GB"/>
        </w:rPr>
        <w:t>,</w:t>
      </w:r>
      <w:r w:rsidRPr="00547151">
        <w:rPr>
          <w:iCs/>
          <w:lang w:val="en-GB"/>
        </w:rPr>
        <w:t xml:space="preserve"> putting Kenya in the</w:t>
      </w:r>
      <w:r w:rsidR="00262133" w:rsidRPr="00547151">
        <w:rPr>
          <w:iCs/>
          <w:lang w:val="en-GB"/>
        </w:rPr>
        <w:t xml:space="preserve"> </w:t>
      </w:r>
      <w:r w:rsidRPr="00547151">
        <w:rPr>
          <w:iCs/>
          <w:lang w:val="en-GB"/>
        </w:rPr>
        <w:t>medium human development category</w:t>
      </w:r>
      <w:r w:rsidR="00564E8E" w:rsidRPr="00547151">
        <w:rPr>
          <w:iCs/>
          <w:lang w:val="en-GB"/>
        </w:rPr>
        <w:t>,</w:t>
      </w:r>
      <w:r w:rsidRPr="00547151">
        <w:rPr>
          <w:iCs/>
          <w:lang w:val="en-GB"/>
        </w:rPr>
        <w:t xml:space="preserve"> ranking 143</w:t>
      </w:r>
      <w:r w:rsidR="00564E8E" w:rsidRPr="009E6278">
        <w:rPr>
          <w:iCs/>
          <w:vertAlign w:val="superscript"/>
          <w:lang w:val="en-GB"/>
        </w:rPr>
        <w:t>rd</w:t>
      </w:r>
      <w:r w:rsidRPr="00547151">
        <w:rPr>
          <w:iCs/>
          <w:lang w:val="en-GB"/>
        </w:rPr>
        <w:t xml:space="preserve"> out of 189 countries. </w:t>
      </w:r>
      <w:r w:rsidR="00CB6F07" w:rsidRPr="00547151">
        <w:rPr>
          <w:iCs/>
          <w:lang w:val="en-GB"/>
        </w:rPr>
        <w:t>Whil</w:t>
      </w:r>
      <w:r w:rsidR="00564E8E" w:rsidRPr="00547151">
        <w:rPr>
          <w:iCs/>
          <w:lang w:val="en-GB"/>
        </w:rPr>
        <w:t>e</w:t>
      </w:r>
      <w:r w:rsidR="00CB6F07" w:rsidRPr="00547151">
        <w:rPr>
          <w:iCs/>
          <w:lang w:val="en-GB"/>
        </w:rPr>
        <w:t xml:space="preserve"> </w:t>
      </w:r>
      <w:r w:rsidRPr="009E6278">
        <w:rPr>
          <w:lang w:val="en-GB"/>
        </w:rPr>
        <w:t xml:space="preserve">Kenya </w:t>
      </w:r>
      <w:r w:rsidR="00863D15" w:rsidRPr="009E6278">
        <w:rPr>
          <w:lang w:val="en-GB"/>
        </w:rPr>
        <w:t>h</w:t>
      </w:r>
      <w:r w:rsidR="00CB6F07" w:rsidRPr="00547151">
        <w:rPr>
          <w:lang w:val="en-GB"/>
        </w:rPr>
        <w:t xml:space="preserve">as been more successful in boosting shared prosperity than its regional peers, it </w:t>
      </w:r>
      <w:r w:rsidRPr="009E6278">
        <w:rPr>
          <w:lang w:val="en-GB"/>
        </w:rPr>
        <w:t xml:space="preserve">continues to suffer from inequality of opportunity, with rural populations in the poorest counties </w:t>
      </w:r>
      <w:r w:rsidR="00CB6F07" w:rsidRPr="009E6278">
        <w:rPr>
          <w:lang w:val="en-GB"/>
        </w:rPr>
        <w:t>lagging behind in</w:t>
      </w:r>
      <w:r w:rsidRPr="009E6278">
        <w:rPr>
          <w:lang w:val="en-GB"/>
        </w:rPr>
        <w:t xml:space="preserve"> development.</w:t>
      </w:r>
      <w:r w:rsidRPr="009E6278">
        <w:rPr>
          <w:rStyle w:val="FootnoteReference"/>
          <w:lang w:val="en-GB"/>
        </w:rPr>
        <w:footnoteReference w:id="6"/>
      </w:r>
      <w:r w:rsidRPr="009E6278">
        <w:rPr>
          <w:lang w:val="en-GB"/>
        </w:rPr>
        <w:t xml:space="preserve"> </w:t>
      </w:r>
      <w:r w:rsidR="00564E8E" w:rsidRPr="00547151">
        <w:rPr>
          <w:lang w:val="en-GB"/>
        </w:rPr>
        <w:t xml:space="preserve">Its </w:t>
      </w:r>
      <w:r w:rsidRPr="00547151">
        <w:rPr>
          <w:lang w:val="en-GB"/>
        </w:rPr>
        <w:t xml:space="preserve">Gini index </w:t>
      </w:r>
      <w:r w:rsidR="00CB6F07" w:rsidRPr="00547151">
        <w:rPr>
          <w:lang w:val="en-GB"/>
        </w:rPr>
        <w:t xml:space="preserve">improved </w:t>
      </w:r>
      <w:r w:rsidRPr="00547151">
        <w:rPr>
          <w:lang w:val="en-GB"/>
        </w:rPr>
        <w:t>from 0.45 in 2005</w:t>
      </w:r>
      <w:r w:rsidR="00564E8E" w:rsidRPr="00547151">
        <w:rPr>
          <w:lang w:val="en-GB"/>
        </w:rPr>
        <w:t>-20</w:t>
      </w:r>
      <w:r w:rsidRPr="00547151">
        <w:rPr>
          <w:lang w:val="en-GB"/>
        </w:rPr>
        <w:t>06 to 0.39 in 2015</w:t>
      </w:r>
      <w:r w:rsidR="00564E8E" w:rsidRPr="00547151">
        <w:rPr>
          <w:lang w:val="en-GB"/>
        </w:rPr>
        <w:t>-20</w:t>
      </w:r>
      <w:r w:rsidRPr="00547151">
        <w:rPr>
          <w:lang w:val="en-GB"/>
        </w:rPr>
        <w:t>16</w:t>
      </w:r>
      <w:r w:rsidR="00290CF1" w:rsidRPr="00547151">
        <w:rPr>
          <w:lang w:val="en-GB"/>
        </w:rPr>
        <w:t>.</w:t>
      </w:r>
      <w:r w:rsidRPr="00547151">
        <w:rPr>
          <w:rStyle w:val="FootnoteReference"/>
          <w:lang w:val="en-GB"/>
        </w:rPr>
        <w:footnoteReference w:id="7"/>
      </w:r>
      <w:r w:rsidRPr="00547151">
        <w:rPr>
          <w:lang w:val="en-GB"/>
        </w:rPr>
        <w:t xml:space="preserve"> </w:t>
      </w:r>
      <w:r w:rsidRPr="009E6278">
        <w:rPr>
          <w:lang w:val="en-GB"/>
        </w:rPr>
        <w:t xml:space="preserve">Multidimensional poverty </w:t>
      </w:r>
      <w:r w:rsidR="00564E8E" w:rsidRPr="009E6278">
        <w:rPr>
          <w:lang w:val="en-GB"/>
        </w:rPr>
        <w:t xml:space="preserve">diminishes </w:t>
      </w:r>
      <w:r w:rsidR="005013D8" w:rsidRPr="009E6278">
        <w:rPr>
          <w:lang w:val="en-GB"/>
        </w:rPr>
        <w:t>with age</w:t>
      </w:r>
      <w:r w:rsidR="00564E8E" w:rsidRPr="009E6278">
        <w:rPr>
          <w:lang w:val="en-GB"/>
        </w:rPr>
        <w:t>;</w:t>
      </w:r>
      <w:r w:rsidR="005013D8" w:rsidRPr="009E6278">
        <w:rPr>
          <w:lang w:val="en-GB"/>
        </w:rPr>
        <w:t xml:space="preserve"> youth and children </w:t>
      </w:r>
      <w:r w:rsidR="00564E8E" w:rsidRPr="009E6278">
        <w:rPr>
          <w:lang w:val="en-GB"/>
        </w:rPr>
        <w:t xml:space="preserve">are </w:t>
      </w:r>
      <w:r w:rsidR="002A0FE1" w:rsidRPr="009E6278">
        <w:rPr>
          <w:lang w:val="en-GB"/>
        </w:rPr>
        <w:t xml:space="preserve">the most affected, </w:t>
      </w:r>
      <w:r w:rsidR="005013D8" w:rsidRPr="009E6278">
        <w:rPr>
          <w:lang w:val="en-GB"/>
        </w:rPr>
        <w:t>accounting for 73</w:t>
      </w:r>
      <w:r w:rsidR="00BE2B75" w:rsidRPr="009E6278">
        <w:rPr>
          <w:lang w:val="en-GB"/>
        </w:rPr>
        <w:t xml:space="preserve"> per cent</w:t>
      </w:r>
      <w:r w:rsidR="005013D8" w:rsidRPr="009E6278">
        <w:rPr>
          <w:lang w:val="en-GB"/>
        </w:rPr>
        <w:t xml:space="preserve"> of the poor</w:t>
      </w:r>
      <w:r w:rsidR="00D44FD7" w:rsidRPr="009E6278">
        <w:rPr>
          <w:lang w:val="en-GB"/>
        </w:rPr>
        <w:t>.</w:t>
      </w:r>
      <w:r w:rsidRPr="009E6278">
        <w:rPr>
          <w:rStyle w:val="FootnoteReference"/>
          <w:lang w:val="en-GB"/>
        </w:rPr>
        <w:footnoteReference w:id="8"/>
      </w:r>
      <w:r w:rsidR="002A0FE1" w:rsidRPr="009E6278">
        <w:rPr>
          <w:lang w:val="en-GB"/>
        </w:rPr>
        <w:t xml:space="preserve"> </w:t>
      </w:r>
    </w:p>
    <w:bookmarkEnd w:id="0"/>
    <w:p w14:paraId="31F6F227" w14:textId="04899CD5" w:rsidR="006268F7" w:rsidRPr="00547151" w:rsidRDefault="00234E84" w:rsidP="00143015">
      <w:pPr>
        <w:pStyle w:val="ListParagraph"/>
        <w:numPr>
          <w:ilvl w:val="0"/>
          <w:numId w:val="8"/>
        </w:numPr>
        <w:tabs>
          <w:tab w:val="left" w:pos="1170"/>
        </w:tabs>
        <w:spacing w:after="120" w:line="240" w:lineRule="exact"/>
        <w:ind w:left="810" w:right="720" w:firstLine="0"/>
        <w:jc w:val="both"/>
        <w:rPr>
          <w:iCs/>
          <w:lang w:val="en-GB"/>
        </w:rPr>
      </w:pPr>
      <w:r w:rsidRPr="00547151">
        <w:rPr>
          <w:lang w:val="en-GB"/>
        </w:rPr>
        <w:t>I</w:t>
      </w:r>
      <w:r w:rsidR="00F42F2C" w:rsidRPr="00547151">
        <w:rPr>
          <w:lang w:val="en-GB"/>
        </w:rPr>
        <w:t xml:space="preserve">mplementation of a fully democratic political system under </w:t>
      </w:r>
      <w:r w:rsidRPr="00547151">
        <w:rPr>
          <w:lang w:val="en-GB"/>
        </w:rPr>
        <w:t xml:space="preserve">a </w:t>
      </w:r>
      <w:r w:rsidR="00F42F2C" w:rsidRPr="00547151">
        <w:rPr>
          <w:lang w:val="en-GB"/>
        </w:rPr>
        <w:t xml:space="preserve">transformative </w:t>
      </w:r>
      <w:r w:rsidRPr="00547151">
        <w:rPr>
          <w:lang w:val="en-GB"/>
        </w:rPr>
        <w:t>c</w:t>
      </w:r>
      <w:r w:rsidR="00F42F2C" w:rsidRPr="00547151">
        <w:rPr>
          <w:lang w:val="en-GB"/>
        </w:rPr>
        <w:t>onstitution is well under</w:t>
      </w:r>
      <w:r w:rsidRPr="00547151">
        <w:rPr>
          <w:lang w:val="en-GB"/>
        </w:rPr>
        <w:t xml:space="preserve"> </w:t>
      </w:r>
      <w:r w:rsidR="00F42F2C" w:rsidRPr="00547151">
        <w:rPr>
          <w:lang w:val="en-GB"/>
        </w:rPr>
        <w:t>way, but challenges of peace and security remain</w:t>
      </w:r>
      <w:r w:rsidRPr="00547151">
        <w:rPr>
          <w:lang w:val="en-GB"/>
        </w:rPr>
        <w:t>,</w:t>
      </w:r>
      <w:r w:rsidR="00F42F2C" w:rsidRPr="00547151">
        <w:rPr>
          <w:lang w:val="en-GB"/>
        </w:rPr>
        <w:t xml:space="preserve"> </w:t>
      </w:r>
      <w:r w:rsidR="00761F74" w:rsidRPr="00547151">
        <w:rPr>
          <w:lang w:val="en-GB"/>
        </w:rPr>
        <w:t>with implications for sustainable development. R</w:t>
      </w:r>
      <w:r w:rsidR="00C85C7A" w:rsidRPr="00547151">
        <w:rPr>
          <w:lang w:val="en-GB"/>
        </w:rPr>
        <w:t>egional instability,</w:t>
      </w:r>
      <w:r w:rsidR="006268F7" w:rsidRPr="00547151">
        <w:rPr>
          <w:lang w:val="en-GB"/>
        </w:rPr>
        <w:t xml:space="preserve"> violent extremism, conflicts over </w:t>
      </w:r>
      <w:r w:rsidR="00CD6174" w:rsidRPr="00547151">
        <w:rPr>
          <w:lang w:val="en-GB"/>
        </w:rPr>
        <w:t>natural resources</w:t>
      </w:r>
      <w:r w:rsidR="00761F74" w:rsidRPr="00547151">
        <w:rPr>
          <w:lang w:val="en-GB"/>
        </w:rPr>
        <w:t>, ethnic polarization, corruption and social discrimination are outlined as key drivers that tend to be aggravated during election years.</w:t>
      </w:r>
      <w:r w:rsidR="00761F74" w:rsidRPr="00547151">
        <w:rPr>
          <w:rStyle w:val="FootnoteReference"/>
          <w:lang w:val="en-GB"/>
        </w:rPr>
        <w:footnoteReference w:id="9"/>
      </w:r>
      <w:r w:rsidR="00072EE8" w:rsidRPr="009E6278">
        <w:rPr>
          <w:lang w:val="en-GB"/>
        </w:rPr>
        <w:t xml:space="preserve"> </w:t>
      </w:r>
      <w:r w:rsidRPr="00547151">
        <w:rPr>
          <w:lang w:val="en-GB"/>
        </w:rPr>
        <w:t xml:space="preserve">Although </w:t>
      </w:r>
      <w:r w:rsidR="00072EE8" w:rsidRPr="00547151">
        <w:rPr>
          <w:lang w:val="en-GB"/>
        </w:rPr>
        <w:t xml:space="preserve">Kenya </w:t>
      </w:r>
      <w:r w:rsidRPr="00547151">
        <w:rPr>
          <w:lang w:val="en-GB"/>
        </w:rPr>
        <w:t xml:space="preserve">was </w:t>
      </w:r>
      <w:r w:rsidR="00E54E63" w:rsidRPr="00547151">
        <w:rPr>
          <w:lang w:val="en-GB"/>
        </w:rPr>
        <w:t xml:space="preserve">recently </w:t>
      </w:r>
      <w:r w:rsidR="00072EE8" w:rsidRPr="00547151">
        <w:rPr>
          <w:lang w:val="en-GB"/>
        </w:rPr>
        <w:t>classified as a hybrid democracy (irregularities in elections prevent them from being free and fair)</w:t>
      </w:r>
      <w:r w:rsidR="00072EE8" w:rsidRPr="00547151">
        <w:rPr>
          <w:vertAlign w:val="superscript"/>
          <w:lang w:val="en-GB"/>
        </w:rPr>
        <w:footnoteReference w:id="10"/>
      </w:r>
      <w:r w:rsidR="00072EE8" w:rsidRPr="00547151">
        <w:rPr>
          <w:lang w:val="en-GB"/>
        </w:rPr>
        <w:t xml:space="preserve">, the 2020 Mo Ibrahim Index on </w:t>
      </w:r>
      <w:r w:rsidR="00005E6A" w:rsidRPr="00547151">
        <w:rPr>
          <w:lang w:val="en-GB"/>
        </w:rPr>
        <w:t xml:space="preserve">African </w:t>
      </w:r>
      <w:r w:rsidR="00072EE8" w:rsidRPr="00547151">
        <w:rPr>
          <w:lang w:val="en-GB"/>
        </w:rPr>
        <w:t>Governance ranked Kenya 1</w:t>
      </w:r>
      <w:r w:rsidRPr="00547151">
        <w:rPr>
          <w:lang w:val="en-GB"/>
        </w:rPr>
        <w:t>4</w:t>
      </w:r>
      <w:r w:rsidRPr="009E6278">
        <w:rPr>
          <w:vertAlign w:val="superscript"/>
          <w:lang w:val="en-GB"/>
        </w:rPr>
        <w:t>th</w:t>
      </w:r>
      <w:r w:rsidR="00072EE8" w:rsidRPr="00547151">
        <w:rPr>
          <w:lang w:val="en-GB"/>
        </w:rPr>
        <w:t xml:space="preserve"> out of 54</w:t>
      </w:r>
      <w:r w:rsidR="00D44FD7" w:rsidRPr="00547151">
        <w:rPr>
          <w:lang w:val="en-GB"/>
        </w:rPr>
        <w:t xml:space="preserve"> countries</w:t>
      </w:r>
      <w:r w:rsidRPr="00547151">
        <w:rPr>
          <w:lang w:val="en-GB"/>
        </w:rPr>
        <w:t>,</w:t>
      </w:r>
      <w:r w:rsidR="00072EE8" w:rsidRPr="00547151">
        <w:rPr>
          <w:lang w:val="en-GB"/>
        </w:rPr>
        <w:t xml:space="preserve"> with an overall score of 58.5/100</w:t>
      </w:r>
      <w:r w:rsidR="00005E6A" w:rsidRPr="00547151">
        <w:rPr>
          <w:lang w:val="en-GB"/>
        </w:rPr>
        <w:t xml:space="preserve"> and</w:t>
      </w:r>
      <w:r w:rsidR="00072EE8" w:rsidRPr="00547151">
        <w:rPr>
          <w:lang w:val="en-GB"/>
        </w:rPr>
        <w:t xml:space="preserve"> a 3.7-point improvement </w:t>
      </w:r>
      <w:r w:rsidR="00F31ED7" w:rsidRPr="00547151">
        <w:rPr>
          <w:lang w:val="en-GB"/>
        </w:rPr>
        <w:t xml:space="preserve">over </w:t>
      </w:r>
      <w:r w:rsidR="00072EE8" w:rsidRPr="00547151">
        <w:rPr>
          <w:lang w:val="en-GB"/>
        </w:rPr>
        <w:t xml:space="preserve">the 2010-2019 </w:t>
      </w:r>
      <w:r w:rsidR="00F31ED7" w:rsidRPr="00547151">
        <w:rPr>
          <w:lang w:val="en-GB"/>
        </w:rPr>
        <w:t xml:space="preserve">period. </w:t>
      </w:r>
      <w:r w:rsidR="00407D0D" w:rsidRPr="00547151">
        <w:rPr>
          <w:lang w:val="en-GB"/>
        </w:rPr>
        <w:t>Hu</w:t>
      </w:r>
      <w:r w:rsidR="004324F7" w:rsidRPr="00547151">
        <w:rPr>
          <w:lang w:val="en-GB"/>
        </w:rPr>
        <w:t xml:space="preserve">man mobility represents </w:t>
      </w:r>
      <w:r w:rsidRPr="00547151">
        <w:rPr>
          <w:lang w:val="en-GB"/>
        </w:rPr>
        <w:t xml:space="preserve">a </w:t>
      </w:r>
      <w:r w:rsidR="00CD080F" w:rsidRPr="00547151">
        <w:rPr>
          <w:lang w:val="en-GB"/>
        </w:rPr>
        <w:t xml:space="preserve">challenge for peace and security, but also </w:t>
      </w:r>
      <w:r w:rsidR="004324F7" w:rsidRPr="00547151">
        <w:rPr>
          <w:lang w:val="en-GB"/>
        </w:rPr>
        <w:t>opportunit</w:t>
      </w:r>
      <w:r w:rsidR="00407D0D" w:rsidRPr="00547151">
        <w:rPr>
          <w:lang w:val="en-GB"/>
        </w:rPr>
        <w:t>ies for economic growth and connecting societies</w:t>
      </w:r>
      <w:r w:rsidR="004324F7" w:rsidRPr="00547151">
        <w:rPr>
          <w:lang w:val="en-GB"/>
        </w:rPr>
        <w:t>.</w:t>
      </w:r>
      <w:r w:rsidR="0034366B" w:rsidRPr="009E6278">
        <w:rPr>
          <w:rStyle w:val="FootnoteReference"/>
          <w:lang w:val="en-GB"/>
        </w:rPr>
        <w:footnoteReference w:id="11"/>
      </w:r>
      <w:r w:rsidR="0034366B" w:rsidRPr="009E6278">
        <w:rPr>
          <w:lang w:val="en-GB"/>
        </w:rPr>
        <w:t xml:space="preserve"> Kenya </w:t>
      </w:r>
      <w:r w:rsidR="0034366B" w:rsidRPr="009E6278">
        <w:rPr>
          <w:lang w:val="en-GB"/>
        </w:rPr>
        <w:lastRenderedPageBreak/>
        <w:t>host</w:t>
      </w:r>
      <w:r w:rsidR="00F31ED7" w:rsidRPr="009E6278">
        <w:rPr>
          <w:lang w:val="en-GB"/>
        </w:rPr>
        <w:t>s</w:t>
      </w:r>
      <w:r w:rsidR="0034366B" w:rsidRPr="009E6278">
        <w:rPr>
          <w:lang w:val="en-GB"/>
        </w:rPr>
        <w:t xml:space="preserve"> 1.05 million international migrants, almost half of them refugees and asylum seekers. Kenyan emigrants </w:t>
      </w:r>
      <w:r w:rsidR="005C1101" w:rsidRPr="009E6278">
        <w:rPr>
          <w:lang w:val="en-GB"/>
        </w:rPr>
        <w:t xml:space="preserve">were estimated at </w:t>
      </w:r>
      <w:r w:rsidR="0034366B" w:rsidRPr="009E6278">
        <w:rPr>
          <w:lang w:val="en-GB"/>
        </w:rPr>
        <w:t xml:space="preserve">535,348 </w:t>
      </w:r>
      <w:r w:rsidR="005C1101" w:rsidRPr="009E6278">
        <w:rPr>
          <w:lang w:val="en-GB"/>
        </w:rPr>
        <w:t>in</w:t>
      </w:r>
      <w:r w:rsidR="0034366B" w:rsidRPr="009E6278">
        <w:rPr>
          <w:lang w:val="en-GB"/>
        </w:rPr>
        <w:t xml:space="preserve"> 2020, </w:t>
      </w:r>
      <w:r w:rsidR="00BF025E" w:rsidRPr="009E6278">
        <w:rPr>
          <w:lang w:val="en-GB"/>
        </w:rPr>
        <w:t>contribut</w:t>
      </w:r>
      <w:r w:rsidR="00863D15" w:rsidRPr="009E6278">
        <w:rPr>
          <w:lang w:val="en-GB"/>
        </w:rPr>
        <w:t>ing</w:t>
      </w:r>
      <w:r w:rsidR="00BF025E" w:rsidRPr="009E6278">
        <w:rPr>
          <w:lang w:val="en-GB"/>
        </w:rPr>
        <w:t xml:space="preserve"> </w:t>
      </w:r>
      <w:r w:rsidR="00357B07" w:rsidRPr="009E6278">
        <w:rPr>
          <w:lang w:val="en-GB"/>
        </w:rPr>
        <w:t xml:space="preserve">remittances worth </w:t>
      </w:r>
      <w:r w:rsidR="00BF025E" w:rsidRPr="009E6278">
        <w:rPr>
          <w:lang w:val="en-GB"/>
        </w:rPr>
        <w:t>3.1</w:t>
      </w:r>
      <w:r w:rsidR="00BE2B75" w:rsidRPr="009E6278">
        <w:rPr>
          <w:lang w:val="en-GB"/>
        </w:rPr>
        <w:t xml:space="preserve"> per cent</w:t>
      </w:r>
      <w:r w:rsidR="00BF025E" w:rsidRPr="009E6278">
        <w:rPr>
          <w:lang w:val="en-GB"/>
        </w:rPr>
        <w:t xml:space="preserve"> of </w:t>
      </w:r>
      <w:r w:rsidR="00AB4FCD" w:rsidRPr="009E6278">
        <w:rPr>
          <w:lang w:val="en-GB"/>
        </w:rPr>
        <w:t>G</w:t>
      </w:r>
      <w:r w:rsidR="00BF025E" w:rsidRPr="009E6278">
        <w:rPr>
          <w:lang w:val="en-GB"/>
        </w:rPr>
        <w:t>DP</w:t>
      </w:r>
      <w:r w:rsidR="005B047D" w:rsidRPr="009E6278">
        <w:rPr>
          <w:lang w:val="en-GB"/>
        </w:rPr>
        <w:t>.</w:t>
      </w:r>
    </w:p>
    <w:p w14:paraId="5D6EB8F4" w14:textId="7E03D8BB" w:rsidR="00E168A7" w:rsidRPr="009E6278" w:rsidRDefault="003643EF" w:rsidP="00143015">
      <w:pPr>
        <w:pStyle w:val="ListParagraph"/>
        <w:numPr>
          <w:ilvl w:val="0"/>
          <w:numId w:val="8"/>
        </w:numPr>
        <w:tabs>
          <w:tab w:val="left" w:pos="1170"/>
        </w:tabs>
        <w:spacing w:after="120" w:line="240" w:lineRule="exact"/>
        <w:ind w:left="810" w:right="720" w:firstLine="0"/>
        <w:jc w:val="both"/>
        <w:rPr>
          <w:lang w:val="en-GB"/>
        </w:rPr>
      </w:pPr>
      <w:r w:rsidRPr="009E6278">
        <w:rPr>
          <w:bCs/>
          <w:iCs/>
          <w:lang w:val="en-GB"/>
        </w:rPr>
        <w:t xml:space="preserve">The </w:t>
      </w:r>
      <w:r w:rsidR="001A51BA" w:rsidRPr="009E6278">
        <w:rPr>
          <w:bCs/>
          <w:iCs/>
          <w:lang w:val="en-GB"/>
        </w:rPr>
        <w:t>Kenya</w:t>
      </w:r>
      <w:r w:rsidR="001A51BA" w:rsidRPr="009E6278">
        <w:rPr>
          <w:iCs/>
          <w:lang w:val="en-GB"/>
        </w:rPr>
        <w:t xml:space="preserve"> </w:t>
      </w:r>
      <w:r w:rsidR="001A51BA" w:rsidRPr="009E6278">
        <w:rPr>
          <w:lang w:val="en-GB"/>
        </w:rPr>
        <w:t xml:space="preserve">Constitution provides </w:t>
      </w:r>
      <w:r w:rsidR="005B047D" w:rsidRPr="009E6278">
        <w:rPr>
          <w:lang w:val="en-GB"/>
        </w:rPr>
        <w:t xml:space="preserve">a </w:t>
      </w:r>
      <w:r w:rsidR="001A51BA" w:rsidRPr="009E6278">
        <w:rPr>
          <w:lang w:val="en-GB"/>
        </w:rPr>
        <w:t xml:space="preserve">framework for democratic governance </w:t>
      </w:r>
      <w:r w:rsidR="008422CF" w:rsidRPr="009E6278">
        <w:rPr>
          <w:lang w:val="en-GB"/>
        </w:rPr>
        <w:t xml:space="preserve">considered </w:t>
      </w:r>
      <w:r w:rsidR="001A51BA" w:rsidRPr="009E6278">
        <w:rPr>
          <w:lang w:val="en-GB"/>
        </w:rPr>
        <w:t xml:space="preserve">a progressive </w:t>
      </w:r>
      <w:r w:rsidR="00357B07" w:rsidRPr="009E6278">
        <w:rPr>
          <w:lang w:val="en-GB"/>
        </w:rPr>
        <w:t>‘</w:t>
      </w:r>
      <w:r w:rsidR="001A51BA" w:rsidRPr="009E6278">
        <w:rPr>
          <w:lang w:val="en-GB"/>
        </w:rPr>
        <w:t>People’s Constitution</w:t>
      </w:r>
      <w:r w:rsidRPr="009E6278">
        <w:rPr>
          <w:lang w:val="en-GB"/>
        </w:rPr>
        <w:t>’</w:t>
      </w:r>
      <w:r w:rsidR="001A51BA" w:rsidRPr="009E6278">
        <w:rPr>
          <w:lang w:val="en-GB"/>
        </w:rPr>
        <w:t xml:space="preserve">, based on the premise that sovereign power belongs to the people, </w:t>
      </w:r>
      <w:r w:rsidRPr="009E6278">
        <w:rPr>
          <w:lang w:val="en-GB"/>
        </w:rPr>
        <w:t xml:space="preserve">who have </w:t>
      </w:r>
      <w:r w:rsidR="001A51BA" w:rsidRPr="009E6278">
        <w:rPr>
          <w:lang w:val="en-GB"/>
        </w:rPr>
        <w:t>a critical role to play in the delegated exercise of power</w:t>
      </w:r>
      <w:r w:rsidR="00056142" w:rsidRPr="009E6278">
        <w:rPr>
          <w:lang w:val="en-GB"/>
        </w:rPr>
        <w:t xml:space="preserve"> with women</w:t>
      </w:r>
      <w:r w:rsidR="00357B07" w:rsidRPr="009E6278">
        <w:rPr>
          <w:lang w:val="en-GB"/>
        </w:rPr>
        <w:t>’s</w:t>
      </w:r>
      <w:r w:rsidR="00056142" w:rsidRPr="009E6278">
        <w:rPr>
          <w:lang w:val="en-GB"/>
        </w:rPr>
        <w:t xml:space="preserve"> political leadership</w:t>
      </w:r>
      <w:r w:rsidR="008422CF" w:rsidRPr="009E6278">
        <w:rPr>
          <w:lang w:val="en-GB"/>
        </w:rPr>
        <w:t>.</w:t>
      </w:r>
      <w:r w:rsidR="001A51BA" w:rsidRPr="009E6278">
        <w:rPr>
          <w:lang w:val="en-GB"/>
        </w:rPr>
        <w:t xml:space="preserve"> Kenya</w:t>
      </w:r>
      <w:r w:rsidRPr="009E6278">
        <w:rPr>
          <w:lang w:val="en-GB"/>
        </w:rPr>
        <w:t xml:space="preserve"> </w:t>
      </w:r>
      <w:r w:rsidR="001A51BA" w:rsidRPr="009E6278">
        <w:rPr>
          <w:lang w:val="en-GB"/>
        </w:rPr>
        <w:t xml:space="preserve">devolved substantial powers from the </w:t>
      </w:r>
      <w:r w:rsidRPr="009E6278">
        <w:rPr>
          <w:lang w:val="en-GB"/>
        </w:rPr>
        <w:t>G</w:t>
      </w:r>
      <w:r w:rsidR="001A51BA" w:rsidRPr="009E6278">
        <w:rPr>
          <w:lang w:val="en-GB"/>
        </w:rPr>
        <w:t>overnment to 47 county governments</w:t>
      </w:r>
      <w:r w:rsidR="008422CF" w:rsidRPr="009E6278">
        <w:rPr>
          <w:lang w:val="en-GB"/>
        </w:rPr>
        <w:t xml:space="preserve">, including a </w:t>
      </w:r>
      <w:r w:rsidR="008422CF" w:rsidRPr="00547151">
        <w:rPr>
          <w:lang w:val="en-GB"/>
        </w:rPr>
        <w:t xml:space="preserve">minimum allocation of </w:t>
      </w:r>
      <w:r w:rsidR="001A51BA" w:rsidRPr="00547151">
        <w:rPr>
          <w:lang w:val="en-GB"/>
        </w:rPr>
        <w:t>15</w:t>
      </w:r>
      <w:r w:rsidR="00BE2B75" w:rsidRPr="00547151">
        <w:rPr>
          <w:lang w:val="en-GB"/>
        </w:rPr>
        <w:t xml:space="preserve"> per cent</w:t>
      </w:r>
      <w:r w:rsidR="001A51BA" w:rsidRPr="00547151">
        <w:rPr>
          <w:lang w:val="en-GB"/>
        </w:rPr>
        <w:t xml:space="preserve"> </w:t>
      </w:r>
      <w:r w:rsidR="00166C98" w:rsidRPr="00547151">
        <w:rPr>
          <w:lang w:val="en-GB"/>
        </w:rPr>
        <w:t>of</w:t>
      </w:r>
      <w:r w:rsidR="008422CF" w:rsidRPr="00547151">
        <w:rPr>
          <w:lang w:val="en-GB"/>
        </w:rPr>
        <w:t xml:space="preserve"> the </w:t>
      </w:r>
      <w:r w:rsidR="001A51BA" w:rsidRPr="00547151">
        <w:rPr>
          <w:lang w:val="en-GB"/>
        </w:rPr>
        <w:t xml:space="preserve">national </w:t>
      </w:r>
      <w:r w:rsidR="008422CF" w:rsidRPr="00547151">
        <w:rPr>
          <w:lang w:val="en-GB"/>
        </w:rPr>
        <w:t>budget</w:t>
      </w:r>
      <w:r w:rsidRPr="00547151">
        <w:rPr>
          <w:lang w:val="en-GB"/>
        </w:rPr>
        <w:t>,</w:t>
      </w:r>
      <w:r w:rsidR="008422CF" w:rsidRPr="00547151">
        <w:rPr>
          <w:lang w:val="en-GB"/>
        </w:rPr>
        <w:t xml:space="preserve"> </w:t>
      </w:r>
      <w:r w:rsidR="001A51BA" w:rsidRPr="00547151">
        <w:rPr>
          <w:lang w:val="en-GB"/>
        </w:rPr>
        <w:t>in addition to conditional grants that supplement</w:t>
      </w:r>
      <w:r w:rsidRPr="00547151">
        <w:rPr>
          <w:lang w:val="en-GB"/>
        </w:rPr>
        <w:t>ed</w:t>
      </w:r>
      <w:r w:rsidR="001A51BA" w:rsidRPr="00547151">
        <w:rPr>
          <w:lang w:val="en-GB"/>
        </w:rPr>
        <w:t xml:space="preserve"> local taxes</w:t>
      </w:r>
      <w:r w:rsidR="00F34912" w:rsidRPr="00547151">
        <w:rPr>
          <w:lang w:val="en-GB"/>
        </w:rPr>
        <w:t>.</w:t>
      </w:r>
      <w:r w:rsidR="001A51BA" w:rsidRPr="00547151">
        <w:rPr>
          <w:lang w:val="en-GB"/>
        </w:rPr>
        <w:t xml:space="preserve"> </w:t>
      </w:r>
      <w:r w:rsidR="002F79B5" w:rsidRPr="009E6278">
        <w:rPr>
          <w:lang w:val="en-GB"/>
        </w:rPr>
        <w:t>In</w:t>
      </w:r>
      <w:r w:rsidR="001A51BA" w:rsidRPr="009E6278">
        <w:rPr>
          <w:lang w:val="en-GB"/>
        </w:rPr>
        <w:t xml:space="preserve"> 2020, Kenya was ranked 124</w:t>
      </w:r>
      <w:r w:rsidRPr="009E6278">
        <w:rPr>
          <w:vertAlign w:val="superscript"/>
          <w:lang w:val="en-GB"/>
        </w:rPr>
        <w:t>th</w:t>
      </w:r>
      <w:r w:rsidR="001A51BA" w:rsidRPr="009E6278">
        <w:rPr>
          <w:lang w:val="en-GB"/>
        </w:rPr>
        <w:t xml:space="preserve"> out of 180 countries on the Corruption Perceptions Index</w:t>
      </w:r>
      <w:r w:rsidR="00195C52" w:rsidRPr="009E6278">
        <w:rPr>
          <w:lang w:val="en-GB"/>
        </w:rPr>
        <w:t>.</w:t>
      </w:r>
      <w:r w:rsidR="001A51BA" w:rsidRPr="009E6278">
        <w:rPr>
          <w:vertAlign w:val="superscript"/>
          <w:lang w:val="en-GB"/>
        </w:rPr>
        <w:t xml:space="preserve"> </w:t>
      </w:r>
      <w:r w:rsidR="00FC487F" w:rsidRPr="00547151">
        <w:rPr>
          <w:lang w:val="en-GB"/>
        </w:rPr>
        <w:t xml:space="preserve">Kenyans </w:t>
      </w:r>
      <w:r w:rsidR="00FC487F" w:rsidRPr="00547151">
        <w:rPr>
          <w:iCs/>
          <w:lang w:val="en-GB"/>
        </w:rPr>
        <w:t>have</w:t>
      </w:r>
      <w:r w:rsidR="00FC487F" w:rsidRPr="00547151">
        <w:rPr>
          <w:lang w:val="en-GB"/>
        </w:rPr>
        <w:t xml:space="preserve"> </w:t>
      </w:r>
      <w:r w:rsidRPr="00547151">
        <w:rPr>
          <w:lang w:val="en-GB"/>
        </w:rPr>
        <w:t xml:space="preserve">nevertheless </w:t>
      </w:r>
      <w:r w:rsidR="00FC487F" w:rsidRPr="00547151">
        <w:rPr>
          <w:lang w:val="en-GB"/>
        </w:rPr>
        <w:t>embraced the</w:t>
      </w:r>
      <w:r w:rsidR="00FC487F" w:rsidRPr="00547151">
        <w:rPr>
          <w:iCs/>
          <w:lang w:val="en-GB"/>
        </w:rPr>
        <w:t xml:space="preserve"> devolved </w:t>
      </w:r>
      <w:r w:rsidR="00FC487F" w:rsidRPr="00547151">
        <w:rPr>
          <w:lang w:val="en-GB"/>
        </w:rPr>
        <w:t>system</w:t>
      </w:r>
      <w:r w:rsidR="008902F8">
        <w:rPr>
          <w:lang w:val="en-GB"/>
        </w:rPr>
        <w:t>,</w:t>
      </w:r>
      <w:r w:rsidR="009E6278">
        <w:rPr>
          <w:lang w:val="en-GB"/>
        </w:rPr>
        <w:t xml:space="preserve"> </w:t>
      </w:r>
      <w:r w:rsidR="008902F8">
        <w:rPr>
          <w:lang w:val="en-GB"/>
        </w:rPr>
        <w:t xml:space="preserve">including </w:t>
      </w:r>
      <w:r w:rsidR="009E6278">
        <w:rPr>
          <w:lang w:val="en-GB"/>
        </w:rPr>
        <w:t>county governments</w:t>
      </w:r>
      <w:r w:rsidR="00FC487F" w:rsidRPr="00547151">
        <w:rPr>
          <w:lang w:val="en-GB"/>
        </w:rPr>
        <w:t xml:space="preserve"> as centres of service delivery</w:t>
      </w:r>
      <w:r w:rsidR="00166C98" w:rsidRPr="00547151">
        <w:rPr>
          <w:lang w:val="en-GB"/>
        </w:rPr>
        <w:t>.</w:t>
      </w:r>
      <w:r w:rsidR="004B1928" w:rsidRPr="00547151">
        <w:rPr>
          <w:rStyle w:val="FootnoteReference"/>
          <w:lang w:val="en-GB"/>
        </w:rPr>
        <w:footnoteReference w:id="12"/>
      </w:r>
      <w:r w:rsidR="00FC487F" w:rsidRPr="00547151">
        <w:rPr>
          <w:lang w:val="en-GB"/>
        </w:rPr>
        <w:t xml:space="preserve"> </w:t>
      </w:r>
    </w:p>
    <w:p w14:paraId="1FCA2704" w14:textId="5A07C282" w:rsidR="006268F7" w:rsidRPr="00547151" w:rsidRDefault="00E65159" w:rsidP="00143015">
      <w:pPr>
        <w:pStyle w:val="ListParagraph"/>
        <w:numPr>
          <w:ilvl w:val="0"/>
          <w:numId w:val="8"/>
        </w:numPr>
        <w:tabs>
          <w:tab w:val="left" w:pos="1170"/>
        </w:tabs>
        <w:spacing w:after="120" w:line="240" w:lineRule="exact"/>
        <w:ind w:left="810" w:right="720" w:firstLine="0"/>
        <w:jc w:val="both"/>
        <w:rPr>
          <w:lang w:val="en-GB"/>
        </w:rPr>
      </w:pPr>
      <w:r w:rsidRPr="00547151">
        <w:rPr>
          <w:lang w:val="en-GB"/>
        </w:rPr>
        <w:t xml:space="preserve"> </w:t>
      </w:r>
      <w:r w:rsidR="006268F7" w:rsidRPr="009E6278">
        <w:rPr>
          <w:lang w:val="en-GB"/>
        </w:rPr>
        <w:t xml:space="preserve">Kenya </w:t>
      </w:r>
      <w:r w:rsidR="00CD3E1E" w:rsidRPr="009E6278">
        <w:rPr>
          <w:lang w:val="en-GB"/>
        </w:rPr>
        <w:t xml:space="preserve">has </w:t>
      </w:r>
      <w:r w:rsidR="006268F7" w:rsidRPr="009E6278">
        <w:rPr>
          <w:lang w:val="en-GB"/>
        </w:rPr>
        <w:t>rich biodiversity</w:t>
      </w:r>
      <w:r w:rsidR="000E47C3" w:rsidRPr="009E6278">
        <w:rPr>
          <w:lang w:val="en-GB"/>
        </w:rPr>
        <w:t>,</w:t>
      </w:r>
      <w:r w:rsidR="00946262" w:rsidRPr="009E6278">
        <w:rPr>
          <w:lang w:val="en-GB"/>
        </w:rPr>
        <w:t xml:space="preserve"> made </w:t>
      </w:r>
      <w:r w:rsidR="000E47C3" w:rsidRPr="009E6278">
        <w:rPr>
          <w:lang w:val="en-GB"/>
        </w:rPr>
        <w:t xml:space="preserve">up </w:t>
      </w:r>
      <w:r w:rsidR="00946262" w:rsidRPr="009E6278">
        <w:rPr>
          <w:lang w:val="en-GB"/>
        </w:rPr>
        <w:t xml:space="preserve">of </w:t>
      </w:r>
      <w:r w:rsidR="006268F7" w:rsidRPr="009E6278">
        <w:rPr>
          <w:lang w:val="en-GB"/>
        </w:rPr>
        <w:t>undulating landscapes, coastal seascapes</w:t>
      </w:r>
      <w:r w:rsidR="001D04F8" w:rsidRPr="009E6278">
        <w:rPr>
          <w:lang w:val="en-GB"/>
        </w:rPr>
        <w:t>,</w:t>
      </w:r>
      <w:r w:rsidR="006268F7" w:rsidRPr="009E6278">
        <w:rPr>
          <w:lang w:val="en-GB"/>
        </w:rPr>
        <w:t xml:space="preserve"> marine life, beaches</w:t>
      </w:r>
      <w:r w:rsidR="000E47C3" w:rsidRPr="009E6278">
        <w:rPr>
          <w:lang w:val="en-GB"/>
        </w:rPr>
        <w:t>,</w:t>
      </w:r>
      <w:r w:rsidR="006268F7" w:rsidRPr="009E6278">
        <w:rPr>
          <w:lang w:val="en-GB"/>
        </w:rPr>
        <w:t xml:space="preserve"> mangrove forests</w:t>
      </w:r>
      <w:r w:rsidR="008373FB" w:rsidRPr="009E6278">
        <w:rPr>
          <w:lang w:val="en-GB"/>
        </w:rPr>
        <w:t xml:space="preserve">, and </w:t>
      </w:r>
      <w:r w:rsidR="00CD3E1E" w:rsidRPr="009E6278">
        <w:rPr>
          <w:lang w:val="en-GB"/>
        </w:rPr>
        <w:t>water resources</w:t>
      </w:r>
      <w:r w:rsidR="008373FB" w:rsidRPr="009E6278">
        <w:rPr>
          <w:lang w:val="en-GB"/>
        </w:rPr>
        <w:t xml:space="preserve">. </w:t>
      </w:r>
      <w:r w:rsidR="00631B0C" w:rsidRPr="009E6278">
        <w:rPr>
          <w:lang w:val="en-GB"/>
        </w:rPr>
        <w:t>C</w:t>
      </w:r>
      <w:r w:rsidR="006A1FD9" w:rsidRPr="009E6278">
        <w:rPr>
          <w:lang w:val="en-GB"/>
        </w:rPr>
        <w:t>hallenges associated with climate change, population growth and rapid urbanization led to</w:t>
      </w:r>
      <w:r w:rsidR="00631B0C" w:rsidRPr="009E6278">
        <w:rPr>
          <w:lang w:val="en-GB"/>
        </w:rPr>
        <w:t xml:space="preserve"> the </w:t>
      </w:r>
      <w:r w:rsidR="006268F7" w:rsidRPr="009E6278">
        <w:rPr>
          <w:lang w:val="en-GB"/>
        </w:rPr>
        <w:t xml:space="preserve">decline of </w:t>
      </w:r>
      <w:r w:rsidR="000E47C3" w:rsidRPr="009E6278">
        <w:rPr>
          <w:lang w:val="en-GB"/>
        </w:rPr>
        <w:t xml:space="preserve">its </w:t>
      </w:r>
      <w:r w:rsidR="006268F7" w:rsidRPr="009E6278">
        <w:rPr>
          <w:lang w:val="en-GB"/>
        </w:rPr>
        <w:t>megafauna</w:t>
      </w:r>
      <w:r w:rsidR="000E47C3" w:rsidRPr="009E6278">
        <w:rPr>
          <w:lang w:val="en-GB"/>
        </w:rPr>
        <w:t>,</w:t>
      </w:r>
      <w:r w:rsidR="006A1FD9" w:rsidRPr="009E6278">
        <w:rPr>
          <w:lang w:val="en-GB"/>
        </w:rPr>
        <w:t xml:space="preserve"> </w:t>
      </w:r>
      <w:r w:rsidR="006268F7" w:rsidRPr="009E6278">
        <w:rPr>
          <w:lang w:val="en-GB"/>
        </w:rPr>
        <w:t xml:space="preserve">biodiversity </w:t>
      </w:r>
      <w:r w:rsidR="000E47C3" w:rsidRPr="009E6278">
        <w:rPr>
          <w:lang w:val="en-GB"/>
        </w:rPr>
        <w:t xml:space="preserve">and </w:t>
      </w:r>
      <w:r w:rsidR="006268F7" w:rsidRPr="009E6278">
        <w:rPr>
          <w:lang w:val="en-GB"/>
        </w:rPr>
        <w:t>forest cover</w:t>
      </w:r>
      <w:r w:rsidR="00E458BC" w:rsidRPr="009E6278">
        <w:rPr>
          <w:lang w:val="en-GB"/>
        </w:rPr>
        <w:t>.</w:t>
      </w:r>
      <w:r w:rsidR="00CD3E1E" w:rsidRPr="009E6278">
        <w:rPr>
          <w:rStyle w:val="FootnoteReference"/>
          <w:lang w:val="en-GB"/>
        </w:rPr>
        <w:footnoteReference w:id="13"/>
      </w:r>
      <w:r w:rsidR="006268F7" w:rsidRPr="009E6278">
        <w:rPr>
          <w:lang w:val="en-GB"/>
        </w:rPr>
        <w:t xml:space="preserve"> </w:t>
      </w:r>
      <w:r w:rsidR="000E47C3" w:rsidRPr="009E6278">
        <w:rPr>
          <w:lang w:val="en-GB"/>
        </w:rPr>
        <w:t>E</w:t>
      </w:r>
      <w:r w:rsidR="00B004EE" w:rsidRPr="009E6278">
        <w:rPr>
          <w:lang w:val="en-GB"/>
        </w:rPr>
        <w:t>ffort</w:t>
      </w:r>
      <w:r w:rsidR="00631B0C" w:rsidRPr="009E6278">
        <w:rPr>
          <w:lang w:val="en-GB"/>
        </w:rPr>
        <w:t>s</w:t>
      </w:r>
      <w:r w:rsidR="00B004EE" w:rsidRPr="009E6278">
        <w:rPr>
          <w:lang w:val="en-GB"/>
        </w:rPr>
        <w:t xml:space="preserve"> </w:t>
      </w:r>
      <w:r w:rsidR="003F5C6C" w:rsidRPr="00547151">
        <w:rPr>
          <w:lang w:val="en-GB"/>
        </w:rPr>
        <w:t xml:space="preserve">are under way </w:t>
      </w:r>
      <w:r w:rsidR="00B004EE" w:rsidRPr="009E6278">
        <w:rPr>
          <w:lang w:val="en-GB"/>
        </w:rPr>
        <w:t xml:space="preserve">to </w:t>
      </w:r>
      <w:r w:rsidR="006268F7" w:rsidRPr="009E6278">
        <w:rPr>
          <w:lang w:val="en-GB"/>
        </w:rPr>
        <w:t>revers</w:t>
      </w:r>
      <w:r w:rsidR="00E458BC" w:rsidRPr="009E6278">
        <w:rPr>
          <w:lang w:val="en-GB"/>
        </w:rPr>
        <w:t>e</w:t>
      </w:r>
      <w:r w:rsidR="006268F7" w:rsidRPr="009E6278">
        <w:rPr>
          <w:lang w:val="en-GB"/>
        </w:rPr>
        <w:t xml:space="preserve"> </w:t>
      </w:r>
      <w:r w:rsidR="00B004EE" w:rsidRPr="009E6278">
        <w:rPr>
          <w:lang w:val="en-GB"/>
        </w:rPr>
        <w:t>de</w:t>
      </w:r>
      <w:r w:rsidR="006268F7" w:rsidRPr="009E6278">
        <w:rPr>
          <w:lang w:val="en-GB"/>
        </w:rPr>
        <w:t>forest</w:t>
      </w:r>
      <w:r w:rsidR="00B004EE" w:rsidRPr="009E6278">
        <w:rPr>
          <w:lang w:val="en-GB"/>
        </w:rPr>
        <w:t>ation and improve tree</w:t>
      </w:r>
      <w:r w:rsidR="006268F7" w:rsidRPr="009E6278">
        <w:rPr>
          <w:lang w:val="en-GB"/>
        </w:rPr>
        <w:t xml:space="preserve"> cover </w:t>
      </w:r>
      <w:r w:rsidR="00B004EE" w:rsidRPr="009E6278">
        <w:rPr>
          <w:lang w:val="en-GB"/>
        </w:rPr>
        <w:t xml:space="preserve">to the </w:t>
      </w:r>
      <w:r w:rsidR="006268F7" w:rsidRPr="009E6278">
        <w:rPr>
          <w:lang w:val="en-GB"/>
        </w:rPr>
        <w:t>constitutional 10</w:t>
      </w:r>
      <w:r w:rsidR="000E47C3" w:rsidRPr="009E6278">
        <w:rPr>
          <w:lang w:val="en-GB"/>
        </w:rPr>
        <w:t> per </w:t>
      </w:r>
      <w:r w:rsidR="00BE2B75" w:rsidRPr="009E6278">
        <w:rPr>
          <w:lang w:val="en-GB"/>
        </w:rPr>
        <w:t>cent</w:t>
      </w:r>
      <w:r w:rsidR="00B004EE" w:rsidRPr="009E6278">
        <w:rPr>
          <w:lang w:val="en-GB"/>
        </w:rPr>
        <w:t xml:space="preserve"> </w:t>
      </w:r>
      <w:r w:rsidR="006268F7" w:rsidRPr="009E6278">
        <w:rPr>
          <w:lang w:val="en-GB"/>
        </w:rPr>
        <w:t>target</w:t>
      </w:r>
      <w:r w:rsidR="000E47C3" w:rsidRPr="009E6278">
        <w:rPr>
          <w:lang w:val="en-GB"/>
        </w:rPr>
        <w:t>,</w:t>
      </w:r>
      <w:r w:rsidR="00E458BC" w:rsidRPr="009E6278">
        <w:rPr>
          <w:lang w:val="en-GB"/>
        </w:rPr>
        <w:t xml:space="preserve"> </w:t>
      </w:r>
      <w:r w:rsidR="007C0F47" w:rsidRPr="009E6278">
        <w:rPr>
          <w:lang w:val="en-GB"/>
        </w:rPr>
        <w:t>with an outcome document</w:t>
      </w:r>
      <w:r w:rsidR="00BE3641" w:rsidRPr="00547151">
        <w:rPr>
          <w:rStyle w:val="FootnoteReference"/>
          <w:lang w:val="en-GB"/>
        </w:rPr>
        <w:footnoteReference w:id="14"/>
      </w:r>
      <w:r w:rsidR="00BE3641" w:rsidRPr="00547151">
        <w:rPr>
          <w:lang w:val="en-GB"/>
        </w:rPr>
        <w:t xml:space="preserve"> </w:t>
      </w:r>
      <w:r w:rsidR="00BE3641" w:rsidRPr="009E6278">
        <w:rPr>
          <w:lang w:val="en-GB"/>
        </w:rPr>
        <w:t>for county</w:t>
      </w:r>
      <w:r w:rsidR="000E47C3" w:rsidRPr="009E6278">
        <w:rPr>
          <w:lang w:val="en-GB"/>
        </w:rPr>
        <w:t>-</w:t>
      </w:r>
      <w:r w:rsidR="00BE3641" w:rsidRPr="009E6278">
        <w:rPr>
          <w:lang w:val="en-GB"/>
        </w:rPr>
        <w:t xml:space="preserve">level climate action to accelerate mitigation and adaptation measures. </w:t>
      </w:r>
    </w:p>
    <w:p w14:paraId="36BC6C87" w14:textId="5A41DD26" w:rsidR="006268F7" w:rsidRPr="00547151" w:rsidRDefault="002F79B5" w:rsidP="00143015">
      <w:pPr>
        <w:pStyle w:val="ListParagraph"/>
        <w:numPr>
          <w:ilvl w:val="0"/>
          <w:numId w:val="8"/>
        </w:numPr>
        <w:tabs>
          <w:tab w:val="left" w:pos="1170"/>
        </w:tabs>
        <w:spacing w:after="120" w:line="240" w:lineRule="exact"/>
        <w:ind w:left="810" w:right="720" w:firstLine="0"/>
        <w:jc w:val="both"/>
        <w:rPr>
          <w:lang w:val="en-GB"/>
        </w:rPr>
      </w:pPr>
      <w:r w:rsidRPr="00547151">
        <w:rPr>
          <w:lang w:val="en-GB"/>
        </w:rPr>
        <w:t>C</w:t>
      </w:r>
      <w:r w:rsidR="006268F7" w:rsidRPr="00547151">
        <w:rPr>
          <w:lang w:val="en-GB"/>
        </w:rPr>
        <w:t>limate change remains a major threat</w:t>
      </w:r>
      <w:r w:rsidR="000E47C3" w:rsidRPr="00547151">
        <w:rPr>
          <w:lang w:val="en-GB"/>
        </w:rPr>
        <w:t>,</w:t>
      </w:r>
      <w:r w:rsidR="006268F7" w:rsidRPr="00547151">
        <w:rPr>
          <w:lang w:val="en-GB"/>
        </w:rPr>
        <w:t xml:space="preserve"> with growing economic costs estimated at 2.6</w:t>
      </w:r>
      <w:r w:rsidR="00BE2B75" w:rsidRPr="00547151">
        <w:rPr>
          <w:lang w:val="en-GB"/>
        </w:rPr>
        <w:t xml:space="preserve"> per cent</w:t>
      </w:r>
      <w:r w:rsidR="006268F7" w:rsidRPr="00547151">
        <w:rPr>
          <w:b/>
          <w:i/>
          <w:lang w:val="en-GB"/>
        </w:rPr>
        <w:t xml:space="preserve"> </w:t>
      </w:r>
      <w:r w:rsidR="006268F7" w:rsidRPr="00547151">
        <w:rPr>
          <w:lang w:val="en-GB"/>
        </w:rPr>
        <w:t>of GDP</w:t>
      </w:r>
      <w:r w:rsidR="00166C98" w:rsidRPr="00547151">
        <w:rPr>
          <w:lang w:val="en-GB"/>
        </w:rPr>
        <w:t>.</w:t>
      </w:r>
      <w:r w:rsidR="006268F7" w:rsidRPr="00547151">
        <w:rPr>
          <w:rStyle w:val="FootnoteReference"/>
          <w:lang w:val="en-GB"/>
        </w:rPr>
        <w:footnoteReference w:id="15"/>
      </w:r>
      <w:r w:rsidR="003F5C6C" w:rsidRPr="00547151">
        <w:rPr>
          <w:lang w:val="en-GB"/>
        </w:rPr>
        <w:t xml:space="preserve"> </w:t>
      </w:r>
      <w:r w:rsidR="006268F7" w:rsidRPr="00547151">
        <w:rPr>
          <w:lang w:val="en-GB"/>
        </w:rPr>
        <w:t xml:space="preserve">Kenya committed to climate actions through an updated </w:t>
      </w:r>
      <w:r w:rsidR="002E41AD" w:rsidRPr="00547151">
        <w:rPr>
          <w:lang w:val="en-GB"/>
        </w:rPr>
        <w:t>nationally determined contribution</w:t>
      </w:r>
      <w:r w:rsidR="00631B0C" w:rsidRPr="00547151">
        <w:rPr>
          <w:lang w:val="en-GB"/>
        </w:rPr>
        <w:t xml:space="preserve"> aimed at reducing </w:t>
      </w:r>
      <w:r w:rsidR="002E41AD" w:rsidRPr="00547151">
        <w:rPr>
          <w:lang w:val="en-GB"/>
        </w:rPr>
        <w:t>g</w:t>
      </w:r>
      <w:r w:rsidR="006268F7" w:rsidRPr="00547151">
        <w:rPr>
          <w:lang w:val="en-GB"/>
        </w:rPr>
        <w:t>reen</w:t>
      </w:r>
      <w:r w:rsidR="002E41AD" w:rsidRPr="00547151">
        <w:rPr>
          <w:lang w:val="en-GB"/>
        </w:rPr>
        <w:t>h</w:t>
      </w:r>
      <w:r w:rsidR="006268F7" w:rsidRPr="00547151">
        <w:rPr>
          <w:lang w:val="en-GB"/>
        </w:rPr>
        <w:t xml:space="preserve">ouse </w:t>
      </w:r>
      <w:r w:rsidR="002E41AD" w:rsidRPr="00547151">
        <w:rPr>
          <w:lang w:val="en-GB"/>
        </w:rPr>
        <w:t>g</w:t>
      </w:r>
      <w:r w:rsidR="006268F7" w:rsidRPr="00547151">
        <w:rPr>
          <w:lang w:val="en-GB"/>
        </w:rPr>
        <w:t xml:space="preserve">as </w:t>
      </w:r>
      <w:r w:rsidR="002E41AD" w:rsidRPr="00547151">
        <w:rPr>
          <w:lang w:val="en-GB"/>
        </w:rPr>
        <w:t>e</w:t>
      </w:r>
      <w:r w:rsidR="006268F7" w:rsidRPr="00547151">
        <w:rPr>
          <w:lang w:val="en-GB"/>
        </w:rPr>
        <w:t>missions by 32</w:t>
      </w:r>
      <w:r w:rsidR="00BE2B75" w:rsidRPr="00547151">
        <w:rPr>
          <w:lang w:val="en-GB"/>
        </w:rPr>
        <w:t xml:space="preserve"> per cent</w:t>
      </w:r>
      <w:r w:rsidR="006268F7" w:rsidRPr="00547151">
        <w:rPr>
          <w:lang w:val="en-GB"/>
        </w:rPr>
        <w:t xml:space="preserve"> by 2030, </w:t>
      </w:r>
      <w:r w:rsidR="003F5C6C" w:rsidRPr="00547151">
        <w:rPr>
          <w:lang w:val="en-GB"/>
        </w:rPr>
        <w:t>from</w:t>
      </w:r>
      <w:r w:rsidR="006268F7" w:rsidRPr="00547151">
        <w:rPr>
          <w:lang w:val="en-GB"/>
        </w:rPr>
        <w:t xml:space="preserve"> </w:t>
      </w:r>
      <w:r w:rsidR="00357B07" w:rsidRPr="00547151">
        <w:rPr>
          <w:lang w:val="en-GB"/>
        </w:rPr>
        <w:t>the present</w:t>
      </w:r>
      <w:r w:rsidR="006268F7" w:rsidRPr="00547151">
        <w:rPr>
          <w:lang w:val="en-GB"/>
        </w:rPr>
        <w:t xml:space="preserve"> 143 </w:t>
      </w:r>
      <w:r w:rsidR="002E41AD" w:rsidRPr="00547151">
        <w:rPr>
          <w:lang w:val="en-GB"/>
        </w:rPr>
        <w:t>m</w:t>
      </w:r>
      <w:r w:rsidR="006268F7" w:rsidRPr="00547151">
        <w:rPr>
          <w:lang w:val="en-GB"/>
        </w:rPr>
        <w:t xml:space="preserve">etric tons of carbon dioxide equivalent. The total cost of implementing mitigation and adaptation actions is estimated at </w:t>
      </w:r>
      <w:r w:rsidR="00246599" w:rsidRPr="00547151">
        <w:rPr>
          <w:lang w:val="en-GB"/>
        </w:rPr>
        <w:t>$</w:t>
      </w:r>
      <w:r w:rsidR="006268F7" w:rsidRPr="00547151">
        <w:rPr>
          <w:lang w:val="en-GB"/>
        </w:rPr>
        <w:t>62 billion</w:t>
      </w:r>
      <w:r w:rsidR="00DB65AD" w:rsidRPr="00547151">
        <w:rPr>
          <w:lang w:val="en-GB"/>
        </w:rPr>
        <w:t xml:space="preserve">, </w:t>
      </w:r>
      <w:r w:rsidR="00357B07" w:rsidRPr="00547151">
        <w:rPr>
          <w:lang w:val="en-GB"/>
        </w:rPr>
        <w:t xml:space="preserve">of </w:t>
      </w:r>
      <w:r w:rsidR="00DB65AD" w:rsidRPr="00547151">
        <w:rPr>
          <w:lang w:val="en-GB"/>
        </w:rPr>
        <w:t xml:space="preserve">which </w:t>
      </w:r>
      <w:r w:rsidR="006268F7" w:rsidRPr="00547151">
        <w:rPr>
          <w:lang w:val="en-GB"/>
        </w:rPr>
        <w:t>Kenya has committed 13</w:t>
      </w:r>
      <w:r w:rsidR="00BE2B75" w:rsidRPr="00547151">
        <w:rPr>
          <w:lang w:val="en-GB"/>
        </w:rPr>
        <w:t xml:space="preserve"> per cent</w:t>
      </w:r>
      <w:r w:rsidR="00DB65AD" w:rsidRPr="00547151">
        <w:rPr>
          <w:lang w:val="en-GB"/>
        </w:rPr>
        <w:t xml:space="preserve">. </w:t>
      </w:r>
      <w:r w:rsidR="00631B0C" w:rsidRPr="00547151">
        <w:rPr>
          <w:lang w:val="en-GB"/>
        </w:rPr>
        <w:t xml:space="preserve">Kenya </w:t>
      </w:r>
      <w:r w:rsidR="006268F7" w:rsidRPr="009E6278">
        <w:rPr>
          <w:lang w:val="en-GB"/>
        </w:rPr>
        <w:t>has achieved</w:t>
      </w:r>
      <w:r w:rsidR="000C33D6" w:rsidRPr="009E6278">
        <w:rPr>
          <w:lang w:val="en-GB"/>
        </w:rPr>
        <w:t xml:space="preserve"> 93</w:t>
      </w:r>
      <w:r w:rsidR="00BE2B75" w:rsidRPr="009E6278">
        <w:rPr>
          <w:lang w:val="en-GB"/>
        </w:rPr>
        <w:t xml:space="preserve"> per cent</w:t>
      </w:r>
      <w:r w:rsidR="006268F7" w:rsidRPr="009E6278">
        <w:rPr>
          <w:lang w:val="en-GB"/>
        </w:rPr>
        <w:t xml:space="preserve"> of the renewable energy contribution to the electricity grid</w:t>
      </w:r>
      <w:r w:rsidR="00357B07" w:rsidRPr="009E6278">
        <w:rPr>
          <w:lang w:val="en-GB"/>
        </w:rPr>
        <w:t>,</w:t>
      </w:r>
      <w:r w:rsidR="006268F7" w:rsidRPr="009E6278">
        <w:rPr>
          <w:lang w:val="en-GB"/>
        </w:rPr>
        <w:t xml:space="preserve"> and is expected to reach a clean grid by 2030 and a 2.79</w:t>
      </w:r>
      <w:r w:rsidR="00BE2B75" w:rsidRPr="009E6278">
        <w:rPr>
          <w:lang w:val="en-GB"/>
        </w:rPr>
        <w:t xml:space="preserve"> per cent</w:t>
      </w:r>
      <w:r w:rsidR="006268F7" w:rsidRPr="009E6278">
        <w:rPr>
          <w:lang w:val="en-GB"/>
        </w:rPr>
        <w:t xml:space="preserve"> reduction in total energy intensity annually by 2030 from the baseline year</w:t>
      </w:r>
      <w:r w:rsidR="002E41AD" w:rsidRPr="009E6278">
        <w:rPr>
          <w:lang w:val="en-GB"/>
        </w:rPr>
        <w:t>,</w:t>
      </w:r>
      <w:r w:rsidR="006268F7" w:rsidRPr="009E6278">
        <w:rPr>
          <w:lang w:val="en-GB"/>
        </w:rPr>
        <w:t xml:space="preserve"> 2012</w:t>
      </w:r>
      <w:r w:rsidR="00B9436D" w:rsidRPr="009E6278">
        <w:rPr>
          <w:lang w:val="en-GB"/>
        </w:rPr>
        <w:t>.</w:t>
      </w:r>
      <w:r w:rsidR="006268F7" w:rsidRPr="009E6278">
        <w:rPr>
          <w:rStyle w:val="FootnoteReference"/>
          <w:lang w:val="en-GB"/>
        </w:rPr>
        <w:footnoteReference w:id="16"/>
      </w:r>
      <w:r w:rsidR="006268F7" w:rsidRPr="009E6278">
        <w:rPr>
          <w:lang w:val="en-GB"/>
        </w:rPr>
        <w:t xml:space="preserve">  </w:t>
      </w:r>
    </w:p>
    <w:p w14:paraId="09E033E1" w14:textId="20CF34B6" w:rsidR="006268F7" w:rsidRPr="009E6278" w:rsidRDefault="006268F7" w:rsidP="00143015">
      <w:pPr>
        <w:pStyle w:val="ListParagraph"/>
        <w:numPr>
          <w:ilvl w:val="0"/>
          <w:numId w:val="8"/>
        </w:numPr>
        <w:tabs>
          <w:tab w:val="left" w:pos="1170"/>
        </w:tabs>
        <w:spacing w:after="120" w:line="240" w:lineRule="exact"/>
        <w:ind w:left="810" w:right="720" w:firstLine="0"/>
        <w:jc w:val="both"/>
        <w:rPr>
          <w:lang w:val="en-GB"/>
        </w:rPr>
      </w:pPr>
      <w:r w:rsidRPr="009E6278">
        <w:rPr>
          <w:lang w:val="en-GB"/>
        </w:rPr>
        <w:t xml:space="preserve">The impact of COVID-19 has seen </w:t>
      </w:r>
      <w:r w:rsidR="00CF0E9B" w:rsidRPr="009E6278">
        <w:rPr>
          <w:lang w:val="en-GB"/>
        </w:rPr>
        <w:t>increased</w:t>
      </w:r>
      <w:r w:rsidRPr="009E6278">
        <w:rPr>
          <w:lang w:val="en-GB"/>
        </w:rPr>
        <w:t xml:space="preserve"> poverty </w:t>
      </w:r>
      <w:r w:rsidR="00CF0E9B" w:rsidRPr="009E6278">
        <w:rPr>
          <w:lang w:val="en-GB"/>
        </w:rPr>
        <w:t xml:space="preserve">among </w:t>
      </w:r>
      <w:r w:rsidRPr="009E6278">
        <w:rPr>
          <w:lang w:val="en-GB"/>
        </w:rPr>
        <w:t>up to 2 million people and increased gender inequalit</w:t>
      </w:r>
      <w:r w:rsidR="00CF0E9B" w:rsidRPr="009E6278">
        <w:rPr>
          <w:lang w:val="en-GB"/>
        </w:rPr>
        <w:t>y</w:t>
      </w:r>
      <w:r w:rsidRPr="009E6278">
        <w:rPr>
          <w:lang w:val="en-GB"/>
        </w:rPr>
        <w:t xml:space="preserve"> through loss of income and gender-based violence. </w:t>
      </w:r>
      <w:r w:rsidR="00DB65AD" w:rsidRPr="009E6278">
        <w:rPr>
          <w:lang w:val="en-GB"/>
        </w:rPr>
        <w:t xml:space="preserve">During 2020, </w:t>
      </w:r>
      <w:r w:rsidRPr="009E6278">
        <w:rPr>
          <w:lang w:val="en-GB"/>
        </w:rPr>
        <w:t>1.7</w:t>
      </w:r>
      <w:r w:rsidR="00CF0E9B" w:rsidRPr="009E6278">
        <w:rPr>
          <w:lang w:val="en-GB"/>
        </w:rPr>
        <w:t> </w:t>
      </w:r>
      <w:r w:rsidRPr="009E6278">
        <w:rPr>
          <w:lang w:val="en-GB"/>
        </w:rPr>
        <w:t>million jobs were lost in the formal sector</w:t>
      </w:r>
      <w:r w:rsidR="00DB65AD" w:rsidRPr="009E6278">
        <w:rPr>
          <w:lang w:val="en-GB"/>
        </w:rPr>
        <w:t xml:space="preserve"> </w:t>
      </w:r>
      <w:r w:rsidR="00355FA3" w:rsidRPr="009E6278">
        <w:rPr>
          <w:lang w:val="en-GB"/>
        </w:rPr>
        <w:t>and</w:t>
      </w:r>
      <w:r w:rsidR="00DB65AD" w:rsidRPr="009E6278">
        <w:rPr>
          <w:lang w:val="en-GB"/>
        </w:rPr>
        <w:t xml:space="preserve"> </w:t>
      </w:r>
      <w:r w:rsidRPr="009E6278">
        <w:rPr>
          <w:lang w:val="en-GB"/>
        </w:rPr>
        <w:t>5 million in the informal sector</w:t>
      </w:r>
      <w:r w:rsidR="00CF0E9B" w:rsidRPr="009E6278">
        <w:rPr>
          <w:lang w:val="en-GB"/>
        </w:rPr>
        <w:t>.</w:t>
      </w:r>
      <w:r w:rsidR="00DB65AD" w:rsidRPr="009E6278">
        <w:rPr>
          <w:rStyle w:val="FootnoteReference"/>
          <w:lang w:val="en-GB"/>
        </w:rPr>
        <w:footnoteReference w:id="17"/>
      </w:r>
      <w:r w:rsidR="00DB65AD" w:rsidRPr="009E6278">
        <w:rPr>
          <w:lang w:val="en-GB"/>
        </w:rPr>
        <w:t xml:space="preserve"> </w:t>
      </w:r>
      <w:r w:rsidRPr="009E6278">
        <w:rPr>
          <w:lang w:val="en-GB"/>
        </w:rPr>
        <w:t>The pandemic increased poverty by 4</w:t>
      </w:r>
      <w:r w:rsidR="00BE2B75" w:rsidRPr="009E6278">
        <w:rPr>
          <w:lang w:val="en-GB"/>
        </w:rPr>
        <w:t xml:space="preserve"> per cent</w:t>
      </w:r>
      <w:r w:rsidRPr="009E6278">
        <w:rPr>
          <w:lang w:val="en-GB"/>
        </w:rPr>
        <w:t xml:space="preserve"> through income</w:t>
      </w:r>
      <w:r w:rsidR="006F1B3B" w:rsidRPr="009E6278">
        <w:rPr>
          <w:lang w:val="en-GB"/>
        </w:rPr>
        <w:t xml:space="preserve"> loss</w:t>
      </w:r>
      <w:r w:rsidRPr="009E6278">
        <w:rPr>
          <w:lang w:val="en-GB"/>
        </w:rPr>
        <w:t xml:space="preserve"> and other socioeconomic impacts.</w:t>
      </w:r>
      <w:r w:rsidR="000E4D75" w:rsidRPr="009E6278">
        <w:rPr>
          <w:lang w:val="en-GB"/>
        </w:rPr>
        <w:t xml:space="preserve"> </w:t>
      </w:r>
      <w:r w:rsidR="00CF0E9B" w:rsidRPr="009E6278">
        <w:rPr>
          <w:lang w:val="en-GB"/>
        </w:rPr>
        <w:t>The p</w:t>
      </w:r>
      <w:r w:rsidR="000E4D75" w:rsidRPr="009E6278">
        <w:rPr>
          <w:lang w:val="en-GB"/>
        </w:rPr>
        <w:t>overty incidence among women tends to be higher</w:t>
      </w:r>
      <w:r w:rsidR="00355FA3" w:rsidRPr="009E6278">
        <w:rPr>
          <w:lang w:val="en-GB"/>
        </w:rPr>
        <w:t xml:space="preserve"> d</w:t>
      </w:r>
      <w:r w:rsidR="00812F57" w:rsidRPr="009E6278">
        <w:rPr>
          <w:lang w:val="en-GB"/>
        </w:rPr>
        <w:t>ue to</w:t>
      </w:r>
      <w:r w:rsidR="000E4D75" w:rsidRPr="009E6278">
        <w:rPr>
          <w:lang w:val="en-GB"/>
        </w:rPr>
        <w:t xml:space="preserve"> minimal employment opportunities in the formal sector</w:t>
      </w:r>
      <w:r w:rsidR="00355FA3" w:rsidRPr="009E6278">
        <w:rPr>
          <w:lang w:val="en-GB"/>
        </w:rPr>
        <w:t>,</w:t>
      </w:r>
      <w:r w:rsidR="000E4D75" w:rsidRPr="009E6278">
        <w:rPr>
          <w:lang w:val="en-GB"/>
        </w:rPr>
        <w:t xml:space="preserve"> </w:t>
      </w:r>
      <w:r w:rsidR="00812F57" w:rsidRPr="009E6278">
        <w:rPr>
          <w:lang w:val="en-GB"/>
        </w:rPr>
        <w:t>among other factors</w:t>
      </w:r>
      <w:r w:rsidR="00357B07" w:rsidRPr="009E6278">
        <w:rPr>
          <w:lang w:val="en-GB"/>
        </w:rPr>
        <w:t>.</w:t>
      </w:r>
      <w:r w:rsidR="008E2DE7" w:rsidRPr="009E6278">
        <w:rPr>
          <w:rStyle w:val="FootnoteReference"/>
          <w:lang w:val="en-GB"/>
        </w:rPr>
        <w:footnoteReference w:id="18"/>
      </w:r>
      <w:r w:rsidRPr="009E6278">
        <w:rPr>
          <w:lang w:val="en-GB"/>
        </w:rPr>
        <w:t xml:space="preserve"> UNDP</w:t>
      </w:r>
      <w:r w:rsidRPr="009E6278" w:rsidDel="00574AC8">
        <w:rPr>
          <w:lang w:val="en-GB"/>
        </w:rPr>
        <w:t xml:space="preserve"> </w:t>
      </w:r>
      <w:r w:rsidRPr="009E6278">
        <w:rPr>
          <w:lang w:val="en-GB"/>
        </w:rPr>
        <w:t xml:space="preserve">led the development of </w:t>
      </w:r>
      <w:r w:rsidR="00EC74F8" w:rsidRPr="009E6278">
        <w:rPr>
          <w:lang w:val="en-GB"/>
        </w:rPr>
        <w:t xml:space="preserve">the </w:t>
      </w:r>
      <w:r w:rsidR="00CF0E9B" w:rsidRPr="009E6278">
        <w:rPr>
          <w:lang w:val="en-GB"/>
        </w:rPr>
        <w:t>United Nations system</w:t>
      </w:r>
      <w:r w:rsidRPr="009E6278">
        <w:rPr>
          <w:lang w:val="en-GB"/>
        </w:rPr>
        <w:t xml:space="preserve">-wide </w:t>
      </w:r>
      <w:r w:rsidR="00CF0E9B" w:rsidRPr="009E6278">
        <w:rPr>
          <w:lang w:val="en-GB"/>
        </w:rPr>
        <w:t>socio-economic recovery</w:t>
      </w:r>
      <w:r w:rsidR="00CF0E9B" w:rsidRPr="009E6278" w:rsidDel="00536AD2">
        <w:rPr>
          <w:lang w:val="en-GB"/>
        </w:rPr>
        <w:t xml:space="preserve"> </w:t>
      </w:r>
      <w:r w:rsidR="00CF0E9B" w:rsidRPr="009E6278">
        <w:rPr>
          <w:lang w:val="en-GB"/>
        </w:rPr>
        <w:t>plan and COVID-19 socioeconomic reengineering and recovery strategies</w:t>
      </w:r>
      <w:r w:rsidRPr="009E6278">
        <w:rPr>
          <w:lang w:val="en-GB"/>
        </w:rPr>
        <w:t xml:space="preserve"> for national and county</w:t>
      </w:r>
      <w:r w:rsidR="00357B07" w:rsidRPr="009E6278">
        <w:rPr>
          <w:lang w:val="en-GB"/>
        </w:rPr>
        <w:t>-</w:t>
      </w:r>
      <w:r w:rsidRPr="009E6278">
        <w:rPr>
          <w:lang w:val="en-GB"/>
        </w:rPr>
        <w:t xml:space="preserve">level </w:t>
      </w:r>
      <w:r w:rsidR="003A5426" w:rsidRPr="009E6278">
        <w:rPr>
          <w:lang w:val="en-GB"/>
        </w:rPr>
        <w:t>g</w:t>
      </w:r>
      <w:r w:rsidRPr="009E6278">
        <w:rPr>
          <w:lang w:val="en-GB"/>
        </w:rPr>
        <w:t>overnment</w:t>
      </w:r>
      <w:r w:rsidR="003A5426" w:rsidRPr="009E6278">
        <w:rPr>
          <w:lang w:val="en-GB"/>
        </w:rPr>
        <w:t>s</w:t>
      </w:r>
      <w:r w:rsidR="00EC74F8" w:rsidRPr="009E6278">
        <w:rPr>
          <w:lang w:val="en-GB"/>
        </w:rPr>
        <w:t xml:space="preserve"> </w:t>
      </w:r>
    </w:p>
    <w:p w14:paraId="3BAE45D2" w14:textId="68D763CE" w:rsidR="0033424D" w:rsidRPr="009E6278" w:rsidRDefault="00CF0E9B" w:rsidP="00143015">
      <w:pPr>
        <w:pStyle w:val="ListParagraph"/>
        <w:numPr>
          <w:ilvl w:val="0"/>
          <w:numId w:val="8"/>
        </w:numPr>
        <w:tabs>
          <w:tab w:val="left" w:pos="1170"/>
        </w:tabs>
        <w:spacing w:after="120" w:line="240" w:lineRule="exact"/>
        <w:ind w:left="810" w:right="720" w:firstLine="0"/>
        <w:jc w:val="both"/>
        <w:rPr>
          <w:lang w:val="en-GB"/>
        </w:rPr>
      </w:pPr>
      <w:r w:rsidRPr="00547151">
        <w:rPr>
          <w:lang w:val="en-GB"/>
        </w:rPr>
        <w:t xml:space="preserve">The </w:t>
      </w:r>
      <w:r w:rsidR="006268F7" w:rsidRPr="00547151">
        <w:rPr>
          <w:lang w:val="en-GB"/>
        </w:rPr>
        <w:t xml:space="preserve">Kenya Constitution promotes a youth-centric </w:t>
      </w:r>
      <w:r w:rsidR="00EA1CDA" w:rsidRPr="00547151">
        <w:rPr>
          <w:lang w:val="en-GB"/>
        </w:rPr>
        <w:t>approach, gender equality and women’s empowerment</w:t>
      </w:r>
      <w:r w:rsidR="006268F7" w:rsidRPr="00547151">
        <w:rPr>
          <w:lang w:val="en-GB"/>
        </w:rPr>
        <w:t>. This</w:t>
      </w:r>
      <w:r w:rsidR="004063AE" w:rsidRPr="00547151">
        <w:rPr>
          <w:lang w:val="en-GB"/>
        </w:rPr>
        <w:t xml:space="preserve"> </w:t>
      </w:r>
      <w:r w:rsidR="006268F7" w:rsidRPr="00547151">
        <w:rPr>
          <w:lang w:val="en-GB"/>
        </w:rPr>
        <w:t xml:space="preserve">acknowledges </w:t>
      </w:r>
      <w:r w:rsidR="00074436" w:rsidRPr="00547151">
        <w:rPr>
          <w:lang w:val="en-GB"/>
        </w:rPr>
        <w:t>75</w:t>
      </w:r>
      <w:r w:rsidR="00BE2B75" w:rsidRPr="00547151">
        <w:rPr>
          <w:lang w:val="en-GB"/>
        </w:rPr>
        <w:t xml:space="preserve"> per cent</w:t>
      </w:r>
      <w:r w:rsidR="00074436" w:rsidRPr="00547151">
        <w:rPr>
          <w:lang w:val="en-GB"/>
        </w:rPr>
        <w:t xml:space="preserve"> </w:t>
      </w:r>
      <w:r w:rsidR="006F1B3B" w:rsidRPr="00547151">
        <w:rPr>
          <w:lang w:val="en-GB"/>
        </w:rPr>
        <w:t xml:space="preserve">of the population </w:t>
      </w:r>
      <w:r w:rsidR="00074436" w:rsidRPr="00547151">
        <w:rPr>
          <w:lang w:val="en-GB"/>
        </w:rPr>
        <w:t>below the age of 35 years</w:t>
      </w:r>
      <w:r w:rsidR="006268F7" w:rsidRPr="00547151">
        <w:rPr>
          <w:lang w:val="en-GB"/>
        </w:rPr>
        <w:t xml:space="preserve"> </w:t>
      </w:r>
      <w:r w:rsidR="00EA1CDA" w:rsidRPr="00547151">
        <w:rPr>
          <w:lang w:val="en-GB"/>
        </w:rPr>
        <w:t>and 51</w:t>
      </w:r>
      <w:r w:rsidRPr="00547151">
        <w:rPr>
          <w:lang w:val="en-GB"/>
        </w:rPr>
        <w:t> </w:t>
      </w:r>
      <w:r w:rsidR="00BE2B75" w:rsidRPr="00547151">
        <w:rPr>
          <w:lang w:val="en-GB"/>
        </w:rPr>
        <w:t>per cent</w:t>
      </w:r>
      <w:r w:rsidR="00EA1CDA" w:rsidRPr="00547151">
        <w:rPr>
          <w:lang w:val="en-GB"/>
        </w:rPr>
        <w:t xml:space="preserve"> females</w:t>
      </w:r>
      <w:r w:rsidR="000839CD" w:rsidRPr="00547151">
        <w:rPr>
          <w:lang w:val="en-GB"/>
        </w:rPr>
        <w:t xml:space="preserve"> </w:t>
      </w:r>
      <w:r w:rsidR="003F5C6C" w:rsidRPr="00547151">
        <w:rPr>
          <w:lang w:val="en-GB"/>
        </w:rPr>
        <w:t>among</w:t>
      </w:r>
      <w:r w:rsidR="00A75077" w:rsidRPr="00547151">
        <w:rPr>
          <w:lang w:val="en-GB"/>
        </w:rPr>
        <w:t xml:space="preserve"> </w:t>
      </w:r>
      <w:r w:rsidR="00A75077" w:rsidRPr="00547151">
        <w:rPr>
          <w:iCs/>
          <w:lang w:val="en-GB"/>
        </w:rPr>
        <w:t>47.6 million people</w:t>
      </w:r>
      <w:r w:rsidR="00EA1CDA" w:rsidRPr="00547151">
        <w:rPr>
          <w:lang w:val="en-GB"/>
        </w:rPr>
        <w:t>.</w:t>
      </w:r>
      <w:r w:rsidR="00DE6F8C" w:rsidRPr="00547151">
        <w:rPr>
          <w:rStyle w:val="FootnoteReference"/>
          <w:lang w:val="en-GB"/>
        </w:rPr>
        <w:footnoteReference w:id="19"/>
      </w:r>
      <w:r w:rsidR="00EA1CDA" w:rsidRPr="00547151">
        <w:rPr>
          <w:lang w:val="en-GB"/>
        </w:rPr>
        <w:t xml:space="preserve"> Whil</w:t>
      </w:r>
      <w:r w:rsidRPr="00547151">
        <w:rPr>
          <w:lang w:val="en-GB"/>
        </w:rPr>
        <w:t>e</w:t>
      </w:r>
      <w:r w:rsidR="00EA1CDA" w:rsidRPr="00547151">
        <w:rPr>
          <w:lang w:val="en-GB"/>
        </w:rPr>
        <w:t xml:space="preserve"> progress has been made in empowering women and youth, </w:t>
      </w:r>
      <w:r w:rsidR="00F96DA5" w:rsidRPr="00547151">
        <w:rPr>
          <w:lang w:val="en-GB"/>
        </w:rPr>
        <w:t xml:space="preserve">as well as </w:t>
      </w:r>
      <w:r w:rsidRPr="00547151">
        <w:rPr>
          <w:lang w:val="en-GB"/>
        </w:rPr>
        <w:t>p</w:t>
      </w:r>
      <w:r w:rsidR="00357B07" w:rsidRPr="00547151">
        <w:rPr>
          <w:lang w:val="en-GB"/>
        </w:rPr>
        <w:t>e</w:t>
      </w:r>
      <w:r w:rsidR="00F7483D" w:rsidRPr="00547151">
        <w:rPr>
          <w:lang w:val="en-GB"/>
        </w:rPr>
        <w:t>ople</w:t>
      </w:r>
      <w:r w:rsidR="00EC74F8" w:rsidRPr="00547151">
        <w:rPr>
          <w:lang w:val="en-GB"/>
        </w:rPr>
        <w:t xml:space="preserve"> </w:t>
      </w:r>
      <w:r w:rsidRPr="00547151">
        <w:rPr>
          <w:lang w:val="en-GB"/>
        </w:rPr>
        <w:t>w</w:t>
      </w:r>
      <w:r w:rsidR="00EC74F8" w:rsidRPr="00547151">
        <w:rPr>
          <w:lang w:val="en-GB"/>
        </w:rPr>
        <w:t xml:space="preserve">ith </w:t>
      </w:r>
      <w:r w:rsidRPr="00547151">
        <w:rPr>
          <w:lang w:val="en-GB"/>
        </w:rPr>
        <w:t>d</w:t>
      </w:r>
      <w:r w:rsidR="00EC74F8" w:rsidRPr="00547151">
        <w:rPr>
          <w:lang w:val="en-GB"/>
        </w:rPr>
        <w:t>isabilities</w:t>
      </w:r>
      <w:r w:rsidR="006D1255" w:rsidRPr="00547151">
        <w:rPr>
          <w:lang w:val="en-GB"/>
        </w:rPr>
        <w:t>, these groups</w:t>
      </w:r>
      <w:r w:rsidR="00F96DA5" w:rsidRPr="00547151">
        <w:rPr>
          <w:lang w:val="en-GB"/>
        </w:rPr>
        <w:t xml:space="preserve"> remain largely marginalized</w:t>
      </w:r>
      <w:r w:rsidR="000E4D75" w:rsidRPr="00547151">
        <w:rPr>
          <w:lang w:val="en-GB"/>
        </w:rPr>
        <w:t>.</w:t>
      </w:r>
      <w:r w:rsidR="007633C1" w:rsidRPr="00547151">
        <w:rPr>
          <w:lang w:val="en-GB"/>
        </w:rPr>
        <w:t xml:space="preserve"> </w:t>
      </w:r>
      <w:r w:rsidR="006268F7" w:rsidRPr="00547151">
        <w:rPr>
          <w:lang w:val="en-GB"/>
        </w:rPr>
        <w:t>The unemployment rate for youth aged 15-24 years is five times the national unemployment rate of 7.4</w:t>
      </w:r>
      <w:r w:rsidR="00BE2B75" w:rsidRPr="00547151">
        <w:rPr>
          <w:lang w:val="en-GB"/>
        </w:rPr>
        <w:t xml:space="preserve"> per cent</w:t>
      </w:r>
      <w:r w:rsidR="0000102F" w:rsidRPr="00547151">
        <w:rPr>
          <w:lang w:val="en-GB"/>
        </w:rPr>
        <w:t>,</w:t>
      </w:r>
      <w:r w:rsidR="000E4D75" w:rsidRPr="00547151">
        <w:rPr>
          <w:lang w:val="en-GB"/>
        </w:rPr>
        <w:t xml:space="preserve"> with an estimated future </w:t>
      </w:r>
      <w:r w:rsidR="006268F7" w:rsidRPr="00547151">
        <w:rPr>
          <w:lang w:val="en-GB"/>
        </w:rPr>
        <w:t xml:space="preserve">increase </w:t>
      </w:r>
      <w:r w:rsidR="000E4D75" w:rsidRPr="00547151">
        <w:rPr>
          <w:lang w:val="en-GB"/>
        </w:rPr>
        <w:t xml:space="preserve">due to </w:t>
      </w:r>
      <w:r w:rsidR="006268F7" w:rsidRPr="00547151">
        <w:rPr>
          <w:lang w:val="en-GB"/>
        </w:rPr>
        <w:t>more than 800,000</w:t>
      </w:r>
      <w:r w:rsidR="0000102F" w:rsidRPr="00547151">
        <w:rPr>
          <w:lang w:val="en-GB"/>
        </w:rPr>
        <w:t> </w:t>
      </w:r>
      <w:r w:rsidR="006268F7" w:rsidRPr="00547151">
        <w:rPr>
          <w:lang w:val="en-GB"/>
        </w:rPr>
        <w:t>youth entering the job market annually.</w:t>
      </w:r>
      <w:r w:rsidR="007633C1" w:rsidRPr="00547151">
        <w:rPr>
          <w:lang w:val="en-GB"/>
        </w:rPr>
        <w:t xml:space="preserve"> </w:t>
      </w:r>
      <w:r w:rsidR="006D1255" w:rsidRPr="00547151">
        <w:rPr>
          <w:lang w:val="en-GB"/>
        </w:rPr>
        <w:t>T</w:t>
      </w:r>
      <w:r w:rsidR="006B4A94" w:rsidRPr="00547151">
        <w:rPr>
          <w:lang w:val="en-GB"/>
        </w:rPr>
        <w:t xml:space="preserve">he </w:t>
      </w:r>
      <w:r w:rsidR="006268F7" w:rsidRPr="00547151">
        <w:rPr>
          <w:lang w:val="en-GB"/>
        </w:rPr>
        <w:t xml:space="preserve">exclusion of women </w:t>
      </w:r>
      <w:r w:rsidR="00832ECC" w:rsidRPr="00547151">
        <w:rPr>
          <w:lang w:val="en-GB"/>
        </w:rPr>
        <w:t xml:space="preserve">and youth </w:t>
      </w:r>
      <w:r w:rsidR="006268F7" w:rsidRPr="00547151">
        <w:rPr>
          <w:lang w:val="en-GB"/>
        </w:rPr>
        <w:t>in leadership, economic empowerment and decision-making spaces</w:t>
      </w:r>
      <w:r w:rsidR="006B4A94" w:rsidRPr="00547151">
        <w:rPr>
          <w:lang w:val="en-GB"/>
        </w:rPr>
        <w:t xml:space="preserve"> has continued, resulting </w:t>
      </w:r>
      <w:r w:rsidR="00EC74F8" w:rsidRPr="00547151">
        <w:rPr>
          <w:lang w:val="en-GB"/>
        </w:rPr>
        <w:t xml:space="preserve">in </w:t>
      </w:r>
      <w:r w:rsidR="006268F7" w:rsidRPr="00547151">
        <w:rPr>
          <w:lang w:val="en-GB"/>
        </w:rPr>
        <w:t>41</w:t>
      </w:r>
      <w:r w:rsidR="00BE2B75" w:rsidRPr="00547151">
        <w:rPr>
          <w:lang w:val="en-GB"/>
        </w:rPr>
        <w:t xml:space="preserve"> per cent</w:t>
      </w:r>
      <w:r w:rsidR="006268F7" w:rsidRPr="00547151">
        <w:rPr>
          <w:lang w:val="en-GB"/>
        </w:rPr>
        <w:t xml:space="preserve"> of women </w:t>
      </w:r>
      <w:r w:rsidR="006B4A94" w:rsidRPr="00547151">
        <w:rPr>
          <w:lang w:val="en-GB"/>
        </w:rPr>
        <w:t xml:space="preserve">being </w:t>
      </w:r>
      <w:r w:rsidR="006268F7" w:rsidRPr="00547151">
        <w:rPr>
          <w:lang w:val="en-GB"/>
        </w:rPr>
        <w:t xml:space="preserve">vulnerable to </w:t>
      </w:r>
      <w:r w:rsidR="006268F7" w:rsidRPr="00547151">
        <w:rPr>
          <w:lang w:val="en-GB"/>
        </w:rPr>
        <w:lastRenderedPageBreak/>
        <w:t xml:space="preserve">sexual and gender-based violence </w:t>
      </w:r>
      <w:r w:rsidR="0084043C" w:rsidRPr="00547151">
        <w:rPr>
          <w:lang w:val="en-GB"/>
        </w:rPr>
        <w:t xml:space="preserve">and </w:t>
      </w:r>
      <w:r w:rsidR="006268F7" w:rsidRPr="00547151">
        <w:rPr>
          <w:lang w:val="en-GB"/>
        </w:rPr>
        <w:t>29</w:t>
      </w:r>
      <w:r w:rsidR="00BE2B75" w:rsidRPr="00547151">
        <w:rPr>
          <w:lang w:val="en-GB"/>
        </w:rPr>
        <w:t xml:space="preserve"> per cent</w:t>
      </w:r>
      <w:r w:rsidR="006268F7" w:rsidRPr="00547151">
        <w:rPr>
          <w:lang w:val="en-GB"/>
        </w:rPr>
        <w:t xml:space="preserve"> of children in rural areas </w:t>
      </w:r>
      <w:r w:rsidR="006B4A94" w:rsidRPr="00547151">
        <w:rPr>
          <w:lang w:val="en-GB"/>
        </w:rPr>
        <w:t>being</w:t>
      </w:r>
      <w:r w:rsidR="006268F7" w:rsidRPr="00547151">
        <w:rPr>
          <w:lang w:val="en-GB"/>
        </w:rPr>
        <w:t xml:space="preserve"> affected by child marriage</w:t>
      </w:r>
      <w:r w:rsidR="00EC74F8" w:rsidRPr="00547151">
        <w:rPr>
          <w:lang w:val="en-GB"/>
        </w:rPr>
        <w:t>s</w:t>
      </w:r>
      <w:r w:rsidR="00321A43" w:rsidRPr="00547151">
        <w:rPr>
          <w:lang w:val="en-GB"/>
        </w:rPr>
        <w:t>.</w:t>
      </w:r>
      <w:r w:rsidR="006268F7" w:rsidRPr="00547151">
        <w:rPr>
          <w:rStyle w:val="FootnoteReference"/>
          <w:lang w:val="en-GB"/>
        </w:rPr>
        <w:footnoteReference w:id="20"/>
      </w:r>
    </w:p>
    <w:p w14:paraId="4D9C3E6E" w14:textId="2BC9E194" w:rsidR="002F73B0" w:rsidRPr="009E6278" w:rsidRDefault="006268F7" w:rsidP="00143015">
      <w:pPr>
        <w:pStyle w:val="ListParagraph"/>
        <w:numPr>
          <w:ilvl w:val="0"/>
          <w:numId w:val="8"/>
        </w:numPr>
        <w:tabs>
          <w:tab w:val="left" w:pos="1170"/>
        </w:tabs>
        <w:spacing w:after="120" w:line="240" w:lineRule="exact"/>
        <w:ind w:left="810" w:right="720" w:firstLine="0"/>
        <w:jc w:val="both"/>
        <w:rPr>
          <w:lang w:val="en-GB"/>
        </w:rPr>
      </w:pPr>
      <w:r w:rsidRPr="009E6278">
        <w:rPr>
          <w:lang w:val="en-GB"/>
        </w:rPr>
        <w:t xml:space="preserve">Vision 2030 aims to transform Kenya into a newly industrializing, middle-income country providing </w:t>
      </w:r>
      <w:r w:rsidR="00DB125F" w:rsidRPr="009E6278">
        <w:rPr>
          <w:lang w:val="en-GB"/>
        </w:rPr>
        <w:t xml:space="preserve">a </w:t>
      </w:r>
      <w:r w:rsidRPr="009E6278">
        <w:rPr>
          <w:lang w:val="en-GB"/>
        </w:rPr>
        <w:t xml:space="preserve">high quality </w:t>
      </w:r>
      <w:r w:rsidR="00EC74F8" w:rsidRPr="009E6278">
        <w:rPr>
          <w:lang w:val="en-GB"/>
        </w:rPr>
        <w:t xml:space="preserve">of </w:t>
      </w:r>
      <w:r w:rsidRPr="009E6278">
        <w:rPr>
          <w:lang w:val="en-GB"/>
        </w:rPr>
        <w:t>life</w:t>
      </w:r>
      <w:r w:rsidR="00DB125F" w:rsidRPr="009E6278">
        <w:rPr>
          <w:lang w:val="en-GB"/>
        </w:rPr>
        <w:t xml:space="preserve"> and</w:t>
      </w:r>
      <w:r w:rsidR="006F3539" w:rsidRPr="009E6278">
        <w:rPr>
          <w:lang w:val="en-GB"/>
        </w:rPr>
        <w:t xml:space="preserve"> a clean and secure environment for</w:t>
      </w:r>
      <w:r w:rsidRPr="009E6278">
        <w:rPr>
          <w:lang w:val="en-GB"/>
        </w:rPr>
        <w:t xml:space="preserve"> all citizens. Central to the vision is </w:t>
      </w:r>
      <w:r w:rsidR="00DB125F" w:rsidRPr="009E6278">
        <w:rPr>
          <w:lang w:val="en-GB"/>
        </w:rPr>
        <w:t xml:space="preserve">the </w:t>
      </w:r>
      <w:r w:rsidRPr="009E6278">
        <w:rPr>
          <w:lang w:val="en-GB"/>
        </w:rPr>
        <w:t>2030</w:t>
      </w:r>
      <w:r w:rsidR="00DB125F" w:rsidRPr="009E6278">
        <w:rPr>
          <w:lang w:val="en-GB"/>
        </w:rPr>
        <w:t xml:space="preserve"> Agenda for Sustainable Development</w:t>
      </w:r>
      <w:r w:rsidRPr="009E6278">
        <w:rPr>
          <w:lang w:val="en-GB"/>
        </w:rPr>
        <w:t xml:space="preserve">, considered to have a transformative impact for the people of Kenya </w:t>
      </w:r>
      <w:r w:rsidR="00F96DA5" w:rsidRPr="009E6278">
        <w:rPr>
          <w:lang w:val="en-GB"/>
        </w:rPr>
        <w:t>and being</w:t>
      </w:r>
      <w:r w:rsidRPr="009E6278">
        <w:rPr>
          <w:lang w:val="en-GB"/>
        </w:rPr>
        <w:t xml:space="preserve"> implemented through five-year </w:t>
      </w:r>
      <w:r w:rsidR="00DB125F" w:rsidRPr="009E6278">
        <w:rPr>
          <w:lang w:val="en-GB"/>
        </w:rPr>
        <w:t>m</w:t>
      </w:r>
      <w:r w:rsidRPr="009E6278">
        <w:rPr>
          <w:lang w:val="en-GB"/>
        </w:rPr>
        <w:t>edium</w:t>
      </w:r>
      <w:r w:rsidR="00DB125F" w:rsidRPr="009E6278">
        <w:rPr>
          <w:lang w:val="en-GB"/>
        </w:rPr>
        <w:t>-t</w:t>
      </w:r>
      <w:r w:rsidRPr="009E6278">
        <w:rPr>
          <w:lang w:val="en-GB"/>
        </w:rPr>
        <w:t xml:space="preserve">erm </w:t>
      </w:r>
      <w:r w:rsidR="004063F3" w:rsidRPr="00547151">
        <w:rPr>
          <w:lang w:val="en-GB"/>
        </w:rPr>
        <w:t>plans</w:t>
      </w:r>
      <w:r w:rsidR="006B4A94" w:rsidRPr="009E6278">
        <w:rPr>
          <w:lang w:val="en-GB"/>
        </w:rPr>
        <w:t>. T</w:t>
      </w:r>
      <w:r w:rsidRPr="009E6278">
        <w:rPr>
          <w:lang w:val="en-GB"/>
        </w:rPr>
        <w:t xml:space="preserve">he current </w:t>
      </w:r>
      <w:r w:rsidR="00DB125F" w:rsidRPr="009E6278">
        <w:rPr>
          <w:lang w:val="en-GB"/>
        </w:rPr>
        <w:t>plan, ‘</w:t>
      </w:r>
      <w:r w:rsidRPr="009E6278">
        <w:rPr>
          <w:lang w:val="en-GB"/>
        </w:rPr>
        <w:t>MTP</w:t>
      </w:r>
      <w:r w:rsidR="004063F3" w:rsidRPr="00547151">
        <w:rPr>
          <w:lang w:val="en-GB"/>
        </w:rPr>
        <w:t>-</w:t>
      </w:r>
      <w:r w:rsidRPr="009E6278">
        <w:rPr>
          <w:lang w:val="en-GB"/>
        </w:rPr>
        <w:t>III</w:t>
      </w:r>
      <w:r w:rsidR="00DB125F" w:rsidRPr="009E6278">
        <w:rPr>
          <w:lang w:val="en-GB"/>
        </w:rPr>
        <w:t>’</w:t>
      </w:r>
      <w:r w:rsidRPr="009E6278">
        <w:rPr>
          <w:lang w:val="en-GB"/>
        </w:rPr>
        <w:t xml:space="preserve"> (2018</w:t>
      </w:r>
      <w:r w:rsidR="00DB125F" w:rsidRPr="009E6278">
        <w:rPr>
          <w:lang w:val="en-GB"/>
        </w:rPr>
        <w:t>-20</w:t>
      </w:r>
      <w:r w:rsidRPr="009E6278">
        <w:rPr>
          <w:lang w:val="en-GB"/>
        </w:rPr>
        <w:t>22)</w:t>
      </w:r>
      <w:r w:rsidR="00DB125F" w:rsidRPr="009E6278">
        <w:rPr>
          <w:lang w:val="en-GB"/>
        </w:rPr>
        <w:t>,</w:t>
      </w:r>
      <w:r w:rsidR="006B4A94" w:rsidRPr="009E6278">
        <w:rPr>
          <w:lang w:val="en-GB"/>
        </w:rPr>
        <w:t xml:space="preserve"> is under review with support from UNDP </w:t>
      </w:r>
      <w:r w:rsidR="005B01A6" w:rsidRPr="009E6278">
        <w:rPr>
          <w:lang w:val="en-GB"/>
        </w:rPr>
        <w:t xml:space="preserve">in </w:t>
      </w:r>
      <w:r w:rsidR="006B4A94" w:rsidRPr="009E6278">
        <w:rPr>
          <w:lang w:val="en-GB"/>
        </w:rPr>
        <w:t>p</w:t>
      </w:r>
      <w:r w:rsidRPr="009E6278">
        <w:rPr>
          <w:lang w:val="en-GB"/>
        </w:rPr>
        <w:t xml:space="preserve">reparation for </w:t>
      </w:r>
      <w:r w:rsidR="00DB125F" w:rsidRPr="009E6278">
        <w:rPr>
          <w:lang w:val="en-GB"/>
        </w:rPr>
        <w:t>‘</w:t>
      </w:r>
      <w:r w:rsidRPr="009E6278">
        <w:rPr>
          <w:lang w:val="en-GB"/>
        </w:rPr>
        <w:t>MTP</w:t>
      </w:r>
      <w:r w:rsidR="004063F3" w:rsidRPr="00547151">
        <w:rPr>
          <w:lang w:val="en-GB"/>
        </w:rPr>
        <w:t>-</w:t>
      </w:r>
      <w:r w:rsidRPr="009E6278">
        <w:rPr>
          <w:lang w:val="en-GB"/>
        </w:rPr>
        <w:t>IV</w:t>
      </w:r>
      <w:r w:rsidR="00DB125F" w:rsidRPr="009E6278">
        <w:rPr>
          <w:lang w:val="en-GB"/>
        </w:rPr>
        <w:t>’</w:t>
      </w:r>
      <w:r w:rsidRPr="009E6278">
        <w:rPr>
          <w:lang w:val="en-GB"/>
        </w:rPr>
        <w:t xml:space="preserve"> </w:t>
      </w:r>
      <w:r w:rsidR="00A24816" w:rsidRPr="009E6278">
        <w:rPr>
          <w:lang w:val="en-GB"/>
        </w:rPr>
        <w:t>(</w:t>
      </w:r>
      <w:r w:rsidR="00E830EC" w:rsidRPr="009E6278">
        <w:rPr>
          <w:lang w:val="en-GB"/>
        </w:rPr>
        <w:t>2023-2027</w:t>
      </w:r>
      <w:r w:rsidR="00A24816" w:rsidRPr="009E6278">
        <w:rPr>
          <w:lang w:val="en-GB"/>
        </w:rPr>
        <w:t>)</w:t>
      </w:r>
      <w:r w:rsidR="003A5426" w:rsidRPr="009E6278">
        <w:rPr>
          <w:lang w:val="en-GB"/>
        </w:rPr>
        <w:t xml:space="preserve"> </w:t>
      </w:r>
      <w:r w:rsidR="005B01A6" w:rsidRPr="009E6278">
        <w:rPr>
          <w:lang w:val="en-GB"/>
        </w:rPr>
        <w:t>formulation</w:t>
      </w:r>
      <w:r w:rsidR="006B4A94" w:rsidRPr="009E6278">
        <w:rPr>
          <w:lang w:val="en-GB"/>
        </w:rPr>
        <w:t xml:space="preserve">. </w:t>
      </w:r>
      <w:r w:rsidRPr="009E6278">
        <w:rPr>
          <w:lang w:val="en-GB"/>
        </w:rPr>
        <w:t>Kenya has adopted a whole</w:t>
      </w:r>
      <w:r w:rsidR="00DB125F" w:rsidRPr="009E6278">
        <w:rPr>
          <w:lang w:val="en-GB"/>
        </w:rPr>
        <w:t>-</w:t>
      </w:r>
      <w:r w:rsidRPr="009E6278">
        <w:rPr>
          <w:lang w:val="en-GB"/>
        </w:rPr>
        <w:t>of</w:t>
      </w:r>
      <w:r w:rsidR="00DB125F" w:rsidRPr="009E6278">
        <w:rPr>
          <w:lang w:val="en-GB"/>
        </w:rPr>
        <w:t>-</w:t>
      </w:r>
      <w:r w:rsidRPr="009E6278">
        <w:rPr>
          <w:lang w:val="en-GB"/>
        </w:rPr>
        <w:t>government and whole</w:t>
      </w:r>
      <w:r w:rsidR="00DB125F" w:rsidRPr="009E6278">
        <w:rPr>
          <w:lang w:val="en-GB"/>
        </w:rPr>
        <w:t>-</w:t>
      </w:r>
      <w:r w:rsidRPr="009E6278">
        <w:rPr>
          <w:lang w:val="en-GB"/>
        </w:rPr>
        <w:t>of</w:t>
      </w:r>
      <w:r w:rsidR="00DB125F" w:rsidRPr="009E6278">
        <w:rPr>
          <w:lang w:val="en-GB"/>
        </w:rPr>
        <w:t>-</w:t>
      </w:r>
      <w:r w:rsidRPr="009E6278">
        <w:rPr>
          <w:lang w:val="en-GB"/>
        </w:rPr>
        <w:t>society approach towards implement</w:t>
      </w:r>
      <w:r w:rsidR="003F5C6C" w:rsidRPr="00547151">
        <w:rPr>
          <w:lang w:val="en-GB"/>
        </w:rPr>
        <w:t xml:space="preserve">ing </w:t>
      </w:r>
      <w:r w:rsidR="00DB125F" w:rsidRPr="009E6278">
        <w:rPr>
          <w:lang w:val="en-GB"/>
        </w:rPr>
        <w:t>Sustainable Development Goals</w:t>
      </w:r>
      <w:r w:rsidR="006B4A94" w:rsidRPr="009E6278">
        <w:rPr>
          <w:lang w:val="en-GB"/>
        </w:rPr>
        <w:t xml:space="preserve">, where </w:t>
      </w:r>
      <w:r w:rsidR="004063F3" w:rsidRPr="00547151">
        <w:rPr>
          <w:lang w:val="en-GB"/>
        </w:rPr>
        <w:t xml:space="preserve">its </w:t>
      </w:r>
      <w:r w:rsidRPr="009E6278">
        <w:rPr>
          <w:lang w:val="en-GB"/>
        </w:rPr>
        <w:t>planning framework</w:t>
      </w:r>
      <w:r w:rsidR="00BE14A0" w:rsidRPr="009E6278">
        <w:rPr>
          <w:lang w:val="en-GB"/>
        </w:rPr>
        <w:t>s</w:t>
      </w:r>
      <w:r w:rsidR="00B55556" w:rsidRPr="009E6278">
        <w:rPr>
          <w:lang w:val="en-GB"/>
        </w:rPr>
        <w:t>,</w:t>
      </w:r>
      <w:r w:rsidRPr="009E6278">
        <w:rPr>
          <w:lang w:val="en-GB"/>
        </w:rPr>
        <w:t xml:space="preserve"> </w:t>
      </w:r>
      <w:r w:rsidR="006B4A94" w:rsidRPr="009E6278">
        <w:rPr>
          <w:lang w:val="en-GB"/>
        </w:rPr>
        <w:t xml:space="preserve">including </w:t>
      </w:r>
      <w:r w:rsidRPr="009E6278">
        <w:rPr>
          <w:lang w:val="en-GB"/>
        </w:rPr>
        <w:t xml:space="preserve">the </w:t>
      </w:r>
      <w:r w:rsidR="00DB125F" w:rsidRPr="009E6278">
        <w:rPr>
          <w:lang w:val="en-GB"/>
        </w:rPr>
        <w:t>medium-term plans</w:t>
      </w:r>
      <w:r w:rsidRPr="009E6278">
        <w:rPr>
          <w:lang w:val="en-GB"/>
        </w:rPr>
        <w:t xml:space="preserve">, </w:t>
      </w:r>
      <w:r w:rsidR="00DB125F" w:rsidRPr="009E6278">
        <w:rPr>
          <w:lang w:val="en-GB"/>
        </w:rPr>
        <w:t>county integrated development pla</w:t>
      </w:r>
      <w:r w:rsidRPr="009E6278">
        <w:rPr>
          <w:lang w:val="en-GB"/>
        </w:rPr>
        <w:t>ns</w:t>
      </w:r>
      <w:r w:rsidR="003A5426" w:rsidRPr="009E6278">
        <w:rPr>
          <w:lang w:val="en-GB"/>
        </w:rPr>
        <w:t xml:space="preserve"> and other key strategic plans, </w:t>
      </w:r>
      <w:r w:rsidRPr="009E6278">
        <w:rPr>
          <w:lang w:val="en-GB"/>
        </w:rPr>
        <w:t xml:space="preserve">are consistent with </w:t>
      </w:r>
      <w:r w:rsidR="00DB125F" w:rsidRPr="009E6278">
        <w:rPr>
          <w:lang w:val="en-GB"/>
        </w:rPr>
        <w:t xml:space="preserve">the </w:t>
      </w:r>
      <w:r w:rsidRPr="009E6278">
        <w:rPr>
          <w:lang w:val="en-GB"/>
        </w:rPr>
        <w:t>2030</w:t>
      </w:r>
      <w:r w:rsidR="00DB125F" w:rsidRPr="009E6278">
        <w:rPr>
          <w:lang w:val="en-GB"/>
        </w:rPr>
        <w:t xml:space="preserve"> Agenda</w:t>
      </w:r>
      <w:r w:rsidRPr="009E6278">
        <w:rPr>
          <w:lang w:val="en-GB"/>
        </w:rPr>
        <w:t>.</w:t>
      </w:r>
    </w:p>
    <w:p w14:paraId="6B91A570" w14:textId="71AF9D22" w:rsidR="00EC4EF2" w:rsidRPr="009E6278" w:rsidRDefault="00165D92" w:rsidP="00143015">
      <w:pPr>
        <w:pStyle w:val="ListParagraph"/>
        <w:numPr>
          <w:ilvl w:val="0"/>
          <w:numId w:val="8"/>
        </w:numPr>
        <w:tabs>
          <w:tab w:val="left" w:pos="1170"/>
        </w:tabs>
        <w:spacing w:line="240" w:lineRule="exact"/>
        <w:ind w:left="810" w:right="720" w:firstLine="0"/>
        <w:jc w:val="both"/>
        <w:rPr>
          <w:lang w:val="en-GB"/>
        </w:rPr>
      </w:pPr>
      <w:r w:rsidRPr="009E6278">
        <w:rPr>
          <w:lang w:val="en-GB"/>
        </w:rPr>
        <w:t xml:space="preserve">The United Nations Sustainable Cooperation Framework, </w:t>
      </w:r>
      <w:r w:rsidR="006268F7" w:rsidRPr="009E6278">
        <w:rPr>
          <w:lang w:val="en-GB"/>
        </w:rPr>
        <w:t>2022-2026</w:t>
      </w:r>
      <w:r w:rsidRPr="009E6278">
        <w:rPr>
          <w:lang w:val="en-GB"/>
        </w:rPr>
        <w:t>,</w:t>
      </w:r>
      <w:r w:rsidR="006268F7" w:rsidRPr="009E6278">
        <w:rPr>
          <w:lang w:val="en-GB"/>
        </w:rPr>
        <w:t xml:space="preserve"> articulates the </w:t>
      </w:r>
      <w:r w:rsidR="003A5426" w:rsidRPr="009E6278">
        <w:rPr>
          <w:lang w:val="en-GB"/>
        </w:rPr>
        <w:t>U</w:t>
      </w:r>
      <w:r w:rsidRPr="009E6278">
        <w:rPr>
          <w:lang w:val="en-GB"/>
        </w:rPr>
        <w:t>nited Nations</w:t>
      </w:r>
      <w:r w:rsidR="003A5426" w:rsidRPr="009E6278">
        <w:rPr>
          <w:lang w:val="en-GB"/>
        </w:rPr>
        <w:t xml:space="preserve"> </w:t>
      </w:r>
      <w:r w:rsidR="006268F7" w:rsidRPr="009E6278">
        <w:rPr>
          <w:lang w:val="en-GB"/>
        </w:rPr>
        <w:t xml:space="preserve">contribution </w:t>
      </w:r>
      <w:r w:rsidR="003A5426" w:rsidRPr="009E6278">
        <w:rPr>
          <w:lang w:val="en-GB"/>
        </w:rPr>
        <w:t xml:space="preserve">to the achievement of </w:t>
      </w:r>
      <w:r w:rsidR="00841CAF" w:rsidRPr="009E6278">
        <w:rPr>
          <w:lang w:val="en-GB"/>
        </w:rPr>
        <w:t>Sustainable Development Goals</w:t>
      </w:r>
      <w:r w:rsidR="002349CE" w:rsidRPr="009E6278">
        <w:rPr>
          <w:lang w:val="en-GB"/>
        </w:rPr>
        <w:t>.</w:t>
      </w:r>
      <w:r w:rsidR="006268F7" w:rsidRPr="009E6278">
        <w:rPr>
          <w:lang w:val="en-GB"/>
        </w:rPr>
        <w:t xml:space="preserve"> </w:t>
      </w:r>
      <w:r w:rsidRPr="009E6278">
        <w:rPr>
          <w:lang w:val="en-GB"/>
        </w:rPr>
        <w:t xml:space="preserve">The </w:t>
      </w:r>
      <w:r w:rsidR="006268F7" w:rsidRPr="009E6278">
        <w:rPr>
          <w:lang w:val="en-GB"/>
        </w:rPr>
        <w:t xml:space="preserve">UNDP contribution </w:t>
      </w:r>
      <w:r w:rsidR="00373252" w:rsidRPr="009E6278">
        <w:rPr>
          <w:lang w:val="en-GB"/>
        </w:rPr>
        <w:t xml:space="preserve">is supported by the recommendations of </w:t>
      </w:r>
      <w:r w:rsidR="004063F3" w:rsidRPr="00547151">
        <w:rPr>
          <w:lang w:val="en-GB"/>
        </w:rPr>
        <w:t>the independent</w:t>
      </w:r>
      <w:r w:rsidR="006F3539" w:rsidRPr="009E6278">
        <w:rPr>
          <w:rStyle w:val="normaltextrun"/>
          <w:color w:val="000000" w:themeColor="text1"/>
          <w:lang w:val="en-GB"/>
        </w:rPr>
        <w:t xml:space="preserve"> </w:t>
      </w:r>
      <w:r w:rsidR="009B26B3" w:rsidRPr="009E6278">
        <w:rPr>
          <w:rStyle w:val="normaltextrun"/>
          <w:color w:val="000000" w:themeColor="text1"/>
          <w:lang w:val="en-GB"/>
        </w:rPr>
        <w:t>c</w:t>
      </w:r>
      <w:r w:rsidR="006F3539" w:rsidRPr="009E6278">
        <w:rPr>
          <w:rStyle w:val="normaltextrun"/>
          <w:color w:val="000000" w:themeColor="text1"/>
          <w:lang w:val="en-GB"/>
        </w:rPr>
        <w:t xml:space="preserve">ountry </w:t>
      </w:r>
      <w:r w:rsidR="009B26B3" w:rsidRPr="009E6278">
        <w:rPr>
          <w:rStyle w:val="normaltextrun"/>
          <w:color w:val="000000" w:themeColor="text1"/>
          <w:lang w:val="en-GB"/>
        </w:rPr>
        <w:t>p</w:t>
      </w:r>
      <w:r w:rsidR="006F3539" w:rsidRPr="009E6278">
        <w:rPr>
          <w:rStyle w:val="normaltextrun"/>
          <w:color w:val="000000" w:themeColor="text1"/>
          <w:lang w:val="en-GB"/>
        </w:rPr>
        <w:t xml:space="preserve">rogramme </w:t>
      </w:r>
      <w:r w:rsidR="009B26B3" w:rsidRPr="009E6278">
        <w:rPr>
          <w:rStyle w:val="normaltextrun"/>
          <w:color w:val="000000" w:themeColor="text1"/>
          <w:lang w:val="en-GB"/>
        </w:rPr>
        <w:t>e</w:t>
      </w:r>
      <w:r w:rsidR="006F3539" w:rsidRPr="009E6278">
        <w:rPr>
          <w:rStyle w:val="normaltextrun"/>
          <w:color w:val="000000" w:themeColor="text1"/>
          <w:lang w:val="en-GB"/>
        </w:rPr>
        <w:t>valuation</w:t>
      </w:r>
      <w:r w:rsidR="006F3539" w:rsidRPr="009E6278">
        <w:rPr>
          <w:rStyle w:val="FootnoteReference"/>
          <w:color w:val="000000" w:themeColor="text1"/>
          <w:lang w:val="en-GB"/>
        </w:rPr>
        <w:footnoteReference w:id="21"/>
      </w:r>
      <w:r w:rsidR="006F3539" w:rsidRPr="009E6278">
        <w:rPr>
          <w:rStyle w:val="normaltextrun"/>
          <w:color w:val="000000" w:themeColor="text1"/>
          <w:lang w:val="en-GB"/>
        </w:rPr>
        <w:t xml:space="preserve"> </w:t>
      </w:r>
      <w:r w:rsidR="00C96937" w:rsidRPr="009E6278">
        <w:rPr>
          <w:lang w:val="en-GB"/>
        </w:rPr>
        <w:t xml:space="preserve">and </w:t>
      </w:r>
      <w:r w:rsidR="006268F7" w:rsidRPr="009E6278">
        <w:rPr>
          <w:lang w:val="en-GB"/>
        </w:rPr>
        <w:t xml:space="preserve">based on its comparative advantage and integrator role: </w:t>
      </w:r>
      <w:r w:rsidR="00C46C39" w:rsidRPr="009E6278">
        <w:rPr>
          <w:lang w:val="en-GB"/>
        </w:rPr>
        <w:t>F</w:t>
      </w:r>
      <w:r w:rsidR="006268F7" w:rsidRPr="009E6278">
        <w:rPr>
          <w:lang w:val="en-GB"/>
        </w:rPr>
        <w:t>irst</w:t>
      </w:r>
      <w:r w:rsidR="008A6E44" w:rsidRPr="009E6278">
        <w:rPr>
          <w:lang w:val="en-GB"/>
        </w:rPr>
        <w:t>,</w:t>
      </w:r>
      <w:r w:rsidR="006268F7" w:rsidRPr="009E6278">
        <w:rPr>
          <w:lang w:val="en-GB"/>
        </w:rPr>
        <w:t xml:space="preserve"> </w:t>
      </w:r>
      <w:r w:rsidR="003A5426" w:rsidRPr="009E6278">
        <w:rPr>
          <w:lang w:val="en-GB"/>
        </w:rPr>
        <w:t xml:space="preserve">UNDP brings </w:t>
      </w:r>
      <w:r w:rsidR="006268F7" w:rsidRPr="009E6278">
        <w:rPr>
          <w:lang w:val="en-GB"/>
        </w:rPr>
        <w:t xml:space="preserve">its </w:t>
      </w:r>
      <w:r w:rsidR="006B4A94" w:rsidRPr="009E6278">
        <w:rPr>
          <w:lang w:val="en-GB"/>
        </w:rPr>
        <w:t xml:space="preserve">global </w:t>
      </w:r>
      <w:r w:rsidR="006268F7" w:rsidRPr="009E6278">
        <w:rPr>
          <w:lang w:val="en-GB"/>
        </w:rPr>
        <w:t xml:space="preserve">mandate as a lead development </w:t>
      </w:r>
      <w:r w:rsidR="00875695" w:rsidRPr="00547151">
        <w:rPr>
          <w:lang w:val="en-GB"/>
        </w:rPr>
        <w:t>entity</w:t>
      </w:r>
      <w:r w:rsidR="00875695" w:rsidRPr="009E6278">
        <w:rPr>
          <w:lang w:val="en-GB"/>
        </w:rPr>
        <w:t xml:space="preserve"> </w:t>
      </w:r>
      <w:r w:rsidR="006268F7" w:rsidRPr="009E6278">
        <w:rPr>
          <w:lang w:val="en-GB"/>
        </w:rPr>
        <w:t>through signature and integrated development solutions, and its repositioned offer for Africa. Second, UNDP builds on</w:t>
      </w:r>
      <w:r w:rsidR="008A6E44" w:rsidRPr="009E6278">
        <w:rPr>
          <w:lang w:val="en-GB"/>
        </w:rPr>
        <w:t xml:space="preserve"> lessons learn</w:t>
      </w:r>
      <w:r w:rsidR="00875695" w:rsidRPr="00547151">
        <w:rPr>
          <w:lang w:val="en-GB"/>
        </w:rPr>
        <w:t>ed</w:t>
      </w:r>
      <w:r w:rsidR="006268F7" w:rsidRPr="009E6278">
        <w:rPr>
          <w:lang w:val="en-GB"/>
        </w:rPr>
        <w:t xml:space="preserve"> and development results achieved during the previous </w:t>
      </w:r>
      <w:r w:rsidR="00875695" w:rsidRPr="00547151">
        <w:rPr>
          <w:lang w:val="en-GB"/>
        </w:rPr>
        <w:t>c</w:t>
      </w:r>
      <w:r w:rsidR="006268F7" w:rsidRPr="009E6278">
        <w:rPr>
          <w:lang w:val="en-GB"/>
        </w:rPr>
        <w:t xml:space="preserve">ountry </w:t>
      </w:r>
      <w:r w:rsidR="00875695" w:rsidRPr="00547151">
        <w:rPr>
          <w:lang w:val="en-GB"/>
        </w:rPr>
        <w:t>p</w:t>
      </w:r>
      <w:r w:rsidR="006268F7" w:rsidRPr="009E6278">
        <w:rPr>
          <w:lang w:val="en-GB"/>
        </w:rPr>
        <w:t>rogramme</w:t>
      </w:r>
      <w:r w:rsidR="008A6E44" w:rsidRPr="009E6278">
        <w:rPr>
          <w:lang w:val="en-GB"/>
        </w:rPr>
        <w:t>.</w:t>
      </w:r>
      <w:r w:rsidR="006268F7" w:rsidRPr="009E6278">
        <w:rPr>
          <w:lang w:val="en-GB"/>
        </w:rPr>
        <w:t xml:space="preserve"> Third, UNDP leverages its </w:t>
      </w:r>
      <w:r w:rsidR="00875695" w:rsidRPr="00547151">
        <w:rPr>
          <w:lang w:val="en-GB"/>
        </w:rPr>
        <w:t>g</w:t>
      </w:r>
      <w:r w:rsidR="006268F7" w:rsidRPr="009E6278">
        <w:rPr>
          <w:lang w:val="en-GB"/>
        </w:rPr>
        <w:t xml:space="preserve">lobal </w:t>
      </w:r>
      <w:r w:rsidR="00875695" w:rsidRPr="00547151">
        <w:rPr>
          <w:lang w:val="en-GB"/>
        </w:rPr>
        <w:t>p</w:t>
      </w:r>
      <w:r w:rsidR="006268F7" w:rsidRPr="009E6278">
        <w:rPr>
          <w:lang w:val="en-GB"/>
        </w:rPr>
        <w:t xml:space="preserve">olicy </w:t>
      </w:r>
      <w:r w:rsidR="00875695" w:rsidRPr="00547151">
        <w:rPr>
          <w:lang w:val="en-GB"/>
        </w:rPr>
        <w:t>n</w:t>
      </w:r>
      <w:r w:rsidR="006268F7" w:rsidRPr="009E6278">
        <w:rPr>
          <w:lang w:val="en-GB"/>
        </w:rPr>
        <w:t>etwork to provide speciali</w:t>
      </w:r>
      <w:r w:rsidR="006B4A94" w:rsidRPr="009E6278">
        <w:rPr>
          <w:lang w:val="en-GB"/>
        </w:rPr>
        <w:t>zed</w:t>
      </w:r>
      <w:r w:rsidR="006268F7" w:rsidRPr="009E6278">
        <w:rPr>
          <w:lang w:val="en-GB"/>
        </w:rPr>
        <w:t xml:space="preserve"> advice</w:t>
      </w:r>
      <w:r w:rsidR="00C414E4" w:rsidRPr="00547151">
        <w:rPr>
          <w:lang w:val="en-GB"/>
        </w:rPr>
        <w:t>,</w:t>
      </w:r>
      <w:r w:rsidR="006268F7" w:rsidRPr="009E6278">
        <w:rPr>
          <w:lang w:val="en-GB"/>
        </w:rPr>
        <w:t xml:space="preserve"> taking into account the unique </w:t>
      </w:r>
      <w:r w:rsidR="003A5426" w:rsidRPr="009E6278">
        <w:rPr>
          <w:lang w:val="en-GB"/>
        </w:rPr>
        <w:t xml:space="preserve">context </w:t>
      </w:r>
      <w:r w:rsidR="006268F7" w:rsidRPr="009E6278">
        <w:rPr>
          <w:lang w:val="en-GB"/>
        </w:rPr>
        <w:t xml:space="preserve">of Kenya </w:t>
      </w:r>
      <w:r w:rsidR="00875695" w:rsidRPr="00547151">
        <w:rPr>
          <w:lang w:val="en-GB"/>
        </w:rPr>
        <w:t>as</w:t>
      </w:r>
      <w:r w:rsidR="00875695" w:rsidRPr="009E6278">
        <w:rPr>
          <w:lang w:val="en-GB"/>
        </w:rPr>
        <w:t xml:space="preserve"> </w:t>
      </w:r>
      <w:r w:rsidR="003A5426" w:rsidRPr="009E6278">
        <w:rPr>
          <w:lang w:val="en-GB"/>
        </w:rPr>
        <w:t xml:space="preserve">the only </w:t>
      </w:r>
      <w:r w:rsidR="00595048" w:rsidRPr="009E6278">
        <w:rPr>
          <w:lang w:val="en-GB"/>
        </w:rPr>
        <w:t xml:space="preserve">country </w:t>
      </w:r>
      <w:r w:rsidR="003A5426" w:rsidRPr="009E6278">
        <w:rPr>
          <w:lang w:val="en-GB"/>
        </w:rPr>
        <w:t xml:space="preserve">in the </w:t>
      </w:r>
      <w:r w:rsidR="00875695" w:rsidRPr="00547151">
        <w:rPr>
          <w:lang w:val="en-GB"/>
        </w:rPr>
        <w:t>g</w:t>
      </w:r>
      <w:r w:rsidR="003A5426" w:rsidRPr="009E6278">
        <w:rPr>
          <w:lang w:val="en-GB"/>
        </w:rPr>
        <w:t xml:space="preserve">lobal South </w:t>
      </w:r>
      <w:r w:rsidR="00595048" w:rsidRPr="009E6278">
        <w:rPr>
          <w:lang w:val="en-GB"/>
        </w:rPr>
        <w:t>hosting U</w:t>
      </w:r>
      <w:r w:rsidR="00875695" w:rsidRPr="00547151">
        <w:rPr>
          <w:lang w:val="en-GB"/>
        </w:rPr>
        <w:t>nited Nations</w:t>
      </w:r>
      <w:r w:rsidR="00595048" w:rsidRPr="009E6278">
        <w:rPr>
          <w:lang w:val="en-GB"/>
        </w:rPr>
        <w:t xml:space="preserve"> </w:t>
      </w:r>
      <w:r w:rsidR="00875695" w:rsidRPr="00547151">
        <w:rPr>
          <w:lang w:val="en-GB"/>
        </w:rPr>
        <w:t>h</w:t>
      </w:r>
      <w:r w:rsidR="00595048" w:rsidRPr="009E6278">
        <w:rPr>
          <w:lang w:val="en-GB"/>
        </w:rPr>
        <w:t>eadquarters office</w:t>
      </w:r>
      <w:r w:rsidR="002E4788" w:rsidRPr="009E6278">
        <w:rPr>
          <w:lang w:val="en-GB"/>
        </w:rPr>
        <w:t>s</w:t>
      </w:r>
      <w:r w:rsidR="00595048" w:rsidRPr="009E6278">
        <w:rPr>
          <w:lang w:val="en-GB"/>
        </w:rPr>
        <w:t xml:space="preserve"> </w:t>
      </w:r>
      <w:r w:rsidR="003A5426" w:rsidRPr="009E6278">
        <w:rPr>
          <w:lang w:val="en-GB"/>
        </w:rPr>
        <w:t xml:space="preserve">and </w:t>
      </w:r>
      <w:r w:rsidR="006268F7" w:rsidRPr="009E6278">
        <w:rPr>
          <w:lang w:val="en-GB"/>
        </w:rPr>
        <w:t xml:space="preserve">where </w:t>
      </w:r>
      <w:r w:rsidR="003A5426" w:rsidRPr="009E6278">
        <w:rPr>
          <w:lang w:val="en-GB"/>
        </w:rPr>
        <w:t xml:space="preserve">UNDP </w:t>
      </w:r>
      <w:r w:rsidR="00595048" w:rsidRPr="009E6278">
        <w:rPr>
          <w:lang w:val="en-GB"/>
        </w:rPr>
        <w:t xml:space="preserve">boasts </w:t>
      </w:r>
      <w:r w:rsidR="006268F7" w:rsidRPr="009E6278">
        <w:rPr>
          <w:lang w:val="en-GB"/>
        </w:rPr>
        <w:t>global, regional</w:t>
      </w:r>
      <w:r w:rsidR="00DA3247" w:rsidRPr="009E6278">
        <w:rPr>
          <w:lang w:val="en-GB"/>
        </w:rPr>
        <w:t>,</w:t>
      </w:r>
      <w:r w:rsidR="006268F7" w:rsidRPr="009E6278">
        <w:rPr>
          <w:lang w:val="en-GB"/>
        </w:rPr>
        <w:t xml:space="preserve"> country and </w:t>
      </w:r>
      <w:r w:rsidR="00875695" w:rsidRPr="00547151">
        <w:rPr>
          <w:lang w:val="en-GB"/>
        </w:rPr>
        <w:t>United Nations Volunteers</w:t>
      </w:r>
      <w:r w:rsidR="0072719D" w:rsidRPr="009E6278">
        <w:rPr>
          <w:rStyle w:val="FootnoteReference"/>
          <w:lang w:val="en-GB"/>
        </w:rPr>
        <w:footnoteReference w:id="22"/>
      </w:r>
      <w:r w:rsidR="006268F7" w:rsidRPr="009E6278">
        <w:rPr>
          <w:lang w:val="en-GB"/>
        </w:rPr>
        <w:t xml:space="preserve"> presence. Fourth, UNDP will continue to be the platform </w:t>
      </w:r>
      <w:r w:rsidR="00851395" w:rsidRPr="009E6278">
        <w:rPr>
          <w:lang w:val="en-GB"/>
        </w:rPr>
        <w:t xml:space="preserve">for </w:t>
      </w:r>
      <w:r w:rsidR="00875695" w:rsidRPr="00547151">
        <w:rPr>
          <w:lang w:val="en-GB"/>
        </w:rPr>
        <w:t>m</w:t>
      </w:r>
      <w:r w:rsidR="00851395" w:rsidRPr="009E6278">
        <w:rPr>
          <w:lang w:val="en-GB"/>
        </w:rPr>
        <w:t xml:space="preserve">ainstreaming, </w:t>
      </w:r>
      <w:r w:rsidR="00875695" w:rsidRPr="00547151">
        <w:rPr>
          <w:lang w:val="en-GB"/>
        </w:rPr>
        <w:t>a</w:t>
      </w:r>
      <w:r w:rsidR="00851395" w:rsidRPr="009E6278">
        <w:rPr>
          <w:lang w:val="en-GB"/>
        </w:rPr>
        <w:t>cceleration</w:t>
      </w:r>
      <w:r w:rsidR="006B316E" w:rsidRPr="009E6278">
        <w:rPr>
          <w:lang w:val="en-GB"/>
        </w:rPr>
        <w:t xml:space="preserve"> and </w:t>
      </w:r>
      <w:r w:rsidR="00875695" w:rsidRPr="00547151">
        <w:rPr>
          <w:lang w:val="en-GB"/>
        </w:rPr>
        <w:t>p</w:t>
      </w:r>
      <w:r w:rsidR="00BC72BF" w:rsidRPr="009E6278">
        <w:rPr>
          <w:lang w:val="en-GB"/>
        </w:rPr>
        <w:t xml:space="preserve">olicy </w:t>
      </w:r>
      <w:r w:rsidR="00875695" w:rsidRPr="00547151">
        <w:rPr>
          <w:lang w:val="en-GB"/>
        </w:rPr>
        <w:t>s</w:t>
      </w:r>
      <w:r w:rsidR="00BC72BF" w:rsidRPr="009E6278">
        <w:rPr>
          <w:lang w:val="en-GB"/>
        </w:rPr>
        <w:t xml:space="preserve">upport </w:t>
      </w:r>
      <w:r w:rsidR="006268F7" w:rsidRPr="009E6278">
        <w:rPr>
          <w:lang w:val="en-GB"/>
        </w:rPr>
        <w:t xml:space="preserve">on the </w:t>
      </w:r>
      <w:r w:rsidR="00841CAF" w:rsidRPr="009E6278">
        <w:rPr>
          <w:lang w:val="en-GB"/>
        </w:rPr>
        <w:t>Sustainable Development Goals</w:t>
      </w:r>
      <w:r w:rsidR="006268F7" w:rsidRPr="009E6278">
        <w:rPr>
          <w:lang w:val="en-GB"/>
        </w:rPr>
        <w:t xml:space="preserve">. </w:t>
      </w:r>
      <w:r w:rsidR="00875695" w:rsidRPr="00547151">
        <w:rPr>
          <w:lang w:val="en-GB"/>
        </w:rPr>
        <w:t>Its</w:t>
      </w:r>
      <w:r w:rsidR="00875695" w:rsidRPr="009E6278">
        <w:rPr>
          <w:lang w:val="en-GB"/>
        </w:rPr>
        <w:t xml:space="preserve"> </w:t>
      </w:r>
      <w:r w:rsidR="00875695" w:rsidRPr="00547151">
        <w:rPr>
          <w:lang w:val="en-GB"/>
        </w:rPr>
        <w:t>d</w:t>
      </w:r>
      <w:r w:rsidR="007B640D" w:rsidRPr="009E6278">
        <w:rPr>
          <w:lang w:val="en-GB"/>
        </w:rPr>
        <w:t xml:space="preserve">evelopment </w:t>
      </w:r>
      <w:r w:rsidR="00875695" w:rsidRPr="00547151">
        <w:rPr>
          <w:lang w:val="en-GB"/>
        </w:rPr>
        <w:t>e</w:t>
      </w:r>
      <w:r w:rsidR="007B640D" w:rsidRPr="009E6278">
        <w:rPr>
          <w:lang w:val="en-GB"/>
        </w:rPr>
        <w:t xml:space="preserve">ffectiveness </w:t>
      </w:r>
      <w:r w:rsidR="00875695" w:rsidRPr="00547151">
        <w:rPr>
          <w:lang w:val="en-GB"/>
        </w:rPr>
        <w:t>c</w:t>
      </w:r>
      <w:r w:rsidR="007B640D" w:rsidRPr="009E6278">
        <w:rPr>
          <w:lang w:val="en-GB"/>
        </w:rPr>
        <w:t xml:space="preserve">ooperation and </w:t>
      </w:r>
      <w:r w:rsidR="00875695" w:rsidRPr="00547151">
        <w:rPr>
          <w:lang w:val="en-GB"/>
        </w:rPr>
        <w:t>r</w:t>
      </w:r>
      <w:r w:rsidR="007B640D" w:rsidRPr="009E6278">
        <w:rPr>
          <w:lang w:val="en-GB"/>
        </w:rPr>
        <w:t>ecovery programme</w:t>
      </w:r>
      <w:r w:rsidR="006268F7" w:rsidRPr="009E6278">
        <w:rPr>
          <w:lang w:val="en-GB"/>
        </w:rPr>
        <w:t xml:space="preserve"> will serve as an </w:t>
      </w:r>
      <w:r w:rsidR="00875695" w:rsidRPr="00547151">
        <w:rPr>
          <w:lang w:val="en-GB"/>
        </w:rPr>
        <w:t>‘</w:t>
      </w:r>
      <w:r w:rsidR="006268F7" w:rsidRPr="009E6278">
        <w:rPr>
          <w:lang w:val="en-GB"/>
        </w:rPr>
        <w:t>integrator programme</w:t>
      </w:r>
      <w:r w:rsidR="00875695" w:rsidRPr="00547151">
        <w:rPr>
          <w:lang w:val="en-GB"/>
        </w:rPr>
        <w:t>’</w:t>
      </w:r>
      <w:r w:rsidR="00C414E4" w:rsidRPr="00547151">
        <w:rPr>
          <w:lang w:val="en-GB"/>
        </w:rPr>
        <w:t>,</w:t>
      </w:r>
      <w:r w:rsidR="006268F7" w:rsidRPr="009E6278">
        <w:rPr>
          <w:lang w:val="en-GB"/>
        </w:rPr>
        <w:t xml:space="preserve"> supporting </w:t>
      </w:r>
      <w:r w:rsidR="00875695" w:rsidRPr="00547151">
        <w:rPr>
          <w:lang w:val="en-GB"/>
        </w:rPr>
        <w:t>Goals</w:t>
      </w:r>
      <w:r w:rsidR="00875695" w:rsidRPr="009E6278">
        <w:rPr>
          <w:lang w:val="en-GB"/>
        </w:rPr>
        <w:t xml:space="preserve"> </w:t>
      </w:r>
      <w:r w:rsidR="006268F7" w:rsidRPr="009E6278">
        <w:rPr>
          <w:lang w:val="en-GB"/>
        </w:rPr>
        <w:t xml:space="preserve">policy coherence and planning, financing, capacity strengthening for data, and multi-stakeholder coordination. </w:t>
      </w:r>
      <w:r w:rsidR="00B85C99" w:rsidRPr="009E6278">
        <w:rPr>
          <w:lang w:val="en-GB"/>
        </w:rPr>
        <w:t xml:space="preserve">The </w:t>
      </w:r>
      <w:r w:rsidR="00875695" w:rsidRPr="00547151">
        <w:rPr>
          <w:lang w:val="en-GB"/>
        </w:rPr>
        <w:t>a</w:t>
      </w:r>
      <w:r w:rsidR="00EC4EF2" w:rsidRPr="009E6278">
        <w:rPr>
          <w:lang w:val="en-GB"/>
        </w:rPr>
        <w:t xml:space="preserve">ccelerator </w:t>
      </w:r>
      <w:r w:rsidR="00875695" w:rsidRPr="00547151">
        <w:rPr>
          <w:lang w:val="en-GB"/>
        </w:rPr>
        <w:t>l</w:t>
      </w:r>
      <w:r w:rsidR="00EC4EF2" w:rsidRPr="009E6278">
        <w:rPr>
          <w:lang w:val="en-GB"/>
        </w:rPr>
        <w:t xml:space="preserve">ab </w:t>
      </w:r>
      <w:r w:rsidR="00B85C99" w:rsidRPr="009E6278">
        <w:rPr>
          <w:lang w:val="en-GB"/>
        </w:rPr>
        <w:t xml:space="preserve">would be utilized </w:t>
      </w:r>
      <w:r w:rsidR="00EC4EF2" w:rsidRPr="009E6278">
        <w:rPr>
          <w:lang w:val="en-GB"/>
        </w:rPr>
        <w:t xml:space="preserve">to drive entrepreneurship </w:t>
      </w:r>
      <w:r w:rsidR="00DA3247" w:rsidRPr="009E6278">
        <w:rPr>
          <w:lang w:val="en-GB"/>
        </w:rPr>
        <w:t xml:space="preserve">and innovation </w:t>
      </w:r>
      <w:r w:rsidR="00EC4EF2" w:rsidRPr="009E6278">
        <w:rPr>
          <w:lang w:val="en-GB"/>
        </w:rPr>
        <w:t xml:space="preserve">to address the </w:t>
      </w:r>
      <w:r w:rsidR="000E1959" w:rsidRPr="009E6278">
        <w:rPr>
          <w:lang w:val="en-GB"/>
        </w:rPr>
        <w:t xml:space="preserve">complex </w:t>
      </w:r>
      <w:r w:rsidR="00EC4EF2" w:rsidRPr="009E6278">
        <w:rPr>
          <w:lang w:val="en-GB"/>
        </w:rPr>
        <w:t>youth unemployment challenge</w:t>
      </w:r>
      <w:r w:rsidR="00875695" w:rsidRPr="00547151">
        <w:rPr>
          <w:lang w:val="en-GB"/>
        </w:rPr>
        <w:t>,</w:t>
      </w:r>
      <w:r w:rsidR="00B85C99" w:rsidRPr="009E6278">
        <w:rPr>
          <w:lang w:val="en-GB"/>
        </w:rPr>
        <w:t xml:space="preserve"> thereby reinforcing </w:t>
      </w:r>
      <w:r w:rsidR="00875695" w:rsidRPr="00547151">
        <w:rPr>
          <w:lang w:val="en-GB"/>
        </w:rPr>
        <w:t>the</w:t>
      </w:r>
      <w:r w:rsidR="00875695" w:rsidRPr="009E6278">
        <w:rPr>
          <w:lang w:val="en-GB"/>
        </w:rPr>
        <w:t xml:space="preserve"> </w:t>
      </w:r>
      <w:r w:rsidR="00B85C99" w:rsidRPr="009E6278">
        <w:rPr>
          <w:lang w:val="en-GB"/>
        </w:rPr>
        <w:t>integrator role</w:t>
      </w:r>
      <w:r w:rsidR="00875695" w:rsidRPr="00547151">
        <w:rPr>
          <w:lang w:val="en-GB"/>
        </w:rPr>
        <w:t xml:space="preserve"> of UNDP</w:t>
      </w:r>
      <w:r w:rsidR="00FF2B1F" w:rsidRPr="009E6278">
        <w:rPr>
          <w:lang w:val="en-GB"/>
        </w:rPr>
        <w:t xml:space="preserve">. </w:t>
      </w:r>
    </w:p>
    <w:p w14:paraId="2440D3DF" w14:textId="4459DE74" w:rsidR="00BD76A4" w:rsidRPr="009E6278" w:rsidRDefault="00BD76A4" w:rsidP="00E12397">
      <w:pPr>
        <w:spacing w:line="240" w:lineRule="exact"/>
        <w:ind w:left="810" w:right="720"/>
        <w:jc w:val="both"/>
        <w:rPr>
          <w:lang w:val="en-GB"/>
        </w:rPr>
      </w:pPr>
    </w:p>
    <w:p w14:paraId="2440D3E0" w14:textId="67D6A35A" w:rsidR="004820B0" w:rsidRPr="009E6278" w:rsidRDefault="004820B0" w:rsidP="00E12397">
      <w:pPr>
        <w:pStyle w:val="Heading2"/>
        <w:spacing w:line="240" w:lineRule="exact"/>
        <w:ind w:left="810" w:right="720" w:hanging="360"/>
        <w:jc w:val="both"/>
        <w:rPr>
          <w:rFonts w:ascii="Times New Roman" w:hAnsi="Times New Roman"/>
          <w:color w:val="000000"/>
          <w:spacing w:val="-3"/>
          <w:sz w:val="20"/>
          <w:lang w:val="en-GB"/>
        </w:rPr>
      </w:pPr>
      <w:r w:rsidRPr="009E6278">
        <w:rPr>
          <w:rFonts w:ascii="Times New Roman" w:hAnsi="Times New Roman"/>
          <w:bCs/>
          <w:color w:val="000000"/>
          <w:sz w:val="24"/>
          <w:szCs w:val="24"/>
          <w:lang w:val="en-GB"/>
        </w:rPr>
        <w:t>II.</w:t>
      </w:r>
      <w:r w:rsidR="00E12397" w:rsidRPr="009E6278">
        <w:rPr>
          <w:rFonts w:ascii="Times New Roman" w:hAnsi="Times New Roman"/>
          <w:bCs/>
          <w:color w:val="000000"/>
          <w:sz w:val="24"/>
          <w:szCs w:val="24"/>
          <w:lang w:val="en-GB"/>
        </w:rPr>
        <w:tab/>
      </w:r>
      <w:r w:rsidR="00677F8A" w:rsidRPr="009E6278">
        <w:rPr>
          <w:rFonts w:ascii="Times New Roman" w:hAnsi="Times New Roman"/>
          <w:bCs/>
          <w:color w:val="000000"/>
          <w:sz w:val="24"/>
          <w:szCs w:val="24"/>
          <w:lang w:val="en-GB"/>
        </w:rPr>
        <w:t xml:space="preserve">Programme </w:t>
      </w:r>
      <w:r w:rsidR="00E12397" w:rsidRPr="009E6278">
        <w:rPr>
          <w:rFonts w:ascii="Times New Roman" w:hAnsi="Times New Roman"/>
          <w:bCs/>
          <w:color w:val="000000"/>
          <w:sz w:val="24"/>
          <w:szCs w:val="24"/>
          <w:lang w:val="en-GB"/>
        </w:rPr>
        <w:t>p</w:t>
      </w:r>
      <w:r w:rsidR="00677F8A" w:rsidRPr="009E6278">
        <w:rPr>
          <w:rFonts w:ascii="Times New Roman" w:hAnsi="Times New Roman"/>
          <w:bCs/>
          <w:color w:val="000000"/>
          <w:sz w:val="24"/>
          <w:szCs w:val="24"/>
          <w:lang w:val="en-GB"/>
        </w:rPr>
        <w:t>riorities</w:t>
      </w:r>
      <w:r w:rsidR="002B6341" w:rsidRPr="009E6278">
        <w:rPr>
          <w:rFonts w:ascii="Times New Roman" w:hAnsi="Times New Roman"/>
          <w:bCs/>
          <w:color w:val="000000"/>
          <w:sz w:val="24"/>
          <w:szCs w:val="24"/>
          <w:lang w:val="en-GB"/>
        </w:rPr>
        <w:t xml:space="preserve"> </w:t>
      </w:r>
      <w:r w:rsidR="004736BE" w:rsidRPr="009E6278">
        <w:rPr>
          <w:rFonts w:ascii="Times New Roman" w:hAnsi="Times New Roman"/>
          <w:bCs/>
          <w:color w:val="000000"/>
          <w:sz w:val="24"/>
          <w:szCs w:val="24"/>
          <w:lang w:val="en-GB"/>
        </w:rPr>
        <w:t>and</w:t>
      </w:r>
      <w:r w:rsidR="00E67EED" w:rsidRPr="009E6278">
        <w:rPr>
          <w:rFonts w:ascii="Times New Roman" w:hAnsi="Times New Roman"/>
          <w:bCs/>
          <w:color w:val="000000"/>
          <w:sz w:val="24"/>
          <w:szCs w:val="24"/>
          <w:lang w:val="en-GB"/>
        </w:rPr>
        <w:t xml:space="preserve"> </w:t>
      </w:r>
      <w:r w:rsidR="00E12397" w:rsidRPr="009E6278">
        <w:rPr>
          <w:rFonts w:ascii="Times New Roman" w:hAnsi="Times New Roman"/>
          <w:bCs/>
          <w:color w:val="000000"/>
          <w:sz w:val="24"/>
          <w:szCs w:val="24"/>
          <w:lang w:val="en-GB"/>
        </w:rPr>
        <w:t>p</w:t>
      </w:r>
      <w:r w:rsidR="002B6341" w:rsidRPr="009E6278">
        <w:rPr>
          <w:rFonts w:ascii="Times New Roman" w:hAnsi="Times New Roman"/>
          <w:bCs/>
          <w:color w:val="000000"/>
          <w:sz w:val="24"/>
          <w:szCs w:val="24"/>
          <w:lang w:val="en-GB"/>
        </w:rPr>
        <w:t>artnerships</w:t>
      </w:r>
      <w:r w:rsidR="00074DB9" w:rsidRPr="009E6278">
        <w:rPr>
          <w:rFonts w:ascii="Times New Roman" w:hAnsi="Times New Roman"/>
          <w:bCs/>
          <w:color w:val="000000"/>
          <w:sz w:val="24"/>
          <w:szCs w:val="24"/>
          <w:lang w:val="en-GB"/>
        </w:rPr>
        <w:t xml:space="preserve"> </w:t>
      </w:r>
    </w:p>
    <w:p w14:paraId="2440D3E1" w14:textId="77777777" w:rsidR="00E42084" w:rsidRPr="009E6278" w:rsidRDefault="00E42084" w:rsidP="00E12397">
      <w:pPr>
        <w:spacing w:line="240" w:lineRule="exact"/>
        <w:ind w:left="810" w:right="720"/>
        <w:rPr>
          <w:lang w:val="en-GB"/>
        </w:rPr>
      </w:pPr>
    </w:p>
    <w:p w14:paraId="4E525BCC" w14:textId="435B9A95" w:rsidR="00CF29A5" w:rsidRPr="009E6278" w:rsidRDefault="00CF29A5" w:rsidP="00143015">
      <w:pPr>
        <w:pStyle w:val="ListParagraph"/>
        <w:numPr>
          <w:ilvl w:val="0"/>
          <w:numId w:val="8"/>
        </w:numPr>
        <w:tabs>
          <w:tab w:val="left" w:pos="1170"/>
        </w:tabs>
        <w:spacing w:after="120"/>
        <w:ind w:left="806" w:right="720" w:firstLine="0"/>
        <w:contextualSpacing/>
        <w:jc w:val="both"/>
        <w:rPr>
          <w:lang w:val="en-GB"/>
        </w:rPr>
      </w:pPr>
      <w:r w:rsidRPr="009E6278">
        <w:rPr>
          <w:lang w:val="en-GB"/>
        </w:rPr>
        <w:t xml:space="preserve">The </w:t>
      </w:r>
      <w:r w:rsidR="00252376" w:rsidRPr="00547151">
        <w:rPr>
          <w:color w:val="000000"/>
          <w:lang w:val="en-GB"/>
        </w:rPr>
        <w:t>c</w:t>
      </w:r>
      <w:r w:rsidRPr="009E6278">
        <w:rPr>
          <w:color w:val="000000"/>
          <w:lang w:val="en-GB"/>
        </w:rPr>
        <w:t xml:space="preserve">ountry </w:t>
      </w:r>
      <w:r w:rsidR="00252376" w:rsidRPr="00547151">
        <w:rPr>
          <w:color w:val="000000"/>
          <w:lang w:val="en-GB"/>
        </w:rPr>
        <w:t>p</w:t>
      </w:r>
      <w:r w:rsidRPr="009E6278">
        <w:rPr>
          <w:color w:val="000000"/>
          <w:lang w:val="en-GB"/>
        </w:rPr>
        <w:t xml:space="preserve">rogramme is aligned </w:t>
      </w:r>
      <w:r w:rsidR="00C414E4" w:rsidRPr="00547151">
        <w:rPr>
          <w:color w:val="000000"/>
          <w:lang w:val="en-GB"/>
        </w:rPr>
        <w:t>with</w:t>
      </w:r>
      <w:r w:rsidRPr="009E6278">
        <w:rPr>
          <w:color w:val="000000"/>
          <w:lang w:val="en-GB"/>
        </w:rPr>
        <w:t xml:space="preserve"> national development and</w:t>
      </w:r>
      <w:r w:rsidR="00E67EED" w:rsidRPr="009E6278">
        <w:rPr>
          <w:color w:val="000000"/>
          <w:lang w:val="en-GB"/>
        </w:rPr>
        <w:t xml:space="preserve"> </w:t>
      </w:r>
      <w:r w:rsidRPr="009E6278">
        <w:rPr>
          <w:color w:val="000000"/>
          <w:lang w:val="en-GB"/>
        </w:rPr>
        <w:t>recovery priorities</w:t>
      </w:r>
      <w:r w:rsidR="00ED48CC" w:rsidRPr="009E6278">
        <w:rPr>
          <w:color w:val="000000"/>
          <w:lang w:val="en-GB"/>
        </w:rPr>
        <w:t xml:space="preserve"> and </w:t>
      </w:r>
      <w:r w:rsidR="00252376" w:rsidRPr="00547151">
        <w:rPr>
          <w:color w:val="000000"/>
          <w:lang w:val="en-GB"/>
        </w:rPr>
        <w:t xml:space="preserve">follows </w:t>
      </w:r>
      <w:r w:rsidR="00986806" w:rsidRPr="009E6278">
        <w:rPr>
          <w:color w:val="000000"/>
          <w:lang w:val="en-GB"/>
        </w:rPr>
        <w:t>extensive consultations with key partners</w:t>
      </w:r>
      <w:r w:rsidR="002D3A0D" w:rsidRPr="009E6278">
        <w:rPr>
          <w:color w:val="000000"/>
          <w:lang w:val="en-GB"/>
        </w:rPr>
        <w:t>.</w:t>
      </w:r>
      <w:r w:rsidR="00986806" w:rsidRPr="009E6278">
        <w:rPr>
          <w:rStyle w:val="FootnoteReference"/>
          <w:lang w:val="en-GB"/>
        </w:rPr>
        <w:t xml:space="preserve"> </w:t>
      </w:r>
      <w:r w:rsidR="00986806" w:rsidRPr="009E6278">
        <w:rPr>
          <w:rStyle w:val="FootnoteReference"/>
          <w:lang w:val="en-GB"/>
        </w:rPr>
        <w:footnoteReference w:id="23"/>
      </w:r>
      <w:r w:rsidRPr="009E6278">
        <w:rPr>
          <w:color w:val="000000"/>
          <w:lang w:val="en-GB"/>
        </w:rPr>
        <w:t xml:space="preserve"> It is guided by the C</w:t>
      </w:r>
      <w:r w:rsidR="00252376" w:rsidRPr="00547151">
        <w:rPr>
          <w:color w:val="000000"/>
          <w:lang w:val="en-GB"/>
        </w:rPr>
        <w:t>ooperation Framework</w:t>
      </w:r>
      <w:r w:rsidRPr="009E6278">
        <w:rPr>
          <w:color w:val="000000"/>
          <w:lang w:val="en-GB"/>
        </w:rPr>
        <w:t xml:space="preserve">, </w:t>
      </w:r>
      <w:r w:rsidR="00252376" w:rsidRPr="00547151">
        <w:rPr>
          <w:color w:val="000000"/>
          <w:lang w:val="en-GB"/>
        </w:rPr>
        <w:t xml:space="preserve">the </w:t>
      </w:r>
      <w:r w:rsidRPr="009E6278">
        <w:rPr>
          <w:color w:val="000000"/>
          <w:lang w:val="en-GB"/>
        </w:rPr>
        <w:t>UNDP Strategic Plan</w:t>
      </w:r>
      <w:r w:rsidR="00252376" w:rsidRPr="00547151">
        <w:rPr>
          <w:color w:val="000000"/>
          <w:lang w:val="en-GB"/>
        </w:rPr>
        <w:t>,</w:t>
      </w:r>
      <w:r w:rsidRPr="009E6278">
        <w:rPr>
          <w:color w:val="000000"/>
          <w:lang w:val="en-GB"/>
        </w:rPr>
        <w:t xml:space="preserve"> 2022-2025</w:t>
      </w:r>
      <w:r w:rsidR="00252376" w:rsidRPr="00547151">
        <w:rPr>
          <w:color w:val="000000"/>
          <w:lang w:val="en-GB"/>
        </w:rPr>
        <w:t>,</w:t>
      </w:r>
      <w:r w:rsidR="00E96E7D" w:rsidRPr="009E6278">
        <w:rPr>
          <w:rStyle w:val="FootnoteReference"/>
          <w:color w:val="000000"/>
          <w:lang w:val="en-GB"/>
        </w:rPr>
        <w:footnoteReference w:id="24"/>
      </w:r>
      <w:r w:rsidRPr="009E6278">
        <w:rPr>
          <w:color w:val="000000"/>
          <w:lang w:val="en-GB"/>
        </w:rPr>
        <w:t xml:space="preserve"> </w:t>
      </w:r>
      <w:r w:rsidR="00827342" w:rsidRPr="009E6278">
        <w:rPr>
          <w:color w:val="000000"/>
          <w:lang w:val="en-GB"/>
        </w:rPr>
        <w:t xml:space="preserve">the UNDP </w:t>
      </w:r>
      <w:r w:rsidR="00252376" w:rsidRPr="00547151">
        <w:rPr>
          <w:color w:val="000000"/>
          <w:lang w:val="en-GB"/>
        </w:rPr>
        <w:t>g</w:t>
      </w:r>
      <w:r w:rsidR="00827342" w:rsidRPr="009E6278">
        <w:rPr>
          <w:color w:val="000000"/>
          <w:lang w:val="en-GB"/>
        </w:rPr>
        <w:t xml:space="preserve">ender </w:t>
      </w:r>
      <w:r w:rsidR="00252376" w:rsidRPr="00547151">
        <w:rPr>
          <w:color w:val="000000"/>
          <w:lang w:val="en-GB"/>
        </w:rPr>
        <w:t>s</w:t>
      </w:r>
      <w:r w:rsidR="00827342" w:rsidRPr="009E6278">
        <w:rPr>
          <w:color w:val="000000"/>
          <w:lang w:val="en-GB"/>
        </w:rPr>
        <w:t>trategy</w:t>
      </w:r>
      <w:r w:rsidR="00252376" w:rsidRPr="00547151">
        <w:rPr>
          <w:color w:val="000000"/>
          <w:lang w:val="en-GB"/>
        </w:rPr>
        <w:t>,</w:t>
      </w:r>
      <w:r w:rsidR="00827342" w:rsidRPr="009E6278">
        <w:rPr>
          <w:color w:val="000000"/>
          <w:lang w:val="en-GB"/>
        </w:rPr>
        <w:t xml:space="preserve"> </w:t>
      </w:r>
      <w:r w:rsidR="006422A9" w:rsidRPr="009E6278">
        <w:rPr>
          <w:color w:val="000000"/>
          <w:lang w:val="en-GB"/>
        </w:rPr>
        <w:t xml:space="preserve">2018-2021, </w:t>
      </w:r>
      <w:r w:rsidRPr="009E6278">
        <w:rPr>
          <w:color w:val="000000"/>
          <w:lang w:val="en-GB"/>
        </w:rPr>
        <w:t xml:space="preserve">the UNDP </w:t>
      </w:r>
      <w:r w:rsidR="00252376" w:rsidRPr="00547151">
        <w:rPr>
          <w:color w:val="000000"/>
          <w:lang w:val="en-GB"/>
        </w:rPr>
        <w:t>e</w:t>
      </w:r>
      <w:r w:rsidRPr="009E6278">
        <w:rPr>
          <w:color w:val="000000"/>
          <w:lang w:val="en-GB"/>
        </w:rPr>
        <w:t xml:space="preserve">nergy </w:t>
      </w:r>
      <w:r w:rsidR="00252376" w:rsidRPr="00547151">
        <w:rPr>
          <w:color w:val="000000"/>
          <w:lang w:val="en-GB"/>
        </w:rPr>
        <w:t>c</w:t>
      </w:r>
      <w:r w:rsidRPr="009E6278">
        <w:rPr>
          <w:color w:val="000000"/>
          <w:lang w:val="en-GB"/>
        </w:rPr>
        <w:t xml:space="preserve">ompact, the UNDP </w:t>
      </w:r>
      <w:r w:rsidR="00252376" w:rsidRPr="00547151">
        <w:rPr>
          <w:color w:val="000000"/>
          <w:lang w:val="en-GB"/>
        </w:rPr>
        <w:t>‘p</w:t>
      </w:r>
      <w:r w:rsidRPr="009E6278">
        <w:rPr>
          <w:color w:val="000000"/>
          <w:lang w:val="en-GB"/>
        </w:rPr>
        <w:t>eople 2030</w:t>
      </w:r>
      <w:r w:rsidR="00252376" w:rsidRPr="00547151">
        <w:rPr>
          <w:color w:val="000000"/>
          <w:lang w:val="en-GB"/>
        </w:rPr>
        <w:t>’</w:t>
      </w:r>
      <w:r w:rsidRPr="009E6278">
        <w:rPr>
          <w:color w:val="000000"/>
          <w:lang w:val="en-GB"/>
        </w:rPr>
        <w:t xml:space="preserve"> </w:t>
      </w:r>
      <w:r w:rsidR="00252376" w:rsidRPr="00547151">
        <w:rPr>
          <w:color w:val="000000"/>
          <w:lang w:val="en-GB"/>
        </w:rPr>
        <w:t>s</w:t>
      </w:r>
      <w:r w:rsidRPr="009E6278">
        <w:rPr>
          <w:color w:val="000000"/>
          <w:lang w:val="en-GB"/>
        </w:rPr>
        <w:t>trategy, and commitment to focus on youth, the principles of gender equality</w:t>
      </w:r>
      <w:r w:rsidR="00252376" w:rsidRPr="00547151">
        <w:rPr>
          <w:color w:val="000000"/>
          <w:lang w:val="en-GB"/>
        </w:rPr>
        <w:t>,</w:t>
      </w:r>
      <w:r w:rsidRPr="009E6278">
        <w:rPr>
          <w:color w:val="000000"/>
          <w:lang w:val="en-GB"/>
        </w:rPr>
        <w:t xml:space="preserve"> and </w:t>
      </w:r>
      <w:r w:rsidR="00252376" w:rsidRPr="009E6278">
        <w:rPr>
          <w:color w:val="000000"/>
          <w:lang w:val="en-GB"/>
        </w:rPr>
        <w:t>leaving no one behind</w:t>
      </w:r>
      <w:r w:rsidR="00252376" w:rsidRPr="009E6278">
        <w:rPr>
          <w:rFonts w:ascii="Helvetica" w:hAnsi="Helvetica"/>
          <w:color w:val="333333"/>
          <w:sz w:val="21"/>
          <w:szCs w:val="21"/>
          <w:shd w:val="clear" w:color="auto" w:fill="F5F5F5"/>
          <w:lang w:val="en-GB"/>
        </w:rPr>
        <w:t>,</w:t>
      </w:r>
      <w:r w:rsidR="003B53F6" w:rsidRPr="009E6278">
        <w:rPr>
          <w:color w:val="000000"/>
          <w:lang w:val="en-GB"/>
        </w:rPr>
        <w:t xml:space="preserve"> as identified in the </w:t>
      </w:r>
      <w:r w:rsidR="00252376" w:rsidRPr="00547151">
        <w:rPr>
          <w:color w:val="000000"/>
          <w:lang w:val="en-GB"/>
        </w:rPr>
        <w:t>c</w:t>
      </w:r>
      <w:r w:rsidR="003B53F6" w:rsidRPr="009E6278">
        <w:rPr>
          <w:color w:val="000000"/>
          <w:lang w:val="en-GB"/>
        </w:rPr>
        <w:t xml:space="preserve">ommon </w:t>
      </w:r>
      <w:r w:rsidR="00252376" w:rsidRPr="00547151">
        <w:rPr>
          <w:color w:val="000000"/>
          <w:lang w:val="en-GB"/>
        </w:rPr>
        <w:t>c</w:t>
      </w:r>
      <w:r w:rsidR="003B53F6" w:rsidRPr="009E6278">
        <w:rPr>
          <w:color w:val="000000"/>
          <w:lang w:val="en-GB"/>
        </w:rPr>
        <w:t xml:space="preserve">ountry </w:t>
      </w:r>
      <w:r w:rsidR="00252376" w:rsidRPr="00547151">
        <w:rPr>
          <w:color w:val="000000"/>
          <w:lang w:val="en-GB"/>
        </w:rPr>
        <w:t>a</w:t>
      </w:r>
      <w:r w:rsidR="003B53F6" w:rsidRPr="009E6278">
        <w:rPr>
          <w:color w:val="000000"/>
          <w:lang w:val="en-GB"/>
        </w:rPr>
        <w:t>nalysis</w:t>
      </w:r>
      <w:r w:rsidR="00252376" w:rsidRPr="00547151">
        <w:rPr>
          <w:color w:val="000000"/>
          <w:lang w:val="en-GB"/>
        </w:rPr>
        <w:t>, 2021</w:t>
      </w:r>
      <w:r w:rsidRPr="009E6278">
        <w:rPr>
          <w:color w:val="000000"/>
          <w:lang w:val="en-GB"/>
        </w:rPr>
        <w:t>.</w:t>
      </w:r>
    </w:p>
    <w:p w14:paraId="1F945A94" w14:textId="77777777" w:rsidR="00CF29A5" w:rsidRPr="009E6278" w:rsidRDefault="00CF29A5" w:rsidP="00143015">
      <w:pPr>
        <w:pStyle w:val="ListParagraph"/>
        <w:tabs>
          <w:tab w:val="left" w:pos="1170"/>
        </w:tabs>
        <w:spacing w:after="120"/>
        <w:ind w:left="806" w:right="720"/>
        <w:contextualSpacing/>
        <w:jc w:val="both"/>
        <w:rPr>
          <w:sz w:val="12"/>
          <w:szCs w:val="12"/>
          <w:lang w:val="en-GB"/>
        </w:rPr>
      </w:pPr>
    </w:p>
    <w:p w14:paraId="0BDB9446" w14:textId="5467880F" w:rsidR="00C00B55" w:rsidRPr="00547151" w:rsidRDefault="0067570A" w:rsidP="00C00B55">
      <w:pPr>
        <w:pStyle w:val="ListParagraph"/>
        <w:numPr>
          <w:ilvl w:val="0"/>
          <w:numId w:val="8"/>
        </w:numPr>
        <w:tabs>
          <w:tab w:val="left" w:pos="1170"/>
        </w:tabs>
        <w:spacing w:after="120"/>
        <w:ind w:left="806" w:right="720" w:firstLine="0"/>
        <w:jc w:val="both"/>
        <w:rPr>
          <w:color w:val="000000"/>
          <w:lang w:val="en-GB"/>
        </w:rPr>
      </w:pPr>
      <w:r w:rsidRPr="009E6278">
        <w:rPr>
          <w:lang w:val="en-GB"/>
        </w:rPr>
        <w:t xml:space="preserve">The </w:t>
      </w:r>
      <w:r w:rsidR="00DC63C8" w:rsidRPr="009E6278">
        <w:rPr>
          <w:lang w:val="en-GB"/>
        </w:rPr>
        <w:t xml:space="preserve">vision of </w:t>
      </w:r>
      <w:r w:rsidR="00F732B4" w:rsidRPr="009E6278">
        <w:rPr>
          <w:lang w:val="en-GB"/>
        </w:rPr>
        <w:t xml:space="preserve">the </w:t>
      </w:r>
      <w:r w:rsidR="00252376" w:rsidRPr="00547151">
        <w:rPr>
          <w:lang w:val="en-GB"/>
        </w:rPr>
        <w:t>c</w:t>
      </w:r>
      <w:r w:rsidR="00F732B4" w:rsidRPr="009E6278">
        <w:rPr>
          <w:lang w:val="en-GB"/>
        </w:rPr>
        <w:t xml:space="preserve">ountry </w:t>
      </w:r>
      <w:r w:rsidR="00252376" w:rsidRPr="00547151">
        <w:rPr>
          <w:lang w:val="en-GB"/>
        </w:rPr>
        <w:t>p</w:t>
      </w:r>
      <w:r w:rsidR="00F732B4" w:rsidRPr="009E6278">
        <w:rPr>
          <w:lang w:val="en-GB"/>
        </w:rPr>
        <w:t xml:space="preserve">rogramme </w:t>
      </w:r>
      <w:r w:rsidRPr="009E6278">
        <w:rPr>
          <w:lang w:val="en-GB"/>
        </w:rPr>
        <w:t xml:space="preserve">is </w:t>
      </w:r>
      <w:r w:rsidR="00E7095D" w:rsidRPr="009E6278">
        <w:rPr>
          <w:lang w:val="en-GB"/>
        </w:rPr>
        <w:t xml:space="preserve">to </w:t>
      </w:r>
      <w:r w:rsidR="00143D31" w:rsidRPr="009E6278">
        <w:rPr>
          <w:lang w:val="en-GB"/>
        </w:rPr>
        <w:t>leverage partnerships to</w:t>
      </w:r>
      <w:r w:rsidR="00E67EED" w:rsidRPr="009E6278">
        <w:rPr>
          <w:lang w:val="en-GB"/>
        </w:rPr>
        <w:t xml:space="preserve"> </w:t>
      </w:r>
      <w:r w:rsidR="006A1FD9" w:rsidRPr="009E6278">
        <w:rPr>
          <w:lang w:val="en-GB"/>
        </w:rPr>
        <w:t>safeguard development gains</w:t>
      </w:r>
      <w:r w:rsidR="00E7095D" w:rsidRPr="009E6278">
        <w:rPr>
          <w:lang w:val="en-GB"/>
        </w:rPr>
        <w:t xml:space="preserve"> by </w:t>
      </w:r>
      <w:r w:rsidR="006A1FD9" w:rsidRPr="009E6278">
        <w:rPr>
          <w:lang w:val="en-GB"/>
        </w:rPr>
        <w:t>build</w:t>
      </w:r>
      <w:r w:rsidR="00E7095D" w:rsidRPr="009E6278">
        <w:rPr>
          <w:lang w:val="en-GB"/>
        </w:rPr>
        <w:t>ing</w:t>
      </w:r>
      <w:r w:rsidR="006A1FD9" w:rsidRPr="009E6278">
        <w:rPr>
          <w:lang w:val="en-GB"/>
        </w:rPr>
        <w:t xml:space="preserve"> resilience </w:t>
      </w:r>
      <w:r w:rsidR="00E7095D" w:rsidRPr="009E6278">
        <w:rPr>
          <w:lang w:val="en-GB"/>
        </w:rPr>
        <w:t xml:space="preserve">and </w:t>
      </w:r>
      <w:r w:rsidR="006A1FD9" w:rsidRPr="009E6278">
        <w:rPr>
          <w:lang w:val="en-GB"/>
        </w:rPr>
        <w:t>accelerat</w:t>
      </w:r>
      <w:r w:rsidR="00E7095D" w:rsidRPr="009E6278">
        <w:rPr>
          <w:lang w:val="en-GB"/>
        </w:rPr>
        <w:t>ing</w:t>
      </w:r>
      <w:r w:rsidR="006A1FD9" w:rsidRPr="009E6278">
        <w:rPr>
          <w:lang w:val="en-GB"/>
        </w:rPr>
        <w:t xml:space="preserve"> recovery </w:t>
      </w:r>
      <w:r w:rsidR="00E7095D" w:rsidRPr="009E6278">
        <w:rPr>
          <w:lang w:val="en-GB"/>
        </w:rPr>
        <w:t xml:space="preserve">for the achievement </w:t>
      </w:r>
      <w:r w:rsidR="006A1FD9" w:rsidRPr="009E6278">
        <w:rPr>
          <w:lang w:val="en-GB"/>
        </w:rPr>
        <w:t xml:space="preserve">of </w:t>
      </w:r>
      <w:r w:rsidR="00E7095D" w:rsidRPr="009E6278">
        <w:rPr>
          <w:lang w:val="en-GB"/>
        </w:rPr>
        <w:t xml:space="preserve">the </w:t>
      </w:r>
      <w:r w:rsidR="00841CAF" w:rsidRPr="009E6278">
        <w:rPr>
          <w:lang w:val="en-GB"/>
        </w:rPr>
        <w:t>Sustainable Development Goals</w:t>
      </w:r>
      <w:r w:rsidR="006A1FD9" w:rsidRPr="009E6278">
        <w:rPr>
          <w:lang w:val="en-GB"/>
        </w:rPr>
        <w:t xml:space="preserve"> through Vision 2030</w:t>
      </w:r>
      <w:r w:rsidR="00C414E4" w:rsidRPr="00547151">
        <w:rPr>
          <w:lang w:val="en-GB"/>
        </w:rPr>
        <w:t>,</w:t>
      </w:r>
      <w:r w:rsidR="00A60330" w:rsidRPr="009E6278">
        <w:rPr>
          <w:lang w:val="en-GB"/>
        </w:rPr>
        <w:t xml:space="preserve"> </w:t>
      </w:r>
      <w:r w:rsidR="000752E9" w:rsidRPr="009E6278">
        <w:rPr>
          <w:lang w:val="en-GB"/>
        </w:rPr>
        <w:t>to addres</w:t>
      </w:r>
      <w:r w:rsidR="003809CD" w:rsidRPr="009E6278">
        <w:rPr>
          <w:lang w:val="en-GB"/>
        </w:rPr>
        <w:t>s</w:t>
      </w:r>
      <w:r w:rsidR="000752E9" w:rsidRPr="009E6278">
        <w:rPr>
          <w:lang w:val="en-GB"/>
        </w:rPr>
        <w:t xml:space="preserve"> </w:t>
      </w:r>
      <w:r w:rsidR="00B260AB" w:rsidRPr="009E6278">
        <w:rPr>
          <w:lang w:val="en-GB"/>
        </w:rPr>
        <w:t xml:space="preserve">root causes </w:t>
      </w:r>
      <w:r w:rsidR="00CB6EE6" w:rsidRPr="00547151">
        <w:rPr>
          <w:lang w:val="en-GB"/>
        </w:rPr>
        <w:t>hamper</w:t>
      </w:r>
      <w:r w:rsidR="00CB6EE6" w:rsidRPr="009E6278">
        <w:rPr>
          <w:lang w:val="en-GB"/>
        </w:rPr>
        <w:t xml:space="preserve">ing </w:t>
      </w:r>
      <w:r w:rsidR="00FD4D36" w:rsidRPr="009E6278">
        <w:rPr>
          <w:lang w:val="en-GB"/>
        </w:rPr>
        <w:t>sustainable development</w:t>
      </w:r>
      <w:r w:rsidR="0036353F" w:rsidRPr="009E6278">
        <w:rPr>
          <w:lang w:val="en-GB"/>
        </w:rPr>
        <w:t xml:space="preserve">. This </w:t>
      </w:r>
      <w:r w:rsidR="009965BC" w:rsidRPr="009E6278">
        <w:rPr>
          <w:lang w:val="en-GB"/>
        </w:rPr>
        <w:t>will</w:t>
      </w:r>
      <w:r w:rsidR="00F1676B" w:rsidRPr="009E6278">
        <w:rPr>
          <w:lang w:val="en-GB"/>
        </w:rPr>
        <w:t xml:space="preserve"> </w:t>
      </w:r>
      <w:r w:rsidR="0036353F" w:rsidRPr="009E6278">
        <w:rPr>
          <w:lang w:val="en-GB"/>
        </w:rPr>
        <w:t xml:space="preserve">be </w:t>
      </w:r>
      <w:r w:rsidR="0099703A" w:rsidRPr="009E6278">
        <w:rPr>
          <w:lang w:val="en-GB"/>
        </w:rPr>
        <w:t>realized through a</w:t>
      </w:r>
      <w:r w:rsidR="00E61D60" w:rsidRPr="009E6278">
        <w:rPr>
          <w:lang w:val="en-GB"/>
        </w:rPr>
        <w:t xml:space="preserve"> youth</w:t>
      </w:r>
      <w:r w:rsidR="00CB6EE6" w:rsidRPr="00547151">
        <w:rPr>
          <w:lang w:val="en-GB"/>
        </w:rPr>
        <w:t>-</w:t>
      </w:r>
      <w:r w:rsidR="00E61D60" w:rsidRPr="009E6278">
        <w:rPr>
          <w:lang w:val="en-GB"/>
        </w:rPr>
        <w:t xml:space="preserve"> </w:t>
      </w:r>
      <w:r w:rsidR="00AA0B6C" w:rsidRPr="009E6278">
        <w:rPr>
          <w:lang w:val="en-GB"/>
        </w:rPr>
        <w:t>and gender</w:t>
      </w:r>
      <w:r w:rsidR="00CB6EE6" w:rsidRPr="00547151">
        <w:rPr>
          <w:lang w:val="en-GB"/>
        </w:rPr>
        <w:t>-</w:t>
      </w:r>
      <w:r w:rsidR="00E61D60" w:rsidRPr="009E6278">
        <w:rPr>
          <w:lang w:val="en-GB"/>
        </w:rPr>
        <w:t>centric</w:t>
      </w:r>
      <w:r w:rsidR="0039221C" w:rsidRPr="009E6278">
        <w:rPr>
          <w:lang w:val="en-GB"/>
        </w:rPr>
        <w:t xml:space="preserve"> lens</w:t>
      </w:r>
      <w:r w:rsidR="00A45311" w:rsidRPr="009E6278">
        <w:rPr>
          <w:lang w:val="en-GB"/>
        </w:rPr>
        <w:t xml:space="preserve">, including </w:t>
      </w:r>
      <w:r w:rsidR="00F7483D" w:rsidRPr="00547151">
        <w:rPr>
          <w:lang w:val="en-GB"/>
        </w:rPr>
        <w:t>people</w:t>
      </w:r>
      <w:r w:rsidR="00CF0E9B" w:rsidRPr="00547151">
        <w:rPr>
          <w:lang w:val="en-GB"/>
        </w:rPr>
        <w:t xml:space="preserve"> with disabilities</w:t>
      </w:r>
      <w:r w:rsidR="00AD7C55" w:rsidRPr="009E6278">
        <w:rPr>
          <w:lang w:val="en-GB"/>
        </w:rPr>
        <w:t xml:space="preserve">, </w:t>
      </w:r>
      <w:r w:rsidR="00C414E4" w:rsidRPr="00547151">
        <w:rPr>
          <w:lang w:val="en-GB"/>
        </w:rPr>
        <w:t>those</w:t>
      </w:r>
      <w:r w:rsidR="00C414E4" w:rsidRPr="009E6278">
        <w:rPr>
          <w:lang w:val="en-GB"/>
        </w:rPr>
        <w:t xml:space="preserve"> </w:t>
      </w:r>
      <w:r w:rsidR="00A45311" w:rsidRPr="009E6278">
        <w:rPr>
          <w:lang w:val="en-GB"/>
        </w:rPr>
        <w:t>living with HIV</w:t>
      </w:r>
      <w:r w:rsidR="002B1804" w:rsidRPr="00547151">
        <w:rPr>
          <w:lang w:val="en-GB"/>
        </w:rPr>
        <w:t>,</w:t>
      </w:r>
      <w:r w:rsidR="00A45311" w:rsidRPr="009E6278">
        <w:rPr>
          <w:lang w:val="en-GB"/>
        </w:rPr>
        <w:t xml:space="preserve"> </w:t>
      </w:r>
      <w:r w:rsidR="00AD7C55" w:rsidRPr="009E6278">
        <w:rPr>
          <w:lang w:val="en-GB"/>
        </w:rPr>
        <w:t>and borderlands</w:t>
      </w:r>
      <w:r w:rsidR="0094318A" w:rsidRPr="009E6278">
        <w:rPr>
          <w:rStyle w:val="FootnoteReference"/>
          <w:lang w:val="en-GB"/>
        </w:rPr>
        <w:footnoteReference w:id="25"/>
      </w:r>
      <w:r w:rsidR="00AD7C55" w:rsidRPr="009E6278">
        <w:rPr>
          <w:lang w:val="en-GB"/>
        </w:rPr>
        <w:t xml:space="preserve"> communities</w:t>
      </w:r>
      <w:r w:rsidR="0039221C" w:rsidRPr="009E6278">
        <w:rPr>
          <w:lang w:val="en-GB"/>
        </w:rPr>
        <w:t xml:space="preserve">. This </w:t>
      </w:r>
      <w:r w:rsidR="00A45311" w:rsidRPr="009E6278">
        <w:rPr>
          <w:lang w:val="en-GB"/>
        </w:rPr>
        <w:t xml:space="preserve">approach </w:t>
      </w:r>
      <w:r w:rsidR="0039221C" w:rsidRPr="009E6278">
        <w:rPr>
          <w:lang w:val="en-GB"/>
        </w:rPr>
        <w:t xml:space="preserve">is </w:t>
      </w:r>
      <w:r w:rsidR="00CF5301" w:rsidRPr="009E6278">
        <w:rPr>
          <w:lang w:val="en-GB"/>
        </w:rPr>
        <w:t>focus</w:t>
      </w:r>
      <w:r w:rsidR="009A4992" w:rsidRPr="009E6278">
        <w:rPr>
          <w:lang w:val="en-GB"/>
        </w:rPr>
        <w:t>ed</w:t>
      </w:r>
      <w:r w:rsidR="00CF5301" w:rsidRPr="009E6278">
        <w:rPr>
          <w:lang w:val="en-GB"/>
        </w:rPr>
        <w:t xml:space="preserve"> on three </w:t>
      </w:r>
      <w:r w:rsidR="000D0B08" w:rsidRPr="009E6278">
        <w:rPr>
          <w:lang w:val="en-GB"/>
        </w:rPr>
        <w:t>inter</w:t>
      </w:r>
      <w:r w:rsidR="00CF5301" w:rsidRPr="009E6278">
        <w:rPr>
          <w:lang w:val="en-GB"/>
        </w:rPr>
        <w:t>related development areas</w:t>
      </w:r>
      <w:r w:rsidR="00C414E4" w:rsidRPr="00547151">
        <w:rPr>
          <w:lang w:val="en-GB"/>
        </w:rPr>
        <w:t>:</w:t>
      </w:r>
      <w:r w:rsidR="00CF5301" w:rsidRPr="009E6278">
        <w:rPr>
          <w:lang w:val="en-GB"/>
        </w:rPr>
        <w:t xml:space="preserve"> </w:t>
      </w:r>
      <w:r w:rsidR="0039221C" w:rsidRPr="009E6278">
        <w:rPr>
          <w:lang w:val="en-GB"/>
        </w:rPr>
        <w:t xml:space="preserve">to </w:t>
      </w:r>
      <w:r w:rsidR="00CB6EE6" w:rsidRPr="00547151">
        <w:rPr>
          <w:color w:val="000000"/>
          <w:lang w:val="en-GB"/>
        </w:rPr>
        <w:t>leave no one behind</w:t>
      </w:r>
      <w:r w:rsidR="0039221C" w:rsidRPr="009E6278">
        <w:rPr>
          <w:lang w:val="en-GB"/>
        </w:rPr>
        <w:t xml:space="preserve"> through </w:t>
      </w:r>
      <w:r w:rsidR="00CB6EE6" w:rsidRPr="00547151">
        <w:rPr>
          <w:lang w:val="en-GB"/>
        </w:rPr>
        <w:t>(a</w:t>
      </w:r>
      <w:r w:rsidR="00CF5301" w:rsidRPr="009E6278">
        <w:rPr>
          <w:lang w:val="en-GB"/>
        </w:rPr>
        <w:t xml:space="preserve">) governance, peace and social cohesion; </w:t>
      </w:r>
      <w:r w:rsidR="00CB6EE6" w:rsidRPr="00547151">
        <w:rPr>
          <w:lang w:val="en-GB"/>
        </w:rPr>
        <w:t>(b</w:t>
      </w:r>
      <w:r w:rsidR="00CF5301" w:rsidRPr="009E6278">
        <w:rPr>
          <w:lang w:val="en-GB"/>
        </w:rPr>
        <w:t xml:space="preserve">) </w:t>
      </w:r>
      <w:r w:rsidR="00942842" w:rsidRPr="009E6278">
        <w:rPr>
          <w:lang w:val="en-GB"/>
        </w:rPr>
        <w:t>sustainable</w:t>
      </w:r>
      <w:r w:rsidR="00441EAB" w:rsidRPr="009E6278">
        <w:rPr>
          <w:lang w:val="en-GB"/>
        </w:rPr>
        <w:t xml:space="preserve">, </w:t>
      </w:r>
      <w:r w:rsidR="00CF5301" w:rsidRPr="009E6278">
        <w:rPr>
          <w:lang w:val="en-GB"/>
        </w:rPr>
        <w:t>inclusive</w:t>
      </w:r>
      <w:r w:rsidR="00441EAB" w:rsidRPr="009E6278">
        <w:rPr>
          <w:lang w:val="en-GB"/>
        </w:rPr>
        <w:t xml:space="preserve"> green </w:t>
      </w:r>
      <w:r w:rsidR="00CF5301" w:rsidRPr="009E6278">
        <w:rPr>
          <w:lang w:val="en-GB"/>
        </w:rPr>
        <w:t xml:space="preserve">growth; and </w:t>
      </w:r>
      <w:r w:rsidR="00CB6EE6" w:rsidRPr="00547151">
        <w:rPr>
          <w:lang w:val="en-GB"/>
        </w:rPr>
        <w:t>(c</w:t>
      </w:r>
      <w:r w:rsidR="00441EAB" w:rsidRPr="009E6278">
        <w:rPr>
          <w:lang w:val="en-GB"/>
        </w:rPr>
        <w:t xml:space="preserve">) </w:t>
      </w:r>
      <w:r w:rsidR="00CF5301" w:rsidRPr="009E6278">
        <w:rPr>
          <w:lang w:val="en-GB"/>
        </w:rPr>
        <w:t>nature</w:t>
      </w:r>
      <w:r w:rsidR="00CB6EE6" w:rsidRPr="00547151">
        <w:rPr>
          <w:lang w:val="en-GB"/>
        </w:rPr>
        <w:t>-</w:t>
      </w:r>
      <w:r w:rsidR="00CF5301" w:rsidRPr="009E6278">
        <w:rPr>
          <w:lang w:val="en-GB"/>
        </w:rPr>
        <w:t>based solutions and resilience</w:t>
      </w:r>
      <w:r w:rsidR="00AF6056" w:rsidRPr="009E6278">
        <w:rPr>
          <w:lang w:val="en-GB"/>
        </w:rPr>
        <w:t xml:space="preserve">. Programme efficiency will be enhanced by </w:t>
      </w:r>
      <w:r w:rsidR="00700662" w:rsidRPr="009E6278">
        <w:rPr>
          <w:lang w:val="en-GB"/>
        </w:rPr>
        <w:t xml:space="preserve">implementing </w:t>
      </w:r>
      <w:r w:rsidR="00997377" w:rsidRPr="009E6278">
        <w:rPr>
          <w:lang w:val="en-GB"/>
        </w:rPr>
        <w:t xml:space="preserve">an updated partnership and </w:t>
      </w:r>
      <w:r w:rsidR="00997377" w:rsidRPr="009E6278">
        <w:rPr>
          <w:lang w:val="en-GB"/>
        </w:rPr>
        <w:lastRenderedPageBreak/>
        <w:t xml:space="preserve">communication action </w:t>
      </w:r>
      <w:r w:rsidR="00C92603" w:rsidRPr="009E6278">
        <w:rPr>
          <w:lang w:val="en-GB"/>
        </w:rPr>
        <w:t>plan that diversifies the funding mix</w:t>
      </w:r>
      <w:r w:rsidR="000752CF" w:rsidRPr="009E6278">
        <w:rPr>
          <w:rStyle w:val="FootnoteReference"/>
          <w:lang w:val="en-GB"/>
        </w:rPr>
        <w:footnoteReference w:id="26"/>
      </w:r>
      <w:r w:rsidR="00C92603" w:rsidRPr="009E6278">
        <w:rPr>
          <w:lang w:val="en-GB"/>
        </w:rPr>
        <w:t xml:space="preserve"> </w:t>
      </w:r>
      <w:r w:rsidR="00DA4ED9" w:rsidRPr="009E6278">
        <w:rPr>
          <w:color w:val="000000"/>
          <w:lang w:val="en-GB"/>
        </w:rPr>
        <w:t xml:space="preserve">as recommended by the </w:t>
      </w:r>
      <w:r w:rsidR="009B26B3" w:rsidRPr="009E6278">
        <w:rPr>
          <w:rStyle w:val="normaltextrun"/>
          <w:color w:val="000000" w:themeColor="text1"/>
          <w:lang w:val="en-GB"/>
        </w:rPr>
        <w:t>independent country programme evaluation</w:t>
      </w:r>
      <w:r w:rsidR="002F73B0" w:rsidRPr="009E6278">
        <w:rPr>
          <w:color w:val="000000"/>
          <w:lang w:val="en-GB"/>
        </w:rPr>
        <w:t xml:space="preserve"> </w:t>
      </w:r>
      <w:r w:rsidR="00F65CC4" w:rsidRPr="009E6278">
        <w:rPr>
          <w:rStyle w:val="normaltextrun"/>
          <w:color w:val="000000" w:themeColor="text1"/>
          <w:lang w:val="en-GB"/>
        </w:rPr>
        <w:t xml:space="preserve">and </w:t>
      </w:r>
      <w:r w:rsidR="003B53F6" w:rsidRPr="009E6278">
        <w:rPr>
          <w:rStyle w:val="normaltextrun"/>
          <w:color w:val="000000" w:themeColor="text1"/>
          <w:lang w:val="en-GB"/>
        </w:rPr>
        <w:t xml:space="preserve">various </w:t>
      </w:r>
      <w:r w:rsidR="00F65CC4" w:rsidRPr="009E6278">
        <w:rPr>
          <w:rStyle w:val="normaltextrun"/>
          <w:color w:val="000000" w:themeColor="text1"/>
          <w:lang w:val="en-GB"/>
        </w:rPr>
        <w:t>project evaluation findings</w:t>
      </w:r>
      <w:r w:rsidR="009576C6" w:rsidRPr="009E6278">
        <w:rPr>
          <w:rStyle w:val="normaltextrun"/>
          <w:color w:val="000000" w:themeColor="text1"/>
          <w:lang w:val="en-GB"/>
        </w:rPr>
        <w:t xml:space="preserve"> which articulate </w:t>
      </w:r>
      <w:r w:rsidR="00CB6EE6" w:rsidRPr="00547151">
        <w:rPr>
          <w:rStyle w:val="normaltextrun"/>
          <w:color w:val="000000" w:themeColor="text1"/>
          <w:lang w:val="en-GB"/>
        </w:rPr>
        <w:t>the</w:t>
      </w:r>
      <w:r w:rsidR="00CB6EE6" w:rsidRPr="009E6278">
        <w:rPr>
          <w:rStyle w:val="normaltextrun"/>
          <w:color w:val="000000" w:themeColor="text1"/>
          <w:lang w:val="en-GB"/>
        </w:rPr>
        <w:t xml:space="preserve"> </w:t>
      </w:r>
      <w:r w:rsidR="009576C6" w:rsidRPr="009E6278">
        <w:rPr>
          <w:rStyle w:val="normaltextrun"/>
          <w:color w:val="000000" w:themeColor="text1"/>
          <w:lang w:val="en-GB"/>
        </w:rPr>
        <w:t xml:space="preserve">comparative advantage </w:t>
      </w:r>
      <w:r w:rsidR="00CB6EE6" w:rsidRPr="00547151">
        <w:rPr>
          <w:rStyle w:val="normaltextrun"/>
          <w:color w:val="000000" w:themeColor="text1"/>
          <w:lang w:val="en-GB"/>
        </w:rPr>
        <w:t>of UNDP over</w:t>
      </w:r>
      <w:r w:rsidR="009576C6" w:rsidRPr="009E6278">
        <w:rPr>
          <w:rStyle w:val="normaltextrun"/>
          <w:color w:val="000000" w:themeColor="text1"/>
          <w:lang w:val="en-GB"/>
        </w:rPr>
        <w:t xml:space="preserve"> other partners</w:t>
      </w:r>
      <w:r w:rsidR="00000F4D" w:rsidRPr="009E6278">
        <w:rPr>
          <w:rStyle w:val="normaltextrun"/>
          <w:color w:val="000000" w:themeColor="text1"/>
          <w:lang w:val="en-GB"/>
        </w:rPr>
        <w:t>.</w:t>
      </w:r>
      <w:r w:rsidR="000D0B08" w:rsidRPr="009E6278">
        <w:rPr>
          <w:color w:val="000000"/>
          <w:lang w:val="en-GB"/>
        </w:rPr>
        <w:t xml:space="preserve"> The </w:t>
      </w:r>
      <w:r w:rsidR="00E7095D" w:rsidRPr="009E6278">
        <w:rPr>
          <w:color w:val="000000"/>
          <w:lang w:val="en-GB"/>
        </w:rPr>
        <w:t xml:space="preserve">theory of </w:t>
      </w:r>
      <w:r w:rsidR="00C402C4" w:rsidRPr="009E6278">
        <w:rPr>
          <w:color w:val="000000"/>
          <w:lang w:val="en-GB"/>
        </w:rPr>
        <w:t xml:space="preserve">change is based on </w:t>
      </w:r>
      <w:r w:rsidR="001D53D6" w:rsidRPr="009E6278">
        <w:rPr>
          <w:color w:val="000000"/>
          <w:lang w:val="en-GB"/>
        </w:rPr>
        <w:t>the expectation that</w:t>
      </w:r>
      <w:r w:rsidR="00E7095D" w:rsidRPr="009E6278">
        <w:rPr>
          <w:color w:val="000000"/>
          <w:lang w:val="en-GB"/>
        </w:rPr>
        <w:t xml:space="preserve"> </w:t>
      </w:r>
      <w:r w:rsidR="00CB6EE6" w:rsidRPr="009E6278">
        <w:rPr>
          <w:b/>
          <w:i/>
          <w:color w:val="242424"/>
          <w:shd w:val="clear" w:color="auto" w:fill="FFFFFF"/>
          <w:lang w:val="en-GB"/>
        </w:rPr>
        <w:t>if</w:t>
      </w:r>
      <w:r w:rsidR="00CB6EE6" w:rsidRPr="00547151">
        <w:rPr>
          <w:color w:val="242424"/>
          <w:shd w:val="clear" w:color="auto" w:fill="FFFFFF"/>
          <w:lang w:val="en-GB"/>
        </w:rPr>
        <w:t xml:space="preserve"> </w:t>
      </w:r>
      <w:r w:rsidR="00AC635B" w:rsidRPr="009E6278">
        <w:rPr>
          <w:color w:val="242424"/>
          <w:shd w:val="clear" w:color="auto" w:fill="FFFFFF"/>
          <w:lang w:val="en-GB"/>
        </w:rPr>
        <w:t>economic growth becomes sustainable and green</w:t>
      </w:r>
      <w:r w:rsidR="00CB6EE6" w:rsidRPr="00547151">
        <w:rPr>
          <w:color w:val="242424"/>
          <w:shd w:val="clear" w:color="auto" w:fill="FFFFFF"/>
          <w:lang w:val="en-GB"/>
        </w:rPr>
        <w:t xml:space="preserve"> </w:t>
      </w:r>
      <w:r w:rsidR="00CB6EE6" w:rsidRPr="00547151">
        <w:rPr>
          <w:b/>
          <w:i/>
          <w:color w:val="242424"/>
          <w:shd w:val="clear" w:color="auto" w:fill="FFFFFF"/>
          <w:lang w:val="en-GB"/>
        </w:rPr>
        <w:t xml:space="preserve">and </w:t>
      </w:r>
      <w:r w:rsidR="00AC635B" w:rsidRPr="009E6278">
        <w:rPr>
          <w:color w:val="242424"/>
          <w:shd w:val="clear" w:color="auto" w:fill="FFFFFF"/>
          <w:lang w:val="en-GB"/>
        </w:rPr>
        <w:t xml:space="preserve">society is inclusive and peaceful through an enabling environment </w:t>
      </w:r>
      <w:r w:rsidR="00E7095D" w:rsidRPr="009E6278">
        <w:rPr>
          <w:color w:val="242424"/>
          <w:shd w:val="clear" w:color="auto" w:fill="FFFFFF"/>
          <w:lang w:val="en-GB"/>
        </w:rPr>
        <w:t xml:space="preserve">that takes </w:t>
      </w:r>
      <w:r w:rsidR="00AC635B" w:rsidRPr="009E6278">
        <w:rPr>
          <w:color w:val="242424"/>
          <w:shd w:val="clear" w:color="auto" w:fill="FFFFFF"/>
          <w:lang w:val="en-GB"/>
        </w:rPr>
        <w:t>advantage of innovation and multi-stakeholder partnerships with access to quality services,</w:t>
      </w:r>
      <w:r w:rsidR="00CB6EE6" w:rsidRPr="00547151">
        <w:rPr>
          <w:color w:val="242424"/>
          <w:shd w:val="clear" w:color="auto" w:fill="FFFFFF"/>
          <w:lang w:val="en-GB"/>
        </w:rPr>
        <w:t xml:space="preserve"> </w:t>
      </w:r>
      <w:r w:rsidR="00CB6EE6" w:rsidRPr="009E6278">
        <w:rPr>
          <w:b/>
          <w:i/>
          <w:color w:val="242424"/>
          <w:shd w:val="clear" w:color="auto" w:fill="FFFFFF"/>
          <w:lang w:val="en-GB"/>
        </w:rPr>
        <w:t xml:space="preserve">then </w:t>
      </w:r>
      <w:r w:rsidR="00AC635B" w:rsidRPr="009E6278">
        <w:rPr>
          <w:color w:val="242424"/>
          <w:shd w:val="clear" w:color="auto" w:fill="FFFFFF"/>
          <w:lang w:val="en-GB"/>
        </w:rPr>
        <w:t>people will be resilient</w:t>
      </w:r>
      <w:r w:rsidR="00CB6EE6" w:rsidRPr="00547151">
        <w:rPr>
          <w:color w:val="242424"/>
          <w:shd w:val="clear" w:color="auto" w:fill="FFFFFF"/>
          <w:lang w:val="en-GB"/>
        </w:rPr>
        <w:t xml:space="preserve"> and</w:t>
      </w:r>
      <w:r w:rsidR="00AC635B" w:rsidRPr="009E6278">
        <w:rPr>
          <w:color w:val="242424"/>
          <w:shd w:val="clear" w:color="auto" w:fill="FFFFFF"/>
          <w:lang w:val="en-GB"/>
        </w:rPr>
        <w:t xml:space="preserve"> fulfilled</w:t>
      </w:r>
      <w:r w:rsidR="00CB6EE6" w:rsidRPr="00547151">
        <w:rPr>
          <w:color w:val="242424"/>
          <w:shd w:val="clear" w:color="auto" w:fill="FFFFFF"/>
          <w:lang w:val="en-GB"/>
        </w:rPr>
        <w:t>,</w:t>
      </w:r>
      <w:r w:rsidR="00AC635B" w:rsidRPr="009E6278">
        <w:rPr>
          <w:color w:val="242424"/>
          <w:shd w:val="clear" w:color="auto" w:fill="FFFFFF"/>
          <w:lang w:val="en-GB"/>
        </w:rPr>
        <w:t xml:space="preserve"> and achieve their full human potential</w:t>
      </w:r>
      <w:r w:rsidR="00C164F8" w:rsidRPr="009E6278">
        <w:rPr>
          <w:color w:val="242424"/>
          <w:shd w:val="clear" w:color="auto" w:fill="FFFFFF"/>
          <w:lang w:val="en-GB"/>
        </w:rPr>
        <w:t>.</w:t>
      </w:r>
      <w:r w:rsidR="00C00B55" w:rsidRPr="00547151">
        <w:rPr>
          <w:color w:val="000000"/>
          <w:lang w:val="en-GB"/>
        </w:rPr>
        <w:t xml:space="preserve"> </w:t>
      </w:r>
    </w:p>
    <w:p w14:paraId="554E65DD" w14:textId="49C02B2E" w:rsidR="00972ECD" w:rsidRPr="009E6278" w:rsidRDefault="00972ECD" w:rsidP="00143015">
      <w:pPr>
        <w:pStyle w:val="ListParagraph"/>
        <w:numPr>
          <w:ilvl w:val="0"/>
          <w:numId w:val="8"/>
        </w:numPr>
        <w:tabs>
          <w:tab w:val="left" w:pos="1170"/>
        </w:tabs>
        <w:spacing w:after="120"/>
        <w:ind w:left="806" w:right="720" w:firstLine="0"/>
        <w:jc w:val="both"/>
        <w:rPr>
          <w:color w:val="000000"/>
          <w:lang w:val="en-GB"/>
        </w:rPr>
      </w:pPr>
      <w:r w:rsidRPr="009E6278">
        <w:rPr>
          <w:lang w:val="en-GB"/>
        </w:rPr>
        <w:t>UNDP is strategically positioned to offer high</w:t>
      </w:r>
      <w:r w:rsidR="00C00B55" w:rsidRPr="00547151">
        <w:rPr>
          <w:lang w:val="en-GB"/>
        </w:rPr>
        <w:t>-</w:t>
      </w:r>
      <w:r w:rsidRPr="009E6278">
        <w:rPr>
          <w:lang w:val="en-GB"/>
        </w:rPr>
        <w:t>level policy advice, institutional strengthening</w:t>
      </w:r>
      <w:r w:rsidR="004E56A8" w:rsidRPr="009E6278">
        <w:rPr>
          <w:lang w:val="en-GB"/>
        </w:rPr>
        <w:t>,</w:t>
      </w:r>
      <w:r w:rsidRPr="009E6278">
        <w:rPr>
          <w:lang w:val="en-GB"/>
        </w:rPr>
        <w:t xml:space="preserve"> programme support</w:t>
      </w:r>
      <w:r w:rsidR="00783E69" w:rsidRPr="009E6278">
        <w:rPr>
          <w:lang w:val="en-GB"/>
        </w:rPr>
        <w:t xml:space="preserve"> and </w:t>
      </w:r>
      <w:r w:rsidR="004E56A8" w:rsidRPr="009E6278">
        <w:rPr>
          <w:lang w:val="en-GB"/>
        </w:rPr>
        <w:t>strategic partnership</w:t>
      </w:r>
      <w:r w:rsidR="008E7862" w:rsidRPr="009E6278">
        <w:rPr>
          <w:lang w:val="en-GB"/>
        </w:rPr>
        <w:t>s</w:t>
      </w:r>
      <w:r w:rsidRPr="009E6278">
        <w:rPr>
          <w:lang w:val="en-GB"/>
        </w:rPr>
        <w:t xml:space="preserve"> to implement, report </w:t>
      </w:r>
      <w:r w:rsidR="00C00B55" w:rsidRPr="00547151">
        <w:rPr>
          <w:lang w:val="en-GB"/>
        </w:rPr>
        <w:t xml:space="preserve">on </w:t>
      </w:r>
      <w:r w:rsidRPr="009E6278">
        <w:rPr>
          <w:lang w:val="en-GB"/>
        </w:rPr>
        <w:t xml:space="preserve">and monitor the </w:t>
      </w:r>
      <w:r w:rsidR="00841CAF" w:rsidRPr="009E6278">
        <w:rPr>
          <w:lang w:val="en-GB"/>
        </w:rPr>
        <w:t>Sustainable Development Goals</w:t>
      </w:r>
      <w:r w:rsidRPr="009E6278">
        <w:rPr>
          <w:lang w:val="en-GB"/>
        </w:rPr>
        <w:t xml:space="preserve"> and enhanc</w:t>
      </w:r>
      <w:r w:rsidR="00C00B55" w:rsidRPr="00547151">
        <w:rPr>
          <w:lang w:val="en-GB"/>
        </w:rPr>
        <w:t>e</w:t>
      </w:r>
      <w:r w:rsidRPr="009E6278">
        <w:rPr>
          <w:lang w:val="en-GB"/>
        </w:rPr>
        <w:t xml:space="preserve"> institutional coordination mechanisms</w:t>
      </w:r>
      <w:r w:rsidR="00791DE0" w:rsidRPr="009E6278">
        <w:rPr>
          <w:lang w:val="en-GB"/>
        </w:rPr>
        <w:t xml:space="preserve">. </w:t>
      </w:r>
      <w:r w:rsidRPr="009E6278">
        <w:rPr>
          <w:lang w:val="en-GB"/>
        </w:rPr>
        <w:t xml:space="preserve">Building on its technical leadership role in the </w:t>
      </w:r>
      <w:r w:rsidR="00C00B55" w:rsidRPr="00547151">
        <w:rPr>
          <w:lang w:val="en-GB"/>
        </w:rPr>
        <w:t>i</w:t>
      </w:r>
      <w:r w:rsidRPr="009E6278">
        <w:rPr>
          <w:lang w:val="en-GB"/>
        </w:rPr>
        <w:t xml:space="preserve">ntegrated </w:t>
      </w:r>
      <w:r w:rsidR="00C00B55" w:rsidRPr="00547151">
        <w:rPr>
          <w:lang w:val="en-GB"/>
        </w:rPr>
        <w:t>n</w:t>
      </w:r>
      <w:r w:rsidRPr="009E6278">
        <w:rPr>
          <w:lang w:val="en-GB"/>
        </w:rPr>
        <w:t xml:space="preserve">ational </w:t>
      </w:r>
      <w:r w:rsidR="00C00B55" w:rsidRPr="00547151">
        <w:rPr>
          <w:lang w:val="en-GB"/>
        </w:rPr>
        <w:t>f</w:t>
      </w:r>
      <w:r w:rsidRPr="009E6278">
        <w:rPr>
          <w:lang w:val="en-GB"/>
        </w:rPr>
        <w:t xml:space="preserve">inancing </w:t>
      </w:r>
      <w:r w:rsidR="00C00B55" w:rsidRPr="00547151">
        <w:rPr>
          <w:lang w:val="en-GB"/>
        </w:rPr>
        <w:t>f</w:t>
      </w:r>
      <w:r w:rsidRPr="009E6278">
        <w:rPr>
          <w:lang w:val="en-GB"/>
        </w:rPr>
        <w:t xml:space="preserve">ramework, UNDP </w:t>
      </w:r>
      <w:r w:rsidR="003A3D9B" w:rsidRPr="009E6278">
        <w:rPr>
          <w:lang w:val="en-GB"/>
        </w:rPr>
        <w:t>will</w:t>
      </w:r>
      <w:r w:rsidRPr="009E6278">
        <w:rPr>
          <w:lang w:val="en-GB"/>
        </w:rPr>
        <w:t xml:space="preserve"> support the discourse on </w:t>
      </w:r>
      <w:r w:rsidR="00C00B55" w:rsidRPr="00547151">
        <w:rPr>
          <w:lang w:val="en-GB"/>
        </w:rPr>
        <w:t>Goals</w:t>
      </w:r>
      <w:r w:rsidR="00C00B55" w:rsidRPr="009E6278">
        <w:rPr>
          <w:lang w:val="en-GB"/>
        </w:rPr>
        <w:t xml:space="preserve"> </w:t>
      </w:r>
      <w:r w:rsidRPr="009E6278">
        <w:rPr>
          <w:lang w:val="en-GB"/>
        </w:rPr>
        <w:t xml:space="preserve">financing and the formulation process of </w:t>
      </w:r>
      <w:r w:rsidR="00C00B55" w:rsidRPr="00547151">
        <w:rPr>
          <w:lang w:val="en-GB"/>
        </w:rPr>
        <w:t>‘</w:t>
      </w:r>
      <w:r w:rsidR="00E61D60" w:rsidRPr="009E6278">
        <w:rPr>
          <w:lang w:val="en-GB"/>
        </w:rPr>
        <w:t>MTP</w:t>
      </w:r>
      <w:r w:rsidR="00D07C20" w:rsidRPr="00547151">
        <w:rPr>
          <w:lang w:val="en-GB"/>
        </w:rPr>
        <w:t>-</w:t>
      </w:r>
      <w:r w:rsidR="00055904" w:rsidRPr="009E6278">
        <w:rPr>
          <w:lang w:val="en-GB"/>
        </w:rPr>
        <w:t>IV</w:t>
      </w:r>
      <w:r w:rsidR="00C00B55" w:rsidRPr="00547151">
        <w:rPr>
          <w:lang w:val="en-GB"/>
        </w:rPr>
        <w:t>’</w:t>
      </w:r>
      <w:r w:rsidRPr="009E6278">
        <w:rPr>
          <w:lang w:val="en-GB"/>
        </w:rPr>
        <w:t xml:space="preserve">. </w:t>
      </w:r>
      <w:r w:rsidR="00186222" w:rsidRPr="009E6278">
        <w:rPr>
          <w:color w:val="000000" w:themeColor="text1"/>
          <w:shd w:val="clear" w:color="auto" w:fill="FFFFFF"/>
          <w:lang w:val="en-GB"/>
        </w:rPr>
        <w:t xml:space="preserve">UNDP will continue working with </w:t>
      </w:r>
      <w:r w:rsidR="00741A36" w:rsidRPr="009E6278">
        <w:rPr>
          <w:color w:val="000000" w:themeColor="text1"/>
          <w:shd w:val="clear" w:color="auto" w:fill="FFFFFF"/>
          <w:lang w:val="en-GB"/>
        </w:rPr>
        <w:t>partners and</w:t>
      </w:r>
      <w:r w:rsidR="00C00B55" w:rsidRPr="00547151">
        <w:rPr>
          <w:color w:val="000000" w:themeColor="text1"/>
          <w:shd w:val="clear" w:color="auto" w:fill="FFFFFF"/>
          <w:lang w:val="en-GB"/>
        </w:rPr>
        <w:t>,</w:t>
      </w:r>
      <w:r w:rsidR="00741A36" w:rsidRPr="009E6278">
        <w:rPr>
          <w:color w:val="000000" w:themeColor="text1"/>
          <w:shd w:val="clear" w:color="auto" w:fill="FFFFFF"/>
          <w:lang w:val="en-GB"/>
        </w:rPr>
        <w:t xml:space="preserve"> most notably</w:t>
      </w:r>
      <w:r w:rsidR="00C00B55" w:rsidRPr="00547151">
        <w:rPr>
          <w:color w:val="000000" w:themeColor="text1"/>
          <w:shd w:val="clear" w:color="auto" w:fill="FFFFFF"/>
          <w:lang w:val="en-GB"/>
        </w:rPr>
        <w:t>,</w:t>
      </w:r>
      <w:r w:rsidR="00741A36" w:rsidRPr="009E6278">
        <w:rPr>
          <w:color w:val="000000" w:themeColor="text1"/>
          <w:shd w:val="clear" w:color="auto" w:fill="FFFFFF"/>
          <w:lang w:val="en-GB"/>
        </w:rPr>
        <w:t xml:space="preserve"> its </w:t>
      </w:r>
      <w:r w:rsidR="00186222" w:rsidRPr="009E6278">
        <w:rPr>
          <w:color w:val="000000" w:themeColor="text1"/>
          <w:shd w:val="clear" w:color="auto" w:fill="FFFFFF"/>
          <w:lang w:val="en-GB"/>
        </w:rPr>
        <w:t>pioneering Youth Sounding Board</w:t>
      </w:r>
      <w:r w:rsidR="00C414E4" w:rsidRPr="00547151">
        <w:rPr>
          <w:color w:val="000000" w:themeColor="text1"/>
          <w:shd w:val="clear" w:color="auto" w:fill="FFFFFF"/>
          <w:lang w:val="en-GB"/>
        </w:rPr>
        <w:t>,</w:t>
      </w:r>
      <w:r w:rsidR="00186222" w:rsidRPr="009E6278">
        <w:rPr>
          <w:color w:val="000000" w:themeColor="text1"/>
          <w:shd w:val="clear" w:color="auto" w:fill="FFFFFF"/>
          <w:lang w:val="en-GB"/>
        </w:rPr>
        <w:t xml:space="preserve"> to design interventions that integrate </w:t>
      </w:r>
      <w:r w:rsidR="00006AA2" w:rsidRPr="009E6278">
        <w:rPr>
          <w:color w:val="000000" w:themeColor="text1"/>
          <w:shd w:val="clear" w:color="auto" w:fill="FFFFFF"/>
          <w:lang w:val="en-GB"/>
        </w:rPr>
        <w:t xml:space="preserve">volunteerism and </w:t>
      </w:r>
      <w:r w:rsidR="00186222" w:rsidRPr="009E6278">
        <w:rPr>
          <w:color w:val="000000" w:themeColor="text1"/>
          <w:shd w:val="clear" w:color="auto" w:fill="FFFFFF"/>
          <w:lang w:val="en-GB"/>
        </w:rPr>
        <w:t>innovation to tackle the challenges of governance</w:t>
      </w:r>
      <w:r w:rsidR="008D7485" w:rsidRPr="009E6278">
        <w:rPr>
          <w:color w:val="000000" w:themeColor="text1"/>
          <w:shd w:val="clear" w:color="auto" w:fill="FFFFFF"/>
          <w:lang w:val="en-GB"/>
        </w:rPr>
        <w:t xml:space="preserve">, resilience </w:t>
      </w:r>
      <w:r w:rsidR="00186222" w:rsidRPr="009E6278">
        <w:rPr>
          <w:color w:val="000000" w:themeColor="text1"/>
          <w:shd w:val="clear" w:color="auto" w:fill="FFFFFF"/>
          <w:lang w:val="en-GB"/>
        </w:rPr>
        <w:t>and service delivery</w:t>
      </w:r>
      <w:r w:rsidR="006D6263" w:rsidRPr="009E6278">
        <w:rPr>
          <w:color w:val="000000" w:themeColor="text1"/>
          <w:shd w:val="clear" w:color="auto" w:fill="FFFFFF"/>
          <w:lang w:val="en-GB"/>
        </w:rPr>
        <w:t>.</w:t>
      </w:r>
    </w:p>
    <w:p w14:paraId="692F96F2" w14:textId="59656EAC" w:rsidR="00C53F77" w:rsidRPr="009E6278" w:rsidRDefault="00C85FC2" w:rsidP="006172E3">
      <w:pPr>
        <w:spacing w:after="120" w:line="240" w:lineRule="exact"/>
        <w:ind w:left="810" w:right="720"/>
        <w:contextualSpacing/>
        <w:jc w:val="both"/>
        <w:rPr>
          <w:b/>
          <w:bCs/>
          <w:lang w:val="en-GB"/>
        </w:rPr>
      </w:pPr>
      <w:r w:rsidRPr="009E6278">
        <w:rPr>
          <w:b/>
          <w:bCs/>
          <w:lang w:val="en-GB"/>
        </w:rPr>
        <w:t>Governance</w:t>
      </w:r>
      <w:r w:rsidR="00E61D60" w:rsidRPr="009E6278">
        <w:rPr>
          <w:b/>
          <w:bCs/>
          <w:lang w:val="en-GB"/>
        </w:rPr>
        <w:t>,</w:t>
      </w:r>
      <w:r w:rsidRPr="009E6278">
        <w:rPr>
          <w:b/>
          <w:bCs/>
          <w:lang w:val="en-GB"/>
        </w:rPr>
        <w:t xml:space="preserve"> </w:t>
      </w:r>
      <w:r w:rsidR="0098782D" w:rsidRPr="009E6278">
        <w:rPr>
          <w:b/>
          <w:bCs/>
          <w:lang w:val="en-GB"/>
        </w:rPr>
        <w:t>p</w:t>
      </w:r>
      <w:r w:rsidR="005618E4" w:rsidRPr="009E6278">
        <w:rPr>
          <w:b/>
          <w:bCs/>
          <w:lang w:val="en-GB"/>
        </w:rPr>
        <w:t xml:space="preserve">eace and </w:t>
      </w:r>
      <w:r w:rsidR="0098782D" w:rsidRPr="009E6278">
        <w:rPr>
          <w:b/>
          <w:bCs/>
          <w:lang w:val="en-GB"/>
        </w:rPr>
        <w:t>s</w:t>
      </w:r>
      <w:r w:rsidR="005618E4" w:rsidRPr="009E6278">
        <w:rPr>
          <w:b/>
          <w:bCs/>
          <w:lang w:val="en-GB"/>
        </w:rPr>
        <w:t xml:space="preserve">ocial </w:t>
      </w:r>
      <w:r w:rsidR="0098782D" w:rsidRPr="009E6278">
        <w:rPr>
          <w:b/>
          <w:bCs/>
          <w:lang w:val="en-GB"/>
        </w:rPr>
        <w:t>c</w:t>
      </w:r>
      <w:r w:rsidR="005618E4" w:rsidRPr="009E6278">
        <w:rPr>
          <w:b/>
          <w:bCs/>
          <w:lang w:val="en-GB"/>
        </w:rPr>
        <w:t>ohesion</w:t>
      </w:r>
    </w:p>
    <w:p w14:paraId="48A180EB" w14:textId="483C4E8B" w:rsidR="00AA0424" w:rsidRPr="009E6278" w:rsidRDefault="00297CE7" w:rsidP="00143015">
      <w:pPr>
        <w:pStyle w:val="ListParagraph"/>
        <w:numPr>
          <w:ilvl w:val="0"/>
          <w:numId w:val="8"/>
        </w:numPr>
        <w:tabs>
          <w:tab w:val="left" w:pos="1170"/>
        </w:tabs>
        <w:spacing w:after="120" w:line="240" w:lineRule="exact"/>
        <w:ind w:left="810" w:right="720" w:firstLine="0"/>
        <w:jc w:val="both"/>
        <w:rPr>
          <w:color w:val="000000" w:themeColor="text1"/>
          <w:lang w:val="en-GB"/>
        </w:rPr>
      </w:pPr>
      <w:r w:rsidRPr="009E6278">
        <w:rPr>
          <w:color w:val="000000" w:themeColor="text1"/>
          <w:lang w:val="en-GB"/>
        </w:rPr>
        <w:t>Governance, peace and s</w:t>
      </w:r>
      <w:r w:rsidR="00167A09" w:rsidRPr="009E6278">
        <w:rPr>
          <w:color w:val="000000" w:themeColor="text1"/>
          <w:lang w:val="en-GB"/>
        </w:rPr>
        <w:t xml:space="preserve">ocial cohesion </w:t>
      </w:r>
      <w:r w:rsidRPr="009E6278">
        <w:rPr>
          <w:color w:val="000000" w:themeColor="text1"/>
          <w:lang w:val="en-GB"/>
        </w:rPr>
        <w:t xml:space="preserve">are </w:t>
      </w:r>
      <w:r w:rsidR="006D6263" w:rsidRPr="009E6278">
        <w:rPr>
          <w:color w:val="000000" w:themeColor="text1"/>
          <w:lang w:val="en-GB"/>
        </w:rPr>
        <w:t>foundations for</w:t>
      </w:r>
      <w:r w:rsidRPr="009E6278">
        <w:rPr>
          <w:color w:val="000000" w:themeColor="text1"/>
          <w:lang w:val="en-GB"/>
        </w:rPr>
        <w:t xml:space="preserve"> sustainable</w:t>
      </w:r>
      <w:r w:rsidR="0098782D" w:rsidRPr="009E6278">
        <w:rPr>
          <w:color w:val="000000" w:themeColor="text1"/>
          <w:lang w:val="en-GB"/>
        </w:rPr>
        <w:t xml:space="preserve"> </w:t>
      </w:r>
      <w:r w:rsidRPr="009E6278">
        <w:rPr>
          <w:color w:val="000000" w:themeColor="text1"/>
          <w:lang w:val="en-GB"/>
        </w:rPr>
        <w:t xml:space="preserve">development. </w:t>
      </w:r>
      <w:r w:rsidR="006D6263" w:rsidRPr="009E6278">
        <w:rPr>
          <w:color w:val="000000" w:themeColor="text1"/>
          <w:lang w:val="en-GB"/>
        </w:rPr>
        <w:t>COVID-19</w:t>
      </w:r>
      <w:r w:rsidRPr="009E6278">
        <w:rPr>
          <w:color w:val="000000" w:themeColor="text1"/>
          <w:lang w:val="en-GB"/>
        </w:rPr>
        <w:t xml:space="preserve"> has reinforced the </w:t>
      </w:r>
      <w:r w:rsidR="006D6263" w:rsidRPr="009E6278">
        <w:rPr>
          <w:color w:val="000000" w:themeColor="text1"/>
          <w:lang w:val="en-GB"/>
        </w:rPr>
        <w:t xml:space="preserve">notion </w:t>
      </w:r>
      <w:r w:rsidRPr="009E6278">
        <w:rPr>
          <w:color w:val="000000" w:themeColor="text1"/>
          <w:lang w:val="en-GB"/>
        </w:rPr>
        <w:t>that revitaliz</w:t>
      </w:r>
      <w:r w:rsidR="006D6263" w:rsidRPr="009E6278">
        <w:rPr>
          <w:color w:val="000000" w:themeColor="text1"/>
          <w:lang w:val="en-GB"/>
        </w:rPr>
        <w:t>ing</w:t>
      </w:r>
      <w:r w:rsidRPr="009E6278">
        <w:rPr>
          <w:color w:val="000000" w:themeColor="text1"/>
          <w:lang w:val="en-GB"/>
        </w:rPr>
        <w:t xml:space="preserve"> the social contract by rethinking the process by which state and </w:t>
      </w:r>
      <w:r w:rsidR="006D6263" w:rsidRPr="009E6278">
        <w:rPr>
          <w:color w:val="000000" w:themeColor="text1"/>
          <w:lang w:val="en-GB"/>
        </w:rPr>
        <w:t>citizens</w:t>
      </w:r>
      <w:r w:rsidRPr="009E6278">
        <w:rPr>
          <w:color w:val="000000" w:themeColor="text1"/>
          <w:lang w:val="en-GB"/>
        </w:rPr>
        <w:t xml:space="preserve"> interact to design and implement policies for the management of public affairs</w:t>
      </w:r>
      <w:r w:rsidR="006D6263" w:rsidRPr="009E6278">
        <w:rPr>
          <w:color w:val="000000" w:themeColor="text1"/>
          <w:lang w:val="en-GB"/>
        </w:rPr>
        <w:t>,</w:t>
      </w:r>
      <w:r w:rsidRPr="009E6278">
        <w:rPr>
          <w:color w:val="000000" w:themeColor="text1"/>
          <w:lang w:val="en-GB"/>
        </w:rPr>
        <w:t xml:space="preserve"> is not only a pathway to achieving and sustaining peace</w:t>
      </w:r>
      <w:r w:rsidR="006D6263" w:rsidRPr="009E6278">
        <w:rPr>
          <w:color w:val="000000" w:themeColor="text1"/>
          <w:lang w:val="en-GB"/>
        </w:rPr>
        <w:t>,</w:t>
      </w:r>
      <w:r w:rsidRPr="009E6278">
        <w:rPr>
          <w:color w:val="000000" w:themeColor="text1"/>
          <w:lang w:val="en-GB"/>
        </w:rPr>
        <w:t xml:space="preserve"> but also the resilience of nations, societies and communities. The attention to governance</w:t>
      </w:r>
      <w:r w:rsidR="001A5D12" w:rsidRPr="009E6278">
        <w:rPr>
          <w:color w:val="000000" w:themeColor="text1"/>
          <w:lang w:val="en-GB"/>
        </w:rPr>
        <w:t>, peace</w:t>
      </w:r>
      <w:r w:rsidRPr="009E6278">
        <w:rPr>
          <w:color w:val="000000" w:themeColor="text1"/>
          <w:lang w:val="en-GB"/>
        </w:rPr>
        <w:t xml:space="preserve"> </w:t>
      </w:r>
      <w:r w:rsidR="003F52CE" w:rsidRPr="009E6278">
        <w:rPr>
          <w:color w:val="000000" w:themeColor="text1"/>
          <w:lang w:val="en-GB"/>
        </w:rPr>
        <w:t xml:space="preserve">and social cohesion </w:t>
      </w:r>
      <w:r w:rsidRPr="009E6278">
        <w:rPr>
          <w:color w:val="000000" w:themeColor="text1"/>
          <w:lang w:val="en-GB"/>
        </w:rPr>
        <w:t xml:space="preserve">under this </w:t>
      </w:r>
      <w:r w:rsidR="00267C39" w:rsidRPr="00547151">
        <w:rPr>
          <w:color w:val="000000" w:themeColor="text1"/>
          <w:lang w:val="en-GB"/>
        </w:rPr>
        <w:t>c</w:t>
      </w:r>
      <w:r w:rsidRPr="009E6278">
        <w:rPr>
          <w:color w:val="000000" w:themeColor="text1"/>
          <w:lang w:val="en-GB"/>
        </w:rPr>
        <w:t xml:space="preserve">ountry </w:t>
      </w:r>
      <w:r w:rsidR="00267C39" w:rsidRPr="00547151">
        <w:rPr>
          <w:color w:val="000000" w:themeColor="text1"/>
          <w:lang w:val="en-GB"/>
        </w:rPr>
        <w:t>p</w:t>
      </w:r>
      <w:r w:rsidRPr="009E6278">
        <w:rPr>
          <w:color w:val="000000" w:themeColor="text1"/>
          <w:lang w:val="en-GB"/>
        </w:rPr>
        <w:t xml:space="preserve">rogramme is based on </w:t>
      </w:r>
      <w:r w:rsidR="0084739D" w:rsidRPr="009E6278">
        <w:rPr>
          <w:color w:val="000000" w:themeColor="text1"/>
          <w:lang w:val="en-GB"/>
        </w:rPr>
        <w:t xml:space="preserve">the </w:t>
      </w:r>
      <w:r w:rsidR="009B26B3" w:rsidRPr="009E6278">
        <w:rPr>
          <w:rStyle w:val="normaltextrun"/>
          <w:color w:val="000000" w:themeColor="text1"/>
          <w:lang w:val="en-GB"/>
        </w:rPr>
        <w:t>independent country programme evaluation</w:t>
      </w:r>
      <w:r w:rsidR="00A12C73" w:rsidRPr="009E6278">
        <w:rPr>
          <w:color w:val="000000" w:themeColor="text1"/>
          <w:lang w:val="en-GB"/>
        </w:rPr>
        <w:t xml:space="preserve"> recommendations </w:t>
      </w:r>
      <w:r w:rsidR="00037289" w:rsidRPr="009E6278">
        <w:rPr>
          <w:color w:val="000000" w:themeColor="text1"/>
          <w:lang w:val="en-GB"/>
        </w:rPr>
        <w:t xml:space="preserve">and is aligned with the transformative vision of </w:t>
      </w:r>
      <w:r w:rsidR="002D14BE" w:rsidRPr="009E6278">
        <w:rPr>
          <w:color w:val="000000" w:themeColor="text1"/>
          <w:lang w:val="en-GB"/>
        </w:rPr>
        <w:t xml:space="preserve">the </w:t>
      </w:r>
      <w:r w:rsidR="00C414E4" w:rsidRPr="00547151">
        <w:rPr>
          <w:color w:val="000000" w:themeColor="text1"/>
          <w:lang w:val="en-GB"/>
        </w:rPr>
        <w:t xml:space="preserve">Kenya </w:t>
      </w:r>
      <w:r w:rsidR="002D14BE" w:rsidRPr="009E6278">
        <w:rPr>
          <w:color w:val="000000" w:themeColor="text1"/>
          <w:lang w:val="en-GB"/>
        </w:rPr>
        <w:t>Constitution</w:t>
      </w:r>
      <w:r w:rsidR="00CC497F" w:rsidRPr="009E6278">
        <w:rPr>
          <w:color w:val="000000" w:themeColor="text1"/>
          <w:lang w:val="en-GB"/>
        </w:rPr>
        <w:t xml:space="preserve">. </w:t>
      </w:r>
    </w:p>
    <w:p w14:paraId="67CB1CC2" w14:textId="7464320F" w:rsidR="00650AA6" w:rsidRPr="009E6278" w:rsidRDefault="00297CE7" w:rsidP="00143015">
      <w:pPr>
        <w:pStyle w:val="ListParagraph"/>
        <w:numPr>
          <w:ilvl w:val="0"/>
          <w:numId w:val="8"/>
        </w:numPr>
        <w:tabs>
          <w:tab w:val="left" w:pos="1170"/>
        </w:tabs>
        <w:spacing w:after="120" w:line="240" w:lineRule="exact"/>
        <w:ind w:left="810" w:right="720" w:firstLine="0"/>
        <w:jc w:val="both"/>
        <w:rPr>
          <w:color w:val="000000" w:themeColor="text1"/>
          <w:lang w:val="en-GB"/>
        </w:rPr>
      </w:pPr>
      <w:r w:rsidRPr="009E6278">
        <w:rPr>
          <w:iCs/>
          <w:color w:val="000000" w:themeColor="text1"/>
          <w:lang w:val="en-GB"/>
        </w:rPr>
        <w:t xml:space="preserve">As the </w:t>
      </w:r>
      <w:r w:rsidR="006D6263" w:rsidRPr="009E6278">
        <w:rPr>
          <w:iCs/>
          <w:color w:val="000000" w:themeColor="text1"/>
          <w:lang w:val="en-GB"/>
        </w:rPr>
        <w:t>U</w:t>
      </w:r>
      <w:r w:rsidR="00267C39" w:rsidRPr="00547151">
        <w:rPr>
          <w:iCs/>
          <w:color w:val="000000" w:themeColor="text1"/>
          <w:lang w:val="en-GB"/>
        </w:rPr>
        <w:t>nited Nations</w:t>
      </w:r>
      <w:r w:rsidR="006D6263" w:rsidRPr="009E6278">
        <w:rPr>
          <w:iCs/>
          <w:color w:val="000000" w:themeColor="text1"/>
          <w:lang w:val="en-GB"/>
        </w:rPr>
        <w:t xml:space="preserve"> </w:t>
      </w:r>
      <w:r w:rsidR="00267C39" w:rsidRPr="00547151">
        <w:rPr>
          <w:iCs/>
          <w:color w:val="000000" w:themeColor="text1"/>
          <w:lang w:val="en-GB"/>
        </w:rPr>
        <w:t>entity</w:t>
      </w:r>
      <w:r w:rsidR="00267C39" w:rsidRPr="009E6278">
        <w:rPr>
          <w:iCs/>
          <w:color w:val="000000" w:themeColor="text1"/>
          <w:lang w:val="en-GB"/>
        </w:rPr>
        <w:t xml:space="preserve"> </w:t>
      </w:r>
      <w:r w:rsidRPr="009E6278">
        <w:rPr>
          <w:iCs/>
          <w:color w:val="000000" w:themeColor="text1"/>
          <w:lang w:val="en-GB"/>
        </w:rPr>
        <w:t>with principal responsibility for governance</w:t>
      </w:r>
      <w:r w:rsidR="003D15CF" w:rsidRPr="009E6278">
        <w:rPr>
          <w:iCs/>
          <w:color w:val="000000" w:themeColor="text1"/>
          <w:lang w:val="en-GB"/>
        </w:rPr>
        <w:t xml:space="preserve"> and peacebuilding</w:t>
      </w:r>
      <w:r w:rsidRPr="009E6278">
        <w:rPr>
          <w:iCs/>
          <w:color w:val="000000" w:themeColor="text1"/>
          <w:lang w:val="en-GB"/>
        </w:rPr>
        <w:t xml:space="preserve">, UNDP </w:t>
      </w:r>
      <w:r w:rsidRPr="009E6278">
        <w:rPr>
          <w:color w:val="000000" w:themeColor="text1"/>
          <w:lang w:val="en-GB"/>
        </w:rPr>
        <w:t xml:space="preserve">strategic interventions will embrace a whole-of-government and whole-of-society approach, working with legislative, executive, and judicial institutions at national and county levels while </w:t>
      </w:r>
      <w:r w:rsidRPr="009E6278">
        <w:rPr>
          <w:color w:val="000000" w:themeColor="text1"/>
          <w:shd w:val="clear" w:color="auto" w:fill="FFFFFF"/>
          <w:lang w:val="en-GB"/>
        </w:rPr>
        <w:t xml:space="preserve">leveraging the skills, capacities, networks, and resources of civil society, </w:t>
      </w:r>
      <w:r w:rsidR="00267C39" w:rsidRPr="00547151">
        <w:rPr>
          <w:color w:val="000000" w:themeColor="text1"/>
          <w:shd w:val="clear" w:color="auto" w:fill="FFFFFF"/>
          <w:lang w:val="en-GB"/>
        </w:rPr>
        <w:t xml:space="preserve">the </w:t>
      </w:r>
      <w:r w:rsidRPr="009E6278">
        <w:rPr>
          <w:color w:val="000000" w:themeColor="text1"/>
          <w:shd w:val="clear" w:color="auto" w:fill="FFFFFF"/>
          <w:lang w:val="en-GB"/>
        </w:rPr>
        <w:t>private sector, media, academia</w:t>
      </w:r>
      <w:r w:rsidR="00267C39" w:rsidRPr="00547151">
        <w:rPr>
          <w:color w:val="000000" w:themeColor="text1"/>
          <w:shd w:val="clear" w:color="auto" w:fill="FFFFFF"/>
          <w:lang w:val="en-GB"/>
        </w:rPr>
        <w:t>,</w:t>
      </w:r>
      <w:r w:rsidRPr="009E6278">
        <w:rPr>
          <w:color w:val="000000" w:themeColor="text1"/>
          <w:shd w:val="clear" w:color="auto" w:fill="FFFFFF"/>
          <w:lang w:val="en-GB"/>
        </w:rPr>
        <w:t xml:space="preserve"> local community associations </w:t>
      </w:r>
      <w:r w:rsidR="00267C39" w:rsidRPr="00547151">
        <w:rPr>
          <w:color w:val="000000" w:themeColor="text1"/>
          <w:shd w:val="clear" w:color="auto" w:fill="FFFFFF"/>
          <w:lang w:val="en-GB"/>
        </w:rPr>
        <w:t>–</w:t>
      </w:r>
      <w:r w:rsidR="00C414E4" w:rsidRPr="00547151">
        <w:rPr>
          <w:color w:val="000000" w:themeColor="text1"/>
          <w:shd w:val="clear" w:color="auto" w:fill="FFFFFF"/>
          <w:lang w:val="en-GB"/>
        </w:rPr>
        <w:t>particularly</w:t>
      </w:r>
      <w:r w:rsidRPr="009E6278">
        <w:rPr>
          <w:color w:val="000000" w:themeColor="text1"/>
          <w:shd w:val="clear" w:color="auto" w:fill="FFFFFF"/>
          <w:lang w:val="en-GB"/>
        </w:rPr>
        <w:t xml:space="preserve"> youth and women</w:t>
      </w:r>
      <w:r w:rsidR="00267C39" w:rsidRPr="00547151">
        <w:rPr>
          <w:color w:val="000000" w:themeColor="text1"/>
          <w:shd w:val="clear" w:color="auto" w:fill="FFFFFF"/>
          <w:lang w:val="en-GB"/>
        </w:rPr>
        <w:t>’s</w:t>
      </w:r>
      <w:r w:rsidRPr="009E6278">
        <w:rPr>
          <w:color w:val="000000" w:themeColor="text1"/>
          <w:shd w:val="clear" w:color="auto" w:fill="FFFFFF"/>
          <w:lang w:val="en-GB"/>
        </w:rPr>
        <w:t xml:space="preserve"> groups</w:t>
      </w:r>
      <w:r w:rsidR="003D15CF" w:rsidRPr="009E6278">
        <w:rPr>
          <w:color w:val="000000" w:themeColor="text1"/>
          <w:shd w:val="clear" w:color="auto" w:fill="FFFFFF"/>
          <w:lang w:val="en-GB"/>
        </w:rPr>
        <w:t xml:space="preserve"> </w:t>
      </w:r>
      <w:r w:rsidR="00267C39" w:rsidRPr="00547151">
        <w:rPr>
          <w:color w:val="000000" w:themeColor="text1"/>
          <w:shd w:val="clear" w:color="auto" w:fill="FFFFFF"/>
          <w:lang w:val="en-GB"/>
        </w:rPr>
        <w:t>–</w:t>
      </w:r>
      <w:r w:rsidR="00D5321E" w:rsidRPr="009E6278">
        <w:rPr>
          <w:color w:val="000000" w:themeColor="text1"/>
          <w:shd w:val="clear" w:color="auto" w:fill="FFFFFF"/>
          <w:lang w:val="en-GB"/>
        </w:rPr>
        <w:t xml:space="preserve"> </w:t>
      </w:r>
      <w:r w:rsidR="003D15CF" w:rsidRPr="009E6278">
        <w:rPr>
          <w:color w:val="000000" w:themeColor="text1"/>
          <w:shd w:val="clear" w:color="auto" w:fill="FFFFFF"/>
          <w:lang w:val="en-GB"/>
        </w:rPr>
        <w:t>to monitor</w:t>
      </w:r>
      <w:r w:rsidR="00C414E4" w:rsidRPr="00547151">
        <w:rPr>
          <w:color w:val="000000" w:themeColor="text1"/>
          <w:shd w:val="clear" w:color="auto" w:fill="FFFFFF"/>
          <w:lang w:val="en-GB"/>
        </w:rPr>
        <w:t>,</w:t>
      </w:r>
      <w:r w:rsidR="003D15CF" w:rsidRPr="009E6278">
        <w:rPr>
          <w:color w:val="000000" w:themeColor="text1"/>
          <w:shd w:val="clear" w:color="auto" w:fill="FFFFFF"/>
          <w:lang w:val="en-GB"/>
        </w:rPr>
        <w:t xml:space="preserve"> conduct oversight</w:t>
      </w:r>
      <w:r w:rsidR="00C414E4" w:rsidRPr="00547151">
        <w:rPr>
          <w:color w:val="000000" w:themeColor="text1"/>
          <w:shd w:val="clear" w:color="auto" w:fill="FFFFFF"/>
          <w:lang w:val="en-GB"/>
        </w:rPr>
        <w:t>,</w:t>
      </w:r>
      <w:r w:rsidR="003D15CF" w:rsidRPr="009E6278">
        <w:rPr>
          <w:color w:val="000000" w:themeColor="text1"/>
          <w:shd w:val="clear" w:color="auto" w:fill="FFFFFF"/>
          <w:lang w:val="en-GB"/>
        </w:rPr>
        <w:t xml:space="preserve"> </w:t>
      </w:r>
      <w:r w:rsidR="00C414E4" w:rsidRPr="00547151">
        <w:rPr>
          <w:color w:val="000000" w:themeColor="text1"/>
          <w:shd w:val="clear" w:color="auto" w:fill="FFFFFF"/>
          <w:lang w:val="en-GB"/>
        </w:rPr>
        <w:t>and</w:t>
      </w:r>
      <w:r w:rsidR="003D15CF" w:rsidRPr="009E6278">
        <w:rPr>
          <w:color w:val="000000" w:themeColor="text1"/>
          <w:shd w:val="clear" w:color="auto" w:fill="FFFFFF"/>
          <w:lang w:val="en-GB"/>
        </w:rPr>
        <w:t xml:space="preserve"> raise awareness of the work</w:t>
      </w:r>
      <w:r w:rsidRPr="009E6278">
        <w:rPr>
          <w:color w:val="000000" w:themeColor="text1"/>
          <w:shd w:val="clear" w:color="auto" w:fill="FFFFFF"/>
          <w:lang w:val="en-GB"/>
        </w:rPr>
        <w:t xml:space="preserve">. To achieve transformative results </w:t>
      </w:r>
      <w:r w:rsidR="004C70DC" w:rsidRPr="009E6278">
        <w:rPr>
          <w:color w:val="000000" w:themeColor="text1"/>
          <w:shd w:val="clear" w:color="auto" w:fill="FFFFFF"/>
          <w:lang w:val="en-GB"/>
        </w:rPr>
        <w:t>i</w:t>
      </w:r>
      <w:r w:rsidRPr="009E6278">
        <w:rPr>
          <w:color w:val="000000" w:themeColor="text1"/>
          <w:shd w:val="clear" w:color="auto" w:fill="FFFFFF"/>
          <w:lang w:val="en-GB"/>
        </w:rPr>
        <w:t>n the area</w:t>
      </w:r>
      <w:r w:rsidR="000121C7" w:rsidRPr="009E6278">
        <w:rPr>
          <w:color w:val="000000" w:themeColor="text1"/>
          <w:shd w:val="clear" w:color="auto" w:fill="FFFFFF"/>
          <w:lang w:val="en-GB"/>
        </w:rPr>
        <w:t>s</w:t>
      </w:r>
      <w:r w:rsidRPr="009E6278">
        <w:rPr>
          <w:color w:val="000000" w:themeColor="text1"/>
          <w:shd w:val="clear" w:color="auto" w:fill="FFFFFF"/>
          <w:lang w:val="en-GB"/>
        </w:rPr>
        <w:t xml:space="preserve"> of accountability</w:t>
      </w:r>
      <w:r w:rsidR="0025091C" w:rsidRPr="009E6278">
        <w:rPr>
          <w:color w:val="000000" w:themeColor="text1"/>
          <w:shd w:val="clear" w:color="auto" w:fill="FFFFFF"/>
          <w:lang w:val="en-GB"/>
        </w:rPr>
        <w:t xml:space="preserve"> and transparency</w:t>
      </w:r>
      <w:r w:rsidRPr="009E6278">
        <w:rPr>
          <w:color w:val="000000" w:themeColor="text1"/>
          <w:shd w:val="clear" w:color="auto" w:fill="FFFFFF"/>
          <w:lang w:val="en-GB"/>
        </w:rPr>
        <w:t xml:space="preserve">, </w:t>
      </w:r>
      <w:r w:rsidR="00267C39" w:rsidRPr="00547151">
        <w:rPr>
          <w:color w:val="000000" w:themeColor="text1"/>
          <w:shd w:val="clear" w:color="auto" w:fill="FFFFFF"/>
          <w:lang w:val="en-GB"/>
        </w:rPr>
        <w:t>special</w:t>
      </w:r>
      <w:r w:rsidR="00267C39" w:rsidRPr="009E6278">
        <w:rPr>
          <w:color w:val="000000" w:themeColor="text1"/>
          <w:shd w:val="clear" w:color="auto" w:fill="FFFFFF"/>
          <w:lang w:val="en-GB"/>
        </w:rPr>
        <w:t xml:space="preserve"> </w:t>
      </w:r>
      <w:r w:rsidRPr="009E6278">
        <w:rPr>
          <w:color w:val="000000" w:themeColor="text1"/>
          <w:shd w:val="clear" w:color="auto" w:fill="FFFFFF"/>
          <w:lang w:val="en-GB"/>
        </w:rPr>
        <w:t xml:space="preserve">attention will be </w:t>
      </w:r>
      <w:r w:rsidR="00267C39" w:rsidRPr="00547151">
        <w:rPr>
          <w:color w:val="000000" w:themeColor="text1"/>
          <w:shd w:val="clear" w:color="auto" w:fill="FFFFFF"/>
          <w:lang w:val="en-GB"/>
        </w:rPr>
        <w:t>paid</w:t>
      </w:r>
      <w:r w:rsidR="00267C39" w:rsidRPr="009E6278">
        <w:rPr>
          <w:color w:val="000000" w:themeColor="text1"/>
          <w:shd w:val="clear" w:color="auto" w:fill="FFFFFF"/>
          <w:lang w:val="en-GB"/>
        </w:rPr>
        <w:t xml:space="preserve"> </w:t>
      </w:r>
      <w:r w:rsidRPr="009E6278">
        <w:rPr>
          <w:color w:val="000000" w:themeColor="text1"/>
          <w:shd w:val="clear" w:color="auto" w:fill="FFFFFF"/>
          <w:lang w:val="en-GB"/>
        </w:rPr>
        <w:t>to promoting</w:t>
      </w:r>
      <w:r w:rsidRPr="009E6278">
        <w:rPr>
          <w:color w:val="000000" w:themeColor="text1"/>
          <w:lang w:val="en-GB"/>
        </w:rPr>
        <w:t xml:space="preserve"> open government</w:t>
      </w:r>
      <w:r w:rsidR="00267C39" w:rsidRPr="00547151">
        <w:rPr>
          <w:color w:val="000000" w:themeColor="text1"/>
          <w:lang w:val="en-GB"/>
        </w:rPr>
        <w:t xml:space="preserve"> and </w:t>
      </w:r>
      <w:r w:rsidR="006D6263" w:rsidRPr="009E6278">
        <w:rPr>
          <w:color w:val="000000" w:themeColor="text1"/>
          <w:lang w:val="en-GB"/>
        </w:rPr>
        <w:t>rule of law</w:t>
      </w:r>
      <w:r w:rsidR="00267C39" w:rsidRPr="00547151">
        <w:rPr>
          <w:color w:val="000000" w:themeColor="text1"/>
          <w:lang w:val="en-GB"/>
        </w:rPr>
        <w:t>;</w:t>
      </w:r>
      <w:r w:rsidR="006D6263" w:rsidRPr="009E6278">
        <w:rPr>
          <w:color w:val="000000" w:themeColor="text1"/>
          <w:lang w:val="en-GB"/>
        </w:rPr>
        <w:t xml:space="preserve"> upholding human rights</w:t>
      </w:r>
      <w:r w:rsidR="00267C39" w:rsidRPr="00547151">
        <w:rPr>
          <w:color w:val="000000" w:themeColor="text1"/>
          <w:lang w:val="en-GB"/>
        </w:rPr>
        <w:t xml:space="preserve">; </w:t>
      </w:r>
      <w:r w:rsidRPr="009E6278">
        <w:rPr>
          <w:color w:val="000000" w:themeColor="text1"/>
          <w:lang w:val="en-GB"/>
        </w:rPr>
        <w:t>strengthening</w:t>
      </w:r>
      <w:r w:rsidR="0025091C" w:rsidRPr="009E6278">
        <w:rPr>
          <w:color w:val="000000" w:themeColor="text1"/>
          <w:lang w:val="en-GB"/>
        </w:rPr>
        <w:t xml:space="preserve"> public participation</w:t>
      </w:r>
      <w:r w:rsidR="00267C39" w:rsidRPr="00547151">
        <w:rPr>
          <w:color w:val="000000" w:themeColor="text1"/>
          <w:lang w:val="en-GB"/>
        </w:rPr>
        <w:t>;</w:t>
      </w:r>
      <w:r w:rsidR="001E3A7D" w:rsidRPr="009E6278">
        <w:rPr>
          <w:color w:val="000000" w:themeColor="text1"/>
          <w:lang w:val="en-GB"/>
        </w:rPr>
        <w:t xml:space="preserve"> enhancing planning and budgeting</w:t>
      </w:r>
      <w:r w:rsidR="00267C39" w:rsidRPr="00547151">
        <w:rPr>
          <w:color w:val="000000" w:themeColor="text1"/>
          <w:lang w:val="en-GB"/>
        </w:rPr>
        <w:t xml:space="preserve">; </w:t>
      </w:r>
      <w:r w:rsidRPr="009E6278">
        <w:rPr>
          <w:color w:val="000000" w:themeColor="text1"/>
          <w:lang w:val="en-GB"/>
        </w:rPr>
        <w:t xml:space="preserve">and </w:t>
      </w:r>
      <w:r w:rsidR="00C64C88" w:rsidRPr="009E6278">
        <w:rPr>
          <w:color w:val="000000" w:themeColor="text1"/>
          <w:lang w:val="en-GB"/>
        </w:rPr>
        <w:t>strengthening</w:t>
      </w:r>
      <w:r w:rsidRPr="009E6278">
        <w:rPr>
          <w:color w:val="000000" w:themeColor="text1"/>
          <w:lang w:val="en-GB"/>
        </w:rPr>
        <w:t xml:space="preserve"> partnerships with</w:t>
      </w:r>
      <w:r w:rsidRPr="009E6278">
        <w:rPr>
          <w:color w:val="000000" w:themeColor="text1"/>
          <w:shd w:val="clear" w:color="auto" w:fill="FFFFFF"/>
          <w:lang w:val="en-GB"/>
        </w:rPr>
        <w:t xml:space="preserve"> </w:t>
      </w:r>
      <w:r w:rsidRPr="009E6278">
        <w:rPr>
          <w:color w:val="000000" w:themeColor="text1"/>
          <w:lang w:val="en-GB"/>
        </w:rPr>
        <w:t>key oversight institutions</w:t>
      </w:r>
      <w:r w:rsidR="0011593C" w:rsidRPr="009E6278">
        <w:rPr>
          <w:rStyle w:val="FootnoteReference"/>
          <w:color w:val="000000" w:themeColor="text1"/>
          <w:lang w:val="en-GB"/>
        </w:rPr>
        <w:footnoteReference w:id="27"/>
      </w:r>
      <w:r w:rsidRPr="009E6278">
        <w:rPr>
          <w:color w:val="000000" w:themeColor="text1"/>
          <w:lang w:val="en-GB"/>
        </w:rPr>
        <w:t xml:space="preserve"> </w:t>
      </w:r>
      <w:r w:rsidR="001B3FA7" w:rsidRPr="009E6278">
        <w:rPr>
          <w:color w:val="000000" w:themeColor="text1"/>
          <w:lang w:val="en-GB"/>
        </w:rPr>
        <w:t>at</w:t>
      </w:r>
      <w:r w:rsidR="003F0B0E" w:rsidRPr="009E6278">
        <w:rPr>
          <w:color w:val="000000" w:themeColor="text1"/>
          <w:lang w:val="en-GB"/>
        </w:rPr>
        <w:t xml:space="preserve"> </w:t>
      </w:r>
      <w:r w:rsidRPr="009E6278">
        <w:rPr>
          <w:color w:val="000000" w:themeColor="text1"/>
          <w:lang w:val="en-GB"/>
        </w:rPr>
        <w:t>national and county</w:t>
      </w:r>
      <w:r w:rsidR="001B3FA7" w:rsidRPr="009E6278">
        <w:rPr>
          <w:color w:val="000000" w:themeColor="text1"/>
          <w:lang w:val="en-GB"/>
        </w:rPr>
        <w:t xml:space="preserve"> levels</w:t>
      </w:r>
      <w:r w:rsidR="00CA117C" w:rsidRPr="009E6278">
        <w:rPr>
          <w:color w:val="000000" w:themeColor="text1"/>
          <w:lang w:val="en-GB"/>
        </w:rPr>
        <w:t>.</w:t>
      </w:r>
      <w:r w:rsidRPr="009E6278">
        <w:rPr>
          <w:color w:val="000000" w:themeColor="text1"/>
          <w:lang w:val="en-GB"/>
        </w:rPr>
        <w:t xml:space="preserve"> </w:t>
      </w:r>
    </w:p>
    <w:p w14:paraId="6611CC14" w14:textId="6AE60515" w:rsidR="00297CE7" w:rsidRPr="009E6278" w:rsidRDefault="00925743" w:rsidP="00143015">
      <w:pPr>
        <w:pStyle w:val="ListParagraph"/>
        <w:numPr>
          <w:ilvl w:val="0"/>
          <w:numId w:val="8"/>
        </w:numPr>
        <w:tabs>
          <w:tab w:val="left" w:pos="1170"/>
        </w:tabs>
        <w:spacing w:after="120" w:line="240" w:lineRule="exact"/>
        <w:ind w:left="810" w:right="720" w:firstLine="0"/>
        <w:jc w:val="both"/>
        <w:rPr>
          <w:color w:val="000000" w:themeColor="text1"/>
          <w:lang w:val="en-GB"/>
        </w:rPr>
      </w:pPr>
      <w:r w:rsidRPr="009E6278">
        <w:rPr>
          <w:color w:val="000000" w:themeColor="text1"/>
          <w:lang w:val="en-GB"/>
        </w:rPr>
        <w:t xml:space="preserve">UNDP </w:t>
      </w:r>
      <w:r w:rsidR="00297CE7" w:rsidRPr="009E6278">
        <w:rPr>
          <w:color w:val="000000" w:themeColor="text1"/>
          <w:lang w:val="en-GB"/>
        </w:rPr>
        <w:t>will continue supporting non-state actors and rights</w:t>
      </w:r>
      <w:r w:rsidR="00C414E4" w:rsidRPr="00547151">
        <w:rPr>
          <w:color w:val="000000" w:themeColor="text1"/>
          <w:lang w:val="en-GB"/>
        </w:rPr>
        <w:t>-</w:t>
      </w:r>
      <w:r w:rsidR="00297CE7" w:rsidRPr="009E6278">
        <w:rPr>
          <w:color w:val="000000" w:themeColor="text1"/>
          <w:lang w:val="en-GB"/>
        </w:rPr>
        <w:t>holders</w:t>
      </w:r>
      <w:r w:rsidR="00C414E4" w:rsidRPr="00547151">
        <w:rPr>
          <w:color w:val="000000" w:themeColor="text1"/>
          <w:lang w:val="en-GB"/>
        </w:rPr>
        <w:t>,</w:t>
      </w:r>
      <w:r w:rsidR="00297CE7" w:rsidRPr="009E6278">
        <w:rPr>
          <w:color w:val="000000" w:themeColor="text1"/>
          <w:lang w:val="en-GB"/>
        </w:rPr>
        <w:t xml:space="preserve"> contributing to transparency, accountability, access to justice</w:t>
      </w:r>
      <w:r w:rsidR="003B4A24" w:rsidRPr="009E6278">
        <w:rPr>
          <w:color w:val="000000" w:themeColor="text1"/>
          <w:lang w:val="en-GB"/>
        </w:rPr>
        <w:t>, and the</w:t>
      </w:r>
      <w:r w:rsidR="00297CE7" w:rsidRPr="009E6278">
        <w:rPr>
          <w:color w:val="000000" w:themeColor="text1"/>
          <w:lang w:val="en-GB"/>
        </w:rPr>
        <w:t xml:space="preserve"> promotion</w:t>
      </w:r>
      <w:r w:rsidR="003B4A24" w:rsidRPr="009E6278">
        <w:rPr>
          <w:color w:val="000000" w:themeColor="text1"/>
          <w:lang w:val="en-GB"/>
        </w:rPr>
        <w:t xml:space="preserve"> and protection of human rights, particularly </w:t>
      </w:r>
      <w:r w:rsidR="0039221C" w:rsidRPr="009E6278">
        <w:rPr>
          <w:color w:val="000000" w:themeColor="text1"/>
          <w:lang w:val="en-GB"/>
        </w:rPr>
        <w:t xml:space="preserve">for </w:t>
      </w:r>
      <w:r w:rsidR="00F7483D" w:rsidRPr="00547151">
        <w:rPr>
          <w:lang w:val="en-GB"/>
        </w:rPr>
        <w:t>people</w:t>
      </w:r>
      <w:r w:rsidR="00CF0E9B" w:rsidRPr="00547151">
        <w:rPr>
          <w:lang w:val="en-GB"/>
        </w:rPr>
        <w:t xml:space="preserve"> with disabilities</w:t>
      </w:r>
      <w:r w:rsidR="009B16B2" w:rsidRPr="009E6278">
        <w:rPr>
          <w:color w:val="000000" w:themeColor="text1"/>
          <w:lang w:val="en-GB"/>
        </w:rPr>
        <w:t>,</w:t>
      </w:r>
      <w:r w:rsidR="003B4A24" w:rsidRPr="009E6278">
        <w:rPr>
          <w:color w:val="000000" w:themeColor="text1"/>
          <w:lang w:val="en-GB"/>
        </w:rPr>
        <w:t xml:space="preserve"> </w:t>
      </w:r>
      <w:r w:rsidR="00F7483D" w:rsidRPr="009E6278">
        <w:rPr>
          <w:lang w:val="en-GB"/>
        </w:rPr>
        <w:t>people living with HIV</w:t>
      </w:r>
      <w:r w:rsidR="00C61360" w:rsidRPr="009E6278">
        <w:rPr>
          <w:rStyle w:val="FootnoteReference"/>
          <w:color w:val="000000" w:themeColor="text1"/>
          <w:lang w:val="en-GB"/>
        </w:rPr>
        <w:footnoteReference w:id="28"/>
      </w:r>
      <w:r w:rsidR="00297CE7" w:rsidRPr="009E6278">
        <w:rPr>
          <w:color w:val="000000" w:themeColor="text1"/>
          <w:lang w:val="en-GB"/>
        </w:rPr>
        <w:t xml:space="preserve"> </w:t>
      </w:r>
      <w:r w:rsidR="009B16B2" w:rsidRPr="009E6278">
        <w:rPr>
          <w:color w:val="000000" w:themeColor="text1"/>
          <w:lang w:val="en-GB"/>
        </w:rPr>
        <w:t xml:space="preserve">and other key populations. </w:t>
      </w:r>
      <w:r w:rsidR="00297CE7" w:rsidRPr="009E6278">
        <w:rPr>
          <w:color w:val="000000" w:themeColor="text1"/>
          <w:lang w:val="en-GB"/>
        </w:rPr>
        <w:t xml:space="preserve">To </w:t>
      </w:r>
      <w:r w:rsidR="00385C4A" w:rsidRPr="009E6278">
        <w:rPr>
          <w:color w:val="000000" w:themeColor="text1"/>
          <w:lang w:val="en-GB"/>
        </w:rPr>
        <w:t xml:space="preserve">support transformational </w:t>
      </w:r>
      <w:r w:rsidR="00607BA4" w:rsidRPr="009E6278">
        <w:rPr>
          <w:color w:val="000000" w:themeColor="text1"/>
          <w:lang w:val="en-GB"/>
        </w:rPr>
        <w:t xml:space="preserve">leadership and </w:t>
      </w:r>
      <w:r w:rsidR="005356E0" w:rsidRPr="009E6278">
        <w:rPr>
          <w:color w:val="000000" w:themeColor="text1"/>
          <w:lang w:val="en-GB"/>
        </w:rPr>
        <w:t>change</w:t>
      </w:r>
      <w:r w:rsidR="00607BA4" w:rsidRPr="009E6278">
        <w:rPr>
          <w:color w:val="000000" w:themeColor="text1"/>
          <w:lang w:val="en-GB"/>
        </w:rPr>
        <w:t xml:space="preserve">, </w:t>
      </w:r>
      <w:r w:rsidR="00297CE7" w:rsidRPr="009E6278">
        <w:rPr>
          <w:color w:val="000000" w:themeColor="text1"/>
          <w:lang w:val="en-GB"/>
        </w:rPr>
        <w:t>sustain</w:t>
      </w:r>
      <w:r w:rsidR="00607BA4" w:rsidRPr="009E6278">
        <w:rPr>
          <w:color w:val="000000" w:themeColor="text1"/>
          <w:lang w:val="en-GB"/>
        </w:rPr>
        <w:t>ing</w:t>
      </w:r>
      <w:r w:rsidR="00297CE7" w:rsidRPr="009E6278">
        <w:rPr>
          <w:color w:val="000000" w:themeColor="text1"/>
          <w:lang w:val="en-GB"/>
        </w:rPr>
        <w:t xml:space="preserve"> a revitalized social contract, UNDP will continue </w:t>
      </w:r>
      <w:r w:rsidR="000E1EDC" w:rsidRPr="009E6278">
        <w:rPr>
          <w:color w:val="000000" w:themeColor="text1"/>
          <w:lang w:val="en-GB"/>
        </w:rPr>
        <w:t xml:space="preserve">to develop </w:t>
      </w:r>
      <w:r w:rsidR="005356E0" w:rsidRPr="009E6278">
        <w:rPr>
          <w:color w:val="000000" w:themeColor="text1"/>
          <w:lang w:val="en-GB"/>
        </w:rPr>
        <w:t xml:space="preserve">leadership </w:t>
      </w:r>
      <w:r w:rsidR="000E1EDC" w:rsidRPr="009E6278">
        <w:rPr>
          <w:color w:val="000000" w:themeColor="text1"/>
          <w:lang w:val="en-GB"/>
        </w:rPr>
        <w:t>capacit</w:t>
      </w:r>
      <w:r w:rsidR="00AB3EA7" w:rsidRPr="009E6278">
        <w:rPr>
          <w:color w:val="000000" w:themeColor="text1"/>
          <w:lang w:val="en-GB"/>
        </w:rPr>
        <w:t>ies</w:t>
      </w:r>
      <w:r w:rsidR="00432913" w:rsidRPr="009E6278">
        <w:rPr>
          <w:color w:val="000000" w:themeColor="text1"/>
          <w:lang w:val="en-GB"/>
        </w:rPr>
        <w:t xml:space="preserve"> </w:t>
      </w:r>
      <w:r w:rsidR="00297CE7" w:rsidRPr="009E6278">
        <w:rPr>
          <w:color w:val="000000" w:themeColor="text1"/>
          <w:lang w:val="en-GB"/>
        </w:rPr>
        <w:t>enabl</w:t>
      </w:r>
      <w:r w:rsidR="00447D6A" w:rsidRPr="009E6278">
        <w:rPr>
          <w:color w:val="000000" w:themeColor="text1"/>
          <w:lang w:val="en-GB"/>
        </w:rPr>
        <w:t xml:space="preserve">ing state and </w:t>
      </w:r>
      <w:r w:rsidR="00297CE7" w:rsidRPr="009E6278">
        <w:rPr>
          <w:color w:val="000000" w:themeColor="text1"/>
          <w:lang w:val="en-GB"/>
        </w:rPr>
        <w:t>non-state actors to scale up successful initiatives, innovate</w:t>
      </w:r>
      <w:r w:rsidR="00267C39" w:rsidRPr="00547151">
        <w:rPr>
          <w:color w:val="000000" w:themeColor="text1"/>
          <w:lang w:val="en-GB"/>
        </w:rPr>
        <w:t>,</w:t>
      </w:r>
      <w:r w:rsidR="00297CE7" w:rsidRPr="009E6278">
        <w:rPr>
          <w:color w:val="000000" w:themeColor="text1"/>
          <w:lang w:val="en-GB"/>
        </w:rPr>
        <w:t xml:space="preserve"> and collaborate effectively</w:t>
      </w:r>
      <w:r w:rsidR="0039221C" w:rsidRPr="009E6278">
        <w:rPr>
          <w:color w:val="000000" w:themeColor="text1"/>
          <w:lang w:val="en-GB"/>
        </w:rPr>
        <w:t xml:space="preserve"> to promote gender</w:t>
      </w:r>
      <w:r w:rsidR="00267C39" w:rsidRPr="00547151">
        <w:rPr>
          <w:color w:val="000000" w:themeColor="text1"/>
          <w:lang w:val="en-GB"/>
        </w:rPr>
        <w:t>-</w:t>
      </w:r>
      <w:r w:rsidR="0039221C" w:rsidRPr="009E6278">
        <w:rPr>
          <w:color w:val="000000" w:themeColor="text1"/>
          <w:lang w:val="en-GB"/>
        </w:rPr>
        <w:t>equitable social norms free of stigma and discrimination.</w:t>
      </w:r>
    </w:p>
    <w:p w14:paraId="6F07419D" w14:textId="5037E21C" w:rsidR="00FB5254" w:rsidRPr="009E6278" w:rsidRDefault="00297CE7" w:rsidP="00143015">
      <w:pPr>
        <w:pStyle w:val="ListParagraph"/>
        <w:numPr>
          <w:ilvl w:val="0"/>
          <w:numId w:val="8"/>
        </w:numPr>
        <w:tabs>
          <w:tab w:val="left" w:pos="1170"/>
        </w:tabs>
        <w:spacing w:after="120" w:line="240" w:lineRule="exact"/>
        <w:ind w:left="810" w:right="720" w:firstLine="0"/>
        <w:jc w:val="both"/>
        <w:rPr>
          <w:color w:val="000000" w:themeColor="text1"/>
          <w:lang w:val="en-GB"/>
        </w:rPr>
      </w:pPr>
      <w:r w:rsidRPr="009E6278">
        <w:rPr>
          <w:color w:val="000000" w:themeColor="text1"/>
          <w:lang w:val="en-GB"/>
        </w:rPr>
        <w:t>To address vulnerability to violent conflict, driven by competition over natural resources, climate change, marginalization, violent extremism, ethno-political competition, poverty and inequality, UNDP</w:t>
      </w:r>
      <w:r w:rsidR="00267C39" w:rsidRPr="00547151">
        <w:rPr>
          <w:color w:val="000000" w:themeColor="text1"/>
          <w:lang w:val="en-GB"/>
        </w:rPr>
        <w:t>,</w:t>
      </w:r>
      <w:r w:rsidRPr="009E6278">
        <w:rPr>
          <w:color w:val="000000" w:themeColor="text1"/>
          <w:lang w:val="en-GB"/>
        </w:rPr>
        <w:t xml:space="preserve"> </w:t>
      </w:r>
      <w:r w:rsidR="001B7E36" w:rsidRPr="009E6278">
        <w:rPr>
          <w:color w:val="000000" w:themeColor="text1"/>
          <w:lang w:val="en-GB"/>
        </w:rPr>
        <w:t xml:space="preserve">through </w:t>
      </w:r>
      <w:r w:rsidRPr="009E6278">
        <w:rPr>
          <w:color w:val="000000" w:themeColor="text1"/>
          <w:lang w:val="en-GB"/>
        </w:rPr>
        <w:t xml:space="preserve">its </w:t>
      </w:r>
      <w:r w:rsidR="00D5321E" w:rsidRPr="009E6278">
        <w:rPr>
          <w:color w:val="000000" w:themeColor="text1"/>
          <w:lang w:val="en-GB"/>
        </w:rPr>
        <w:t xml:space="preserve">regional programmes and </w:t>
      </w:r>
      <w:r w:rsidRPr="009E6278">
        <w:rPr>
          <w:color w:val="000000" w:themeColor="text1"/>
          <w:lang w:val="en-GB"/>
        </w:rPr>
        <w:t>partners in the peace, conflict prevention and security sector</w:t>
      </w:r>
      <w:r w:rsidR="00267C39" w:rsidRPr="00547151">
        <w:rPr>
          <w:color w:val="000000" w:themeColor="text1"/>
          <w:lang w:val="en-GB"/>
        </w:rPr>
        <w:t>,</w:t>
      </w:r>
      <w:r w:rsidRPr="009E6278">
        <w:rPr>
          <w:color w:val="000000" w:themeColor="text1"/>
          <w:lang w:val="en-GB"/>
        </w:rPr>
        <w:t xml:space="preserve"> will intervene through </w:t>
      </w:r>
      <w:r w:rsidR="00596F53" w:rsidRPr="009E6278">
        <w:rPr>
          <w:color w:val="000000" w:themeColor="text1"/>
          <w:lang w:val="en-GB"/>
        </w:rPr>
        <w:t>gender</w:t>
      </w:r>
      <w:r w:rsidR="00267C39" w:rsidRPr="00547151">
        <w:rPr>
          <w:color w:val="000000" w:themeColor="text1"/>
          <w:lang w:val="en-GB"/>
        </w:rPr>
        <w:t>-</w:t>
      </w:r>
      <w:r w:rsidR="00596F53" w:rsidRPr="009E6278">
        <w:rPr>
          <w:color w:val="000000" w:themeColor="text1"/>
          <w:lang w:val="en-GB"/>
        </w:rPr>
        <w:t>sensitize</w:t>
      </w:r>
      <w:r w:rsidR="00267C39" w:rsidRPr="00547151">
        <w:rPr>
          <w:color w:val="000000" w:themeColor="text1"/>
          <w:lang w:val="en-GB"/>
        </w:rPr>
        <w:t>d</w:t>
      </w:r>
      <w:r w:rsidR="00596F53" w:rsidRPr="009E6278">
        <w:rPr>
          <w:color w:val="000000" w:themeColor="text1"/>
          <w:lang w:val="en-GB"/>
        </w:rPr>
        <w:t xml:space="preserve"> </w:t>
      </w:r>
      <w:r w:rsidRPr="009E6278">
        <w:rPr>
          <w:color w:val="000000" w:themeColor="text1"/>
          <w:lang w:val="en-GB"/>
        </w:rPr>
        <w:t xml:space="preserve">legal and policy dialogue and </w:t>
      </w:r>
      <w:r w:rsidRPr="009E6278">
        <w:rPr>
          <w:color w:val="000000" w:themeColor="text1"/>
          <w:lang w:val="en-GB"/>
        </w:rPr>
        <w:lastRenderedPageBreak/>
        <w:t xml:space="preserve">advocacy, institutional development and capacity </w:t>
      </w:r>
      <w:r w:rsidR="005743FA" w:rsidRPr="009E6278">
        <w:rPr>
          <w:color w:val="000000" w:themeColor="text1"/>
          <w:lang w:val="en-GB"/>
        </w:rPr>
        <w:t>development</w:t>
      </w:r>
      <w:r w:rsidRPr="009E6278">
        <w:rPr>
          <w:color w:val="000000" w:themeColor="text1"/>
          <w:lang w:val="en-GB"/>
        </w:rPr>
        <w:t xml:space="preserve">, peace innovation platforms and </w:t>
      </w:r>
      <w:r w:rsidRPr="00547151">
        <w:rPr>
          <w:color w:val="000000" w:themeColor="text1"/>
          <w:lang w:val="en-GB"/>
        </w:rPr>
        <w:t>early warning response systems</w:t>
      </w:r>
      <w:r w:rsidR="00AD7C55" w:rsidRPr="00547151">
        <w:rPr>
          <w:color w:val="000000" w:themeColor="text1"/>
          <w:lang w:val="en-GB"/>
        </w:rPr>
        <w:t>, including leveraging the UNDP African Borderlands Centre</w:t>
      </w:r>
      <w:r w:rsidRPr="009E6278">
        <w:rPr>
          <w:color w:val="000000" w:themeColor="text1"/>
          <w:lang w:val="en-GB"/>
        </w:rPr>
        <w:t>.</w:t>
      </w:r>
    </w:p>
    <w:p w14:paraId="495E2DA5" w14:textId="3AD967DF" w:rsidR="006D3078" w:rsidRPr="009E6278" w:rsidRDefault="00EF54F5" w:rsidP="00143015">
      <w:pPr>
        <w:pStyle w:val="ListParagraph"/>
        <w:numPr>
          <w:ilvl w:val="0"/>
          <w:numId w:val="8"/>
        </w:numPr>
        <w:tabs>
          <w:tab w:val="left" w:pos="1170"/>
        </w:tabs>
        <w:spacing w:after="120" w:line="240" w:lineRule="exact"/>
        <w:ind w:left="810" w:right="720" w:firstLine="0"/>
        <w:jc w:val="both"/>
        <w:rPr>
          <w:shd w:val="clear" w:color="auto" w:fill="FFFFFF"/>
          <w:lang w:val="en-GB"/>
        </w:rPr>
      </w:pPr>
      <w:r w:rsidRPr="009E6278">
        <w:rPr>
          <w:rFonts w:eastAsia="Arial" w:cs="Arial"/>
          <w:szCs w:val="22"/>
          <w:lang w:val="en-GB"/>
        </w:rPr>
        <w:t>UNDP</w:t>
      </w:r>
      <w:r w:rsidR="002F73B0" w:rsidRPr="009E6278">
        <w:rPr>
          <w:rFonts w:eastAsia="Arial" w:cs="Arial"/>
          <w:szCs w:val="22"/>
          <w:lang w:val="en-GB"/>
        </w:rPr>
        <w:t xml:space="preserve"> </w:t>
      </w:r>
      <w:r w:rsidR="00D40699" w:rsidRPr="009E6278">
        <w:rPr>
          <w:rFonts w:eastAsia="Arial" w:cs="Arial"/>
          <w:szCs w:val="22"/>
          <w:lang w:val="en-GB"/>
        </w:rPr>
        <w:t>will</w:t>
      </w:r>
      <w:r w:rsidR="00D03B55" w:rsidRPr="009E6278">
        <w:rPr>
          <w:rFonts w:eastAsia="Arial" w:cs="Arial"/>
          <w:szCs w:val="22"/>
          <w:lang w:val="en-GB"/>
        </w:rPr>
        <w:t xml:space="preserve"> </w:t>
      </w:r>
      <w:r w:rsidR="00606C59" w:rsidRPr="009E6278">
        <w:rPr>
          <w:rFonts w:eastAsia="Arial" w:cs="Arial"/>
          <w:szCs w:val="22"/>
          <w:lang w:val="en-GB"/>
        </w:rPr>
        <w:t xml:space="preserve">continue to </w:t>
      </w:r>
      <w:r w:rsidR="00DB52DC" w:rsidRPr="009E6278">
        <w:rPr>
          <w:rFonts w:eastAsia="Arial" w:cs="Arial"/>
          <w:szCs w:val="22"/>
          <w:lang w:val="en-GB"/>
        </w:rPr>
        <w:t xml:space="preserve">support the </w:t>
      </w:r>
      <w:r w:rsidR="00606C59" w:rsidRPr="009E6278">
        <w:rPr>
          <w:rFonts w:eastAsia="Arial" w:cs="Arial"/>
          <w:szCs w:val="22"/>
          <w:lang w:val="en-GB"/>
        </w:rPr>
        <w:t>strengthen</w:t>
      </w:r>
      <w:r w:rsidR="00DB52DC" w:rsidRPr="009E6278">
        <w:rPr>
          <w:rFonts w:eastAsia="Arial" w:cs="Arial"/>
          <w:szCs w:val="22"/>
          <w:lang w:val="en-GB"/>
        </w:rPr>
        <w:t>ing of</w:t>
      </w:r>
      <w:r w:rsidR="00606C59" w:rsidRPr="009E6278">
        <w:rPr>
          <w:rFonts w:eastAsia="Arial" w:cs="Arial"/>
          <w:szCs w:val="22"/>
          <w:lang w:val="en-GB"/>
        </w:rPr>
        <w:t xml:space="preserve"> </w:t>
      </w:r>
      <w:r w:rsidR="00D40699" w:rsidRPr="009E6278">
        <w:rPr>
          <w:rFonts w:eastAsia="Arial" w:cs="Arial"/>
          <w:szCs w:val="22"/>
          <w:lang w:val="en-GB"/>
        </w:rPr>
        <w:t xml:space="preserve">local </w:t>
      </w:r>
      <w:r w:rsidRPr="009E6278">
        <w:rPr>
          <w:rFonts w:eastAsia="Arial" w:cs="Arial"/>
          <w:szCs w:val="22"/>
          <w:lang w:val="en-GB"/>
        </w:rPr>
        <w:t>democrac</w:t>
      </w:r>
      <w:r w:rsidR="00C13C32" w:rsidRPr="009E6278">
        <w:rPr>
          <w:rFonts w:eastAsia="Arial" w:cs="Arial"/>
          <w:szCs w:val="22"/>
          <w:lang w:val="en-GB"/>
        </w:rPr>
        <w:t>y,</w:t>
      </w:r>
      <w:r w:rsidR="00606C59" w:rsidRPr="009E6278">
        <w:rPr>
          <w:rFonts w:eastAsia="Arial" w:cs="Arial"/>
          <w:szCs w:val="22"/>
          <w:lang w:val="en-GB"/>
        </w:rPr>
        <w:t xml:space="preserve"> local </w:t>
      </w:r>
      <w:r w:rsidR="00C13C32" w:rsidRPr="009E6278">
        <w:rPr>
          <w:rFonts w:eastAsia="Arial" w:cs="Arial"/>
          <w:szCs w:val="22"/>
          <w:lang w:val="en-GB"/>
        </w:rPr>
        <w:t xml:space="preserve">governance </w:t>
      </w:r>
      <w:r w:rsidR="00606C59" w:rsidRPr="009E6278">
        <w:rPr>
          <w:rFonts w:eastAsia="Arial" w:cs="Arial"/>
          <w:szCs w:val="22"/>
          <w:lang w:val="en-GB"/>
        </w:rPr>
        <w:t xml:space="preserve">and peace </w:t>
      </w:r>
      <w:r w:rsidR="00D40699" w:rsidRPr="009E6278">
        <w:rPr>
          <w:rFonts w:eastAsia="Arial" w:cs="Arial"/>
          <w:szCs w:val="22"/>
          <w:lang w:val="en-GB"/>
        </w:rPr>
        <w:t xml:space="preserve">capacities, </w:t>
      </w:r>
      <w:r w:rsidR="00606C59" w:rsidRPr="009E6278">
        <w:rPr>
          <w:rFonts w:eastAsia="Arial" w:cs="Arial"/>
          <w:szCs w:val="22"/>
          <w:lang w:val="en-GB"/>
        </w:rPr>
        <w:t>i</w:t>
      </w:r>
      <w:r w:rsidR="00A05DF7" w:rsidRPr="009E6278">
        <w:rPr>
          <w:rFonts w:eastAsia="Arial" w:cs="Arial"/>
          <w:szCs w:val="22"/>
          <w:lang w:val="en-GB"/>
        </w:rPr>
        <w:t xml:space="preserve">n line with </w:t>
      </w:r>
      <w:r w:rsidR="00C13C32" w:rsidRPr="009E6278">
        <w:rPr>
          <w:rFonts w:eastAsia="Arial" w:cs="Arial"/>
          <w:szCs w:val="22"/>
          <w:lang w:val="en-GB"/>
        </w:rPr>
        <w:t xml:space="preserve">the </w:t>
      </w:r>
      <w:r w:rsidR="001C2CA9" w:rsidRPr="00547151">
        <w:rPr>
          <w:rFonts w:eastAsia="Arial" w:cs="Arial"/>
          <w:szCs w:val="22"/>
          <w:lang w:val="en-GB"/>
        </w:rPr>
        <w:t xml:space="preserve">national </w:t>
      </w:r>
      <w:r w:rsidR="005200EC" w:rsidRPr="009E6278">
        <w:rPr>
          <w:rFonts w:eastAsia="Arial" w:cs="Arial"/>
          <w:szCs w:val="22"/>
          <w:lang w:val="en-GB"/>
        </w:rPr>
        <w:t>polic</w:t>
      </w:r>
      <w:r w:rsidR="008929BC" w:rsidRPr="009E6278">
        <w:rPr>
          <w:rFonts w:eastAsia="Arial" w:cs="Arial"/>
          <w:szCs w:val="22"/>
          <w:lang w:val="en-GB"/>
        </w:rPr>
        <w:t>y on devolv</w:t>
      </w:r>
      <w:r w:rsidR="00DB52DC" w:rsidRPr="009E6278">
        <w:rPr>
          <w:rFonts w:eastAsia="Arial" w:cs="Arial"/>
          <w:szCs w:val="22"/>
          <w:lang w:val="en-GB"/>
        </w:rPr>
        <w:t>ed</w:t>
      </w:r>
      <w:r w:rsidR="008929BC" w:rsidRPr="009E6278">
        <w:rPr>
          <w:rFonts w:eastAsia="Arial" w:cs="Arial"/>
          <w:szCs w:val="22"/>
          <w:lang w:val="en-GB"/>
        </w:rPr>
        <w:t xml:space="preserve"> </w:t>
      </w:r>
      <w:r w:rsidR="00DB52DC" w:rsidRPr="009E6278">
        <w:rPr>
          <w:rFonts w:eastAsia="Arial" w:cs="Arial"/>
          <w:szCs w:val="22"/>
          <w:lang w:val="en-GB"/>
        </w:rPr>
        <w:t>functions</w:t>
      </w:r>
      <w:r w:rsidR="00C13C32" w:rsidRPr="009E6278">
        <w:rPr>
          <w:rFonts w:eastAsia="Arial" w:cs="Arial"/>
          <w:szCs w:val="22"/>
          <w:lang w:val="en-GB"/>
        </w:rPr>
        <w:t xml:space="preserve"> and </w:t>
      </w:r>
      <w:r w:rsidR="00D40699" w:rsidRPr="009E6278">
        <w:rPr>
          <w:rFonts w:eastAsia="Arial" w:cs="Arial"/>
          <w:szCs w:val="22"/>
          <w:lang w:val="en-GB"/>
        </w:rPr>
        <w:t>public service reforms to increase effectiveness accountability, inclusion, resilience, core government functions</w:t>
      </w:r>
      <w:r w:rsidR="001C2CA9" w:rsidRPr="00547151">
        <w:rPr>
          <w:rFonts w:eastAsia="Arial" w:cs="Arial"/>
          <w:szCs w:val="22"/>
          <w:lang w:val="en-GB"/>
        </w:rPr>
        <w:t>,</w:t>
      </w:r>
      <w:r w:rsidR="00D40699" w:rsidRPr="009E6278">
        <w:rPr>
          <w:rFonts w:eastAsia="Arial" w:cs="Arial"/>
          <w:szCs w:val="22"/>
          <w:lang w:val="en-GB"/>
        </w:rPr>
        <w:t xml:space="preserve"> and delivery of basic </w:t>
      </w:r>
      <w:r w:rsidR="00EA0842" w:rsidRPr="009E6278">
        <w:rPr>
          <w:rFonts w:eastAsia="Arial" w:cs="Arial"/>
          <w:szCs w:val="22"/>
          <w:lang w:val="en-GB"/>
        </w:rPr>
        <w:t xml:space="preserve">public </w:t>
      </w:r>
      <w:r w:rsidR="00D40699" w:rsidRPr="009E6278">
        <w:rPr>
          <w:rFonts w:eastAsia="Arial" w:cs="Arial"/>
          <w:szCs w:val="22"/>
          <w:lang w:val="en-GB"/>
        </w:rPr>
        <w:t>services to meet citizen expectations</w:t>
      </w:r>
      <w:r w:rsidR="00C35E79" w:rsidRPr="009E6278">
        <w:rPr>
          <w:rFonts w:eastAsia="Arial" w:cs="Arial"/>
          <w:szCs w:val="22"/>
          <w:lang w:val="en-GB"/>
        </w:rPr>
        <w:t>.</w:t>
      </w:r>
      <w:r w:rsidR="00C13C32" w:rsidRPr="009E6278">
        <w:rPr>
          <w:lang w:val="en-GB"/>
        </w:rPr>
        <w:t xml:space="preserve"> </w:t>
      </w:r>
    </w:p>
    <w:p w14:paraId="48921F95" w14:textId="35FA217F" w:rsidR="00302D0F" w:rsidRPr="009E6278" w:rsidRDefault="00E61D60" w:rsidP="006172E3">
      <w:pPr>
        <w:spacing w:after="120" w:line="240" w:lineRule="exact"/>
        <w:ind w:left="810" w:right="720"/>
        <w:jc w:val="both"/>
        <w:rPr>
          <w:b/>
          <w:bCs/>
          <w:color w:val="000000" w:themeColor="text1"/>
          <w:shd w:val="clear" w:color="auto" w:fill="FFFFFF"/>
          <w:lang w:val="en-GB"/>
        </w:rPr>
      </w:pPr>
      <w:r w:rsidRPr="009E6278">
        <w:rPr>
          <w:b/>
          <w:bCs/>
          <w:color w:val="000000" w:themeColor="text1"/>
          <w:shd w:val="clear" w:color="auto" w:fill="FFFFFF"/>
          <w:lang w:val="en-GB"/>
        </w:rPr>
        <w:t xml:space="preserve">Sustainable, </w:t>
      </w:r>
      <w:r w:rsidR="0098782D" w:rsidRPr="009E6278">
        <w:rPr>
          <w:b/>
          <w:bCs/>
          <w:color w:val="000000" w:themeColor="text1"/>
          <w:shd w:val="clear" w:color="auto" w:fill="FFFFFF"/>
          <w:lang w:val="en-GB"/>
        </w:rPr>
        <w:t>i</w:t>
      </w:r>
      <w:r w:rsidR="006D3078" w:rsidRPr="009E6278">
        <w:rPr>
          <w:b/>
          <w:bCs/>
          <w:color w:val="000000" w:themeColor="text1"/>
          <w:shd w:val="clear" w:color="auto" w:fill="FFFFFF"/>
          <w:lang w:val="en-GB"/>
        </w:rPr>
        <w:t>nclusive</w:t>
      </w:r>
      <w:r w:rsidRPr="009E6278">
        <w:rPr>
          <w:b/>
          <w:bCs/>
          <w:color w:val="000000" w:themeColor="text1"/>
          <w:shd w:val="clear" w:color="auto" w:fill="FFFFFF"/>
          <w:lang w:val="en-GB"/>
        </w:rPr>
        <w:t xml:space="preserve">, </w:t>
      </w:r>
      <w:r w:rsidR="0098782D" w:rsidRPr="009E6278">
        <w:rPr>
          <w:b/>
          <w:bCs/>
          <w:color w:val="000000" w:themeColor="text1"/>
          <w:shd w:val="clear" w:color="auto" w:fill="FFFFFF"/>
          <w:lang w:val="en-GB"/>
        </w:rPr>
        <w:t>g</w:t>
      </w:r>
      <w:r w:rsidRPr="009E6278">
        <w:rPr>
          <w:b/>
          <w:bCs/>
          <w:color w:val="000000" w:themeColor="text1"/>
          <w:shd w:val="clear" w:color="auto" w:fill="FFFFFF"/>
          <w:lang w:val="en-GB"/>
        </w:rPr>
        <w:t>reen</w:t>
      </w:r>
      <w:r w:rsidR="006D3078" w:rsidRPr="009E6278">
        <w:rPr>
          <w:b/>
          <w:bCs/>
          <w:color w:val="000000" w:themeColor="text1"/>
          <w:shd w:val="clear" w:color="auto" w:fill="FFFFFF"/>
          <w:lang w:val="en-GB"/>
        </w:rPr>
        <w:t xml:space="preserve"> </w:t>
      </w:r>
      <w:r w:rsidR="0098782D" w:rsidRPr="009E6278">
        <w:rPr>
          <w:b/>
          <w:bCs/>
          <w:color w:val="000000" w:themeColor="text1"/>
          <w:shd w:val="clear" w:color="auto" w:fill="FFFFFF"/>
          <w:lang w:val="en-GB"/>
        </w:rPr>
        <w:t>g</w:t>
      </w:r>
      <w:r w:rsidR="006D3078" w:rsidRPr="009E6278">
        <w:rPr>
          <w:b/>
          <w:bCs/>
          <w:color w:val="000000" w:themeColor="text1"/>
          <w:shd w:val="clear" w:color="auto" w:fill="FFFFFF"/>
          <w:lang w:val="en-GB"/>
        </w:rPr>
        <w:t>rowth</w:t>
      </w:r>
    </w:p>
    <w:p w14:paraId="0762B387" w14:textId="36068242" w:rsidR="00C61360" w:rsidRPr="009E6278" w:rsidRDefault="00A4588F" w:rsidP="00143015">
      <w:pPr>
        <w:pStyle w:val="ListParagraph"/>
        <w:numPr>
          <w:ilvl w:val="0"/>
          <w:numId w:val="8"/>
        </w:numPr>
        <w:tabs>
          <w:tab w:val="left" w:pos="1170"/>
        </w:tabs>
        <w:ind w:left="810" w:right="720" w:firstLine="0"/>
        <w:contextualSpacing/>
        <w:jc w:val="both"/>
        <w:rPr>
          <w:lang w:val="en-GB"/>
        </w:rPr>
      </w:pPr>
      <w:r w:rsidRPr="009E6278">
        <w:rPr>
          <w:lang w:val="en-GB"/>
        </w:rPr>
        <w:t>Inclusive green growth is a pathway to attaining sustainable development.</w:t>
      </w:r>
      <w:r w:rsidR="002B0EC1" w:rsidRPr="009E6278">
        <w:rPr>
          <w:lang w:val="en-GB"/>
        </w:rPr>
        <w:t xml:space="preserve"> </w:t>
      </w:r>
      <w:r w:rsidRPr="009E6278">
        <w:rPr>
          <w:lang w:val="en-GB"/>
        </w:rPr>
        <w:t xml:space="preserve">Kenya </w:t>
      </w:r>
      <w:r w:rsidR="00C601A5" w:rsidRPr="009E6278">
        <w:rPr>
          <w:lang w:val="en-GB"/>
        </w:rPr>
        <w:t>has made great strides on poverty</w:t>
      </w:r>
      <w:r w:rsidR="00C414E4" w:rsidRPr="00547151">
        <w:rPr>
          <w:lang w:val="en-GB"/>
        </w:rPr>
        <w:t>,</w:t>
      </w:r>
      <w:r w:rsidR="001439AD" w:rsidRPr="009E6278">
        <w:rPr>
          <w:lang w:val="en-GB"/>
        </w:rPr>
        <w:t xml:space="preserve"> </w:t>
      </w:r>
      <w:r w:rsidR="00C414E4" w:rsidRPr="00547151">
        <w:rPr>
          <w:lang w:val="en-GB"/>
        </w:rPr>
        <w:t>but</w:t>
      </w:r>
      <w:r w:rsidR="00A12456" w:rsidRPr="009E6278">
        <w:rPr>
          <w:lang w:val="en-GB"/>
        </w:rPr>
        <w:t xml:space="preserve"> these</w:t>
      </w:r>
      <w:r w:rsidR="00114D96" w:rsidRPr="009E6278">
        <w:rPr>
          <w:lang w:val="en-GB"/>
        </w:rPr>
        <w:t xml:space="preserve"> </w:t>
      </w:r>
      <w:r w:rsidRPr="009E6278">
        <w:rPr>
          <w:lang w:val="en-GB"/>
        </w:rPr>
        <w:t xml:space="preserve">have </w:t>
      </w:r>
      <w:r w:rsidR="00C414E4" w:rsidRPr="00547151">
        <w:rPr>
          <w:lang w:val="en-GB"/>
        </w:rPr>
        <w:t>damaged</w:t>
      </w:r>
      <w:r w:rsidRPr="009E6278">
        <w:rPr>
          <w:lang w:val="en-GB"/>
        </w:rPr>
        <w:t xml:space="preserve"> the environment</w:t>
      </w:r>
      <w:r w:rsidR="00114D96" w:rsidRPr="009E6278">
        <w:rPr>
          <w:lang w:val="en-GB"/>
        </w:rPr>
        <w:t xml:space="preserve"> and </w:t>
      </w:r>
      <w:r w:rsidR="00516458" w:rsidRPr="009E6278">
        <w:rPr>
          <w:lang w:val="en-GB"/>
        </w:rPr>
        <w:t xml:space="preserve">increased </w:t>
      </w:r>
      <w:r w:rsidR="00114D96" w:rsidRPr="009E6278">
        <w:rPr>
          <w:lang w:val="en-GB"/>
        </w:rPr>
        <w:t>social inequality</w:t>
      </w:r>
      <w:r w:rsidR="007F6C24" w:rsidRPr="009E6278">
        <w:rPr>
          <w:lang w:val="en-GB"/>
        </w:rPr>
        <w:t>.</w:t>
      </w:r>
      <w:r w:rsidRPr="009E6278">
        <w:rPr>
          <w:lang w:val="en-GB"/>
        </w:rPr>
        <w:t xml:space="preserve"> The real costs of resource depletion </w:t>
      </w:r>
      <w:r w:rsidR="00C414E4" w:rsidRPr="00547151">
        <w:rPr>
          <w:lang w:val="en-GB"/>
        </w:rPr>
        <w:t>have</w:t>
      </w:r>
      <w:r w:rsidR="00CF018A" w:rsidRPr="009E6278">
        <w:rPr>
          <w:lang w:val="en-GB"/>
        </w:rPr>
        <w:t xml:space="preserve"> </w:t>
      </w:r>
      <w:r w:rsidR="00790C39" w:rsidRPr="009E6278">
        <w:rPr>
          <w:lang w:val="en-GB"/>
        </w:rPr>
        <w:t xml:space="preserve">yet </w:t>
      </w:r>
      <w:r w:rsidR="007F6C24" w:rsidRPr="009E6278">
        <w:rPr>
          <w:lang w:val="en-GB"/>
        </w:rPr>
        <w:t xml:space="preserve">to be </w:t>
      </w:r>
      <w:r w:rsidR="0030586E" w:rsidRPr="009E6278">
        <w:rPr>
          <w:lang w:val="en-GB"/>
        </w:rPr>
        <w:t xml:space="preserve">established for </w:t>
      </w:r>
      <w:r w:rsidR="00B36CB3" w:rsidRPr="009E6278">
        <w:rPr>
          <w:lang w:val="en-GB"/>
        </w:rPr>
        <w:t>com</w:t>
      </w:r>
      <w:r w:rsidR="00814A4C" w:rsidRPr="009E6278">
        <w:rPr>
          <w:lang w:val="en-GB"/>
        </w:rPr>
        <w:t>m</w:t>
      </w:r>
      <w:r w:rsidR="00B36CB3" w:rsidRPr="009E6278">
        <w:rPr>
          <w:lang w:val="en-GB"/>
        </w:rPr>
        <w:t>e</w:t>
      </w:r>
      <w:r w:rsidR="00814A4C" w:rsidRPr="009E6278">
        <w:rPr>
          <w:lang w:val="en-GB"/>
        </w:rPr>
        <w:t>nsu</w:t>
      </w:r>
      <w:r w:rsidR="00B36CB3" w:rsidRPr="009E6278">
        <w:rPr>
          <w:lang w:val="en-GB"/>
        </w:rPr>
        <w:t xml:space="preserve">rate </w:t>
      </w:r>
      <w:r w:rsidRPr="009E6278">
        <w:rPr>
          <w:lang w:val="en-GB"/>
        </w:rPr>
        <w:t>reinvestment. The development gains made th</w:t>
      </w:r>
      <w:r w:rsidR="00EB477E" w:rsidRPr="009E6278">
        <w:rPr>
          <w:lang w:val="en-GB"/>
        </w:rPr>
        <w:t>us</w:t>
      </w:r>
      <w:r w:rsidRPr="009E6278">
        <w:rPr>
          <w:lang w:val="en-GB"/>
        </w:rPr>
        <w:t xml:space="preserve"> far are under threat</w:t>
      </w:r>
      <w:r w:rsidR="00B72466" w:rsidRPr="00547151">
        <w:rPr>
          <w:lang w:val="en-GB"/>
        </w:rPr>
        <w:t>,</w:t>
      </w:r>
      <w:r w:rsidRPr="009E6278">
        <w:rPr>
          <w:lang w:val="en-GB"/>
        </w:rPr>
        <w:t xml:space="preserve"> and long-term economic growth will not be sustainable.</w:t>
      </w:r>
      <w:r w:rsidR="00FB5A73" w:rsidRPr="009E6278">
        <w:rPr>
          <w:lang w:val="en-GB"/>
        </w:rPr>
        <w:t xml:space="preserve"> </w:t>
      </w:r>
      <w:r w:rsidR="00C61360" w:rsidRPr="009E6278">
        <w:rPr>
          <w:lang w:val="en-GB"/>
        </w:rPr>
        <w:t>One of the major priorities of the National Youth Development Policy</w:t>
      </w:r>
      <w:r w:rsidR="00B72466" w:rsidRPr="00547151">
        <w:rPr>
          <w:lang w:val="en-GB"/>
        </w:rPr>
        <w:t>, 2019,</w:t>
      </w:r>
      <w:r w:rsidR="00C61360" w:rsidRPr="009E6278">
        <w:rPr>
          <w:lang w:val="en-GB"/>
        </w:rPr>
        <w:t xml:space="preserve"> is </w:t>
      </w:r>
      <w:r w:rsidR="00B72466" w:rsidRPr="00547151">
        <w:rPr>
          <w:lang w:val="en-GB"/>
        </w:rPr>
        <w:t xml:space="preserve">to </w:t>
      </w:r>
      <w:r w:rsidR="00C61360" w:rsidRPr="009E6278">
        <w:rPr>
          <w:lang w:val="en-GB"/>
        </w:rPr>
        <w:t>promot</w:t>
      </w:r>
      <w:r w:rsidR="00B72466" w:rsidRPr="00547151">
        <w:rPr>
          <w:lang w:val="en-GB"/>
        </w:rPr>
        <w:t>e</w:t>
      </w:r>
      <w:r w:rsidR="00C61360" w:rsidRPr="009E6278">
        <w:rPr>
          <w:lang w:val="en-GB"/>
        </w:rPr>
        <w:t xml:space="preserve"> mechanisms that support youth engagement in develop</w:t>
      </w:r>
      <w:r w:rsidR="00B72466" w:rsidRPr="00547151">
        <w:rPr>
          <w:lang w:val="en-GB"/>
        </w:rPr>
        <w:t>ing</w:t>
      </w:r>
      <w:r w:rsidR="00C61360" w:rsidRPr="009E6278">
        <w:rPr>
          <w:lang w:val="en-GB"/>
        </w:rPr>
        <w:t>, protecti</w:t>
      </w:r>
      <w:r w:rsidR="00B72466" w:rsidRPr="00547151">
        <w:rPr>
          <w:lang w:val="en-GB"/>
        </w:rPr>
        <w:t>ng</w:t>
      </w:r>
      <w:r w:rsidR="00C61360" w:rsidRPr="009E6278">
        <w:rPr>
          <w:lang w:val="en-GB"/>
        </w:rPr>
        <w:t xml:space="preserve">, </w:t>
      </w:r>
      <w:r w:rsidR="00B72466" w:rsidRPr="00547151">
        <w:rPr>
          <w:lang w:val="en-GB"/>
        </w:rPr>
        <w:t xml:space="preserve">and </w:t>
      </w:r>
      <w:r w:rsidR="00C61360" w:rsidRPr="009E6278">
        <w:rPr>
          <w:lang w:val="en-GB"/>
        </w:rPr>
        <w:t>conserv</w:t>
      </w:r>
      <w:r w:rsidR="00B72466" w:rsidRPr="00547151">
        <w:rPr>
          <w:lang w:val="en-GB"/>
        </w:rPr>
        <w:t>ing</w:t>
      </w:r>
      <w:r w:rsidR="00C61360" w:rsidRPr="009E6278">
        <w:rPr>
          <w:lang w:val="en-GB"/>
        </w:rPr>
        <w:t xml:space="preserve"> natural resources and </w:t>
      </w:r>
      <w:r w:rsidR="00B72466" w:rsidRPr="00547151">
        <w:rPr>
          <w:lang w:val="en-GB"/>
        </w:rPr>
        <w:t xml:space="preserve">the </w:t>
      </w:r>
      <w:r w:rsidR="00C61360" w:rsidRPr="009E6278">
        <w:rPr>
          <w:lang w:val="en-GB"/>
        </w:rPr>
        <w:t xml:space="preserve">environment while </w:t>
      </w:r>
      <w:r w:rsidR="00B72466" w:rsidRPr="00547151">
        <w:rPr>
          <w:lang w:val="en-GB"/>
        </w:rPr>
        <w:t>fostering</w:t>
      </w:r>
      <w:r w:rsidR="00C61360" w:rsidRPr="009E6278">
        <w:rPr>
          <w:lang w:val="en-GB"/>
        </w:rPr>
        <w:t xml:space="preserve"> eco-entrepreneurship and green jobs.</w:t>
      </w:r>
    </w:p>
    <w:p w14:paraId="62A2C2F7" w14:textId="77777777" w:rsidR="0098782D" w:rsidRPr="009E6278" w:rsidRDefault="0098782D" w:rsidP="00143015">
      <w:pPr>
        <w:pStyle w:val="ListParagraph"/>
        <w:tabs>
          <w:tab w:val="left" w:pos="1170"/>
        </w:tabs>
        <w:ind w:left="810" w:right="720"/>
        <w:contextualSpacing/>
        <w:jc w:val="both"/>
        <w:rPr>
          <w:sz w:val="12"/>
          <w:szCs w:val="12"/>
          <w:lang w:val="en-GB"/>
        </w:rPr>
      </w:pPr>
    </w:p>
    <w:p w14:paraId="7497BE13" w14:textId="19F7612B" w:rsidR="00EC2196" w:rsidRPr="009E6278" w:rsidRDefault="00B85562" w:rsidP="00143015">
      <w:pPr>
        <w:pStyle w:val="ListParagraph"/>
        <w:numPr>
          <w:ilvl w:val="0"/>
          <w:numId w:val="8"/>
        </w:numPr>
        <w:tabs>
          <w:tab w:val="left" w:pos="1170"/>
        </w:tabs>
        <w:ind w:left="810" w:right="720" w:firstLine="0"/>
        <w:contextualSpacing/>
        <w:jc w:val="both"/>
        <w:rPr>
          <w:lang w:val="en-GB"/>
        </w:rPr>
      </w:pPr>
      <w:r w:rsidRPr="009E6278">
        <w:rPr>
          <w:lang w:val="en-GB"/>
        </w:rPr>
        <w:t xml:space="preserve">UNDP </w:t>
      </w:r>
      <w:r w:rsidR="005A76B7" w:rsidRPr="009E6278">
        <w:rPr>
          <w:lang w:val="en-GB"/>
        </w:rPr>
        <w:t xml:space="preserve">will support inclusive green growth policies to maximize benefits to </w:t>
      </w:r>
      <w:r w:rsidR="00EC2196" w:rsidRPr="009E6278">
        <w:rPr>
          <w:lang w:val="en-GB"/>
        </w:rPr>
        <w:t>youth</w:t>
      </w:r>
      <w:r w:rsidR="000D66B7" w:rsidRPr="009E6278">
        <w:rPr>
          <w:lang w:val="en-GB"/>
        </w:rPr>
        <w:t xml:space="preserve">, women, </w:t>
      </w:r>
      <w:r w:rsidR="00F7483D" w:rsidRPr="00547151">
        <w:rPr>
          <w:lang w:val="en-GB"/>
        </w:rPr>
        <w:t>people with disabilities</w:t>
      </w:r>
      <w:r w:rsidR="00F7483D" w:rsidRPr="009E6278" w:rsidDel="00F7483D">
        <w:rPr>
          <w:lang w:val="en-GB"/>
        </w:rPr>
        <w:t xml:space="preserve"> </w:t>
      </w:r>
      <w:r w:rsidR="00EC2196" w:rsidRPr="009E6278">
        <w:rPr>
          <w:lang w:val="en-GB"/>
        </w:rPr>
        <w:t xml:space="preserve">and </w:t>
      </w:r>
      <w:r w:rsidR="005A76B7" w:rsidRPr="009E6278">
        <w:rPr>
          <w:lang w:val="en-GB"/>
        </w:rPr>
        <w:t>the most vulnerable</w:t>
      </w:r>
      <w:r w:rsidR="00EC2196" w:rsidRPr="009E6278">
        <w:rPr>
          <w:lang w:val="en-GB"/>
        </w:rPr>
        <w:t xml:space="preserve"> by </w:t>
      </w:r>
      <w:r w:rsidR="00EC2196" w:rsidRPr="009E6278">
        <w:rPr>
          <w:color w:val="000000"/>
          <w:lang w:val="en-GB"/>
        </w:rPr>
        <w:t>mobilizing and building capacities to establish and strengthen viable business and entrepreneurship models in key productive value chains</w:t>
      </w:r>
      <w:r w:rsidR="00EC2196" w:rsidRPr="009E6278">
        <w:rPr>
          <w:rStyle w:val="FootnoteReference"/>
          <w:color w:val="000000"/>
          <w:lang w:val="en-GB"/>
        </w:rPr>
        <w:footnoteReference w:id="29"/>
      </w:r>
      <w:r w:rsidR="00EC2196" w:rsidRPr="009E6278">
        <w:rPr>
          <w:color w:val="000000"/>
          <w:lang w:val="en-GB"/>
        </w:rPr>
        <w:t xml:space="preserve"> to create employment and sustainable livelihoods. </w:t>
      </w:r>
      <w:r w:rsidR="005A76B7" w:rsidRPr="009E6278">
        <w:rPr>
          <w:lang w:val="en-GB"/>
        </w:rPr>
        <w:t xml:space="preserve">The </w:t>
      </w:r>
      <w:r w:rsidR="00140970" w:rsidRPr="009E6278">
        <w:rPr>
          <w:lang w:val="en-GB"/>
        </w:rPr>
        <w:t>enablers</w:t>
      </w:r>
      <w:r w:rsidR="005A76B7" w:rsidRPr="009E6278">
        <w:rPr>
          <w:lang w:val="en-GB"/>
        </w:rPr>
        <w:t xml:space="preserve"> </w:t>
      </w:r>
      <w:r w:rsidR="00140970" w:rsidRPr="009E6278">
        <w:rPr>
          <w:lang w:val="en-GB"/>
        </w:rPr>
        <w:t xml:space="preserve">for inclusive </w:t>
      </w:r>
      <w:r w:rsidR="005A76B7" w:rsidRPr="009E6278">
        <w:rPr>
          <w:lang w:val="en-GB"/>
        </w:rPr>
        <w:t>green growth are</w:t>
      </w:r>
      <w:r w:rsidR="00B7090E" w:rsidRPr="00547151">
        <w:rPr>
          <w:lang w:val="en-GB"/>
        </w:rPr>
        <w:t>:</w:t>
      </w:r>
      <w:r w:rsidR="005A76B7" w:rsidRPr="009E6278">
        <w:rPr>
          <w:lang w:val="en-GB"/>
        </w:rPr>
        <w:t xml:space="preserve"> political </w:t>
      </w:r>
      <w:r w:rsidR="00140970" w:rsidRPr="009E6278">
        <w:rPr>
          <w:lang w:val="en-GB"/>
        </w:rPr>
        <w:t>will</w:t>
      </w:r>
      <w:r w:rsidR="00B7090E" w:rsidRPr="00547151">
        <w:rPr>
          <w:lang w:val="en-GB"/>
        </w:rPr>
        <w:t>;</w:t>
      </w:r>
      <w:r w:rsidR="005A76B7" w:rsidRPr="009E6278">
        <w:rPr>
          <w:lang w:val="en-GB"/>
        </w:rPr>
        <w:t xml:space="preserve"> innovations and smart solutions</w:t>
      </w:r>
      <w:r w:rsidR="00B7090E" w:rsidRPr="00547151">
        <w:rPr>
          <w:lang w:val="en-GB"/>
        </w:rPr>
        <w:t>;</w:t>
      </w:r>
      <w:r w:rsidR="005A76B7" w:rsidRPr="009E6278">
        <w:rPr>
          <w:lang w:val="en-GB"/>
        </w:rPr>
        <w:t xml:space="preserve"> and alternative finance. Strategies adopted will</w:t>
      </w:r>
      <w:r w:rsidR="00C034AB" w:rsidRPr="009E6278">
        <w:rPr>
          <w:lang w:val="en-GB"/>
        </w:rPr>
        <w:t xml:space="preserve"> </w:t>
      </w:r>
      <w:r w:rsidR="005A76B7" w:rsidRPr="009E6278">
        <w:rPr>
          <w:lang w:val="en-GB"/>
        </w:rPr>
        <w:t>strengthen national policy frameworks and data systems, integrate development financing frameworks</w:t>
      </w:r>
      <w:r w:rsidR="00B7090E" w:rsidRPr="00547151">
        <w:rPr>
          <w:lang w:val="en-GB"/>
        </w:rPr>
        <w:t>,</w:t>
      </w:r>
      <w:r w:rsidR="005A76B7" w:rsidRPr="009E6278">
        <w:rPr>
          <w:lang w:val="en-GB"/>
        </w:rPr>
        <w:t xml:space="preserve"> and develop youth, women and </w:t>
      </w:r>
      <w:r w:rsidR="00B7090E" w:rsidRPr="00547151">
        <w:rPr>
          <w:lang w:val="en-GB"/>
        </w:rPr>
        <w:t>micro, small and medium-sized enterprises</w:t>
      </w:r>
      <w:r w:rsidR="00B7090E" w:rsidRPr="009E6278">
        <w:rPr>
          <w:lang w:val="en-GB"/>
        </w:rPr>
        <w:t xml:space="preserve"> </w:t>
      </w:r>
      <w:r w:rsidR="005A76B7" w:rsidRPr="009E6278">
        <w:rPr>
          <w:lang w:val="en-GB"/>
        </w:rPr>
        <w:t>to take advantage of the available tools for green growth strategies</w:t>
      </w:r>
      <w:r w:rsidR="00D400A3" w:rsidRPr="009E6278">
        <w:rPr>
          <w:lang w:val="en-GB"/>
        </w:rPr>
        <w:t xml:space="preserve">. </w:t>
      </w:r>
    </w:p>
    <w:p w14:paraId="38493348" w14:textId="77777777" w:rsidR="001F3AED" w:rsidRPr="009E6278" w:rsidRDefault="001F3AED" w:rsidP="00143015">
      <w:pPr>
        <w:pStyle w:val="ListParagraph"/>
        <w:tabs>
          <w:tab w:val="left" w:pos="1170"/>
        </w:tabs>
        <w:rPr>
          <w:sz w:val="12"/>
          <w:szCs w:val="12"/>
          <w:lang w:val="en-GB"/>
        </w:rPr>
      </w:pPr>
    </w:p>
    <w:p w14:paraId="53665ECB" w14:textId="33734039" w:rsidR="001E5F56" w:rsidRPr="009E6278" w:rsidRDefault="00B85562" w:rsidP="00143015">
      <w:pPr>
        <w:pStyle w:val="ListParagraph"/>
        <w:numPr>
          <w:ilvl w:val="0"/>
          <w:numId w:val="8"/>
        </w:numPr>
        <w:tabs>
          <w:tab w:val="left" w:pos="1170"/>
        </w:tabs>
        <w:spacing w:after="120"/>
        <w:ind w:left="810" w:right="720" w:firstLine="0"/>
        <w:contextualSpacing/>
        <w:jc w:val="both"/>
        <w:rPr>
          <w:rStyle w:val="Hyperlink"/>
          <w:color w:val="auto"/>
          <w:lang w:val="en-GB"/>
        </w:rPr>
      </w:pPr>
      <w:r w:rsidRPr="009E6278">
        <w:rPr>
          <w:bCs/>
          <w:lang w:val="en-GB"/>
        </w:rPr>
        <w:t xml:space="preserve">UNDP </w:t>
      </w:r>
      <w:r w:rsidR="00C034AB" w:rsidRPr="009E6278">
        <w:rPr>
          <w:bCs/>
          <w:lang w:val="en-GB"/>
        </w:rPr>
        <w:t xml:space="preserve">will </w:t>
      </w:r>
      <w:r w:rsidR="00512DB1" w:rsidRPr="009E6278">
        <w:rPr>
          <w:bCs/>
          <w:lang w:val="en-GB"/>
        </w:rPr>
        <w:t>support</w:t>
      </w:r>
      <w:r w:rsidR="00C034AB" w:rsidRPr="009E6278">
        <w:rPr>
          <w:bCs/>
          <w:lang w:val="en-GB"/>
        </w:rPr>
        <w:t xml:space="preserve"> </w:t>
      </w:r>
      <w:r w:rsidR="00C601A5" w:rsidRPr="009E6278">
        <w:rPr>
          <w:bCs/>
          <w:lang w:val="en-GB"/>
        </w:rPr>
        <w:t>activities that</w:t>
      </w:r>
      <w:r w:rsidR="00512DB1" w:rsidRPr="009E6278">
        <w:rPr>
          <w:bCs/>
          <w:lang w:val="en-GB"/>
        </w:rPr>
        <w:t xml:space="preserve"> </w:t>
      </w:r>
      <w:r w:rsidR="00140970" w:rsidRPr="009E6278">
        <w:rPr>
          <w:bCs/>
          <w:lang w:val="en-GB"/>
        </w:rPr>
        <w:t>encourage green</w:t>
      </w:r>
      <w:r w:rsidR="00C034AB" w:rsidRPr="009E6278">
        <w:rPr>
          <w:bCs/>
          <w:lang w:val="en-GB"/>
        </w:rPr>
        <w:t xml:space="preserve"> </w:t>
      </w:r>
      <w:r w:rsidR="005B2F35" w:rsidRPr="009E6278">
        <w:rPr>
          <w:bCs/>
          <w:lang w:val="en-GB"/>
        </w:rPr>
        <w:t>investment</w:t>
      </w:r>
      <w:r w:rsidR="00C034AB" w:rsidRPr="009E6278">
        <w:rPr>
          <w:bCs/>
          <w:lang w:val="en-GB"/>
        </w:rPr>
        <w:t>s</w:t>
      </w:r>
      <w:r w:rsidR="00C601A5" w:rsidRPr="009E6278">
        <w:rPr>
          <w:bCs/>
          <w:lang w:val="en-GB"/>
        </w:rPr>
        <w:t xml:space="preserve"> and </w:t>
      </w:r>
      <w:r w:rsidR="00C414E4" w:rsidRPr="00547151">
        <w:rPr>
          <w:bCs/>
          <w:lang w:val="en-GB"/>
        </w:rPr>
        <w:t>those</w:t>
      </w:r>
      <w:r w:rsidR="00C414E4" w:rsidRPr="009E6278">
        <w:rPr>
          <w:bCs/>
          <w:lang w:val="en-GB"/>
        </w:rPr>
        <w:t xml:space="preserve"> </w:t>
      </w:r>
      <w:r w:rsidR="00C034AB" w:rsidRPr="009E6278">
        <w:rPr>
          <w:bCs/>
          <w:lang w:val="en-GB"/>
        </w:rPr>
        <w:t>that incentivize smart decision</w:t>
      </w:r>
      <w:r w:rsidR="00B7090E" w:rsidRPr="00547151">
        <w:rPr>
          <w:bCs/>
          <w:lang w:val="en-GB"/>
        </w:rPr>
        <w:t>-</w:t>
      </w:r>
      <w:r w:rsidR="00C034AB" w:rsidRPr="009E6278">
        <w:rPr>
          <w:bCs/>
          <w:lang w:val="en-GB"/>
        </w:rPr>
        <w:t xml:space="preserve">making </w:t>
      </w:r>
      <w:r w:rsidR="00C35B52" w:rsidRPr="009E6278">
        <w:rPr>
          <w:bCs/>
          <w:lang w:val="en-GB"/>
        </w:rPr>
        <w:t>and</w:t>
      </w:r>
      <w:r w:rsidR="00C034AB" w:rsidRPr="009E6278">
        <w:rPr>
          <w:bCs/>
          <w:lang w:val="en-GB"/>
        </w:rPr>
        <w:t xml:space="preserve"> innovative financing to tackle the increasing needs in light of dwindling domestic resources and limited fiscal space.</w:t>
      </w:r>
      <w:r w:rsidR="00F32BEA" w:rsidRPr="009E6278">
        <w:rPr>
          <w:bCs/>
          <w:lang w:val="en-GB"/>
        </w:rPr>
        <w:t xml:space="preserve"> </w:t>
      </w:r>
      <w:r w:rsidR="00B7090E" w:rsidRPr="00547151">
        <w:rPr>
          <w:bCs/>
          <w:lang w:val="en-GB"/>
        </w:rPr>
        <w:t>I</w:t>
      </w:r>
      <w:r w:rsidR="002B4602" w:rsidRPr="009E6278">
        <w:rPr>
          <w:bCs/>
          <w:lang w:val="en-GB"/>
        </w:rPr>
        <w:t>n partnership with Government, businesses and investors</w:t>
      </w:r>
      <w:r w:rsidR="00B7090E" w:rsidRPr="00547151">
        <w:rPr>
          <w:bCs/>
          <w:lang w:val="en-GB"/>
        </w:rPr>
        <w:t>, UNDP</w:t>
      </w:r>
      <w:r w:rsidR="002B4602" w:rsidRPr="009E6278">
        <w:rPr>
          <w:bCs/>
          <w:lang w:val="en-GB"/>
        </w:rPr>
        <w:t xml:space="preserve"> will promot</w:t>
      </w:r>
      <w:r w:rsidR="00C414E4" w:rsidRPr="00547151">
        <w:rPr>
          <w:bCs/>
          <w:lang w:val="en-GB"/>
        </w:rPr>
        <w:t>e</w:t>
      </w:r>
      <w:r w:rsidR="00C601A5" w:rsidRPr="009E6278">
        <w:rPr>
          <w:lang w:val="en-GB"/>
        </w:rPr>
        <w:t xml:space="preserve"> the </w:t>
      </w:r>
      <w:r w:rsidR="00B7090E" w:rsidRPr="00547151">
        <w:rPr>
          <w:lang w:val="en-GB"/>
        </w:rPr>
        <w:t>Sustainable Development Goals</w:t>
      </w:r>
      <w:r w:rsidR="00B7090E" w:rsidRPr="009E6278">
        <w:rPr>
          <w:lang w:val="en-GB"/>
        </w:rPr>
        <w:t xml:space="preserve"> </w:t>
      </w:r>
      <w:r w:rsidR="00415620" w:rsidRPr="009E6278">
        <w:rPr>
          <w:lang w:val="en-GB"/>
        </w:rPr>
        <w:t xml:space="preserve">investor maps to </w:t>
      </w:r>
      <w:r w:rsidR="00F32BEA" w:rsidRPr="009E6278">
        <w:rPr>
          <w:lang w:val="en-GB"/>
        </w:rPr>
        <w:t>provide potential investors with market intelligence and enhance opportunities for South-South and triangular exchange</w:t>
      </w:r>
      <w:r w:rsidR="00B7090E" w:rsidRPr="00547151">
        <w:rPr>
          <w:lang w:val="en-GB"/>
        </w:rPr>
        <w:t>.</w:t>
      </w:r>
      <w:r w:rsidR="00D262CF" w:rsidRPr="009E6278">
        <w:rPr>
          <w:rStyle w:val="FootnoteReference"/>
          <w:lang w:val="en-GB"/>
        </w:rPr>
        <w:footnoteReference w:id="30"/>
      </w:r>
      <w:r w:rsidR="002C2068" w:rsidRPr="009E6278">
        <w:rPr>
          <w:lang w:val="en-GB"/>
        </w:rPr>
        <w:t xml:space="preserve"> This will enable </w:t>
      </w:r>
      <w:r w:rsidR="00B7090E" w:rsidRPr="00547151">
        <w:rPr>
          <w:lang w:val="en-GB"/>
        </w:rPr>
        <w:t xml:space="preserve">the </w:t>
      </w:r>
      <w:r w:rsidR="00F32BEA" w:rsidRPr="009E6278">
        <w:rPr>
          <w:lang w:val="en-GB"/>
        </w:rPr>
        <w:t>dissemination and utilization of scalable</w:t>
      </w:r>
      <w:r w:rsidR="00C601A5" w:rsidRPr="009E6278">
        <w:rPr>
          <w:lang w:val="en-GB"/>
        </w:rPr>
        <w:t xml:space="preserve"> and</w:t>
      </w:r>
      <w:r w:rsidR="00F32BEA" w:rsidRPr="009E6278">
        <w:rPr>
          <w:lang w:val="en-GB"/>
        </w:rPr>
        <w:t xml:space="preserve"> </w:t>
      </w:r>
      <w:r w:rsidR="00C601A5" w:rsidRPr="009E6278">
        <w:rPr>
          <w:lang w:val="en-GB"/>
        </w:rPr>
        <w:t xml:space="preserve">bankable </w:t>
      </w:r>
      <w:r w:rsidR="00F32BEA" w:rsidRPr="009E6278">
        <w:rPr>
          <w:lang w:val="en-GB"/>
        </w:rPr>
        <w:t xml:space="preserve">business models </w:t>
      </w:r>
      <w:r w:rsidR="007972FD" w:rsidRPr="009E6278">
        <w:rPr>
          <w:lang w:val="en-GB"/>
        </w:rPr>
        <w:t>in productive sectors</w:t>
      </w:r>
      <w:r w:rsidR="00C414E4" w:rsidRPr="00547151">
        <w:rPr>
          <w:lang w:val="en-GB"/>
        </w:rPr>
        <w:t>,</w:t>
      </w:r>
      <w:r w:rsidR="007972FD" w:rsidRPr="009E6278">
        <w:rPr>
          <w:lang w:val="en-GB"/>
        </w:rPr>
        <w:t xml:space="preserve"> targeting</w:t>
      </w:r>
      <w:r w:rsidR="000F5637" w:rsidRPr="009E6278">
        <w:rPr>
          <w:rStyle w:val="apple-converted-space"/>
          <w:lang w:val="en-GB"/>
        </w:rPr>
        <w:t xml:space="preserve"> youth</w:t>
      </w:r>
      <w:r w:rsidR="0038765F" w:rsidRPr="009E6278">
        <w:rPr>
          <w:rStyle w:val="apple-converted-space"/>
          <w:lang w:val="en-GB"/>
        </w:rPr>
        <w:t xml:space="preserve">, </w:t>
      </w:r>
      <w:r w:rsidR="00D73EF1" w:rsidRPr="009E6278">
        <w:rPr>
          <w:rStyle w:val="apple-converted-space"/>
          <w:lang w:val="en-GB"/>
        </w:rPr>
        <w:t xml:space="preserve">women </w:t>
      </w:r>
      <w:r w:rsidR="0038765F" w:rsidRPr="009E6278">
        <w:rPr>
          <w:rStyle w:val="apple-converted-space"/>
          <w:lang w:val="en-GB"/>
        </w:rPr>
        <w:t xml:space="preserve">and </w:t>
      </w:r>
      <w:r w:rsidR="000F5637" w:rsidRPr="009E6278">
        <w:rPr>
          <w:rStyle w:val="apple-converted-space"/>
          <w:lang w:val="en-GB"/>
        </w:rPr>
        <w:t xml:space="preserve">entrepreneurs </w:t>
      </w:r>
      <w:r w:rsidR="00B7090E" w:rsidRPr="00547151">
        <w:rPr>
          <w:lang w:val="en-GB"/>
        </w:rPr>
        <w:t>with disabilities</w:t>
      </w:r>
      <w:r w:rsidR="000F5637" w:rsidRPr="009E6278">
        <w:rPr>
          <w:lang w:val="en-GB"/>
        </w:rPr>
        <w:t xml:space="preserve">. </w:t>
      </w:r>
      <w:r w:rsidR="008A4942" w:rsidRPr="009E6278">
        <w:rPr>
          <w:lang w:val="en-GB"/>
        </w:rPr>
        <w:t>UNDP will</w:t>
      </w:r>
      <w:r w:rsidR="004B494C" w:rsidRPr="009E6278">
        <w:rPr>
          <w:lang w:val="en-GB"/>
        </w:rPr>
        <w:t xml:space="preserve"> </w:t>
      </w:r>
      <w:r w:rsidR="008A4942" w:rsidRPr="009E6278">
        <w:rPr>
          <w:lang w:val="en-GB"/>
        </w:rPr>
        <w:t>collaborate</w:t>
      </w:r>
      <w:r w:rsidR="004B494C" w:rsidRPr="009E6278">
        <w:rPr>
          <w:lang w:val="en-GB"/>
        </w:rPr>
        <w:t xml:space="preserve"> with the </w:t>
      </w:r>
      <w:r w:rsidR="00B7090E" w:rsidRPr="00547151">
        <w:rPr>
          <w:lang w:val="en-GB"/>
        </w:rPr>
        <w:t>Regional Service Centre</w:t>
      </w:r>
      <w:r w:rsidR="00B7090E" w:rsidRPr="009E6278">
        <w:rPr>
          <w:lang w:val="en-GB"/>
        </w:rPr>
        <w:t xml:space="preserve"> </w:t>
      </w:r>
      <w:r w:rsidR="004B494C" w:rsidRPr="009E6278">
        <w:rPr>
          <w:lang w:val="en-GB"/>
        </w:rPr>
        <w:t xml:space="preserve">and </w:t>
      </w:r>
      <w:r w:rsidR="00B7090E" w:rsidRPr="00547151">
        <w:rPr>
          <w:lang w:val="en-GB"/>
        </w:rPr>
        <w:t xml:space="preserve">the </w:t>
      </w:r>
      <w:r w:rsidR="004B494C" w:rsidRPr="009E6278">
        <w:rPr>
          <w:lang w:val="en-GB"/>
        </w:rPr>
        <w:t xml:space="preserve">African Continental Free Trade Area </w:t>
      </w:r>
      <w:r w:rsidR="00B7090E" w:rsidRPr="00547151">
        <w:rPr>
          <w:lang w:val="en-GB"/>
        </w:rPr>
        <w:t>s</w:t>
      </w:r>
      <w:r w:rsidR="004B494C" w:rsidRPr="009E6278">
        <w:rPr>
          <w:lang w:val="en-GB"/>
        </w:rPr>
        <w:t>ecretariat to open</w:t>
      </w:r>
      <w:r w:rsidR="00B7090E" w:rsidRPr="00547151">
        <w:rPr>
          <w:lang w:val="en-GB"/>
        </w:rPr>
        <w:t xml:space="preserve"> up</w:t>
      </w:r>
      <w:r w:rsidR="004B494C" w:rsidRPr="009E6278">
        <w:rPr>
          <w:lang w:val="en-GB"/>
        </w:rPr>
        <w:t xml:space="preserve"> additional opportunities</w:t>
      </w:r>
      <w:r w:rsidR="00B7090E" w:rsidRPr="00547151">
        <w:rPr>
          <w:lang w:val="en-GB"/>
        </w:rPr>
        <w:t>,</w:t>
      </w:r>
      <w:r w:rsidR="004B494C" w:rsidRPr="009E6278">
        <w:rPr>
          <w:lang w:val="en-GB"/>
        </w:rPr>
        <w:t xml:space="preserve"> especially for women and youth</w:t>
      </w:r>
      <w:r w:rsidR="00D373C9" w:rsidRPr="009E6278">
        <w:rPr>
          <w:lang w:val="en-GB"/>
        </w:rPr>
        <w:t>.</w:t>
      </w:r>
    </w:p>
    <w:p w14:paraId="4AA81602" w14:textId="6773A43F" w:rsidR="00DE0018" w:rsidRPr="009E6278" w:rsidRDefault="00DE0018" w:rsidP="006172E3">
      <w:pPr>
        <w:spacing w:after="120" w:line="240" w:lineRule="exact"/>
        <w:ind w:left="810" w:right="720"/>
        <w:jc w:val="both"/>
        <w:rPr>
          <w:rStyle w:val="Hyperlink"/>
          <w:rFonts w:eastAsiaTheme="minorEastAsia"/>
          <w:color w:val="000000" w:themeColor="text1"/>
          <w:lang w:val="en-GB" w:eastAsia="ja-JP"/>
        </w:rPr>
      </w:pPr>
      <w:r w:rsidRPr="009E6278">
        <w:rPr>
          <w:rStyle w:val="Hyperlink"/>
          <w:rFonts w:eastAsiaTheme="minorEastAsia"/>
          <w:b/>
          <w:bCs/>
          <w:color w:val="000000" w:themeColor="text1"/>
          <w:lang w:val="en-GB" w:eastAsia="ja-JP"/>
        </w:rPr>
        <w:t>Nature</w:t>
      </w:r>
      <w:r w:rsidR="00C414E4" w:rsidRPr="00547151">
        <w:rPr>
          <w:rStyle w:val="Hyperlink"/>
          <w:rFonts w:eastAsiaTheme="minorEastAsia"/>
          <w:b/>
          <w:bCs/>
          <w:color w:val="000000" w:themeColor="text1"/>
          <w:lang w:val="en-GB" w:eastAsia="ja-JP"/>
        </w:rPr>
        <w:t>-</w:t>
      </w:r>
      <w:r w:rsidR="001F3AED" w:rsidRPr="009E6278">
        <w:rPr>
          <w:rStyle w:val="Hyperlink"/>
          <w:rFonts w:eastAsiaTheme="minorEastAsia"/>
          <w:b/>
          <w:bCs/>
          <w:color w:val="000000" w:themeColor="text1"/>
          <w:lang w:val="en-GB" w:eastAsia="ja-JP"/>
        </w:rPr>
        <w:t>b</w:t>
      </w:r>
      <w:r w:rsidRPr="009E6278">
        <w:rPr>
          <w:rStyle w:val="Hyperlink"/>
          <w:rFonts w:eastAsiaTheme="minorEastAsia"/>
          <w:b/>
          <w:bCs/>
          <w:color w:val="000000" w:themeColor="text1"/>
          <w:lang w:val="en-GB" w:eastAsia="ja-JP"/>
        </w:rPr>
        <w:t xml:space="preserve">ased </w:t>
      </w:r>
      <w:r w:rsidR="001F3AED" w:rsidRPr="009E6278">
        <w:rPr>
          <w:rStyle w:val="Hyperlink"/>
          <w:rFonts w:eastAsiaTheme="minorEastAsia"/>
          <w:b/>
          <w:bCs/>
          <w:color w:val="000000" w:themeColor="text1"/>
          <w:lang w:val="en-GB" w:eastAsia="ja-JP"/>
        </w:rPr>
        <w:t>s</w:t>
      </w:r>
      <w:r w:rsidRPr="009E6278">
        <w:rPr>
          <w:rStyle w:val="Hyperlink"/>
          <w:rFonts w:eastAsiaTheme="minorEastAsia"/>
          <w:b/>
          <w:bCs/>
          <w:color w:val="000000" w:themeColor="text1"/>
          <w:lang w:val="en-GB" w:eastAsia="ja-JP"/>
        </w:rPr>
        <w:t xml:space="preserve">olutions and </w:t>
      </w:r>
      <w:r w:rsidR="001F3AED" w:rsidRPr="009E6278">
        <w:rPr>
          <w:rStyle w:val="Hyperlink"/>
          <w:rFonts w:eastAsiaTheme="minorEastAsia"/>
          <w:b/>
          <w:bCs/>
          <w:color w:val="000000" w:themeColor="text1"/>
          <w:lang w:val="en-GB" w:eastAsia="ja-JP"/>
        </w:rPr>
        <w:t>r</w:t>
      </w:r>
      <w:r w:rsidRPr="009E6278">
        <w:rPr>
          <w:rStyle w:val="Hyperlink"/>
          <w:rFonts w:eastAsiaTheme="minorEastAsia"/>
          <w:b/>
          <w:bCs/>
          <w:color w:val="000000" w:themeColor="text1"/>
          <w:lang w:val="en-GB" w:eastAsia="ja-JP"/>
        </w:rPr>
        <w:t>esilience</w:t>
      </w:r>
    </w:p>
    <w:p w14:paraId="380CD93D" w14:textId="57D4005A" w:rsidR="000B014E" w:rsidRPr="009E6278" w:rsidRDefault="00FC7D41" w:rsidP="00143015">
      <w:pPr>
        <w:pStyle w:val="ListParagraph"/>
        <w:numPr>
          <w:ilvl w:val="0"/>
          <w:numId w:val="8"/>
        </w:numPr>
        <w:tabs>
          <w:tab w:val="left" w:pos="1170"/>
        </w:tabs>
        <w:spacing w:after="120" w:line="240" w:lineRule="exact"/>
        <w:ind w:left="810" w:right="720" w:firstLine="0"/>
        <w:jc w:val="both"/>
        <w:rPr>
          <w:lang w:val="en-GB"/>
        </w:rPr>
      </w:pPr>
      <w:bookmarkStart w:id="2" w:name="_Hlk503108635"/>
      <w:r w:rsidRPr="009E6278">
        <w:rPr>
          <w:lang w:val="en-GB"/>
        </w:rPr>
        <w:t>Kenya face</w:t>
      </w:r>
      <w:r w:rsidR="00B7090E" w:rsidRPr="00547151">
        <w:rPr>
          <w:lang w:val="en-GB"/>
        </w:rPr>
        <w:t>s</w:t>
      </w:r>
      <w:r w:rsidRPr="009E6278">
        <w:rPr>
          <w:lang w:val="en-GB"/>
        </w:rPr>
        <w:t xml:space="preserve"> pressing environmental challenges</w:t>
      </w:r>
      <w:r w:rsidR="00B7090E" w:rsidRPr="00547151">
        <w:rPr>
          <w:lang w:val="en-GB"/>
        </w:rPr>
        <w:t>,</w:t>
      </w:r>
      <w:r w:rsidRPr="009E6278">
        <w:rPr>
          <w:lang w:val="en-GB"/>
        </w:rPr>
        <w:t xml:space="preserve"> including climate change, natural resource depletion, loss of biodiversity and ecosystem services</w:t>
      </w:r>
      <w:r w:rsidR="003D15CF" w:rsidRPr="009E6278">
        <w:rPr>
          <w:lang w:val="en-GB"/>
        </w:rPr>
        <w:t>, and climate security risks</w:t>
      </w:r>
      <w:r w:rsidRPr="009E6278">
        <w:rPr>
          <w:lang w:val="en-GB"/>
        </w:rPr>
        <w:t xml:space="preserve">. </w:t>
      </w:r>
      <w:r w:rsidR="00827002" w:rsidRPr="009E6278">
        <w:rPr>
          <w:lang w:val="en-GB"/>
        </w:rPr>
        <w:t xml:space="preserve">While climate change does not itself cause conflict, there is </w:t>
      </w:r>
      <w:r w:rsidR="00C414E4" w:rsidRPr="00547151">
        <w:rPr>
          <w:lang w:val="en-GB"/>
        </w:rPr>
        <w:t>a</w:t>
      </w:r>
      <w:r w:rsidR="00827002" w:rsidRPr="009E6278">
        <w:rPr>
          <w:lang w:val="en-GB"/>
        </w:rPr>
        <w:t xml:space="preserve"> need to address climate change and environmental degradation as risk multipliers, and </w:t>
      </w:r>
      <w:r w:rsidR="00B65F38" w:rsidRPr="00547151">
        <w:rPr>
          <w:lang w:val="en-GB"/>
        </w:rPr>
        <w:t>t</w:t>
      </w:r>
      <w:r w:rsidR="00827002" w:rsidRPr="009E6278">
        <w:rPr>
          <w:lang w:val="en-GB"/>
        </w:rPr>
        <w:t xml:space="preserve">o promote and safeguard the state of </w:t>
      </w:r>
      <w:r w:rsidR="00B65F38" w:rsidRPr="00547151">
        <w:rPr>
          <w:lang w:val="en-GB"/>
        </w:rPr>
        <w:t xml:space="preserve">the </w:t>
      </w:r>
      <w:r w:rsidR="00827002" w:rsidRPr="009E6278">
        <w:rPr>
          <w:lang w:val="en-GB"/>
        </w:rPr>
        <w:t xml:space="preserve">environment for sustainable economic growth. </w:t>
      </w:r>
      <w:r w:rsidRPr="009E6278">
        <w:rPr>
          <w:lang w:val="en-GB"/>
        </w:rPr>
        <w:t>The focus o</w:t>
      </w:r>
      <w:r w:rsidR="00DC4EC3" w:rsidRPr="009E6278">
        <w:rPr>
          <w:lang w:val="en-GB"/>
        </w:rPr>
        <w:t>n</w:t>
      </w:r>
      <w:r w:rsidRPr="009E6278">
        <w:rPr>
          <w:lang w:val="en-GB"/>
        </w:rPr>
        <w:t xml:space="preserve"> nature</w:t>
      </w:r>
      <w:r w:rsidR="00C601A5" w:rsidRPr="009E6278">
        <w:rPr>
          <w:lang w:val="en-GB"/>
        </w:rPr>
        <w:t>-</w:t>
      </w:r>
      <w:r w:rsidRPr="009E6278">
        <w:rPr>
          <w:lang w:val="en-GB"/>
        </w:rPr>
        <w:t xml:space="preserve">based solutions and resilience seeks to actualize the </w:t>
      </w:r>
      <w:r w:rsidR="00B65F38" w:rsidRPr="00547151">
        <w:rPr>
          <w:lang w:val="en-GB"/>
        </w:rPr>
        <w:t>c</w:t>
      </w:r>
      <w:r w:rsidRPr="009E6278">
        <w:rPr>
          <w:lang w:val="en-GB"/>
        </w:rPr>
        <w:t>onstitutional recognition of sustainable development and the right to a clean and healthy environment</w:t>
      </w:r>
      <w:r w:rsidR="00A101A1" w:rsidRPr="009E6278">
        <w:rPr>
          <w:lang w:val="en-GB"/>
        </w:rPr>
        <w:t xml:space="preserve"> for all citizens</w:t>
      </w:r>
      <w:r w:rsidR="00B65F38" w:rsidRPr="00547151">
        <w:rPr>
          <w:lang w:val="en-GB"/>
        </w:rPr>
        <w:t>,</w:t>
      </w:r>
      <w:r w:rsidR="00071E47" w:rsidRPr="009E6278">
        <w:rPr>
          <w:lang w:val="en-GB"/>
        </w:rPr>
        <w:t xml:space="preserve"> leav</w:t>
      </w:r>
      <w:r w:rsidR="00B65F38" w:rsidRPr="00547151">
        <w:rPr>
          <w:lang w:val="en-GB"/>
        </w:rPr>
        <w:t>ing</w:t>
      </w:r>
      <w:r w:rsidR="00071E47" w:rsidRPr="009E6278">
        <w:rPr>
          <w:lang w:val="en-GB"/>
        </w:rPr>
        <w:t xml:space="preserve"> no one behind, particularly the most vulnerable </w:t>
      </w:r>
      <w:r w:rsidR="00CF0E9B" w:rsidRPr="009E6278">
        <w:rPr>
          <w:lang w:val="en-GB"/>
        </w:rPr>
        <w:t>–</w:t>
      </w:r>
      <w:r w:rsidR="00071E47" w:rsidRPr="009E6278">
        <w:rPr>
          <w:lang w:val="en-GB"/>
        </w:rPr>
        <w:t xml:space="preserve"> youth, women and </w:t>
      </w:r>
      <w:r w:rsidR="00CF0E9B" w:rsidRPr="00547151">
        <w:rPr>
          <w:lang w:val="en-GB"/>
        </w:rPr>
        <w:t>pe</w:t>
      </w:r>
      <w:r w:rsidR="00F7483D" w:rsidRPr="00547151">
        <w:rPr>
          <w:lang w:val="en-GB"/>
        </w:rPr>
        <w:t>ople</w:t>
      </w:r>
      <w:r w:rsidR="00CF0E9B" w:rsidRPr="00547151">
        <w:rPr>
          <w:lang w:val="en-GB"/>
        </w:rPr>
        <w:t xml:space="preserve"> with disabilities</w:t>
      </w:r>
      <w:r w:rsidRPr="009E6278">
        <w:rPr>
          <w:lang w:val="en-GB"/>
        </w:rPr>
        <w:t xml:space="preserve">. This is anchored </w:t>
      </w:r>
      <w:r w:rsidR="00B65F38" w:rsidRPr="00547151">
        <w:rPr>
          <w:lang w:val="en-GB"/>
        </w:rPr>
        <w:t>i</w:t>
      </w:r>
      <w:r w:rsidRPr="009E6278">
        <w:rPr>
          <w:lang w:val="en-GB"/>
        </w:rPr>
        <w:t>n a robust set of international environmental governance and multilateral environmental instruments ratified by Kenya.</w:t>
      </w:r>
    </w:p>
    <w:p w14:paraId="30BBFC08" w14:textId="574B06D3" w:rsidR="00072434" w:rsidRPr="009E6278" w:rsidRDefault="00FC7D41" w:rsidP="00143015">
      <w:pPr>
        <w:pStyle w:val="ListParagraph"/>
        <w:numPr>
          <w:ilvl w:val="0"/>
          <w:numId w:val="8"/>
        </w:numPr>
        <w:tabs>
          <w:tab w:val="left" w:pos="1170"/>
        </w:tabs>
        <w:spacing w:after="120" w:line="240" w:lineRule="exact"/>
        <w:ind w:left="810" w:right="720" w:firstLine="0"/>
        <w:jc w:val="both"/>
        <w:rPr>
          <w:lang w:val="en-GB"/>
        </w:rPr>
      </w:pPr>
      <w:r w:rsidRPr="009E6278">
        <w:rPr>
          <w:lang w:val="en-GB"/>
        </w:rPr>
        <w:t xml:space="preserve"> UNDP will continue to work with partners to support national and county governments to accelerate implementation of </w:t>
      </w:r>
      <w:r w:rsidR="00D943E6" w:rsidRPr="009E6278">
        <w:rPr>
          <w:lang w:val="en-GB"/>
        </w:rPr>
        <w:t xml:space="preserve">legal, </w:t>
      </w:r>
      <w:r w:rsidRPr="009E6278">
        <w:rPr>
          <w:lang w:val="en-GB"/>
        </w:rPr>
        <w:t>policy</w:t>
      </w:r>
      <w:r w:rsidR="00D943E6" w:rsidRPr="009E6278">
        <w:rPr>
          <w:lang w:val="en-GB"/>
        </w:rPr>
        <w:t xml:space="preserve"> </w:t>
      </w:r>
      <w:r w:rsidRPr="009E6278">
        <w:rPr>
          <w:lang w:val="en-GB"/>
        </w:rPr>
        <w:t xml:space="preserve">and institutional frameworks for sustainable management of </w:t>
      </w:r>
      <w:r w:rsidR="00D943E6" w:rsidRPr="009E6278">
        <w:rPr>
          <w:lang w:val="en-GB"/>
        </w:rPr>
        <w:t xml:space="preserve">the </w:t>
      </w:r>
      <w:r w:rsidRPr="009E6278">
        <w:rPr>
          <w:lang w:val="en-GB"/>
        </w:rPr>
        <w:t>environment and natural resources. To mitigate environmental degradation</w:t>
      </w:r>
      <w:r w:rsidR="00B65F38" w:rsidRPr="00547151">
        <w:rPr>
          <w:lang w:val="en-GB"/>
        </w:rPr>
        <w:t xml:space="preserve"> and</w:t>
      </w:r>
      <w:r w:rsidRPr="009E6278">
        <w:rPr>
          <w:lang w:val="en-GB"/>
        </w:rPr>
        <w:t xml:space="preserve"> loss of biodiversity</w:t>
      </w:r>
      <w:r w:rsidR="00D943E6" w:rsidRPr="009E6278">
        <w:rPr>
          <w:lang w:val="en-GB"/>
        </w:rPr>
        <w:t xml:space="preserve">, </w:t>
      </w:r>
      <w:r w:rsidRPr="009E6278">
        <w:rPr>
          <w:lang w:val="en-GB"/>
        </w:rPr>
        <w:t xml:space="preserve">and build community resilience, UNDP will scale up </w:t>
      </w:r>
      <w:r w:rsidR="00B65F38" w:rsidRPr="00547151">
        <w:rPr>
          <w:lang w:val="en-GB"/>
        </w:rPr>
        <w:t xml:space="preserve">the </w:t>
      </w:r>
      <w:r w:rsidRPr="009E6278">
        <w:rPr>
          <w:lang w:val="en-GB"/>
        </w:rPr>
        <w:t>sustainable use and management of natural resources to reduce deforestation</w:t>
      </w:r>
      <w:r w:rsidR="00B65F38" w:rsidRPr="00547151">
        <w:rPr>
          <w:lang w:val="en-GB"/>
        </w:rPr>
        <w:t>;</w:t>
      </w:r>
      <w:r w:rsidRPr="009E6278">
        <w:rPr>
          <w:lang w:val="en-GB"/>
        </w:rPr>
        <w:t xml:space="preserve"> enhance catchment and land restoration</w:t>
      </w:r>
      <w:r w:rsidR="00B65F38" w:rsidRPr="00547151">
        <w:rPr>
          <w:lang w:val="en-GB"/>
        </w:rPr>
        <w:t>;</w:t>
      </w:r>
      <w:r w:rsidRPr="009E6278">
        <w:rPr>
          <w:lang w:val="en-GB"/>
        </w:rPr>
        <w:t xml:space="preserve"> scale </w:t>
      </w:r>
      <w:r w:rsidR="00B65F38" w:rsidRPr="00547151">
        <w:rPr>
          <w:lang w:val="en-GB"/>
        </w:rPr>
        <w:t xml:space="preserve">up </w:t>
      </w:r>
      <w:r w:rsidRPr="009E6278">
        <w:rPr>
          <w:lang w:val="en-GB"/>
        </w:rPr>
        <w:t>sound waste management</w:t>
      </w:r>
      <w:r w:rsidR="00B65F38" w:rsidRPr="00547151">
        <w:rPr>
          <w:lang w:val="en-GB"/>
        </w:rPr>
        <w:t>;</w:t>
      </w:r>
      <w:r w:rsidRPr="009E6278">
        <w:rPr>
          <w:lang w:val="en-GB"/>
        </w:rPr>
        <w:t xml:space="preserve"> advance sustainable blue economy initiatives</w:t>
      </w:r>
      <w:r w:rsidR="00B65F38" w:rsidRPr="00547151">
        <w:rPr>
          <w:lang w:val="en-GB"/>
        </w:rPr>
        <w:t>;</w:t>
      </w:r>
      <w:r w:rsidRPr="009E6278">
        <w:rPr>
          <w:lang w:val="en-GB"/>
        </w:rPr>
        <w:t xml:space="preserve"> </w:t>
      </w:r>
      <w:r w:rsidR="00D943E6" w:rsidRPr="009E6278">
        <w:rPr>
          <w:lang w:val="en-GB"/>
        </w:rPr>
        <w:t>promote tourism</w:t>
      </w:r>
      <w:r w:rsidR="00B65F38" w:rsidRPr="00547151">
        <w:rPr>
          <w:lang w:val="en-GB"/>
        </w:rPr>
        <w:t>;</w:t>
      </w:r>
      <w:r w:rsidR="00D943E6" w:rsidRPr="009E6278">
        <w:rPr>
          <w:lang w:val="en-GB"/>
        </w:rPr>
        <w:t xml:space="preserve"> </w:t>
      </w:r>
      <w:r w:rsidR="00B65F38" w:rsidRPr="00547151">
        <w:rPr>
          <w:lang w:val="en-GB"/>
        </w:rPr>
        <w:lastRenderedPageBreak/>
        <w:t xml:space="preserve">and </w:t>
      </w:r>
      <w:r w:rsidRPr="009E6278">
        <w:rPr>
          <w:lang w:val="en-GB"/>
        </w:rPr>
        <w:t>scale</w:t>
      </w:r>
      <w:r w:rsidR="00B65F38" w:rsidRPr="00547151">
        <w:rPr>
          <w:lang w:val="en-GB"/>
        </w:rPr>
        <w:t xml:space="preserve"> up</w:t>
      </w:r>
      <w:r w:rsidRPr="009E6278">
        <w:rPr>
          <w:lang w:val="en-GB"/>
        </w:rPr>
        <w:t xml:space="preserve"> climate mitigation and adaptation measures </w:t>
      </w:r>
      <w:r w:rsidR="00B65F38" w:rsidRPr="00547151">
        <w:rPr>
          <w:lang w:val="en-GB"/>
        </w:rPr>
        <w:t>to</w:t>
      </w:r>
      <w:r w:rsidRPr="009E6278">
        <w:rPr>
          <w:lang w:val="en-GB"/>
        </w:rPr>
        <w:t xml:space="preserve"> leverag</w:t>
      </w:r>
      <w:r w:rsidR="000A271E" w:rsidRPr="009E6278">
        <w:rPr>
          <w:lang w:val="en-GB"/>
        </w:rPr>
        <w:t>e</w:t>
      </w:r>
      <w:r w:rsidRPr="009E6278">
        <w:rPr>
          <w:lang w:val="en-GB"/>
        </w:rPr>
        <w:t xml:space="preserve"> innovation, digitization and development financing. </w:t>
      </w:r>
      <w:r w:rsidR="00B65F38" w:rsidRPr="00547151">
        <w:rPr>
          <w:lang w:val="en-GB"/>
        </w:rPr>
        <w:t>E</w:t>
      </w:r>
      <w:r w:rsidRPr="009E6278">
        <w:rPr>
          <w:lang w:val="en-GB"/>
        </w:rPr>
        <w:t>mphasis will be placed on youth-centric and gendered</w:t>
      </w:r>
      <w:r w:rsidR="00C414E4" w:rsidRPr="00547151">
        <w:rPr>
          <w:lang w:val="en-GB"/>
        </w:rPr>
        <w:t>,</w:t>
      </w:r>
      <w:r w:rsidRPr="009E6278">
        <w:rPr>
          <w:lang w:val="en-GB"/>
        </w:rPr>
        <w:t xml:space="preserve"> conflict</w:t>
      </w:r>
      <w:r w:rsidR="00B65F38" w:rsidRPr="00547151">
        <w:rPr>
          <w:lang w:val="en-GB"/>
        </w:rPr>
        <w:t>-</w:t>
      </w:r>
      <w:r w:rsidR="00417C2F" w:rsidRPr="009E6278">
        <w:rPr>
          <w:lang w:val="en-GB"/>
        </w:rPr>
        <w:t>sensitive</w:t>
      </w:r>
      <w:r w:rsidRPr="009E6278">
        <w:rPr>
          <w:lang w:val="en-GB"/>
        </w:rPr>
        <w:t xml:space="preserve"> use of natural resources for accountable, social, and economic development.</w:t>
      </w:r>
    </w:p>
    <w:p w14:paraId="54534924" w14:textId="0FEBDE28" w:rsidR="007F2E32" w:rsidRPr="009E6278" w:rsidRDefault="00FC7D41" w:rsidP="00143015">
      <w:pPr>
        <w:pStyle w:val="ListParagraph"/>
        <w:numPr>
          <w:ilvl w:val="0"/>
          <w:numId w:val="8"/>
        </w:numPr>
        <w:tabs>
          <w:tab w:val="left" w:pos="1170"/>
        </w:tabs>
        <w:spacing w:after="120" w:line="240" w:lineRule="exact"/>
        <w:ind w:left="810" w:right="720" w:firstLine="0"/>
        <w:jc w:val="both"/>
        <w:rPr>
          <w:lang w:val="en-GB"/>
        </w:rPr>
      </w:pPr>
      <w:r w:rsidRPr="009E6278">
        <w:rPr>
          <w:lang w:val="en-GB"/>
        </w:rPr>
        <w:t xml:space="preserve"> UNDP will support the development of robust policy and institutional framework</w:t>
      </w:r>
      <w:r w:rsidR="00A87B04" w:rsidRPr="009E6278">
        <w:rPr>
          <w:lang w:val="en-GB"/>
        </w:rPr>
        <w:t>s</w:t>
      </w:r>
      <w:r w:rsidRPr="009E6278">
        <w:rPr>
          <w:lang w:val="en-GB"/>
        </w:rPr>
        <w:t xml:space="preserve"> to guide implementation of the </w:t>
      </w:r>
      <w:r w:rsidR="00777B8B" w:rsidRPr="00547151">
        <w:rPr>
          <w:lang w:val="en-GB"/>
        </w:rPr>
        <w:t>nationally determined contribution,</w:t>
      </w:r>
      <w:r w:rsidR="00D6108C" w:rsidRPr="009E6278">
        <w:rPr>
          <w:lang w:val="en-GB"/>
        </w:rPr>
        <w:t xml:space="preserve"> </w:t>
      </w:r>
      <w:r w:rsidRPr="009E6278">
        <w:rPr>
          <w:lang w:val="en-GB"/>
        </w:rPr>
        <w:t>2020</w:t>
      </w:r>
      <w:r w:rsidR="00C414E4" w:rsidRPr="00547151">
        <w:rPr>
          <w:lang w:val="en-GB"/>
        </w:rPr>
        <w:t>;</w:t>
      </w:r>
      <w:r w:rsidRPr="009E6278">
        <w:rPr>
          <w:lang w:val="en-GB"/>
        </w:rPr>
        <w:t xml:space="preserve"> the land degradation neutrality targets</w:t>
      </w:r>
      <w:r w:rsidR="00C414E4" w:rsidRPr="00547151">
        <w:rPr>
          <w:lang w:val="en-GB"/>
        </w:rPr>
        <w:t>;</w:t>
      </w:r>
      <w:r w:rsidRPr="009E6278">
        <w:rPr>
          <w:lang w:val="en-GB"/>
        </w:rPr>
        <w:t xml:space="preserve"> </w:t>
      </w:r>
      <w:r w:rsidR="00777B8B" w:rsidRPr="00547151">
        <w:rPr>
          <w:lang w:val="en-GB"/>
        </w:rPr>
        <w:t>and</w:t>
      </w:r>
      <w:r w:rsidRPr="009E6278">
        <w:rPr>
          <w:lang w:val="en-GB"/>
        </w:rPr>
        <w:t xml:space="preserve"> the climate change action plans </w:t>
      </w:r>
      <w:r w:rsidR="00D943E6" w:rsidRPr="009E6278">
        <w:rPr>
          <w:lang w:val="en-GB"/>
        </w:rPr>
        <w:t xml:space="preserve">and </w:t>
      </w:r>
      <w:r w:rsidRPr="009E6278">
        <w:rPr>
          <w:lang w:val="en-GB"/>
        </w:rPr>
        <w:t xml:space="preserve">strategies anticipating </w:t>
      </w:r>
      <w:r w:rsidR="00D943E6" w:rsidRPr="009E6278">
        <w:rPr>
          <w:lang w:val="en-GB"/>
        </w:rPr>
        <w:t xml:space="preserve">the </w:t>
      </w:r>
      <w:r w:rsidRPr="009E6278">
        <w:rPr>
          <w:lang w:val="en-GB"/>
        </w:rPr>
        <w:t xml:space="preserve">adoption of an inspiring </w:t>
      </w:r>
      <w:r w:rsidR="00777B8B" w:rsidRPr="00547151">
        <w:rPr>
          <w:iCs/>
          <w:lang w:val="en-GB"/>
        </w:rPr>
        <w:t>l</w:t>
      </w:r>
      <w:r w:rsidRPr="009E6278">
        <w:rPr>
          <w:iCs/>
          <w:lang w:val="en-GB"/>
        </w:rPr>
        <w:t>ong</w:t>
      </w:r>
      <w:r w:rsidR="00777B8B" w:rsidRPr="00547151">
        <w:rPr>
          <w:iCs/>
          <w:lang w:val="en-GB"/>
        </w:rPr>
        <w:t>-t</w:t>
      </w:r>
      <w:r w:rsidRPr="009E6278">
        <w:rPr>
          <w:iCs/>
          <w:lang w:val="en-GB"/>
        </w:rPr>
        <w:t xml:space="preserve">erm </w:t>
      </w:r>
      <w:r w:rsidR="00777B8B" w:rsidRPr="00547151">
        <w:rPr>
          <w:iCs/>
          <w:lang w:val="en-GB"/>
        </w:rPr>
        <w:t>s</w:t>
      </w:r>
      <w:r w:rsidRPr="009E6278">
        <w:rPr>
          <w:iCs/>
          <w:lang w:val="en-GB"/>
        </w:rPr>
        <w:t>trategy</w:t>
      </w:r>
      <w:r w:rsidRPr="009E6278">
        <w:rPr>
          <w:lang w:val="en-GB"/>
        </w:rPr>
        <w:t xml:space="preserve"> towards net zero carbon emissions. To address the widening energy gap, UNDP will support initiatives to improve access to renewable energy technologies for productive use.</w:t>
      </w:r>
      <w:r w:rsidR="007B7FA7" w:rsidRPr="009E6278">
        <w:rPr>
          <w:lang w:val="en-GB"/>
        </w:rPr>
        <w:t xml:space="preserve"> Th</w:t>
      </w:r>
      <w:r w:rsidR="00777B8B" w:rsidRPr="00547151">
        <w:rPr>
          <w:lang w:val="en-GB"/>
        </w:rPr>
        <w:t>ese</w:t>
      </w:r>
      <w:r w:rsidR="007B7FA7" w:rsidRPr="009E6278">
        <w:rPr>
          <w:lang w:val="en-GB"/>
        </w:rPr>
        <w:t xml:space="preserve"> </w:t>
      </w:r>
      <w:r w:rsidR="007033BD" w:rsidRPr="009E6278">
        <w:rPr>
          <w:lang w:val="en-GB"/>
        </w:rPr>
        <w:t>will</w:t>
      </w:r>
      <w:r w:rsidR="007B7FA7" w:rsidRPr="009E6278">
        <w:rPr>
          <w:lang w:val="en-GB"/>
        </w:rPr>
        <w:t xml:space="preserve"> be </w:t>
      </w:r>
      <w:r w:rsidR="007B7FA7" w:rsidRPr="009E6278">
        <w:rPr>
          <w:rStyle w:val="apple-converted-space"/>
          <w:lang w:val="en-GB"/>
        </w:rPr>
        <w:t xml:space="preserve">supported by the development of mini-grids and associated productive uses of electricity in areas where energy poverty and scarcity of economic opportunities are salient. </w:t>
      </w:r>
      <w:r w:rsidR="00777B8B" w:rsidRPr="00547151">
        <w:rPr>
          <w:rStyle w:val="apple-converted-space"/>
          <w:lang w:val="en-GB"/>
        </w:rPr>
        <w:t>T</w:t>
      </w:r>
      <w:r w:rsidR="007B7FA7" w:rsidRPr="009E6278">
        <w:rPr>
          <w:rStyle w:val="apple-converted-space"/>
          <w:lang w:val="en-GB"/>
        </w:rPr>
        <w:t xml:space="preserve">he country demonstrates substantial scope for decentralized renewable energy generation </w:t>
      </w:r>
      <w:r w:rsidR="00777B8B" w:rsidRPr="00547151">
        <w:rPr>
          <w:rStyle w:val="apple-converted-space"/>
          <w:lang w:val="en-GB"/>
        </w:rPr>
        <w:t>to</w:t>
      </w:r>
      <w:r w:rsidR="007B7FA7" w:rsidRPr="009E6278">
        <w:rPr>
          <w:rStyle w:val="apple-converted-space"/>
          <w:lang w:val="en-GB"/>
        </w:rPr>
        <w:t xml:space="preserve"> provid</w:t>
      </w:r>
      <w:r w:rsidR="00777B8B" w:rsidRPr="00547151">
        <w:rPr>
          <w:rStyle w:val="apple-converted-space"/>
          <w:lang w:val="en-GB"/>
        </w:rPr>
        <w:t>e</w:t>
      </w:r>
      <w:r w:rsidR="007B7FA7" w:rsidRPr="009E6278">
        <w:rPr>
          <w:rStyle w:val="apple-converted-space"/>
          <w:lang w:val="en-GB"/>
        </w:rPr>
        <w:t xml:space="preserve"> universal energy access among rural population</w:t>
      </w:r>
      <w:r w:rsidR="00A87B04" w:rsidRPr="009E6278">
        <w:rPr>
          <w:rStyle w:val="apple-converted-space"/>
          <w:lang w:val="en-GB"/>
        </w:rPr>
        <w:t>s</w:t>
      </w:r>
      <w:r w:rsidR="00777B8B" w:rsidRPr="00547151">
        <w:rPr>
          <w:rStyle w:val="apple-converted-space"/>
          <w:lang w:val="en-GB"/>
        </w:rPr>
        <w:t>.</w:t>
      </w:r>
      <w:r w:rsidR="007B7FA7" w:rsidRPr="009E6278">
        <w:rPr>
          <w:rStyle w:val="FootnoteReference"/>
          <w:lang w:val="en-GB"/>
        </w:rPr>
        <w:footnoteReference w:id="31"/>
      </w:r>
    </w:p>
    <w:p w14:paraId="2128411C" w14:textId="299AB37E" w:rsidR="00FC7D41" w:rsidRPr="009E6278" w:rsidRDefault="00FC7D41" w:rsidP="00143015">
      <w:pPr>
        <w:pStyle w:val="ListParagraph"/>
        <w:numPr>
          <w:ilvl w:val="0"/>
          <w:numId w:val="8"/>
        </w:numPr>
        <w:tabs>
          <w:tab w:val="left" w:pos="1170"/>
        </w:tabs>
        <w:spacing w:line="240" w:lineRule="exact"/>
        <w:ind w:left="810" w:right="720" w:firstLine="0"/>
        <w:jc w:val="both"/>
        <w:rPr>
          <w:lang w:val="en-GB"/>
        </w:rPr>
      </w:pPr>
      <w:r w:rsidRPr="009E6278">
        <w:rPr>
          <w:lang w:val="en-GB"/>
        </w:rPr>
        <w:t>On disaster risk</w:t>
      </w:r>
      <w:r w:rsidR="000E0557" w:rsidRPr="009E6278">
        <w:rPr>
          <w:lang w:val="en-GB"/>
        </w:rPr>
        <w:t xml:space="preserve">-informed development, </w:t>
      </w:r>
      <w:r w:rsidRPr="009E6278">
        <w:rPr>
          <w:lang w:val="en-GB"/>
        </w:rPr>
        <w:t xml:space="preserve">UNDP will support the overall </w:t>
      </w:r>
      <w:r w:rsidR="00777B8B" w:rsidRPr="00547151">
        <w:rPr>
          <w:lang w:val="en-GB"/>
        </w:rPr>
        <w:t xml:space="preserve">government </w:t>
      </w:r>
      <w:r w:rsidRPr="009E6278">
        <w:rPr>
          <w:lang w:val="en-GB"/>
        </w:rPr>
        <w:t>strategy for reducing and managing climate and disaster risks and impacts. UNDP will focus on strengthening disaster risk governance/policy</w:t>
      </w:r>
      <w:r w:rsidR="00777B8B" w:rsidRPr="00547151">
        <w:rPr>
          <w:lang w:val="en-GB"/>
        </w:rPr>
        <w:t>,</w:t>
      </w:r>
      <w:r w:rsidRPr="009E6278">
        <w:rPr>
          <w:lang w:val="en-GB"/>
        </w:rPr>
        <w:t xml:space="preserve"> legal and institutional frameworks; establish</w:t>
      </w:r>
      <w:r w:rsidR="00C414E4" w:rsidRPr="00547151">
        <w:rPr>
          <w:lang w:val="en-GB"/>
        </w:rPr>
        <w:t>ing</w:t>
      </w:r>
      <w:r w:rsidRPr="009E6278">
        <w:rPr>
          <w:lang w:val="en-GB"/>
        </w:rPr>
        <w:t xml:space="preserve"> mechanisms </w:t>
      </w:r>
      <w:r w:rsidR="00692A78" w:rsidRPr="00547151">
        <w:rPr>
          <w:lang w:val="en-GB"/>
        </w:rPr>
        <w:t>to</w:t>
      </w:r>
      <w:r w:rsidR="00692A78" w:rsidRPr="009E6278">
        <w:rPr>
          <w:lang w:val="en-GB"/>
        </w:rPr>
        <w:t xml:space="preserve"> </w:t>
      </w:r>
      <w:r w:rsidRPr="009E6278">
        <w:rPr>
          <w:lang w:val="en-GB"/>
        </w:rPr>
        <w:t xml:space="preserve">assess and monitor disaster risks and impacts; improving access to and use of risk information; strengthening preparedness and early warning systems; </w:t>
      </w:r>
      <w:r w:rsidR="00482BC8" w:rsidRPr="009E6278">
        <w:rPr>
          <w:lang w:val="en-GB"/>
        </w:rPr>
        <w:t>exploring risk insurance options</w:t>
      </w:r>
      <w:r w:rsidR="008830AF" w:rsidRPr="009E6278">
        <w:rPr>
          <w:lang w:val="en-GB"/>
        </w:rPr>
        <w:t xml:space="preserve">; </w:t>
      </w:r>
      <w:r w:rsidRPr="009E6278">
        <w:rPr>
          <w:lang w:val="en-GB"/>
        </w:rPr>
        <w:t xml:space="preserve">and mainstreaming </w:t>
      </w:r>
      <w:r w:rsidR="00141462" w:rsidRPr="009E6278">
        <w:rPr>
          <w:lang w:val="en-GB"/>
        </w:rPr>
        <w:t>disaster risk reduction</w:t>
      </w:r>
      <w:r w:rsidRPr="009E6278">
        <w:rPr>
          <w:lang w:val="en-GB"/>
        </w:rPr>
        <w:t xml:space="preserve"> into development plans and budgets. UNDP will strengthen </w:t>
      </w:r>
      <w:r w:rsidR="00D32D84" w:rsidRPr="009E6278">
        <w:rPr>
          <w:lang w:val="en-GB"/>
        </w:rPr>
        <w:t>post-</w:t>
      </w:r>
      <w:r w:rsidRPr="009E6278">
        <w:rPr>
          <w:lang w:val="en-GB"/>
        </w:rPr>
        <w:t xml:space="preserve">disaster recovery through a </w:t>
      </w:r>
      <w:r w:rsidR="00777B8B" w:rsidRPr="00547151">
        <w:rPr>
          <w:lang w:val="en-GB"/>
        </w:rPr>
        <w:t>‘</w:t>
      </w:r>
      <w:r w:rsidRPr="009E6278">
        <w:rPr>
          <w:lang w:val="en-GB"/>
        </w:rPr>
        <w:t>build forward better</w:t>
      </w:r>
      <w:r w:rsidR="00777B8B" w:rsidRPr="00547151">
        <w:rPr>
          <w:lang w:val="en-GB"/>
        </w:rPr>
        <w:t>’</w:t>
      </w:r>
      <w:r w:rsidRPr="009E6278">
        <w:rPr>
          <w:lang w:val="en-GB"/>
        </w:rPr>
        <w:t xml:space="preserve"> approach to enhance community resilience to future shocks and crises. In supporting disaster risk management, UNDP will partner with national</w:t>
      </w:r>
      <w:r w:rsidR="00E91915" w:rsidRPr="009E6278">
        <w:rPr>
          <w:lang w:val="en-GB"/>
        </w:rPr>
        <w:t xml:space="preserve"> and </w:t>
      </w:r>
      <w:r w:rsidR="00890821" w:rsidRPr="009E6278">
        <w:rPr>
          <w:lang w:val="en-GB"/>
        </w:rPr>
        <w:t>s</w:t>
      </w:r>
      <w:r w:rsidR="00D943E6" w:rsidRPr="009E6278">
        <w:rPr>
          <w:lang w:val="en-GB"/>
        </w:rPr>
        <w:t>u</w:t>
      </w:r>
      <w:r w:rsidR="00890821" w:rsidRPr="009E6278">
        <w:rPr>
          <w:lang w:val="en-GB"/>
        </w:rPr>
        <w:t>bnational</w:t>
      </w:r>
      <w:r w:rsidRPr="009E6278">
        <w:rPr>
          <w:lang w:val="en-GB"/>
        </w:rPr>
        <w:t xml:space="preserve"> institutions</w:t>
      </w:r>
      <w:r w:rsidR="00777B8B" w:rsidRPr="00547151">
        <w:rPr>
          <w:lang w:val="en-GB"/>
        </w:rPr>
        <w:t>.</w:t>
      </w:r>
      <w:r w:rsidR="00540825" w:rsidRPr="009E6278">
        <w:rPr>
          <w:rStyle w:val="FootnoteReference"/>
          <w:lang w:val="en-GB"/>
        </w:rPr>
        <w:footnoteReference w:id="32"/>
      </w:r>
      <w:bookmarkEnd w:id="2"/>
    </w:p>
    <w:p w14:paraId="2440D3F6" w14:textId="77777777" w:rsidR="004736BE" w:rsidRPr="009E6278" w:rsidRDefault="004736BE" w:rsidP="001E57CA">
      <w:pPr>
        <w:spacing w:line="240" w:lineRule="exact"/>
        <w:ind w:left="810" w:right="720"/>
        <w:jc w:val="both"/>
        <w:rPr>
          <w:color w:val="000000"/>
          <w:lang w:val="en-GB"/>
        </w:rPr>
      </w:pPr>
    </w:p>
    <w:p w14:paraId="2440D3F7" w14:textId="45F2780D" w:rsidR="0063402B" w:rsidRPr="009E6278" w:rsidRDefault="0063402B" w:rsidP="001E57CA">
      <w:pPr>
        <w:pStyle w:val="Heading1"/>
        <w:tabs>
          <w:tab w:val="left" w:pos="1800"/>
        </w:tabs>
        <w:spacing w:after="200" w:line="240" w:lineRule="exact"/>
        <w:ind w:left="810" w:right="720" w:hanging="450"/>
        <w:jc w:val="both"/>
        <w:rPr>
          <w:rFonts w:ascii="Times New Roman" w:hAnsi="Times New Roman"/>
          <w:color w:val="000000"/>
          <w:sz w:val="20"/>
          <w:lang w:val="en-GB"/>
        </w:rPr>
      </w:pPr>
      <w:r w:rsidRPr="009E6278">
        <w:rPr>
          <w:rFonts w:ascii="Times New Roman" w:hAnsi="Times New Roman"/>
          <w:color w:val="000000"/>
          <w:sz w:val="24"/>
          <w:szCs w:val="24"/>
          <w:lang w:val="en-GB"/>
        </w:rPr>
        <w:t xml:space="preserve">III. </w:t>
      </w:r>
      <w:r w:rsidR="005D4019" w:rsidRPr="009E6278">
        <w:rPr>
          <w:rFonts w:ascii="Times New Roman" w:hAnsi="Times New Roman"/>
          <w:color w:val="000000"/>
          <w:sz w:val="24"/>
          <w:szCs w:val="24"/>
          <w:lang w:val="en-GB"/>
        </w:rPr>
        <w:tab/>
      </w:r>
      <w:r w:rsidRPr="009E6278">
        <w:rPr>
          <w:rFonts w:ascii="Times New Roman" w:hAnsi="Times New Roman"/>
          <w:color w:val="000000"/>
          <w:sz w:val="24"/>
          <w:szCs w:val="24"/>
          <w:lang w:val="en-GB"/>
        </w:rPr>
        <w:t xml:space="preserve">Programme and </w:t>
      </w:r>
      <w:r w:rsidR="005D4019" w:rsidRPr="009E6278">
        <w:rPr>
          <w:rFonts w:ascii="Times New Roman" w:hAnsi="Times New Roman"/>
          <w:color w:val="000000"/>
          <w:sz w:val="24"/>
          <w:szCs w:val="24"/>
          <w:lang w:val="en-GB"/>
        </w:rPr>
        <w:t>r</w:t>
      </w:r>
      <w:r w:rsidRPr="009E6278">
        <w:rPr>
          <w:rFonts w:ascii="Times New Roman" w:hAnsi="Times New Roman"/>
          <w:color w:val="000000"/>
          <w:sz w:val="24"/>
          <w:szCs w:val="24"/>
          <w:lang w:val="en-GB"/>
        </w:rPr>
        <w:t>isk</w:t>
      </w:r>
      <w:r w:rsidR="00AC1BE7" w:rsidRPr="009E6278">
        <w:rPr>
          <w:rFonts w:ascii="Times New Roman" w:hAnsi="Times New Roman"/>
          <w:color w:val="000000"/>
          <w:sz w:val="24"/>
          <w:szCs w:val="24"/>
          <w:lang w:val="en-GB"/>
        </w:rPr>
        <w:t xml:space="preserve"> </w:t>
      </w:r>
      <w:r w:rsidR="001E57CA" w:rsidRPr="009E6278">
        <w:rPr>
          <w:rFonts w:ascii="Times New Roman" w:hAnsi="Times New Roman"/>
          <w:color w:val="000000"/>
          <w:sz w:val="24"/>
          <w:szCs w:val="24"/>
          <w:lang w:val="en-GB"/>
        </w:rPr>
        <w:t>m</w:t>
      </w:r>
      <w:r w:rsidR="001C6C08" w:rsidRPr="009E6278">
        <w:rPr>
          <w:rFonts w:ascii="Times New Roman" w:hAnsi="Times New Roman"/>
          <w:color w:val="000000"/>
          <w:sz w:val="24"/>
          <w:szCs w:val="24"/>
          <w:lang w:val="en-GB"/>
        </w:rPr>
        <w:t>anagement</w:t>
      </w:r>
      <w:r w:rsidRPr="009E6278">
        <w:rPr>
          <w:rFonts w:ascii="Times New Roman" w:hAnsi="Times New Roman"/>
          <w:color w:val="000000"/>
          <w:sz w:val="24"/>
          <w:szCs w:val="24"/>
          <w:lang w:val="en-GB"/>
        </w:rPr>
        <w:t xml:space="preserve"> </w:t>
      </w:r>
    </w:p>
    <w:p w14:paraId="217CD3B3" w14:textId="58BC187A" w:rsidR="00E31E4C" w:rsidRPr="009E6278" w:rsidRDefault="008042AA" w:rsidP="00143015">
      <w:pPr>
        <w:pStyle w:val="ListParagraph"/>
        <w:numPr>
          <w:ilvl w:val="0"/>
          <w:numId w:val="8"/>
        </w:numPr>
        <w:tabs>
          <w:tab w:val="left" w:pos="1170"/>
        </w:tabs>
        <w:spacing w:after="120" w:line="240" w:lineRule="exact"/>
        <w:ind w:left="810" w:right="720" w:firstLine="0"/>
        <w:jc w:val="both"/>
        <w:rPr>
          <w:color w:val="000000"/>
          <w:lang w:val="en-GB"/>
        </w:rPr>
      </w:pPr>
      <w:r w:rsidRPr="009E6278">
        <w:rPr>
          <w:lang w:val="en-GB"/>
        </w:rPr>
        <w:t xml:space="preserve">This </w:t>
      </w:r>
      <w:r w:rsidR="00777B8B" w:rsidRPr="00547151">
        <w:rPr>
          <w:lang w:val="en-GB"/>
        </w:rPr>
        <w:t>c</w:t>
      </w:r>
      <w:r w:rsidRPr="009E6278">
        <w:rPr>
          <w:lang w:val="en-GB"/>
        </w:rPr>
        <w:t xml:space="preserve">ountry </w:t>
      </w:r>
      <w:r w:rsidR="00777B8B" w:rsidRPr="00547151">
        <w:rPr>
          <w:color w:val="000000"/>
          <w:lang w:val="en-GB"/>
        </w:rPr>
        <w:t>p</w:t>
      </w:r>
      <w:r w:rsidR="00362F3D" w:rsidRPr="009E6278">
        <w:rPr>
          <w:color w:val="000000"/>
          <w:lang w:val="en-GB"/>
        </w:rPr>
        <w:t xml:space="preserve">rogramme </w:t>
      </w:r>
      <w:r w:rsidR="00E31E4C" w:rsidRPr="009E6278">
        <w:rPr>
          <w:color w:val="000000"/>
          <w:lang w:val="en-GB"/>
        </w:rPr>
        <w:t xml:space="preserve">outlines UNDP contributions to national results and serves as the primary unit of accountability to the Executive Board for results alignment and resources assigned to the programme at </w:t>
      </w:r>
      <w:r w:rsidR="00726CDE" w:rsidRPr="00547151">
        <w:rPr>
          <w:color w:val="000000"/>
          <w:lang w:val="en-GB"/>
        </w:rPr>
        <w:t xml:space="preserve">the </w:t>
      </w:r>
      <w:r w:rsidR="00E31E4C" w:rsidRPr="009E6278">
        <w:rPr>
          <w:color w:val="000000"/>
          <w:lang w:val="en-GB"/>
        </w:rPr>
        <w:t>country level. Accountabilities of managers at the country, regional and headquarter</w:t>
      </w:r>
      <w:r w:rsidR="00726CDE" w:rsidRPr="00547151">
        <w:rPr>
          <w:color w:val="000000"/>
          <w:lang w:val="en-GB"/>
        </w:rPr>
        <w:t>s</w:t>
      </w:r>
      <w:r w:rsidR="00E31E4C" w:rsidRPr="009E6278">
        <w:rPr>
          <w:color w:val="000000"/>
          <w:lang w:val="en-GB"/>
        </w:rPr>
        <w:t xml:space="preserve"> levels with respect to </w:t>
      </w:r>
      <w:r w:rsidR="00726CDE" w:rsidRPr="00547151">
        <w:rPr>
          <w:color w:val="000000"/>
          <w:lang w:val="en-GB"/>
        </w:rPr>
        <w:t>c</w:t>
      </w:r>
      <w:r w:rsidR="00E31E4C" w:rsidRPr="009E6278">
        <w:rPr>
          <w:color w:val="000000"/>
          <w:lang w:val="en-GB"/>
        </w:rPr>
        <w:t xml:space="preserve">ountry </w:t>
      </w:r>
      <w:r w:rsidR="00726CDE" w:rsidRPr="00547151">
        <w:rPr>
          <w:color w:val="000000"/>
          <w:lang w:val="en-GB"/>
        </w:rPr>
        <w:t>p</w:t>
      </w:r>
      <w:r w:rsidR="00E31E4C" w:rsidRPr="009E6278">
        <w:rPr>
          <w:color w:val="000000"/>
          <w:lang w:val="en-GB"/>
        </w:rPr>
        <w:t xml:space="preserve">rogrammes </w:t>
      </w:r>
      <w:r w:rsidR="00692A78" w:rsidRPr="00547151">
        <w:rPr>
          <w:color w:val="000000"/>
          <w:lang w:val="en-GB"/>
        </w:rPr>
        <w:t>are</w:t>
      </w:r>
      <w:r w:rsidR="00692A78" w:rsidRPr="009E6278">
        <w:rPr>
          <w:color w:val="000000"/>
          <w:lang w:val="en-GB"/>
        </w:rPr>
        <w:t xml:space="preserve"> </w:t>
      </w:r>
      <w:r w:rsidR="00E31E4C" w:rsidRPr="009E6278">
        <w:rPr>
          <w:color w:val="000000"/>
          <w:lang w:val="en-GB"/>
        </w:rPr>
        <w:t xml:space="preserve">prescribed in the </w:t>
      </w:r>
      <w:r w:rsidR="00726CDE" w:rsidRPr="00547151">
        <w:rPr>
          <w:color w:val="000000"/>
          <w:lang w:val="en-GB"/>
        </w:rPr>
        <w:t>programme and operations policies and procedures and the internal control framework.</w:t>
      </w:r>
    </w:p>
    <w:p w14:paraId="623EE391" w14:textId="157758FA" w:rsidR="00E31E4C" w:rsidRPr="009E6278" w:rsidRDefault="00E31E4C" w:rsidP="00143015">
      <w:pPr>
        <w:pStyle w:val="ListParagraph"/>
        <w:numPr>
          <w:ilvl w:val="0"/>
          <w:numId w:val="8"/>
        </w:numPr>
        <w:tabs>
          <w:tab w:val="left" w:pos="1170"/>
        </w:tabs>
        <w:spacing w:after="120" w:line="240" w:lineRule="exact"/>
        <w:ind w:left="810" w:right="720" w:firstLine="0"/>
        <w:jc w:val="both"/>
        <w:rPr>
          <w:color w:val="000000"/>
          <w:lang w:val="en-GB"/>
        </w:rPr>
      </w:pPr>
      <w:r w:rsidRPr="009E6278">
        <w:rPr>
          <w:rStyle w:val="Hyperlink"/>
          <w:color w:val="auto"/>
          <w:lang w:val="en-GB"/>
        </w:rPr>
        <w:t xml:space="preserve">The programme </w:t>
      </w:r>
      <w:r w:rsidRPr="009E6278">
        <w:rPr>
          <w:lang w:val="en-GB"/>
        </w:rPr>
        <w:t xml:space="preserve">will be nationally executed. </w:t>
      </w:r>
      <w:r w:rsidR="00355954" w:rsidRPr="009E6278">
        <w:rPr>
          <w:lang w:val="en-GB"/>
        </w:rPr>
        <w:t xml:space="preserve">To mitigate risks in project </w:t>
      </w:r>
      <w:r w:rsidR="003C1939" w:rsidRPr="009E6278">
        <w:rPr>
          <w:lang w:val="en-GB"/>
        </w:rPr>
        <w:t>m</w:t>
      </w:r>
      <w:r w:rsidR="00355954" w:rsidRPr="009E6278">
        <w:rPr>
          <w:lang w:val="en-GB"/>
        </w:rPr>
        <w:t>anagement</w:t>
      </w:r>
      <w:r w:rsidR="003C1939" w:rsidRPr="009E6278">
        <w:rPr>
          <w:lang w:val="en-GB"/>
        </w:rPr>
        <w:t xml:space="preserve">, </w:t>
      </w:r>
      <w:r w:rsidR="00355954" w:rsidRPr="009E6278">
        <w:rPr>
          <w:lang w:val="en-GB"/>
        </w:rPr>
        <w:t xml:space="preserve">UNDP will strengthen </w:t>
      </w:r>
      <w:r w:rsidR="006F313F" w:rsidRPr="009E6278">
        <w:rPr>
          <w:lang w:val="en-GB"/>
        </w:rPr>
        <w:t xml:space="preserve">capacities </w:t>
      </w:r>
      <w:r w:rsidR="00355954" w:rsidRPr="009E6278">
        <w:rPr>
          <w:lang w:val="en-GB"/>
        </w:rPr>
        <w:t xml:space="preserve">internally and </w:t>
      </w:r>
      <w:r w:rsidR="006F313F" w:rsidRPr="009E6278">
        <w:rPr>
          <w:lang w:val="en-GB"/>
        </w:rPr>
        <w:t>prioriti</w:t>
      </w:r>
      <w:r w:rsidR="00726CDE" w:rsidRPr="00547151">
        <w:rPr>
          <w:lang w:val="en-GB"/>
        </w:rPr>
        <w:t>z</w:t>
      </w:r>
      <w:r w:rsidR="006F313F" w:rsidRPr="009E6278">
        <w:rPr>
          <w:lang w:val="en-GB"/>
        </w:rPr>
        <w:t xml:space="preserve">e related accountability and </w:t>
      </w:r>
      <w:r w:rsidR="00DC628D" w:rsidRPr="009E6278">
        <w:rPr>
          <w:lang w:val="en-GB"/>
        </w:rPr>
        <w:t xml:space="preserve">training for </w:t>
      </w:r>
      <w:r w:rsidR="001F0B7E" w:rsidRPr="009E6278">
        <w:rPr>
          <w:lang w:val="en-GB"/>
        </w:rPr>
        <w:t>implementing partners</w:t>
      </w:r>
      <w:r w:rsidR="00375327" w:rsidRPr="009E6278">
        <w:rPr>
          <w:lang w:val="en-GB"/>
        </w:rPr>
        <w:t xml:space="preserve">. </w:t>
      </w:r>
      <w:r w:rsidRPr="009E6278">
        <w:rPr>
          <w:lang w:val="en-GB"/>
        </w:rPr>
        <w:t xml:space="preserve">If necessary, national execution may be replaced by direct execution for part or all of the programme to enable response to force majeure. </w:t>
      </w:r>
      <w:r w:rsidR="00726CDE" w:rsidRPr="00547151">
        <w:rPr>
          <w:lang w:val="en-GB"/>
        </w:rPr>
        <w:t xml:space="preserve">The </w:t>
      </w:r>
      <w:r w:rsidRPr="009E6278">
        <w:rPr>
          <w:lang w:val="en-GB"/>
        </w:rPr>
        <w:t>Harmoni</w:t>
      </w:r>
      <w:r w:rsidR="00726CDE" w:rsidRPr="00547151">
        <w:rPr>
          <w:lang w:val="en-GB"/>
        </w:rPr>
        <w:t>z</w:t>
      </w:r>
      <w:r w:rsidRPr="009E6278">
        <w:rPr>
          <w:lang w:val="en-GB"/>
        </w:rPr>
        <w:t>ed Approach to Cash Transfers will be used in a coordinated fashion with other U</w:t>
      </w:r>
      <w:r w:rsidR="00726CDE" w:rsidRPr="00547151">
        <w:rPr>
          <w:lang w:val="en-GB"/>
        </w:rPr>
        <w:t>nited Nations organizations</w:t>
      </w:r>
      <w:r w:rsidRPr="009E6278">
        <w:rPr>
          <w:lang w:val="en-GB"/>
        </w:rPr>
        <w:t xml:space="preserve"> to manage financial risks. </w:t>
      </w:r>
      <w:r w:rsidRPr="009E6278">
        <w:rPr>
          <w:iCs/>
          <w:lang w:val="en-GB"/>
        </w:rPr>
        <w:t>Cost definitions and classifications for programme and development effectiveness will be charged to the concerned projects.</w:t>
      </w:r>
    </w:p>
    <w:p w14:paraId="1E4163A1" w14:textId="39108BCA" w:rsidR="00D537BD" w:rsidRPr="009E6278" w:rsidRDefault="00E31E4C" w:rsidP="00143015">
      <w:pPr>
        <w:pStyle w:val="ListParagraph"/>
        <w:numPr>
          <w:ilvl w:val="0"/>
          <w:numId w:val="8"/>
        </w:numPr>
        <w:tabs>
          <w:tab w:val="left" w:pos="1170"/>
        </w:tabs>
        <w:spacing w:after="120" w:line="240" w:lineRule="exact"/>
        <w:ind w:left="810" w:right="720" w:firstLine="0"/>
        <w:jc w:val="both"/>
        <w:rPr>
          <w:rStyle w:val="normaltextrun"/>
          <w:lang w:val="en-GB"/>
        </w:rPr>
      </w:pPr>
      <w:r w:rsidRPr="009E6278">
        <w:rPr>
          <w:rStyle w:val="normaltextrun"/>
          <w:color w:val="000000" w:themeColor="text1"/>
          <w:lang w:val="en-GB"/>
        </w:rPr>
        <w:t xml:space="preserve">To mitigate any social or environmental risks, </w:t>
      </w:r>
      <w:r w:rsidR="006652F7" w:rsidRPr="009E6278">
        <w:rPr>
          <w:rStyle w:val="normaltextrun"/>
          <w:color w:val="000000" w:themeColor="text1"/>
          <w:lang w:val="en-GB"/>
        </w:rPr>
        <w:t>UNDP</w:t>
      </w:r>
      <w:r w:rsidRPr="009E6278">
        <w:rPr>
          <w:rStyle w:val="normaltextrun"/>
          <w:color w:val="000000" w:themeColor="text1"/>
          <w:lang w:val="en-GB"/>
        </w:rPr>
        <w:t xml:space="preserve"> will apply its standards</w:t>
      </w:r>
      <w:r w:rsidR="00726CDE" w:rsidRPr="00547151">
        <w:rPr>
          <w:rStyle w:val="normaltextrun"/>
          <w:color w:val="000000" w:themeColor="text1"/>
          <w:lang w:val="en-GB"/>
        </w:rPr>
        <w:t>,</w:t>
      </w:r>
      <w:r w:rsidRPr="009E6278">
        <w:rPr>
          <w:rStyle w:val="normaltextrun"/>
          <w:color w:val="000000" w:themeColor="text1"/>
          <w:lang w:val="en-GB"/>
        </w:rPr>
        <w:t xml:space="preserve"> accountability mechanisms and agility in its programme management. </w:t>
      </w:r>
      <w:r w:rsidR="00D943E6" w:rsidRPr="009E6278">
        <w:rPr>
          <w:rStyle w:val="normaltextrun"/>
          <w:color w:val="000000" w:themeColor="text1"/>
          <w:lang w:val="en-GB"/>
        </w:rPr>
        <w:t>UNDP</w:t>
      </w:r>
      <w:r w:rsidRPr="009E6278">
        <w:rPr>
          <w:rStyle w:val="normaltextrun"/>
          <w:color w:val="000000" w:themeColor="text1"/>
          <w:lang w:val="en-GB"/>
        </w:rPr>
        <w:t xml:space="preserve"> will seek to better anticipate shocks and promote resilience through early</w:t>
      </w:r>
      <w:r w:rsidR="00692A78" w:rsidRPr="00547151">
        <w:rPr>
          <w:rStyle w:val="normaltextrun"/>
          <w:color w:val="000000" w:themeColor="text1"/>
          <w:lang w:val="en-GB"/>
        </w:rPr>
        <w:t>-</w:t>
      </w:r>
      <w:r w:rsidRPr="009E6278">
        <w:rPr>
          <w:rStyle w:val="normaltextrun"/>
          <w:color w:val="000000" w:themeColor="text1"/>
          <w:lang w:val="en-GB"/>
        </w:rPr>
        <w:t>warning systems, collaboration with key stakeholders</w:t>
      </w:r>
      <w:r w:rsidR="00726CDE" w:rsidRPr="00547151">
        <w:rPr>
          <w:rStyle w:val="normaltextrun"/>
          <w:color w:val="000000" w:themeColor="text1"/>
          <w:lang w:val="en-GB"/>
        </w:rPr>
        <w:t>,</w:t>
      </w:r>
      <w:r w:rsidRPr="009E6278">
        <w:rPr>
          <w:rStyle w:val="normaltextrun"/>
          <w:color w:val="000000" w:themeColor="text1"/>
          <w:lang w:val="en-GB"/>
        </w:rPr>
        <w:t xml:space="preserve"> and targeted risk and gender</w:t>
      </w:r>
      <w:r w:rsidR="00726CDE" w:rsidRPr="00547151">
        <w:rPr>
          <w:rStyle w:val="normaltextrun"/>
          <w:color w:val="000000" w:themeColor="text1"/>
          <w:lang w:val="en-GB"/>
        </w:rPr>
        <w:t>-</w:t>
      </w:r>
      <w:r w:rsidRPr="009E6278">
        <w:rPr>
          <w:rStyle w:val="normaltextrun"/>
          <w:color w:val="000000" w:themeColor="text1"/>
          <w:lang w:val="en-GB"/>
        </w:rPr>
        <w:t>sensitive analysis. Th</w:t>
      </w:r>
      <w:r w:rsidR="00726CDE" w:rsidRPr="00547151">
        <w:rPr>
          <w:rStyle w:val="normaltextrun"/>
          <w:color w:val="000000" w:themeColor="text1"/>
          <w:lang w:val="en-GB"/>
        </w:rPr>
        <w:t>ese</w:t>
      </w:r>
      <w:r w:rsidRPr="009E6278">
        <w:rPr>
          <w:rStyle w:val="normaltextrun"/>
          <w:color w:val="000000" w:themeColor="text1"/>
          <w:lang w:val="en-GB"/>
        </w:rPr>
        <w:t xml:space="preserve"> will be integrated into the formulation and implementation of all projects</w:t>
      </w:r>
      <w:r w:rsidR="00726CDE" w:rsidRPr="00547151">
        <w:rPr>
          <w:rStyle w:val="normaltextrun"/>
          <w:color w:val="000000" w:themeColor="text1"/>
          <w:lang w:val="en-GB"/>
        </w:rPr>
        <w:t>,</w:t>
      </w:r>
      <w:r w:rsidRPr="009E6278">
        <w:rPr>
          <w:rStyle w:val="normaltextrun"/>
          <w:color w:val="000000" w:themeColor="text1"/>
          <w:lang w:val="en-GB"/>
        </w:rPr>
        <w:t xml:space="preserve"> including leveraging tools such as the </w:t>
      </w:r>
      <w:r w:rsidR="00726CDE" w:rsidRPr="00547151">
        <w:rPr>
          <w:rStyle w:val="normaltextrun"/>
          <w:color w:val="000000" w:themeColor="text1"/>
          <w:lang w:val="en-GB"/>
        </w:rPr>
        <w:t>g</w:t>
      </w:r>
      <w:r w:rsidR="00F74F87" w:rsidRPr="009E6278">
        <w:rPr>
          <w:rStyle w:val="normaltextrun"/>
          <w:color w:val="000000" w:themeColor="text1"/>
          <w:lang w:val="en-GB"/>
        </w:rPr>
        <w:t>end</w:t>
      </w:r>
      <w:r w:rsidR="00343B72" w:rsidRPr="009E6278">
        <w:rPr>
          <w:rStyle w:val="normaltextrun"/>
          <w:color w:val="000000" w:themeColor="text1"/>
          <w:lang w:val="en-GB"/>
        </w:rPr>
        <w:t>e</w:t>
      </w:r>
      <w:r w:rsidR="00F74F87" w:rsidRPr="009E6278">
        <w:rPr>
          <w:rStyle w:val="normaltextrun"/>
          <w:color w:val="000000" w:themeColor="text1"/>
          <w:lang w:val="en-GB"/>
        </w:rPr>
        <w:t xml:space="preserve">r </w:t>
      </w:r>
      <w:r w:rsidR="00726CDE" w:rsidRPr="00547151">
        <w:rPr>
          <w:rStyle w:val="normaltextrun"/>
          <w:color w:val="000000" w:themeColor="text1"/>
          <w:lang w:val="en-GB"/>
        </w:rPr>
        <w:t>m</w:t>
      </w:r>
      <w:r w:rsidR="00F74F87" w:rsidRPr="009E6278">
        <w:rPr>
          <w:rStyle w:val="normaltextrun"/>
          <w:color w:val="000000" w:themeColor="text1"/>
          <w:lang w:val="en-GB"/>
        </w:rPr>
        <w:t xml:space="preserve">arker </w:t>
      </w:r>
      <w:r w:rsidR="00343B72" w:rsidRPr="009E6278">
        <w:rPr>
          <w:rStyle w:val="normaltextrun"/>
          <w:color w:val="000000" w:themeColor="text1"/>
          <w:lang w:val="en-GB"/>
        </w:rPr>
        <w:t>to track gender and women’s empowerment</w:t>
      </w:r>
      <w:r w:rsidR="00726CDE" w:rsidRPr="00547151">
        <w:rPr>
          <w:rStyle w:val="normaltextrun"/>
          <w:color w:val="000000" w:themeColor="text1"/>
          <w:lang w:val="en-GB"/>
        </w:rPr>
        <w:t>;</w:t>
      </w:r>
      <w:r w:rsidR="00827002" w:rsidRPr="009E6278">
        <w:rPr>
          <w:rStyle w:val="normaltextrun"/>
          <w:color w:val="000000" w:themeColor="text1"/>
          <w:lang w:val="en-GB"/>
        </w:rPr>
        <w:t xml:space="preserve"> </w:t>
      </w:r>
      <w:r w:rsidR="00343B72" w:rsidRPr="009E6278">
        <w:rPr>
          <w:rStyle w:val="normaltextrun"/>
          <w:color w:val="000000" w:themeColor="text1"/>
          <w:lang w:val="en-GB"/>
        </w:rPr>
        <w:t xml:space="preserve">the </w:t>
      </w:r>
      <w:r w:rsidRPr="009E6278">
        <w:rPr>
          <w:rStyle w:val="normaltextrun"/>
          <w:color w:val="000000" w:themeColor="text1"/>
          <w:lang w:val="en-GB"/>
        </w:rPr>
        <w:t>crisis risk dashboard</w:t>
      </w:r>
      <w:r w:rsidR="00827002" w:rsidRPr="009E6278">
        <w:rPr>
          <w:rStyle w:val="normaltextrun"/>
          <w:color w:val="000000" w:themeColor="text1"/>
          <w:lang w:val="en-GB"/>
        </w:rPr>
        <w:t xml:space="preserve"> to monitor and mitigate risk</w:t>
      </w:r>
      <w:r w:rsidR="00726CDE" w:rsidRPr="00547151">
        <w:rPr>
          <w:rStyle w:val="normaltextrun"/>
          <w:color w:val="000000" w:themeColor="text1"/>
          <w:lang w:val="en-GB"/>
        </w:rPr>
        <w:t>;</w:t>
      </w:r>
      <w:r w:rsidR="00A011F2" w:rsidRPr="009E6278">
        <w:rPr>
          <w:rStyle w:val="normaltextrun"/>
          <w:color w:val="000000" w:themeColor="text1"/>
          <w:lang w:val="en-GB"/>
        </w:rPr>
        <w:t xml:space="preserve"> and the ongoing process of Gender Seal certification</w:t>
      </w:r>
      <w:r w:rsidR="005E3601" w:rsidRPr="009E6278">
        <w:rPr>
          <w:rStyle w:val="normaltextrun"/>
          <w:color w:val="000000" w:themeColor="text1"/>
          <w:lang w:val="en-GB"/>
        </w:rPr>
        <w:t>.</w:t>
      </w:r>
      <w:r w:rsidR="00A011F2" w:rsidRPr="009E6278">
        <w:rPr>
          <w:rStyle w:val="normaltextrun"/>
          <w:color w:val="000000" w:themeColor="text1"/>
          <w:lang w:val="en-GB"/>
        </w:rPr>
        <w:t xml:space="preserve"> </w:t>
      </w:r>
    </w:p>
    <w:p w14:paraId="04B4EE11" w14:textId="44B0EDEA" w:rsidR="00E31E4C" w:rsidRPr="00547151" w:rsidRDefault="00E31E4C" w:rsidP="00143015">
      <w:pPr>
        <w:pStyle w:val="ListParagraph"/>
        <w:numPr>
          <w:ilvl w:val="0"/>
          <w:numId w:val="8"/>
        </w:numPr>
        <w:tabs>
          <w:tab w:val="left" w:pos="1170"/>
        </w:tabs>
        <w:spacing w:after="120" w:line="240" w:lineRule="exact"/>
        <w:ind w:left="810" w:right="720" w:firstLine="0"/>
        <w:jc w:val="both"/>
        <w:rPr>
          <w:lang w:val="en-GB"/>
        </w:rPr>
      </w:pPr>
      <w:r w:rsidRPr="009E6278">
        <w:rPr>
          <w:lang w:val="en-GB"/>
        </w:rPr>
        <w:t>Kenya will hold general elections in August 2022</w:t>
      </w:r>
      <w:r w:rsidR="00726CDE" w:rsidRPr="00547151">
        <w:rPr>
          <w:lang w:val="en-GB"/>
        </w:rPr>
        <w:t>,</w:t>
      </w:r>
      <w:r w:rsidRPr="009E6278">
        <w:rPr>
          <w:lang w:val="en-GB"/>
        </w:rPr>
        <w:t xml:space="preserve"> which could delay programme implementation and </w:t>
      </w:r>
      <w:r w:rsidR="00D943E6" w:rsidRPr="009E6278">
        <w:rPr>
          <w:lang w:val="en-GB"/>
        </w:rPr>
        <w:t xml:space="preserve">threaten </w:t>
      </w:r>
      <w:r w:rsidRPr="009E6278">
        <w:rPr>
          <w:lang w:val="en-GB"/>
        </w:rPr>
        <w:t>development gains</w:t>
      </w:r>
      <w:r w:rsidR="005E3601" w:rsidRPr="009E6278">
        <w:rPr>
          <w:lang w:val="en-GB"/>
        </w:rPr>
        <w:t>.</w:t>
      </w:r>
      <w:r w:rsidRPr="009E6278">
        <w:rPr>
          <w:b/>
          <w:bCs/>
          <w:lang w:val="en-GB"/>
        </w:rPr>
        <w:t xml:space="preserve"> </w:t>
      </w:r>
      <w:r w:rsidR="00D943E6" w:rsidRPr="009E6278">
        <w:rPr>
          <w:lang w:val="en-GB"/>
        </w:rPr>
        <w:t>UNDP</w:t>
      </w:r>
      <w:r w:rsidRPr="009E6278">
        <w:rPr>
          <w:lang w:val="en-GB"/>
        </w:rPr>
        <w:t xml:space="preserve"> will continue invest</w:t>
      </w:r>
      <w:r w:rsidR="00692A78" w:rsidRPr="00547151">
        <w:rPr>
          <w:lang w:val="en-GB"/>
        </w:rPr>
        <w:t>ing</w:t>
      </w:r>
      <w:r w:rsidRPr="009E6278">
        <w:rPr>
          <w:lang w:val="en-GB"/>
        </w:rPr>
        <w:t xml:space="preserve"> </w:t>
      </w:r>
      <w:r w:rsidRPr="009E6278">
        <w:rPr>
          <w:rStyle w:val="normaltextrun"/>
          <w:color w:val="000000" w:themeColor="text1"/>
          <w:lang w:val="en-GB"/>
        </w:rPr>
        <w:t>to better equip national</w:t>
      </w:r>
      <w:r w:rsidR="00E773F8" w:rsidRPr="00547151">
        <w:rPr>
          <w:rStyle w:val="normaltextrun"/>
          <w:color w:val="000000" w:themeColor="text1"/>
          <w:lang w:val="en-GB"/>
        </w:rPr>
        <w:t xml:space="preserve"> </w:t>
      </w:r>
      <w:r w:rsidRPr="009E6278">
        <w:rPr>
          <w:rStyle w:val="normaltextrun"/>
          <w:color w:val="000000" w:themeColor="text1"/>
          <w:lang w:val="en-GB"/>
        </w:rPr>
        <w:t>stakeholders</w:t>
      </w:r>
      <w:r w:rsidR="00E773F8" w:rsidRPr="00547151">
        <w:rPr>
          <w:rStyle w:val="normaltextrun"/>
          <w:color w:val="000000" w:themeColor="text1"/>
          <w:lang w:val="en-GB"/>
        </w:rPr>
        <w:t xml:space="preserve"> </w:t>
      </w:r>
      <w:r w:rsidRPr="009E6278">
        <w:rPr>
          <w:rStyle w:val="normaltextrun"/>
          <w:color w:val="000000" w:themeColor="text1"/>
          <w:lang w:val="en-GB"/>
        </w:rPr>
        <w:t>with</w:t>
      </w:r>
      <w:r w:rsidR="00E773F8" w:rsidRPr="00547151">
        <w:rPr>
          <w:rStyle w:val="normaltextrun"/>
          <w:color w:val="000000" w:themeColor="text1"/>
          <w:lang w:val="en-GB"/>
        </w:rPr>
        <w:t xml:space="preserve"> </w:t>
      </w:r>
      <w:r w:rsidRPr="009E6278">
        <w:rPr>
          <w:rStyle w:val="normaltextrun"/>
          <w:color w:val="000000" w:themeColor="text1"/>
          <w:lang w:val="en-GB"/>
        </w:rPr>
        <w:t>inclusive,</w:t>
      </w:r>
      <w:r w:rsidR="00E773F8" w:rsidRPr="00547151">
        <w:rPr>
          <w:rStyle w:val="normaltextrun"/>
          <w:color w:val="000000" w:themeColor="text1"/>
          <w:lang w:val="en-GB"/>
        </w:rPr>
        <w:t xml:space="preserve"> </w:t>
      </w:r>
      <w:r w:rsidRPr="009E6278">
        <w:rPr>
          <w:rStyle w:val="normaltextrun"/>
          <w:color w:val="000000" w:themeColor="text1"/>
          <w:lang w:val="en-GB"/>
        </w:rPr>
        <w:t>innovative</w:t>
      </w:r>
      <w:r w:rsidR="00095CD9" w:rsidRPr="009E6278">
        <w:rPr>
          <w:rStyle w:val="normaltextrun"/>
          <w:color w:val="000000" w:themeColor="text1"/>
          <w:lang w:val="en-GB"/>
        </w:rPr>
        <w:t xml:space="preserve"> </w:t>
      </w:r>
      <w:r w:rsidRPr="009E6278">
        <w:rPr>
          <w:rStyle w:val="normaltextrun"/>
          <w:color w:val="000000" w:themeColor="text1"/>
          <w:lang w:val="en-GB"/>
        </w:rPr>
        <w:t>and</w:t>
      </w:r>
      <w:r w:rsidR="00E773F8" w:rsidRPr="00547151">
        <w:rPr>
          <w:rStyle w:val="normaltextrun"/>
          <w:color w:val="000000" w:themeColor="text1"/>
          <w:lang w:val="en-GB"/>
        </w:rPr>
        <w:t xml:space="preserve"> </w:t>
      </w:r>
      <w:r w:rsidRPr="009E6278">
        <w:rPr>
          <w:rStyle w:val="normaltextrun"/>
          <w:color w:val="000000" w:themeColor="text1"/>
          <w:lang w:val="en-GB"/>
        </w:rPr>
        <w:t>gender-sensitive</w:t>
      </w:r>
      <w:r w:rsidR="00E773F8" w:rsidRPr="00547151">
        <w:rPr>
          <w:rStyle w:val="normaltextrun"/>
          <w:color w:val="000000" w:themeColor="text1"/>
          <w:lang w:val="en-GB"/>
        </w:rPr>
        <w:t xml:space="preserve"> </w:t>
      </w:r>
      <w:r w:rsidRPr="009E6278">
        <w:rPr>
          <w:rStyle w:val="normaltextrun"/>
          <w:color w:val="000000" w:themeColor="text1"/>
          <w:lang w:val="en-GB"/>
        </w:rPr>
        <w:t>tools to inform and support early</w:t>
      </w:r>
      <w:r w:rsidR="00692A78" w:rsidRPr="00547151">
        <w:rPr>
          <w:rStyle w:val="normaltextrun"/>
          <w:color w:val="000000" w:themeColor="text1"/>
          <w:lang w:val="en-GB"/>
        </w:rPr>
        <w:t>-</w:t>
      </w:r>
      <w:r w:rsidRPr="009E6278">
        <w:rPr>
          <w:rStyle w:val="normaltextrun"/>
          <w:color w:val="000000" w:themeColor="text1"/>
          <w:lang w:val="en-GB"/>
        </w:rPr>
        <w:t xml:space="preserve">warning systems and prevention responses </w:t>
      </w:r>
      <w:r w:rsidR="00E773F8" w:rsidRPr="00547151">
        <w:rPr>
          <w:rStyle w:val="normaltextrun"/>
          <w:color w:val="000000" w:themeColor="text1"/>
          <w:lang w:val="en-GB"/>
        </w:rPr>
        <w:t>before</w:t>
      </w:r>
      <w:r w:rsidRPr="009E6278">
        <w:rPr>
          <w:rStyle w:val="normaltextrun"/>
          <w:color w:val="000000" w:themeColor="text1"/>
          <w:lang w:val="en-GB"/>
        </w:rPr>
        <w:t>, during and after the electoral period</w:t>
      </w:r>
      <w:r w:rsidR="00DC4EC3" w:rsidRPr="009E6278">
        <w:rPr>
          <w:rStyle w:val="normaltextrun"/>
          <w:color w:val="000000" w:themeColor="text1"/>
          <w:lang w:val="en-GB"/>
        </w:rPr>
        <w:t>.</w:t>
      </w:r>
      <w:r w:rsidRPr="009E6278">
        <w:rPr>
          <w:rStyle w:val="normaltextrun"/>
          <w:color w:val="000000" w:themeColor="text1"/>
          <w:lang w:val="en-GB"/>
        </w:rPr>
        <w:t xml:space="preserve"> </w:t>
      </w:r>
      <w:r w:rsidR="00D943E6" w:rsidRPr="00547151">
        <w:rPr>
          <w:lang w:val="en-GB"/>
        </w:rPr>
        <w:lastRenderedPageBreak/>
        <w:t>UNDP</w:t>
      </w:r>
      <w:r w:rsidRPr="00547151">
        <w:rPr>
          <w:lang w:val="en-GB"/>
        </w:rPr>
        <w:t xml:space="preserve"> will continue to support democracy and human rights by leveraging past engagement with non-state actors and the diverse media and social media landscape, which is a key channel for public debate on issues of governance, transparency and accountability. </w:t>
      </w:r>
    </w:p>
    <w:p w14:paraId="2440D408" w14:textId="56A7F731" w:rsidR="002A7363" w:rsidRPr="00547151" w:rsidRDefault="00E31E4C" w:rsidP="00143015">
      <w:pPr>
        <w:pStyle w:val="ListParagraph"/>
        <w:numPr>
          <w:ilvl w:val="0"/>
          <w:numId w:val="8"/>
        </w:numPr>
        <w:tabs>
          <w:tab w:val="left" w:pos="1170"/>
        </w:tabs>
        <w:spacing w:line="240" w:lineRule="exact"/>
        <w:ind w:left="810" w:right="720" w:firstLine="0"/>
        <w:jc w:val="both"/>
        <w:rPr>
          <w:lang w:val="en-GB"/>
        </w:rPr>
      </w:pPr>
      <w:r w:rsidRPr="009E6278">
        <w:rPr>
          <w:rStyle w:val="normaltextrun"/>
          <w:color w:val="000000" w:themeColor="text1"/>
          <w:lang w:val="en-GB"/>
        </w:rPr>
        <w:t>In</w:t>
      </w:r>
      <w:r w:rsidR="00E773F8" w:rsidRPr="00547151">
        <w:rPr>
          <w:rStyle w:val="normaltextrun"/>
          <w:color w:val="000000" w:themeColor="text1"/>
          <w:lang w:val="en-GB"/>
        </w:rPr>
        <w:t xml:space="preserve"> </w:t>
      </w:r>
      <w:r w:rsidRPr="009E6278">
        <w:rPr>
          <w:rStyle w:val="normaltextrun"/>
          <w:color w:val="000000" w:themeColor="text1"/>
          <w:lang w:val="en-GB"/>
        </w:rPr>
        <w:t xml:space="preserve">line with recommendations from the </w:t>
      </w:r>
      <w:r w:rsidR="00D943E6" w:rsidRPr="009E6278">
        <w:rPr>
          <w:rStyle w:val="normaltextrun"/>
          <w:color w:val="000000" w:themeColor="text1"/>
          <w:lang w:val="en-GB"/>
        </w:rPr>
        <w:t>2021</w:t>
      </w:r>
      <w:r w:rsidR="00BD3BE0" w:rsidRPr="009E6278">
        <w:rPr>
          <w:rStyle w:val="normaltextrun"/>
          <w:color w:val="000000" w:themeColor="text1"/>
          <w:lang w:val="en-GB"/>
        </w:rPr>
        <w:t xml:space="preserve"> </w:t>
      </w:r>
      <w:r w:rsidRPr="009E6278">
        <w:rPr>
          <w:rStyle w:val="normaltextrun"/>
          <w:color w:val="000000" w:themeColor="text1"/>
          <w:lang w:val="en-GB"/>
        </w:rPr>
        <w:t>Management Audit</w:t>
      </w:r>
      <w:r w:rsidR="00394AEB" w:rsidRPr="009E6278">
        <w:rPr>
          <w:rStyle w:val="FootnoteReference"/>
          <w:color w:val="000000" w:themeColor="text1"/>
          <w:lang w:val="en-GB"/>
        </w:rPr>
        <w:footnoteReference w:id="33"/>
      </w:r>
      <w:r w:rsidRPr="009E6278">
        <w:rPr>
          <w:rStyle w:val="normaltextrun"/>
          <w:color w:val="000000" w:themeColor="text1"/>
          <w:lang w:val="en-GB"/>
        </w:rPr>
        <w:t xml:space="preserve"> and </w:t>
      </w:r>
      <w:r w:rsidR="009B26B3" w:rsidRPr="009E6278">
        <w:rPr>
          <w:rStyle w:val="normaltextrun"/>
          <w:color w:val="000000" w:themeColor="text1"/>
          <w:lang w:val="en-GB"/>
        </w:rPr>
        <w:t>the independent country programme evaluation</w:t>
      </w:r>
      <w:r w:rsidR="00BD3BE0" w:rsidRPr="00547151">
        <w:rPr>
          <w:rStyle w:val="normaltextrun"/>
          <w:lang w:val="en-GB"/>
        </w:rPr>
        <w:t xml:space="preserve">, </w:t>
      </w:r>
      <w:r w:rsidRPr="009E6278">
        <w:rPr>
          <w:rStyle w:val="normaltextrun"/>
          <w:color w:val="000000" w:themeColor="text1"/>
          <w:lang w:val="en-GB"/>
        </w:rPr>
        <w:t xml:space="preserve">risks related to resource mobilization will be managed through a realistic programming approach based on resource availability and a robust partnership and resource mobilization strategy. </w:t>
      </w:r>
      <w:r w:rsidR="00E35DFA" w:rsidRPr="009E6278">
        <w:rPr>
          <w:rStyle w:val="normaltextrun"/>
          <w:color w:val="000000" w:themeColor="text1"/>
          <w:lang w:val="en-GB"/>
        </w:rPr>
        <w:t xml:space="preserve">UNDP </w:t>
      </w:r>
      <w:r w:rsidRPr="009E6278">
        <w:rPr>
          <w:rStyle w:val="normaltextrun"/>
          <w:color w:val="000000" w:themeColor="text1"/>
          <w:lang w:val="en-GB"/>
        </w:rPr>
        <w:t xml:space="preserve">will make use of regional and </w:t>
      </w:r>
      <w:r w:rsidR="00442C65" w:rsidRPr="009E6278">
        <w:rPr>
          <w:rStyle w:val="normaltextrun"/>
          <w:color w:val="000000" w:themeColor="text1"/>
          <w:lang w:val="en-GB"/>
        </w:rPr>
        <w:t>global assets</w:t>
      </w:r>
      <w:r w:rsidRPr="009E6278">
        <w:rPr>
          <w:rStyle w:val="normaltextrun"/>
          <w:color w:val="000000" w:themeColor="text1"/>
          <w:lang w:val="en-GB"/>
        </w:rPr>
        <w:t xml:space="preserve"> and collaborate with the Government on joint resource mobilization efforts</w:t>
      </w:r>
      <w:r w:rsidR="00E773F8" w:rsidRPr="00547151">
        <w:rPr>
          <w:rStyle w:val="normaltextrun"/>
          <w:color w:val="000000" w:themeColor="text1"/>
          <w:lang w:val="en-GB"/>
        </w:rPr>
        <w:t>,</w:t>
      </w:r>
      <w:r w:rsidRPr="009E6278">
        <w:rPr>
          <w:rStyle w:val="normaltextrun"/>
          <w:color w:val="000000" w:themeColor="text1"/>
          <w:lang w:val="en-GB"/>
        </w:rPr>
        <w:t xml:space="preserve"> including government cost</w:t>
      </w:r>
      <w:r w:rsidR="00692A78" w:rsidRPr="00547151">
        <w:rPr>
          <w:rStyle w:val="normaltextrun"/>
          <w:color w:val="000000" w:themeColor="text1"/>
          <w:lang w:val="en-GB"/>
        </w:rPr>
        <w:t>-</w:t>
      </w:r>
      <w:r w:rsidRPr="009E6278">
        <w:rPr>
          <w:rStyle w:val="normaltextrun"/>
          <w:color w:val="000000" w:themeColor="text1"/>
          <w:lang w:val="en-GB"/>
        </w:rPr>
        <w:t>sharing and working with the private sector</w:t>
      </w:r>
      <w:r w:rsidR="00623C76" w:rsidRPr="009E6278">
        <w:rPr>
          <w:rStyle w:val="normaltextrun"/>
          <w:color w:val="000000" w:themeColor="text1"/>
          <w:lang w:val="en-GB"/>
        </w:rPr>
        <w:t xml:space="preserve"> </w:t>
      </w:r>
      <w:r w:rsidR="003F230A" w:rsidRPr="009E6278">
        <w:rPr>
          <w:rStyle w:val="normaltextrun"/>
          <w:color w:val="000000" w:themeColor="text1"/>
          <w:lang w:val="en-GB"/>
        </w:rPr>
        <w:t xml:space="preserve">to </w:t>
      </w:r>
      <w:r w:rsidR="00233656" w:rsidRPr="009E6278">
        <w:rPr>
          <w:rStyle w:val="normaltextrun"/>
          <w:color w:val="000000" w:themeColor="text1"/>
          <w:lang w:val="en-GB"/>
        </w:rPr>
        <w:t>maximize</w:t>
      </w:r>
      <w:r w:rsidR="003F230A" w:rsidRPr="009E6278">
        <w:rPr>
          <w:rStyle w:val="normaltextrun"/>
          <w:color w:val="000000" w:themeColor="text1"/>
          <w:lang w:val="en-GB"/>
        </w:rPr>
        <w:t xml:space="preserve"> benefits for targeted </w:t>
      </w:r>
      <w:r w:rsidR="00D96011" w:rsidRPr="009E6278">
        <w:rPr>
          <w:rStyle w:val="normaltextrun"/>
          <w:color w:val="000000" w:themeColor="text1"/>
          <w:lang w:val="en-GB"/>
        </w:rPr>
        <w:t>groups</w:t>
      </w:r>
      <w:r w:rsidRPr="009E6278">
        <w:rPr>
          <w:rStyle w:val="normaltextrun"/>
          <w:color w:val="000000" w:themeColor="text1"/>
          <w:lang w:val="en-GB"/>
        </w:rPr>
        <w:t>.</w:t>
      </w:r>
      <w:r w:rsidR="00CB0F31" w:rsidRPr="009E6278">
        <w:rPr>
          <w:rStyle w:val="normaltextrun"/>
          <w:color w:val="000000" w:themeColor="text1"/>
          <w:lang w:val="en-GB"/>
        </w:rPr>
        <w:t xml:space="preserve"> The award winning </w:t>
      </w:r>
      <w:r w:rsidR="00E773F8" w:rsidRPr="00547151">
        <w:rPr>
          <w:rStyle w:val="normaltextrun"/>
          <w:color w:val="000000" w:themeColor="text1"/>
          <w:lang w:val="en-GB"/>
        </w:rPr>
        <w:t>‘</w:t>
      </w:r>
      <w:r w:rsidR="00AA1F95" w:rsidRPr="009E6278">
        <w:rPr>
          <w:rStyle w:val="normaltextrun"/>
          <w:color w:val="000000" w:themeColor="text1"/>
          <w:lang w:val="en-GB"/>
        </w:rPr>
        <w:t>CO-RESET</w:t>
      </w:r>
      <w:r w:rsidR="00E773F8" w:rsidRPr="00547151">
        <w:rPr>
          <w:rStyle w:val="normaltextrun"/>
          <w:color w:val="000000" w:themeColor="text1"/>
          <w:lang w:val="en-GB"/>
        </w:rPr>
        <w:t>’</w:t>
      </w:r>
      <w:r w:rsidR="00DF60C7" w:rsidRPr="009E6278">
        <w:rPr>
          <w:rStyle w:val="FootnoteReference"/>
          <w:color w:val="000000" w:themeColor="text1"/>
          <w:lang w:val="en-GB"/>
        </w:rPr>
        <w:footnoteReference w:id="34"/>
      </w:r>
      <w:r w:rsidR="00AA1F95" w:rsidRPr="009E6278">
        <w:rPr>
          <w:rStyle w:val="normaltextrun"/>
          <w:color w:val="000000" w:themeColor="text1"/>
          <w:lang w:val="en-GB"/>
        </w:rPr>
        <w:t xml:space="preserve"> framework </w:t>
      </w:r>
      <w:r w:rsidR="00E773F8" w:rsidRPr="00547151">
        <w:rPr>
          <w:rStyle w:val="normaltextrun"/>
          <w:color w:val="000000" w:themeColor="text1"/>
          <w:lang w:val="en-GB"/>
        </w:rPr>
        <w:t xml:space="preserve">of the country office </w:t>
      </w:r>
      <w:r w:rsidR="00AA1F95" w:rsidRPr="009E6278">
        <w:rPr>
          <w:rStyle w:val="normaltextrun"/>
          <w:color w:val="000000" w:themeColor="text1"/>
          <w:lang w:val="en-GB"/>
        </w:rPr>
        <w:t xml:space="preserve">will guide </w:t>
      </w:r>
      <w:r w:rsidR="001E714A" w:rsidRPr="009E6278">
        <w:rPr>
          <w:rStyle w:val="normaltextrun"/>
          <w:color w:val="000000" w:themeColor="text1"/>
          <w:lang w:val="en-GB"/>
        </w:rPr>
        <w:t>integrated programming and operational efforts</w:t>
      </w:r>
      <w:r w:rsidR="00DE412B" w:rsidRPr="009E6278">
        <w:rPr>
          <w:rStyle w:val="normaltextrun"/>
          <w:color w:val="000000" w:themeColor="text1"/>
          <w:lang w:val="en-GB"/>
        </w:rPr>
        <w:t>.</w:t>
      </w:r>
      <w:r w:rsidR="00670948" w:rsidRPr="009E6278">
        <w:rPr>
          <w:rStyle w:val="normaltextrun"/>
          <w:color w:val="000000" w:themeColor="text1"/>
          <w:lang w:val="en-GB"/>
        </w:rPr>
        <w:t xml:space="preserve"> </w:t>
      </w:r>
    </w:p>
    <w:p w14:paraId="6D1F34A4" w14:textId="77777777" w:rsidR="00AE6F21" w:rsidRPr="009E6278" w:rsidRDefault="00AE6F21" w:rsidP="00BC5EAB">
      <w:pPr>
        <w:spacing w:line="240" w:lineRule="exact"/>
        <w:ind w:left="810" w:right="720"/>
        <w:jc w:val="both"/>
        <w:rPr>
          <w:color w:val="000000"/>
          <w:lang w:val="en-GB"/>
        </w:rPr>
      </w:pPr>
    </w:p>
    <w:p w14:paraId="09D24870" w14:textId="68F184FA" w:rsidR="00F15884" w:rsidRPr="009E6278" w:rsidRDefault="001D42D1" w:rsidP="00BC5EAB">
      <w:pPr>
        <w:pStyle w:val="Heading1"/>
        <w:numPr>
          <w:ilvl w:val="0"/>
          <w:numId w:val="17"/>
        </w:numPr>
        <w:tabs>
          <w:tab w:val="clear" w:pos="1296"/>
          <w:tab w:val="left" w:pos="1800"/>
        </w:tabs>
        <w:spacing w:line="240" w:lineRule="exact"/>
        <w:ind w:left="810" w:right="720"/>
        <w:jc w:val="both"/>
        <w:rPr>
          <w:rFonts w:ascii="Times New Roman" w:hAnsi="Times New Roman"/>
          <w:color w:val="000000"/>
          <w:sz w:val="24"/>
          <w:szCs w:val="24"/>
          <w:lang w:val="en-GB"/>
        </w:rPr>
      </w:pPr>
      <w:r w:rsidRPr="009E6278">
        <w:rPr>
          <w:rFonts w:ascii="Times New Roman" w:hAnsi="Times New Roman"/>
          <w:color w:val="000000"/>
          <w:sz w:val="24"/>
          <w:szCs w:val="24"/>
          <w:lang w:val="en-GB"/>
        </w:rPr>
        <w:t xml:space="preserve">Monitoring and </w:t>
      </w:r>
      <w:r w:rsidR="00BC5EAB" w:rsidRPr="009E6278">
        <w:rPr>
          <w:rFonts w:ascii="Times New Roman" w:hAnsi="Times New Roman"/>
          <w:color w:val="000000"/>
          <w:sz w:val="24"/>
          <w:szCs w:val="24"/>
          <w:lang w:val="en-GB"/>
        </w:rPr>
        <w:t>e</w:t>
      </w:r>
      <w:r w:rsidR="001B3F87" w:rsidRPr="009E6278">
        <w:rPr>
          <w:rFonts w:ascii="Times New Roman" w:hAnsi="Times New Roman"/>
          <w:color w:val="000000"/>
          <w:sz w:val="24"/>
          <w:szCs w:val="24"/>
          <w:lang w:val="en-GB"/>
        </w:rPr>
        <w:t>valuation</w:t>
      </w:r>
    </w:p>
    <w:p w14:paraId="0F0A1CBA" w14:textId="11FCBE13" w:rsidR="00F15884" w:rsidRPr="009E6278" w:rsidRDefault="00F15884" w:rsidP="00BC5EAB">
      <w:pPr>
        <w:spacing w:line="240" w:lineRule="exact"/>
        <w:ind w:left="810" w:right="720"/>
        <w:jc w:val="both"/>
        <w:rPr>
          <w:lang w:val="en-GB"/>
        </w:rPr>
      </w:pPr>
    </w:p>
    <w:p w14:paraId="109EE96E" w14:textId="1593574E" w:rsidR="00DF0F25" w:rsidRPr="009E6278" w:rsidRDefault="00DF0F25" w:rsidP="00143015">
      <w:pPr>
        <w:pStyle w:val="ListParagraph"/>
        <w:numPr>
          <w:ilvl w:val="0"/>
          <w:numId w:val="8"/>
        </w:numPr>
        <w:tabs>
          <w:tab w:val="left" w:pos="1170"/>
          <w:tab w:val="left" w:pos="1350"/>
        </w:tabs>
        <w:ind w:left="810" w:right="720" w:firstLine="0"/>
        <w:contextualSpacing/>
        <w:jc w:val="both"/>
        <w:rPr>
          <w:lang w:val="en-GB"/>
        </w:rPr>
      </w:pPr>
      <w:r w:rsidRPr="009E6278">
        <w:rPr>
          <w:lang w:val="en-GB"/>
        </w:rPr>
        <w:t xml:space="preserve">UNDP has been working with the Monitoring and Evaluation Directorate under the National Treasury and Planning to enhance availability and utility of data for evidence-based policy formulation, implementation and reporting at </w:t>
      </w:r>
      <w:r w:rsidR="00E773F8" w:rsidRPr="00547151">
        <w:rPr>
          <w:lang w:val="en-GB"/>
        </w:rPr>
        <w:t xml:space="preserve">the </w:t>
      </w:r>
      <w:r w:rsidRPr="009E6278">
        <w:rPr>
          <w:lang w:val="en-GB"/>
        </w:rPr>
        <w:t>national and county level</w:t>
      </w:r>
      <w:r w:rsidR="00442C65" w:rsidRPr="009E6278">
        <w:rPr>
          <w:lang w:val="en-GB"/>
        </w:rPr>
        <w:t>s</w:t>
      </w:r>
      <w:r w:rsidRPr="009E6278">
        <w:rPr>
          <w:lang w:val="en-GB"/>
        </w:rPr>
        <w:t xml:space="preserve">. Kenya has been consistent in </w:t>
      </w:r>
      <w:r w:rsidR="00E773F8" w:rsidRPr="00547151">
        <w:rPr>
          <w:lang w:val="en-GB"/>
        </w:rPr>
        <w:t>v</w:t>
      </w:r>
      <w:r w:rsidRPr="009E6278">
        <w:rPr>
          <w:lang w:val="en-GB"/>
        </w:rPr>
        <w:t xml:space="preserve">oluntary </w:t>
      </w:r>
      <w:r w:rsidR="00E773F8" w:rsidRPr="00547151">
        <w:rPr>
          <w:lang w:val="en-GB"/>
        </w:rPr>
        <w:t>n</w:t>
      </w:r>
      <w:r w:rsidRPr="009E6278">
        <w:rPr>
          <w:lang w:val="en-GB"/>
        </w:rPr>
        <w:t xml:space="preserve">ational </w:t>
      </w:r>
      <w:r w:rsidR="00E773F8" w:rsidRPr="00547151">
        <w:rPr>
          <w:lang w:val="en-GB"/>
        </w:rPr>
        <w:t>r</w:t>
      </w:r>
      <w:r w:rsidRPr="009E6278">
        <w:rPr>
          <w:lang w:val="en-GB"/>
        </w:rPr>
        <w:t xml:space="preserve">eporting on </w:t>
      </w:r>
      <w:r w:rsidR="00841CAF" w:rsidRPr="009E6278">
        <w:rPr>
          <w:lang w:val="en-GB"/>
        </w:rPr>
        <w:t>Sustainable Development Goals</w:t>
      </w:r>
      <w:r w:rsidRPr="009E6278">
        <w:rPr>
          <w:lang w:val="en-GB"/>
        </w:rPr>
        <w:t>, which has cascaded to counties</w:t>
      </w:r>
      <w:r w:rsidR="00692A78" w:rsidRPr="00547151">
        <w:rPr>
          <w:lang w:val="en-GB"/>
        </w:rPr>
        <w:t xml:space="preserve"> and</w:t>
      </w:r>
      <w:r w:rsidRPr="009E6278">
        <w:rPr>
          <w:lang w:val="en-GB"/>
        </w:rPr>
        <w:t xml:space="preserve"> continues to be a valuable source of data for tracking </w:t>
      </w:r>
      <w:r w:rsidR="00841CAF" w:rsidRPr="009E6278">
        <w:rPr>
          <w:lang w:val="en-GB"/>
        </w:rPr>
        <w:t>the Goals</w:t>
      </w:r>
      <w:r w:rsidRPr="009E6278">
        <w:rPr>
          <w:lang w:val="en-GB"/>
        </w:rPr>
        <w:t xml:space="preserve">. </w:t>
      </w:r>
      <w:r w:rsidR="00442C65" w:rsidRPr="009E6278">
        <w:rPr>
          <w:lang w:val="en-GB"/>
        </w:rPr>
        <w:t>UNDP</w:t>
      </w:r>
      <w:r w:rsidRPr="009E6278">
        <w:rPr>
          <w:lang w:val="en-GB"/>
        </w:rPr>
        <w:t xml:space="preserve"> </w:t>
      </w:r>
      <w:r w:rsidR="009553E2" w:rsidRPr="009E6278">
        <w:rPr>
          <w:lang w:val="en-GB"/>
        </w:rPr>
        <w:t>will continue to support</w:t>
      </w:r>
      <w:r w:rsidRPr="009E6278">
        <w:rPr>
          <w:lang w:val="en-GB"/>
        </w:rPr>
        <w:t xml:space="preserve"> initiatives to augment data verification and validation, including annual performance reviews</w:t>
      </w:r>
      <w:r w:rsidR="00442C65" w:rsidRPr="009E6278">
        <w:rPr>
          <w:lang w:val="en-GB"/>
        </w:rPr>
        <w:t xml:space="preserve"> at project, programme and U</w:t>
      </w:r>
      <w:r w:rsidR="00E773F8" w:rsidRPr="00547151">
        <w:rPr>
          <w:lang w:val="en-GB"/>
        </w:rPr>
        <w:t>nited Nations</w:t>
      </w:r>
      <w:r w:rsidR="00442C65" w:rsidRPr="009E6278">
        <w:rPr>
          <w:lang w:val="en-GB"/>
        </w:rPr>
        <w:t xml:space="preserve"> levels</w:t>
      </w:r>
      <w:r w:rsidRPr="009E6278">
        <w:rPr>
          <w:lang w:val="en-GB"/>
        </w:rPr>
        <w:t>.</w:t>
      </w:r>
    </w:p>
    <w:p w14:paraId="136AF65E" w14:textId="77777777" w:rsidR="00143015" w:rsidRPr="009E6278" w:rsidRDefault="00143015" w:rsidP="00143015">
      <w:pPr>
        <w:pStyle w:val="ListParagraph"/>
        <w:tabs>
          <w:tab w:val="left" w:pos="1170"/>
          <w:tab w:val="left" w:pos="1350"/>
        </w:tabs>
        <w:ind w:left="810" w:right="720"/>
        <w:contextualSpacing/>
        <w:jc w:val="both"/>
        <w:rPr>
          <w:sz w:val="12"/>
          <w:szCs w:val="12"/>
          <w:lang w:val="en-GB"/>
        </w:rPr>
      </w:pPr>
    </w:p>
    <w:p w14:paraId="01E8826E" w14:textId="22415595" w:rsidR="00DF0F25" w:rsidRPr="009E6278" w:rsidRDefault="00DF0F25" w:rsidP="00143015">
      <w:pPr>
        <w:pStyle w:val="ListParagraph"/>
        <w:numPr>
          <w:ilvl w:val="0"/>
          <w:numId w:val="8"/>
        </w:numPr>
        <w:tabs>
          <w:tab w:val="left" w:pos="1170"/>
          <w:tab w:val="left" w:pos="1350"/>
        </w:tabs>
        <w:ind w:left="810" w:right="720" w:firstLine="0"/>
        <w:contextualSpacing/>
        <w:jc w:val="both"/>
        <w:rPr>
          <w:lang w:val="en-GB"/>
        </w:rPr>
      </w:pPr>
      <w:r w:rsidRPr="009E6278">
        <w:rPr>
          <w:lang w:val="en-GB"/>
        </w:rPr>
        <w:t xml:space="preserve">UNDP will place greater emphasis on results monitoring and reporting. </w:t>
      </w:r>
      <w:r w:rsidR="00670EA9" w:rsidRPr="009E6278">
        <w:rPr>
          <w:lang w:val="en-GB"/>
        </w:rPr>
        <w:t xml:space="preserve">At </w:t>
      </w:r>
      <w:r w:rsidRPr="009E6278">
        <w:rPr>
          <w:lang w:val="en-GB"/>
        </w:rPr>
        <w:t>least 7</w:t>
      </w:r>
      <w:r w:rsidR="00BE2B75" w:rsidRPr="009E6278">
        <w:rPr>
          <w:lang w:val="en-GB"/>
        </w:rPr>
        <w:t xml:space="preserve"> per cent</w:t>
      </w:r>
      <w:r w:rsidRPr="009E6278">
        <w:rPr>
          <w:lang w:val="en-GB"/>
        </w:rPr>
        <w:t xml:space="preserve"> of programme resources </w:t>
      </w:r>
      <w:r w:rsidR="00670EA9" w:rsidRPr="009E6278">
        <w:rPr>
          <w:lang w:val="en-GB"/>
        </w:rPr>
        <w:t xml:space="preserve">will be allocated </w:t>
      </w:r>
      <w:r w:rsidRPr="009E6278">
        <w:rPr>
          <w:lang w:val="en-GB"/>
        </w:rPr>
        <w:t xml:space="preserve">to monitoring and evaluation. UNDP will support capacity enhancement for staff, government, civil society </w:t>
      </w:r>
      <w:r w:rsidR="00CD6174" w:rsidRPr="009E6278">
        <w:rPr>
          <w:lang w:val="en-GB"/>
        </w:rPr>
        <w:t>organizations</w:t>
      </w:r>
      <w:r w:rsidRPr="009E6278">
        <w:rPr>
          <w:lang w:val="en-GB"/>
        </w:rPr>
        <w:t xml:space="preserve"> and national partners on results-based management. To strengthen outcome</w:t>
      </w:r>
      <w:r w:rsidR="00692A78" w:rsidRPr="00547151">
        <w:rPr>
          <w:lang w:val="en-GB"/>
        </w:rPr>
        <w:t>-</w:t>
      </w:r>
      <w:r w:rsidRPr="009E6278">
        <w:rPr>
          <w:lang w:val="en-GB"/>
        </w:rPr>
        <w:t xml:space="preserve">level monitoring, evaluation and reporting, project outputs and outcomes will be appropriately linked to </w:t>
      </w:r>
      <w:r w:rsidR="00692A78" w:rsidRPr="00547151">
        <w:rPr>
          <w:lang w:val="en-GB"/>
        </w:rPr>
        <w:t>country programme</w:t>
      </w:r>
      <w:r w:rsidR="00692A78" w:rsidRPr="009E6278">
        <w:rPr>
          <w:lang w:val="en-GB"/>
        </w:rPr>
        <w:t xml:space="preserve"> </w:t>
      </w:r>
      <w:r w:rsidRPr="009E6278">
        <w:rPr>
          <w:lang w:val="en-GB"/>
        </w:rPr>
        <w:t xml:space="preserve">outcomes. UNDP will strengthen </w:t>
      </w:r>
      <w:r w:rsidR="00E773F8" w:rsidRPr="00547151">
        <w:rPr>
          <w:lang w:val="en-GB"/>
        </w:rPr>
        <w:t>monitoring and evaluation</w:t>
      </w:r>
      <w:r w:rsidR="00E773F8" w:rsidRPr="00547151" w:rsidDel="00E773F8">
        <w:rPr>
          <w:lang w:val="en-GB"/>
        </w:rPr>
        <w:t xml:space="preserve"> </w:t>
      </w:r>
      <w:r w:rsidRPr="009E6278">
        <w:rPr>
          <w:lang w:val="en-GB"/>
        </w:rPr>
        <w:t xml:space="preserve">coordination structures internally and externally to support </w:t>
      </w:r>
      <w:r w:rsidR="00670EA9" w:rsidRPr="009E6278">
        <w:rPr>
          <w:lang w:val="en-GB"/>
        </w:rPr>
        <w:t xml:space="preserve">better </w:t>
      </w:r>
      <w:r w:rsidRPr="009E6278">
        <w:rPr>
          <w:lang w:val="en-GB"/>
        </w:rPr>
        <w:t>data collection, data verification, results monitoring and reporting</w:t>
      </w:r>
      <w:r w:rsidR="000C2253" w:rsidRPr="009E6278">
        <w:rPr>
          <w:lang w:val="en-GB"/>
        </w:rPr>
        <w:t>.</w:t>
      </w:r>
    </w:p>
    <w:p w14:paraId="069A484E" w14:textId="77777777" w:rsidR="00143015" w:rsidRPr="009E6278" w:rsidRDefault="00143015" w:rsidP="00143015">
      <w:pPr>
        <w:pStyle w:val="ListParagraph"/>
        <w:tabs>
          <w:tab w:val="left" w:pos="1170"/>
          <w:tab w:val="left" w:pos="1350"/>
        </w:tabs>
        <w:rPr>
          <w:sz w:val="12"/>
          <w:szCs w:val="12"/>
          <w:lang w:val="en-GB"/>
        </w:rPr>
      </w:pPr>
    </w:p>
    <w:p w14:paraId="332D9CD8" w14:textId="7FE92458" w:rsidR="00DF0F25" w:rsidRPr="009E6278" w:rsidRDefault="00DF0F25" w:rsidP="00143015">
      <w:pPr>
        <w:pStyle w:val="ListParagraph"/>
        <w:numPr>
          <w:ilvl w:val="0"/>
          <w:numId w:val="8"/>
        </w:numPr>
        <w:tabs>
          <w:tab w:val="left" w:pos="1170"/>
          <w:tab w:val="left" w:pos="1350"/>
        </w:tabs>
        <w:ind w:left="810" w:right="720" w:firstLine="0"/>
        <w:contextualSpacing/>
        <w:jc w:val="both"/>
        <w:rPr>
          <w:lang w:val="en-GB"/>
        </w:rPr>
      </w:pPr>
      <w:r w:rsidRPr="009E6278">
        <w:rPr>
          <w:lang w:val="en-GB"/>
        </w:rPr>
        <w:t xml:space="preserve">The resources will be </w:t>
      </w:r>
      <w:r w:rsidR="00CD6174" w:rsidRPr="009E6278">
        <w:rPr>
          <w:lang w:val="en-GB"/>
        </w:rPr>
        <w:t>utilized</w:t>
      </w:r>
      <w:r w:rsidRPr="009E6278">
        <w:rPr>
          <w:lang w:val="en-GB"/>
        </w:rPr>
        <w:t xml:space="preserve"> to strengthen national and county</w:t>
      </w:r>
      <w:r w:rsidR="00E773F8" w:rsidRPr="00547151">
        <w:rPr>
          <w:lang w:val="en-GB"/>
        </w:rPr>
        <w:t>-</w:t>
      </w:r>
      <w:r w:rsidRPr="009E6278">
        <w:rPr>
          <w:lang w:val="en-GB"/>
        </w:rPr>
        <w:t>level</w:t>
      </w:r>
      <w:r w:rsidR="00143015" w:rsidRPr="009E6278">
        <w:rPr>
          <w:lang w:val="en-GB"/>
        </w:rPr>
        <w:t xml:space="preserve"> </w:t>
      </w:r>
      <w:r w:rsidR="00E773F8" w:rsidRPr="00547151">
        <w:rPr>
          <w:lang w:val="en-GB"/>
        </w:rPr>
        <w:t>monitoring and evaluation</w:t>
      </w:r>
      <w:r w:rsidR="00E773F8" w:rsidRPr="00547151" w:rsidDel="00E773F8">
        <w:rPr>
          <w:lang w:val="en-GB"/>
        </w:rPr>
        <w:t xml:space="preserve"> </w:t>
      </w:r>
      <w:r w:rsidRPr="009E6278">
        <w:rPr>
          <w:lang w:val="en-GB"/>
        </w:rPr>
        <w:t xml:space="preserve">activities, including strengthening national data sources, establishing baseline data, joint programmatic visits, </w:t>
      </w:r>
      <w:r w:rsidR="005E3601" w:rsidRPr="009E6278">
        <w:rPr>
          <w:lang w:val="en-GB"/>
        </w:rPr>
        <w:t xml:space="preserve">and </w:t>
      </w:r>
      <w:r w:rsidRPr="009E6278">
        <w:rPr>
          <w:lang w:val="en-GB"/>
        </w:rPr>
        <w:t xml:space="preserve">capacity </w:t>
      </w:r>
      <w:r w:rsidR="008A0AA0" w:rsidRPr="009E6278">
        <w:rPr>
          <w:lang w:val="en-GB"/>
        </w:rPr>
        <w:t>development</w:t>
      </w:r>
      <w:r w:rsidRPr="009E6278">
        <w:rPr>
          <w:lang w:val="en-GB"/>
        </w:rPr>
        <w:t xml:space="preserve">. Documentation and dissemination of lessons </w:t>
      </w:r>
      <w:r w:rsidR="00670EA9" w:rsidRPr="009E6278">
        <w:rPr>
          <w:lang w:val="en-GB"/>
        </w:rPr>
        <w:t>learn</w:t>
      </w:r>
      <w:r w:rsidR="00E773F8" w:rsidRPr="00547151">
        <w:rPr>
          <w:lang w:val="en-GB"/>
        </w:rPr>
        <w:t>ed</w:t>
      </w:r>
      <w:r w:rsidRPr="009E6278">
        <w:rPr>
          <w:lang w:val="en-GB"/>
        </w:rPr>
        <w:t xml:space="preserve"> and success stories will be undertaken regularly to inform programming and capacity support to national and subnational institutions. UNDP will monitor the implementation of a costed and approved evaluation plan for this </w:t>
      </w:r>
      <w:r w:rsidR="00B307E4" w:rsidRPr="00547151">
        <w:rPr>
          <w:lang w:val="en-GB"/>
        </w:rPr>
        <w:t>country programme</w:t>
      </w:r>
      <w:r w:rsidR="00EF1E4D" w:rsidRPr="009E6278">
        <w:rPr>
          <w:lang w:val="en-GB"/>
        </w:rPr>
        <w:t xml:space="preserve">, which will </w:t>
      </w:r>
      <w:r w:rsidR="00BD43CA" w:rsidRPr="009E6278">
        <w:rPr>
          <w:lang w:val="en-GB"/>
        </w:rPr>
        <w:t xml:space="preserve">be </w:t>
      </w:r>
      <w:r w:rsidR="000C2253" w:rsidRPr="009E6278">
        <w:rPr>
          <w:lang w:val="en-GB"/>
        </w:rPr>
        <w:t>reviewed periodically to reinforce accountability, learning, and agility in decision</w:t>
      </w:r>
      <w:r w:rsidR="00B307E4" w:rsidRPr="00547151">
        <w:rPr>
          <w:lang w:val="en-GB"/>
        </w:rPr>
        <w:t>-</w:t>
      </w:r>
      <w:r w:rsidR="000C2253" w:rsidRPr="009E6278">
        <w:rPr>
          <w:lang w:val="en-GB"/>
        </w:rPr>
        <w:t xml:space="preserve">making </w:t>
      </w:r>
    </w:p>
    <w:p w14:paraId="77E6CCED" w14:textId="77777777" w:rsidR="00DF0F25" w:rsidRPr="009E6278" w:rsidRDefault="00DF0F25" w:rsidP="00143015">
      <w:pPr>
        <w:tabs>
          <w:tab w:val="left" w:pos="1170"/>
          <w:tab w:val="left" w:pos="1350"/>
        </w:tabs>
        <w:ind w:left="810" w:right="720"/>
        <w:contextualSpacing/>
        <w:jc w:val="both"/>
        <w:rPr>
          <w:sz w:val="12"/>
          <w:szCs w:val="12"/>
          <w:lang w:val="en-GB"/>
        </w:rPr>
      </w:pPr>
    </w:p>
    <w:p w14:paraId="527616E8" w14:textId="7B271EC0" w:rsidR="00F95E91" w:rsidRPr="009E6278" w:rsidRDefault="00670EA9" w:rsidP="00143015">
      <w:pPr>
        <w:pStyle w:val="ListParagraph"/>
        <w:numPr>
          <w:ilvl w:val="0"/>
          <w:numId w:val="8"/>
        </w:numPr>
        <w:tabs>
          <w:tab w:val="left" w:pos="1170"/>
          <w:tab w:val="left" w:pos="1350"/>
        </w:tabs>
        <w:ind w:left="810" w:right="720" w:firstLine="0"/>
        <w:contextualSpacing/>
        <w:jc w:val="both"/>
        <w:rPr>
          <w:lang w:val="en-GB"/>
        </w:rPr>
      </w:pPr>
      <w:r w:rsidRPr="009E6278">
        <w:rPr>
          <w:lang w:val="en-GB"/>
        </w:rPr>
        <w:t>J</w:t>
      </w:r>
      <w:r w:rsidR="00DF0F25" w:rsidRPr="009E6278">
        <w:rPr>
          <w:lang w:val="en-GB"/>
        </w:rPr>
        <w:t>oint programming with other U</w:t>
      </w:r>
      <w:r w:rsidR="00B307E4" w:rsidRPr="00547151">
        <w:rPr>
          <w:lang w:val="en-GB"/>
        </w:rPr>
        <w:t>nited Nations organizations</w:t>
      </w:r>
      <w:r w:rsidR="00DF0F25" w:rsidRPr="009E6278">
        <w:rPr>
          <w:lang w:val="en-GB"/>
        </w:rPr>
        <w:t xml:space="preserve"> </w:t>
      </w:r>
      <w:r w:rsidRPr="009E6278">
        <w:rPr>
          <w:lang w:val="en-GB"/>
        </w:rPr>
        <w:t xml:space="preserve">will be prioritized through enhanced </w:t>
      </w:r>
      <w:r w:rsidR="00B307E4" w:rsidRPr="00547151">
        <w:rPr>
          <w:lang w:val="en-GB"/>
        </w:rPr>
        <w:t>s</w:t>
      </w:r>
      <w:r w:rsidRPr="009E6278">
        <w:rPr>
          <w:lang w:val="en-GB"/>
        </w:rPr>
        <w:t xml:space="preserve">tandard </w:t>
      </w:r>
      <w:r w:rsidR="00B307E4" w:rsidRPr="00547151">
        <w:rPr>
          <w:lang w:val="en-GB"/>
        </w:rPr>
        <w:t>o</w:t>
      </w:r>
      <w:r w:rsidRPr="009E6278">
        <w:rPr>
          <w:lang w:val="en-GB"/>
        </w:rPr>
        <w:t xml:space="preserve">perating </w:t>
      </w:r>
      <w:r w:rsidR="00B307E4" w:rsidRPr="00547151">
        <w:rPr>
          <w:lang w:val="en-GB"/>
        </w:rPr>
        <w:t>p</w:t>
      </w:r>
      <w:r w:rsidRPr="009E6278">
        <w:rPr>
          <w:lang w:val="en-GB"/>
        </w:rPr>
        <w:t>rocedures</w:t>
      </w:r>
      <w:r w:rsidR="005E3601" w:rsidRPr="009E6278">
        <w:rPr>
          <w:lang w:val="en-GB"/>
        </w:rPr>
        <w:t>.</w:t>
      </w:r>
      <w:r w:rsidRPr="009E6278">
        <w:rPr>
          <w:lang w:val="en-GB"/>
        </w:rPr>
        <w:t xml:space="preserve"> </w:t>
      </w:r>
      <w:r w:rsidR="00DF0F25" w:rsidRPr="009E6278">
        <w:rPr>
          <w:lang w:val="en-GB"/>
        </w:rPr>
        <w:t>To strengthen data collection and verification, UNDP will conduct annual outcome</w:t>
      </w:r>
      <w:r w:rsidR="00B307E4" w:rsidRPr="00547151">
        <w:rPr>
          <w:lang w:val="en-GB"/>
        </w:rPr>
        <w:t>-</w:t>
      </w:r>
      <w:r w:rsidR="00DF0F25" w:rsidRPr="009E6278">
        <w:rPr>
          <w:lang w:val="en-GB"/>
        </w:rPr>
        <w:t>level performance reviews with government and national partners</w:t>
      </w:r>
      <w:r w:rsidR="006652F7" w:rsidRPr="009E6278">
        <w:rPr>
          <w:lang w:val="en-GB"/>
        </w:rPr>
        <w:t xml:space="preserve"> and </w:t>
      </w:r>
      <w:r w:rsidR="00DF0F25" w:rsidRPr="009E6278">
        <w:rPr>
          <w:lang w:val="en-GB"/>
        </w:rPr>
        <w:t>use the data to inform policy advice, advocacy and strategic decisions</w:t>
      </w:r>
      <w:r w:rsidR="00C73077" w:rsidRPr="009E6278">
        <w:rPr>
          <w:lang w:val="en-GB"/>
        </w:rPr>
        <w:t xml:space="preserve"> to strengthen accountability and transparency</w:t>
      </w:r>
      <w:r w:rsidR="0072704D" w:rsidRPr="009E6278">
        <w:rPr>
          <w:lang w:val="en-GB"/>
        </w:rPr>
        <w:t xml:space="preserve"> in the public domain</w:t>
      </w:r>
      <w:r w:rsidR="00DF0F25" w:rsidRPr="009E6278">
        <w:rPr>
          <w:lang w:val="en-GB"/>
        </w:rPr>
        <w:t>.</w:t>
      </w:r>
    </w:p>
    <w:p w14:paraId="72985A42" w14:textId="59CB7BCE" w:rsidR="00F95E91" w:rsidRPr="009E6278" w:rsidRDefault="00F95E91" w:rsidP="006172E3">
      <w:pPr>
        <w:spacing w:after="120" w:line="240" w:lineRule="exact"/>
        <w:ind w:left="810" w:right="720"/>
        <w:contextualSpacing/>
        <w:jc w:val="both"/>
        <w:rPr>
          <w:lang w:val="en-GB"/>
        </w:rPr>
      </w:pPr>
    </w:p>
    <w:p w14:paraId="502E2595" w14:textId="77777777" w:rsidR="00074457" w:rsidRPr="009E6278" w:rsidRDefault="00074457" w:rsidP="006172E3">
      <w:pPr>
        <w:spacing w:after="120" w:line="240" w:lineRule="exact"/>
        <w:ind w:left="810" w:right="720"/>
        <w:jc w:val="both"/>
        <w:rPr>
          <w:color w:val="000000"/>
          <w:lang w:val="en-GB"/>
        </w:rPr>
      </w:pPr>
    </w:p>
    <w:p w14:paraId="2440D43E" w14:textId="4AB8A753" w:rsidR="006B6E78" w:rsidRPr="009E6278" w:rsidRDefault="006B6E78" w:rsidP="006172E3">
      <w:pPr>
        <w:spacing w:after="120" w:line="240" w:lineRule="exact"/>
        <w:ind w:left="810" w:right="720"/>
        <w:jc w:val="both"/>
        <w:rPr>
          <w:lang w:val="en-GB"/>
        </w:rPr>
        <w:sectPr w:rsidR="006B6E78" w:rsidRPr="009E6278" w:rsidSect="00C84543">
          <w:footerReference w:type="even" r:id="rId19"/>
          <w:footerReference w:type="default" r:id="rId20"/>
          <w:headerReference w:type="first" r:id="rId21"/>
          <w:footerReference w:type="first" r:id="rId22"/>
          <w:pgSz w:w="12240" w:h="15840"/>
          <w:pgMar w:top="1152" w:right="1440" w:bottom="1152" w:left="1440" w:header="720" w:footer="720" w:gutter="0"/>
          <w:cols w:space="720"/>
          <w:titlePg/>
          <w:docGrid w:linePitch="272"/>
        </w:sectPr>
      </w:pPr>
    </w:p>
    <w:p w14:paraId="2E06F420" w14:textId="503ACD12" w:rsidR="00F732B4" w:rsidRPr="00547151" w:rsidRDefault="00423140" w:rsidP="00423140">
      <w:pPr>
        <w:keepNext/>
        <w:tabs>
          <w:tab w:val="left" w:pos="990"/>
        </w:tabs>
        <w:spacing w:line="240" w:lineRule="exact"/>
        <w:ind w:right="720"/>
        <w:jc w:val="both"/>
        <w:outlineLvl w:val="1"/>
        <w:rPr>
          <w:b/>
          <w:sz w:val="24"/>
          <w:szCs w:val="24"/>
          <w:lang w:val="en-GB"/>
        </w:rPr>
      </w:pPr>
      <w:r w:rsidRPr="00547151">
        <w:rPr>
          <w:b/>
          <w:sz w:val="24"/>
          <w:szCs w:val="24"/>
          <w:lang w:val="en-GB"/>
        </w:rPr>
        <w:lastRenderedPageBreak/>
        <w:t>Annex. Results and resources framework for Kenya (2022-2026)</w:t>
      </w:r>
    </w:p>
    <w:p w14:paraId="2778FD05" w14:textId="77777777" w:rsidR="007E0EFC" w:rsidRPr="009E6278" w:rsidRDefault="007E0EFC" w:rsidP="007E0EFC">
      <w:pPr>
        <w:rPr>
          <w:lang w:val="en-GB"/>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1"/>
        <w:gridCol w:w="3083"/>
        <w:gridCol w:w="2858"/>
        <w:gridCol w:w="1766"/>
        <w:gridCol w:w="487"/>
        <w:gridCol w:w="2020"/>
      </w:tblGrid>
      <w:tr w:rsidR="007E0EFC" w:rsidRPr="00547151" w14:paraId="03896744" w14:textId="77777777" w:rsidTr="00F358B4">
        <w:tc>
          <w:tcPr>
            <w:tcW w:w="5000" w:type="pct"/>
            <w:gridSpan w:val="6"/>
            <w:shd w:val="clear" w:color="auto" w:fill="DBE5F1" w:themeFill="accent1" w:themeFillTint="33"/>
            <w:tcMar>
              <w:top w:w="72" w:type="dxa"/>
              <w:left w:w="144" w:type="dxa"/>
              <w:bottom w:w="72" w:type="dxa"/>
              <w:right w:w="144" w:type="dxa"/>
            </w:tcMar>
          </w:tcPr>
          <w:p w14:paraId="678F67AE" w14:textId="6C847C1F" w:rsidR="007E0EFC" w:rsidRPr="009E6278" w:rsidRDefault="007E0EFC" w:rsidP="005013D8">
            <w:pPr>
              <w:rPr>
                <w:color w:val="000000"/>
                <w:sz w:val="16"/>
                <w:szCs w:val="16"/>
                <w:lang w:val="en-GB"/>
              </w:rPr>
            </w:pPr>
            <w:r w:rsidRPr="00547151">
              <w:rPr>
                <w:b/>
                <w:bCs/>
                <w:color w:val="000000"/>
                <w:sz w:val="16"/>
                <w:szCs w:val="16"/>
                <w:lang w:val="en-GB"/>
              </w:rPr>
              <w:t xml:space="preserve">NATIONAL PRIORITY OR GOAL: </w:t>
            </w:r>
            <w:r w:rsidRPr="009E6278">
              <w:rPr>
                <w:b/>
                <w:bCs/>
                <w:sz w:val="16"/>
                <w:szCs w:val="16"/>
                <w:lang w:val="en-GB"/>
              </w:rPr>
              <w:t>A</w:t>
            </w:r>
            <w:r w:rsidRPr="009E6278">
              <w:rPr>
                <w:b/>
                <w:color w:val="333333"/>
                <w:sz w:val="16"/>
                <w:szCs w:val="16"/>
                <w:lang w:val="en-GB"/>
              </w:rPr>
              <w:t xml:space="preserve"> democratic political system that is issue</w:t>
            </w:r>
            <w:r w:rsidR="003075FA" w:rsidRPr="00547151">
              <w:rPr>
                <w:b/>
                <w:color w:val="333333"/>
                <w:sz w:val="16"/>
                <w:szCs w:val="16"/>
                <w:lang w:val="en-GB"/>
              </w:rPr>
              <w:t>s-</w:t>
            </w:r>
            <w:r w:rsidRPr="009E6278">
              <w:rPr>
                <w:b/>
                <w:color w:val="333333"/>
                <w:sz w:val="16"/>
                <w:szCs w:val="16"/>
                <w:lang w:val="en-GB"/>
              </w:rPr>
              <w:t>based , people-</w:t>
            </w:r>
            <w:r w:rsidR="00444DC5" w:rsidRPr="009E6278">
              <w:rPr>
                <w:b/>
                <w:color w:val="333333"/>
                <w:sz w:val="16"/>
                <w:szCs w:val="16"/>
                <w:lang w:val="en-GB"/>
              </w:rPr>
              <w:t>centred</w:t>
            </w:r>
            <w:r w:rsidRPr="009E6278">
              <w:rPr>
                <w:b/>
                <w:color w:val="333333"/>
                <w:sz w:val="16"/>
                <w:szCs w:val="16"/>
                <w:lang w:val="en-GB"/>
              </w:rPr>
              <w:t>, result</w:t>
            </w:r>
            <w:r w:rsidR="005B178A" w:rsidRPr="009E6278">
              <w:rPr>
                <w:b/>
                <w:color w:val="333333"/>
                <w:sz w:val="16"/>
                <w:szCs w:val="16"/>
                <w:lang w:val="en-GB"/>
              </w:rPr>
              <w:t>s</w:t>
            </w:r>
            <w:r w:rsidRPr="009E6278">
              <w:rPr>
                <w:b/>
                <w:color w:val="333333"/>
                <w:sz w:val="16"/>
                <w:szCs w:val="16"/>
                <w:lang w:val="en-GB"/>
              </w:rPr>
              <w:t>-oriented and accountable to the public</w:t>
            </w:r>
          </w:p>
        </w:tc>
      </w:tr>
      <w:tr w:rsidR="007E0EFC" w:rsidRPr="00547151" w14:paraId="00E0B505" w14:textId="77777777" w:rsidTr="00F358B4">
        <w:tc>
          <w:tcPr>
            <w:tcW w:w="5000" w:type="pct"/>
            <w:gridSpan w:val="6"/>
            <w:shd w:val="clear" w:color="auto" w:fill="DBE5F1" w:themeFill="accent1" w:themeFillTint="33"/>
            <w:tcMar>
              <w:top w:w="72" w:type="dxa"/>
              <w:left w:w="144" w:type="dxa"/>
              <w:bottom w:w="72" w:type="dxa"/>
              <w:right w:w="144" w:type="dxa"/>
            </w:tcMar>
          </w:tcPr>
          <w:p w14:paraId="494B4224" w14:textId="34A6DF10" w:rsidR="007E0EFC" w:rsidRPr="009E6278" w:rsidRDefault="007E0EFC" w:rsidP="005013D8">
            <w:pPr>
              <w:rPr>
                <w:b/>
                <w:sz w:val="16"/>
                <w:szCs w:val="16"/>
                <w:lang w:val="en-GB"/>
              </w:rPr>
            </w:pPr>
            <w:r w:rsidRPr="00547151">
              <w:rPr>
                <w:b/>
                <w:bCs/>
                <w:color w:val="000000"/>
                <w:sz w:val="16"/>
                <w:szCs w:val="16"/>
                <w:lang w:val="en-GB"/>
              </w:rPr>
              <w:t>1.1</w:t>
            </w:r>
            <w:r w:rsidR="005B178A" w:rsidRPr="00547151">
              <w:rPr>
                <w:b/>
                <w:bCs/>
                <w:color w:val="000000"/>
                <w:sz w:val="16"/>
                <w:szCs w:val="16"/>
                <w:lang w:val="en-GB"/>
              </w:rPr>
              <w:t>.</w:t>
            </w:r>
            <w:r w:rsidRPr="00547151">
              <w:rPr>
                <w:b/>
                <w:bCs/>
                <w:color w:val="000000"/>
                <w:sz w:val="16"/>
                <w:szCs w:val="16"/>
                <w:lang w:val="en-GB"/>
              </w:rPr>
              <w:t xml:space="preserve"> </w:t>
            </w:r>
            <w:r w:rsidRPr="009E6278">
              <w:rPr>
                <w:b/>
                <w:sz w:val="16"/>
                <w:szCs w:val="16"/>
                <w:lang w:val="en-GB"/>
              </w:rPr>
              <w:t xml:space="preserve">COOPERATION FRAMEWORK (OR EQUIVALENT) OUTCOME INVOLVING UNDP </w:t>
            </w:r>
            <w:r w:rsidR="005B178A" w:rsidRPr="009E6278">
              <w:rPr>
                <w:b/>
                <w:sz w:val="16"/>
                <w:szCs w:val="16"/>
                <w:lang w:val="en-GB"/>
              </w:rPr>
              <w:t xml:space="preserve">No. </w:t>
            </w:r>
            <w:r w:rsidRPr="009E6278">
              <w:rPr>
                <w:b/>
                <w:sz w:val="16"/>
                <w:szCs w:val="16"/>
                <w:lang w:val="en-GB"/>
              </w:rPr>
              <w:t>1</w:t>
            </w:r>
            <w:r w:rsidR="005B178A" w:rsidRPr="009E6278">
              <w:rPr>
                <w:b/>
                <w:sz w:val="16"/>
                <w:szCs w:val="16"/>
                <w:lang w:val="en-GB"/>
              </w:rPr>
              <w:t>.</w:t>
            </w:r>
            <w:r w:rsidRPr="009E6278">
              <w:rPr>
                <w:sz w:val="16"/>
                <w:szCs w:val="16"/>
                <w:lang w:val="en-GB"/>
              </w:rPr>
              <w:t xml:space="preserve"> </w:t>
            </w:r>
            <w:r w:rsidRPr="009E6278">
              <w:rPr>
                <w:b/>
                <w:sz w:val="16"/>
                <w:szCs w:val="16"/>
                <w:lang w:val="en-GB"/>
              </w:rPr>
              <w:t xml:space="preserve">By 2026, people in Kenya at risk of being left behind </w:t>
            </w:r>
            <w:r w:rsidR="005B178A" w:rsidRPr="009E6278">
              <w:rPr>
                <w:b/>
                <w:sz w:val="16"/>
                <w:szCs w:val="16"/>
                <w:lang w:val="en-GB"/>
              </w:rPr>
              <w:t>–</w:t>
            </w:r>
            <w:r w:rsidRPr="009E6278">
              <w:rPr>
                <w:b/>
                <w:sz w:val="16"/>
                <w:szCs w:val="16"/>
                <w:lang w:val="en-GB"/>
              </w:rPr>
              <w:t xml:space="preserve"> particularly in the </w:t>
            </w:r>
            <w:r w:rsidR="00E778EE" w:rsidRPr="009E6278">
              <w:rPr>
                <w:b/>
                <w:sz w:val="16"/>
                <w:szCs w:val="16"/>
                <w:lang w:val="en-GB"/>
              </w:rPr>
              <w:t>arid and semi-arid lands (</w:t>
            </w:r>
            <w:r w:rsidRPr="009E6278">
              <w:rPr>
                <w:b/>
                <w:sz w:val="16"/>
                <w:szCs w:val="16"/>
                <w:lang w:val="en-GB"/>
              </w:rPr>
              <w:t>ASAL</w:t>
            </w:r>
            <w:r w:rsidR="00E778EE" w:rsidRPr="009E6278">
              <w:rPr>
                <w:b/>
                <w:sz w:val="16"/>
                <w:szCs w:val="16"/>
                <w:lang w:val="en-GB"/>
              </w:rPr>
              <w:t>)</w:t>
            </w:r>
            <w:r w:rsidRPr="009E6278">
              <w:rPr>
                <w:b/>
                <w:sz w:val="16"/>
                <w:szCs w:val="16"/>
                <w:lang w:val="en-GB"/>
              </w:rPr>
              <w:t xml:space="preserve"> counties, informal urban settlements, all women and girls, all children and youth </w:t>
            </w:r>
            <w:r w:rsidR="005B178A" w:rsidRPr="009E6278">
              <w:rPr>
                <w:b/>
                <w:sz w:val="16"/>
                <w:szCs w:val="16"/>
                <w:lang w:val="en-GB"/>
              </w:rPr>
              <w:t>–</w:t>
            </w:r>
            <w:r w:rsidRPr="009E6278">
              <w:rPr>
                <w:b/>
                <w:sz w:val="16"/>
                <w:szCs w:val="16"/>
                <w:lang w:val="en-GB"/>
              </w:rPr>
              <w:t xml:space="preserve"> inhabit an inclusive, enabling, socially cohesive, and peaceful society where human rights are upheld, benefit from accountable institutions</w:t>
            </w:r>
            <w:r w:rsidR="005B178A" w:rsidRPr="009E6278">
              <w:rPr>
                <w:b/>
                <w:sz w:val="16"/>
                <w:szCs w:val="16"/>
                <w:lang w:val="en-GB"/>
              </w:rPr>
              <w:t>,</w:t>
            </w:r>
            <w:r w:rsidRPr="009E6278">
              <w:rPr>
                <w:b/>
                <w:sz w:val="16"/>
                <w:szCs w:val="16"/>
                <w:lang w:val="en-GB"/>
              </w:rPr>
              <w:t xml:space="preserve"> participate in transformative governance systems that are gender</w:t>
            </w:r>
            <w:r w:rsidR="005B178A" w:rsidRPr="009E6278">
              <w:rPr>
                <w:b/>
                <w:sz w:val="16"/>
                <w:szCs w:val="16"/>
                <w:lang w:val="en-GB"/>
              </w:rPr>
              <w:t>-</w:t>
            </w:r>
            <w:r w:rsidRPr="009E6278">
              <w:rPr>
                <w:b/>
                <w:sz w:val="16"/>
                <w:szCs w:val="16"/>
                <w:lang w:val="en-GB"/>
              </w:rPr>
              <w:t>responsive,</w:t>
            </w:r>
            <w:r w:rsidR="005B178A" w:rsidRPr="009E6278">
              <w:rPr>
                <w:b/>
                <w:sz w:val="16"/>
                <w:szCs w:val="16"/>
                <w:lang w:val="en-GB"/>
              </w:rPr>
              <w:t xml:space="preserve"> </w:t>
            </w:r>
            <w:r w:rsidRPr="009E6278">
              <w:rPr>
                <w:b/>
                <w:sz w:val="16"/>
                <w:szCs w:val="16"/>
                <w:lang w:val="en-GB"/>
              </w:rPr>
              <w:t>and</w:t>
            </w:r>
            <w:r w:rsidR="005B178A" w:rsidRPr="009E6278">
              <w:rPr>
                <w:b/>
                <w:sz w:val="16"/>
                <w:szCs w:val="16"/>
                <w:lang w:val="en-GB"/>
              </w:rPr>
              <w:t xml:space="preserve"> </w:t>
            </w:r>
            <w:r w:rsidRPr="009E6278">
              <w:rPr>
                <w:b/>
                <w:sz w:val="16"/>
                <w:szCs w:val="16"/>
                <w:lang w:val="en-GB"/>
              </w:rPr>
              <w:t>uphold the rule of law</w:t>
            </w:r>
            <w:r w:rsidR="005B178A" w:rsidRPr="009E6278">
              <w:rPr>
                <w:b/>
                <w:sz w:val="16"/>
                <w:szCs w:val="16"/>
                <w:lang w:val="en-GB"/>
              </w:rPr>
              <w:t>.</w:t>
            </w:r>
          </w:p>
          <w:p w14:paraId="67353FE2" w14:textId="5828524C" w:rsidR="007E0EFC" w:rsidRPr="009E6278" w:rsidRDefault="00841CAF" w:rsidP="005013D8">
            <w:pPr>
              <w:rPr>
                <w:color w:val="000000"/>
                <w:sz w:val="16"/>
                <w:szCs w:val="16"/>
                <w:lang w:val="en-GB"/>
              </w:rPr>
            </w:pPr>
            <w:r w:rsidRPr="009E6278">
              <w:rPr>
                <w:b/>
                <w:sz w:val="16"/>
                <w:szCs w:val="16"/>
                <w:lang w:val="en-GB"/>
              </w:rPr>
              <w:t>Sustainable Development Goals (</w:t>
            </w:r>
            <w:r w:rsidR="007E0EFC" w:rsidRPr="009E6278">
              <w:rPr>
                <w:b/>
                <w:sz w:val="16"/>
                <w:szCs w:val="16"/>
                <w:lang w:val="en-GB"/>
              </w:rPr>
              <w:t>SDGs</w:t>
            </w:r>
            <w:r w:rsidRPr="009E6278">
              <w:rPr>
                <w:b/>
                <w:color w:val="000000"/>
                <w:sz w:val="16"/>
                <w:szCs w:val="16"/>
                <w:lang w:val="en-GB"/>
              </w:rPr>
              <w:t>)</w:t>
            </w:r>
            <w:r w:rsidR="007E0EFC" w:rsidRPr="009E6278">
              <w:rPr>
                <w:b/>
                <w:color w:val="000000"/>
                <w:sz w:val="16"/>
                <w:szCs w:val="16"/>
                <w:lang w:val="en-GB"/>
              </w:rPr>
              <w:t xml:space="preserve"> 5</w:t>
            </w:r>
            <w:r w:rsidR="003075FA" w:rsidRPr="00547151">
              <w:rPr>
                <w:b/>
                <w:color w:val="000000"/>
                <w:sz w:val="16"/>
                <w:szCs w:val="16"/>
                <w:lang w:val="en-GB"/>
              </w:rPr>
              <w:t>,</w:t>
            </w:r>
            <w:r w:rsidR="007E0EFC" w:rsidRPr="009E6278">
              <w:rPr>
                <w:b/>
                <w:color w:val="000000"/>
                <w:sz w:val="16"/>
                <w:szCs w:val="16"/>
                <w:lang w:val="en-GB"/>
              </w:rPr>
              <w:t xml:space="preserve"> 10</w:t>
            </w:r>
            <w:r w:rsidR="003075FA" w:rsidRPr="00547151">
              <w:rPr>
                <w:b/>
                <w:color w:val="000000"/>
                <w:sz w:val="16"/>
                <w:szCs w:val="16"/>
                <w:lang w:val="en-GB"/>
              </w:rPr>
              <w:t>,</w:t>
            </w:r>
            <w:r w:rsidR="007E0EFC" w:rsidRPr="009E6278">
              <w:rPr>
                <w:b/>
                <w:color w:val="000000"/>
                <w:sz w:val="16"/>
                <w:szCs w:val="16"/>
                <w:lang w:val="en-GB"/>
              </w:rPr>
              <w:t xml:space="preserve"> 11</w:t>
            </w:r>
            <w:r w:rsidR="003075FA" w:rsidRPr="00547151">
              <w:rPr>
                <w:b/>
                <w:color w:val="000000"/>
                <w:sz w:val="16"/>
                <w:szCs w:val="16"/>
                <w:lang w:val="en-GB"/>
              </w:rPr>
              <w:t>,</w:t>
            </w:r>
            <w:r w:rsidR="007E0EFC" w:rsidRPr="009E6278">
              <w:rPr>
                <w:b/>
                <w:color w:val="000000"/>
                <w:sz w:val="16"/>
                <w:szCs w:val="16"/>
                <w:lang w:val="en-GB"/>
              </w:rPr>
              <w:t xml:space="preserve"> 16 and 17</w:t>
            </w:r>
          </w:p>
        </w:tc>
      </w:tr>
      <w:tr w:rsidR="007E0EFC" w:rsidRPr="00547151" w14:paraId="0F19130D" w14:textId="77777777" w:rsidTr="00F358B4">
        <w:tc>
          <w:tcPr>
            <w:tcW w:w="5000" w:type="pct"/>
            <w:gridSpan w:val="6"/>
            <w:shd w:val="clear" w:color="auto" w:fill="DBE5F1" w:themeFill="accent1" w:themeFillTint="33"/>
            <w:tcMar>
              <w:top w:w="72" w:type="dxa"/>
              <w:left w:w="144" w:type="dxa"/>
              <w:bottom w:w="72" w:type="dxa"/>
              <w:right w:w="144" w:type="dxa"/>
            </w:tcMar>
          </w:tcPr>
          <w:p w14:paraId="478D3438" w14:textId="4EBDE818" w:rsidR="007E0EFC" w:rsidRPr="00547151" w:rsidRDefault="007E0EFC" w:rsidP="00841CAF">
            <w:pPr>
              <w:rPr>
                <w:b/>
                <w:bCs/>
                <w:color w:val="000000"/>
                <w:sz w:val="16"/>
                <w:szCs w:val="16"/>
                <w:lang w:val="en-GB"/>
              </w:rPr>
            </w:pPr>
            <w:r w:rsidRPr="00547151">
              <w:rPr>
                <w:b/>
                <w:bCs/>
                <w:color w:val="000000"/>
                <w:sz w:val="16"/>
                <w:szCs w:val="16"/>
                <w:lang w:val="en-GB"/>
              </w:rPr>
              <w:t>RELATED STRATEGIC PLAN OUTCOME</w:t>
            </w:r>
            <w:r w:rsidRPr="00547151">
              <w:rPr>
                <w:b/>
                <w:bCs/>
                <w:sz w:val="16"/>
                <w:szCs w:val="16"/>
                <w:lang w:val="en-GB"/>
              </w:rPr>
              <w:t xml:space="preserve"> 2</w:t>
            </w:r>
            <w:r w:rsidR="00841CAF" w:rsidRPr="00547151">
              <w:rPr>
                <w:b/>
                <w:bCs/>
                <w:sz w:val="16"/>
                <w:szCs w:val="16"/>
                <w:lang w:val="en-GB"/>
              </w:rPr>
              <w:t>.</w:t>
            </w:r>
            <w:r w:rsidRPr="00547151">
              <w:rPr>
                <w:b/>
                <w:bCs/>
                <w:sz w:val="16"/>
                <w:szCs w:val="16"/>
                <w:lang w:val="en-GB"/>
              </w:rPr>
              <w:t xml:space="preserve"> </w:t>
            </w:r>
            <w:r w:rsidRPr="009E6278">
              <w:rPr>
                <w:rFonts w:eastAsia="Calibri"/>
                <w:b/>
                <w:bCs/>
                <w:sz w:val="16"/>
                <w:szCs w:val="16"/>
                <w:lang w:val="en-GB"/>
              </w:rPr>
              <w:t>No</w:t>
            </w:r>
            <w:r w:rsidR="005B178A" w:rsidRPr="00547151">
              <w:rPr>
                <w:rFonts w:eastAsia="Calibri"/>
                <w:b/>
                <w:bCs/>
                <w:sz w:val="16"/>
                <w:szCs w:val="16"/>
                <w:lang w:val="en-GB"/>
              </w:rPr>
              <w:t xml:space="preserve"> </w:t>
            </w:r>
            <w:r w:rsidRPr="009E6278">
              <w:rPr>
                <w:rFonts w:eastAsia="Calibri"/>
                <w:b/>
                <w:bCs/>
                <w:sz w:val="16"/>
                <w:szCs w:val="16"/>
                <w:lang w:val="en-GB"/>
              </w:rPr>
              <w:t xml:space="preserve">one </w:t>
            </w:r>
            <w:r w:rsidR="00A83F75" w:rsidRPr="009E6278">
              <w:rPr>
                <w:rFonts w:eastAsia="Calibri"/>
                <w:b/>
                <w:bCs/>
                <w:sz w:val="16"/>
                <w:szCs w:val="16"/>
                <w:lang w:val="en-GB"/>
              </w:rPr>
              <w:t>left behind</w:t>
            </w:r>
            <w:r w:rsidRPr="009E6278">
              <w:rPr>
                <w:rFonts w:eastAsia="Calibri"/>
                <w:b/>
                <w:bCs/>
                <w:sz w:val="16"/>
                <w:szCs w:val="16"/>
                <w:lang w:val="en-GB"/>
              </w:rPr>
              <w:t xml:space="preserve"> </w:t>
            </w:r>
            <w:r w:rsidR="00444DC5" w:rsidRPr="009E6278">
              <w:rPr>
                <w:rFonts w:eastAsia="Calibri"/>
                <w:b/>
                <w:bCs/>
                <w:sz w:val="16"/>
                <w:szCs w:val="16"/>
                <w:lang w:val="en-GB"/>
              </w:rPr>
              <w:t>centring</w:t>
            </w:r>
            <w:r w:rsidRPr="009E6278">
              <w:rPr>
                <w:rFonts w:eastAsia="Calibri"/>
                <w:b/>
                <w:bCs/>
                <w:sz w:val="16"/>
                <w:szCs w:val="16"/>
                <w:lang w:val="en-GB"/>
              </w:rPr>
              <w:t xml:space="preserve"> on equitable access to opportunities and a rights-based approach to human agency and human development</w:t>
            </w:r>
          </w:p>
        </w:tc>
      </w:tr>
      <w:tr w:rsidR="007E0EFC" w:rsidRPr="00547151" w14:paraId="28A1B536" w14:textId="77777777" w:rsidTr="00F358B4">
        <w:tc>
          <w:tcPr>
            <w:tcW w:w="1097" w:type="pct"/>
            <w:shd w:val="clear" w:color="auto" w:fill="DBE5F1" w:themeFill="accent1" w:themeFillTint="33"/>
            <w:tcMar>
              <w:top w:w="72" w:type="dxa"/>
              <w:left w:w="144" w:type="dxa"/>
              <w:bottom w:w="72" w:type="dxa"/>
              <w:right w:w="144" w:type="dxa"/>
            </w:tcMar>
            <w:vAlign w:val="center"/>
          </w:tcPr>
          <w:p w14:paraId="4FFC9C55" w14:textId="77777777" w:rsidR="007E0EFC" w:rsidRPr="009E6278" w:rsidRDefault="007E0EFC" w:rsidP="005013D8">
            <w:pPr>
              <w:jc w:val="center"/>
              <w:rPr>
                <w:color w:val="000000"/>
                <w:sz w:val="16"/>
                <w:szCs w:val="16"/>
                <w:lang w:val="en-GB"/>
              </w:rPr>
            </w:pPr>
            <w:r w:rsidRPr="00547151">
              <w:rPr>
                <w:b/>
                <w:bCs/>
                <w:color w:val="000000"/>
                <w:sz w:val="16"/>
                <w:szCs w:val="16"/>
                <w:lang w:val="en-GB"/>
              </w:rPr>
              <w:t>COOPERATION FRAMEWORK OUTCOME INDICATOR(S), BASELINES, TARGET(S)</w:t>
            </w:r>
          </w:p>
        </w:tc>
        <w:tc>
          <w:tcPr>
            <w:tcW w:w="1178" w:type="pct"/>
            <w:shd w:val="clear" w:color="auto" w:fill="DBE5F1" w:themeFill="accent1" w:themeFillTint="33"/>
            <w:vAlign w:val="center"/>
          </w:tcPr>
          <w:p w14:paraId="29065514" w14:textId="77777777" w:rsidR="007E0EFC" w:rsidRPr="009E6278" w:rsidRDefault="007E0EFC" w:rsidP="005013D8">
            <w:pPr>
              <w:jc w:val="center"/>
              <w:rPr>
                <w:b/>
                <w:color w:val="000000"/>
                <w:sz w:val="16"/>
                <w:szCs w:val="16"/>
                <w:lang w:val="en-GB"/>
              </w:rPr>
            </w:pPr>
            <w:r w:rsidRPr="009E6278">
              <w:rPr>
                <w:b/>
                <w:color w:val="000000"/>
                <w:sz w:val="16"/>
                <w:szCs w:val="16"/>
                <w:lang w:val="en-GB"/>
              </w:rPr>
              <w:t>DATA SOURCE AND FREQUENCY OF DATA COLLECTION, AND RESPONSIBILITIES</w:t>
            </w:r>
          </w:p>
        </w:tc>
        <w:tc>
          <w:tcPr>
            <w:tcW w:w="1092" w:type="pct"/>
            <w:shd w:val="clear" w:color="auto" w:fill="DBE5F1" w:themeFill="accent1" w:themeFillTint="33"/>
            <w:tcMar>
              <w:top w:w="72" w:type="dxa"/>
              <w:left w:w="144" w:type="dxa"/>
              <w:bottom w:w="72" w:type="dxa"/>
              <w:right w:w="144" w:type="dxa"/>
            </w:tcMar>
            <w:vAlign w:val="center"/>
          </w:tcPr>
          <w:p w14:paraId="72FA9ED4" w14:textId="19D98C94" w:rsidR="007E0EFC" w:rsidRPr="009E6278" w:rsidRDefault="007E0EFC" w:rsidP="005013D8">
            <w:pPr>
              <w:jc w:val="center"/>
              <w:rPr>
                <w:color w:val="000000"/>
                <w:sz w:val="16"/>
                <w:szCs w:val="16"/>
                <w:lang w:val="en-GB"/>
              </w:rPr>
            </w:pPr>
            <w:r w:rsidRPr="00547151">
              <w:rPr>
                <w:b/>
                <w:bCs/>
                <w:color w:val="000000"/>
                <w:sz w:val="16"/>
                <w:szCs w:val="16"/>
                <w:lang w:val="en-GB"/>
              </w:rPr>
              <w:t>INDICATIVE COUNTRY PROGRAMME OUTPUTS (including indicators, baselines</w:t>
            </w:r>
            <w:r w:rsidR="00995C56" w:rsidRPr="00547151">
              <w:rPr>
                <w:b/>
                <w:bCs/>
                <w:color w:val="000000"/>
                <w:sz w:val="16"/>
                <w:szCs w:val="16"/>
                <w:lang w:val="en-GB"/>
              </w:rPr>
              <w:t>,</w:t>
            </w:r>
            <w:r w:rsidRPr="00547151">
              <w:rPr>
                <w:b/>
                <w:bCs/>
                <w:color w:val="000000"/>
                <w:sz w:val="16"/>
                <w:szCs w:val="16"/>
                <w:lang w:val="en-GB"/>
              </w:rPr>
              <w:t xml:space="preserve"> targets)</w:t>
            </w:r>
          </w:p>
        </w:tc>
        <w:tc>
          <w:tcPr>
            <w:tcW w:w="861" w:type="pct"/>
            <w:gridSpan w:val="2"/>
            <w:shd w:val="clear" w:color="auto" w:fill="DBE5F1" w:themeFill="accent1" w:themeFillTint="33"/>
            <w:vAlign w:val="center"/>
          </w:tcPr>
          <w:p w14:paraId="13AC1E8F" w14:textId="2E08B817" w:rsidR="007E0EFC" w:rsidRPr="00547151" w:rsidRDefault="007E0EFC" w:rsidP="005013D8">
            <w:pPr>
              <w:jc w:val="center"/>
              <w:rPr>
                <w:b/>
                <w:bCs/>
                <w:color w:val="000000"/>
                <w:sz w:val="16"/>
                <w:szCs w:val="16"/>
                <w:lang w:val="en-GB"/>
              </w:rPr>
            </w:pPr>
            <w:r w:rsidRPr="00547151">
              <w:rPr>
                <w:b/>
                <w:bCs/>
                <w:color w:val="000000"/>
                <w:sz w:val="16"/>
                <w:szCs w:val="16"/>
                <w:lang w:val="en-GB"/>
              </w:rPr>
              <w:t>MAJOR PARTNERS/ PARTNERSHIPS</w:t>
            </w:r>
          </w:p>
          <w:p w14:paraId="4D1D0B05" w14:textId="77777777" w:rsidR="007E0EFC" w:rsidRPr="00547151" w:rsidRDefault="007E0EFC" w:rsidP="005013D8">
            <w:pPr>
              <w:jc w:val="center"/>
              <w:rPr>
                <w:b/>
                <w:bCs/>
                <w:color w:val="000000"/>
                <w:sz w:val="16"/>
                <w:szCs w:val="16"/>
                <w:lang w:val="en-GB"/>
              </w:rPr>
            </w:pPr>
            <w:r w:rsidRPr="00547151">
              <w:rPr>
                <w:b/>
                <w:bCs/>
                <w:color w:val="000000"/>
                <w:sz w:val="16"/>
                <w:szCs w:val="16"/>
                <w:lang w:val="en-GB"/>
              </w:rPr>
              <w:t>FRAMEWORKS</w:t>
            </w:r>
          </w:p>
        </w:tc>
        <w:tc>
          <w:tcPr>
            <w:tcW w:w="772" w:type="pct"/>
            <w:shd w:val="clear" w:color="auto" w:fill="DBE5F1" w:themeFill="accent1" w:themeFillTint="33"/>
            <w:tcMar>
              <w:top w:w="15" w:type="dxa"/>
              <w:left w:w="108" w:type="dxa"/>
              <w:bottom w:w="0" w:type="dxa"/>
              <w:right w:w="108" w:type="dxa"/>
            </w:tcMar>
            <w:vAlign w:val="center"/>
          </w:tcPr>
          <w:p w14:paraId="6E3CAC0F" w14:textId="75FDF687" w:rsidR="007E0EFC" w:rsidRPr="009E6278" w:rsidRDefault="007E0EFC" w:rsidP="005013D8">
            <w:pPr>
              <w:jc w:val="center"/>
              <w:rPr>
                <w:color w:val="0000FF"/>
                <w:sz w:val="16"/>
                <w:szCs w:val="16"/>
                <w:lang w:val="en-GB"/>
              </w:rPr>
            </w:pPr>
            <w:r w:rsidRPr="00547151">
              <w:rPr>
                <w:b/>
                <w:bCs/>
                <w:color w:val="000000"/>
                <w:sz w:val="16"/>
                <w:szCs w:val="16"/>
                <w:lang w:val="en-GB"/>
              </w:rPr>
              <w:t>ESTIMATED COST BY OUTCOME ($)</w:t>
            </w:r>
          </w:p>
        </w:tc>
      </w:tr>
      <w:tr w:rsidR="007E0EFC" w:rsidRPr="00547151" w14:paraId="6C097D00" w14:textId="77777777" w:rsidTr="00F358B4">
        <w:tc>
          <w:tcPr>
            <w:tcW w:w="1097" w:type="pct"/>
            <w:vMerge w:val="restart"/>
            <w:tcMar>
              <w:top w:w="72" w:type="dxa"/>
              <w:left w:w="144" w:type="dxa"/>
              <w:bottom w:w="72" w:type="dxa"/>
              <w:right w:w="144" w:type="dxa"/>
            </w:tcMar>
          </w:tcPr>
          <w:p w14:paraId="5EB19289" w14:textId="1F8B0F38" w:rsidR="007E0EFC" w:rsidRPr="009E6278" w:rsidRDefault="007E0EFC" w:rsidP="005013D8">
            <w:pPr>
              <w:rPr>
                <w:bCs/>
                <w:sz w:val="16"/>
                <w:szCs w:val="16"/>
                <w:lang w:val="en-GB"/>
              </w:rPr>
            </w:pPr>
            <w:r w:rsidRPr="009E6278">
              <w:rPr>
                <w:sz w:val="16"/>
                <w:szCs w:val="16"/>
                <w:lang w:val="en-GB"/>
              </w:rPr>
              <w:t>Proportion of the population who have experienced a dispute in the past two years and accessed a formal or informal dispute resolution mechanism, by type of mechanism</w:t>
            </w:r>
          </w:p>
          <w:p w14:paraId="4D38D650" w14:textId="11484336" w:rsidR="007E0EFC" w:rsidRPr="009E6278" w:rsidRDefault="007E0EFC" w:rsidP="005013D8">
            <w:pPr>
              <w:rPr>
                <w:sz w:val="16"/>
                <w:szCs w:val="16"/>
                <w:lang w:val="en-GB"/>
              </w:rPr>
            </w:pPr>
            <w:r w:rsidRPr="009E6278">
              <w:rPr>
                <w:sz w:val="16"/>
                <w:szCs w:val="16"/>
                <w:lang w:val="en-GB"/>
              </w:rPr>
              <w:t xml:space="preserve">Baseline 2022: </w:t>
            </w:r>
            <w:r w:rsidR="00995C56" w:rsidRPr="00547151">
              <w:rPr>
                <w:sz w:val="16"/>
                <w:szCs w:val="16"/>
                <w:lang w:val="en-GB"/>
              </w:rPr>
              <w:t>To be confirmed (</w:t>
            </w:r>
            <w:r w:rsidRPr="009E6278">
              <w:rPr>
                <w:sz w:val="16"/>
                <w:szCs w:val="16"/>
                <w:lang w:val="en-GB"/>
              </w:rPr>
              <w:t>TBC</w:t>
            </w:r>
            <w:r w:rsidR="00995C56" w:rsidRPr="00547151">
              <w:rPr>
                <w:sz w:val="16"/>
                <w:szCs w:val="16"/>
                <w:lang w:val="en-GB"/>
              </w:rPr>
              <w:t>)</w:t>
            </w:r>
            <w:r w:rsidRPr="009E6278">
              <w:rPr>
                <w:sz w:val="16"/>
                <w:szCs w:val="16"/>
                <w:lang w:val="en-GB"/>
              </w:rPr>
              <w:t xml:space="preserve"> </w:t>
            </w:r>
          </w:p>
          <w:p w14:paraId="1882A982" w14:textId="34D3880C" w:rsidR="007E0EFC" w:rsidRPr="009E6278" w:rsidRDefault="007E0EFC" w:rsidP="005013D8">
            <w:pPr>
              <w:rPr>
                <w:sz w:val="16"/>
                <w:szCs w:val="16"/>
                <w:lang w:val="en-GB"/>
              </w:rPr>
            </w:pPr>
            <w:r w:rsidRPr="009E6278">
              <w:rPr>
                <w:sz w:val="16"/>
                <w:szCs w:val="16"/>
                <w:lang w:val="en-GB"/>
              </w:rPr>
              <w:t>Target 2026</w:t>
            </w:r>
            <w:r w:rsidR="003075FA" w:rsidRPr="00547151">
              <w:rPr>
                <w:sz w:val="16"/>
                <w:szCs w:val="16"/>
                <w:lang w:val="en-GB"/>
              </w:rPr>
              <w:t>:</w:t>
            </w:r>
            <w:r w:rsidRPr="009E6278">
              <w:rPr>
                <w:sz w:val="16"/>
                <w:szCs w:val="16"/>
                <w:lang w:val="en-GB"/>
              </w:rPr>
              <w:t xml:space="preserve"> TBC </w:t>
            </w:r>
          </w:p>
          <w:p w14:paraId="67ADB006" w14:textId="17479530" w:rsidR="007E0EFC" w:rsidRPr="009E6278" w:rsidRDefault="0033172B" w:rsidP="005013D8">
            <w:pPr>
              <w:rPr>
                <w:bCs/>
                <w:sz w:val="16"/>
                <w:szCs w:val="16"/>
                <w:lang w:val="en-GB"/>
              </w:rPr>
            </w:pPr>
            <w:r w:rsidRPr="009E6278">
              <w:rPr>
                <w:bCs/>
                <w:sz w:val="16"/>
                <w:szCs w:val="16"/>
                <w:lang w:val="en-GB"/>
              </w:rPr>
              <w:t>Frequency:</w:t>
            </w:r>
            <w:r w:rsidR="00786AE9" w:rsidRPr="009E6278">
              <w:rPr>
                <w:bCs/>
                <w:sz w:val="16"/>
                <w:szCs w:val="16"/>
                <w:lang w:val="en-GB"/>
              </w:rPr>
              <w:t xml:space="preserve"> Annual</w:t>
            </w:r>
          </w:p>
          <w:p w14:paraId="0D46C12E" w14:textId="77777777" w:rsidR="007E0EFC" w:rsidRPr="009E6278" w:rsidRDefault="007E0EFC" w:rsidP="005013D8">
            <w:pPr>
              <w:rPr>
                <w:bCs/>
                <w:sz w:val="16"/>
                <w:szCs w:val="16"/>
                <w:lang w:val="en-GB"/>
              </w:rPr>
            </w:pPr>
          </w:p>
          <w:p w14:paraId="6E6DC3DF" w14:textId="77777777" w:rsidR="007E0EFC" w:rsidRPr="009E6278" w:rsidRDefault="007E0EFC" w:rsidP="005013D8">
            <w:pPr>
              <w:rPr>
                <w:bCs/>
                <w:sz w:val="16"/>
                <w:szCs w:val="16"/>
                <w:lang w:val="en-GB"/>
              </w:rPr>
            </w:pPr>
          </w:p>
          <w:p w14:paraId="04002AC4" w14:textId="77777777" w:rsidR="007E0EFC" w:rsidRPr="009E6278" w:rsidRDefault="007E0EFC" w:rsidP="005013D8">
            <w:pPr>
              <w:rPr>
                <w:bCs/>
                <w:sz w:val="16"/>
                <w:szCs w:val="16"/>
                <w:lang w:val="en-GB"/>
              </w:rPr>
            </w:pPr>
          </w:p>
          <w:p w14:paraId="15755249" w14:textId="77777777" w:rsidR="007E0EFC" w:rsidRPr="009E6278" w:rsidRDefault="007E0EFC" w:rsidP="005013D8">
            <w:pPr>
              <w:rPr>
                <w:bCs/>
                <w:sz w:val="16"/>
                <w:szCs w:val="16"/>
                <w:lang w:val="en-GB"/>
              </w:rPr>
            </w:pPr>
          </w:p>
          <w:p w14:paraId="50E26D05" w14:textId="77777777" w:rsidR="007E0EFC" w:rsidRPr="009E6278" w:rsidRDefault="007E0EFC" w:rsidP="005013D8">
            <w:pPr>
              <w:rPr>
                <w:bCs/>
                <w:sz w:val="16"/>
                <w:szCs w:val="16"/>
                <w:lang w:val="en-GB"/>
              </w:rPr>
            </w:pPr>
          </w:p>
          <w:p w14:paraId="197D42FE" w14:textId="77777777" w:rsidR="007E0EFC" w:rsidRPr="009E6278" w:rsidRDefault="007E0EFC" w:rsidP="005013D8">
            <w:pPr>
              <w:rPr>
                <w:bCs/>
                <w:sz w:val="16"/>
                <w:szCs w:val="16"/>
                <w:lang w:val="en-GB"/>
              </w:rPr>
            </w:pPr>
          </w:p>
          <w:p w14:paraId="757FCC82" w14:textId="77777777" w:rsidR="007E0EFC" w:rsidRPr="009E6278" w:rsidRDefault="007E0EFC" w:rsidP="005013D8">
            <w:pPr>
              <w:rPr>
                <w:bCs/>
                <w:sz w:val="16"/>
                <w:szCs w:val="16"/>
                <w:lang w:val="en-GB"/>
              </w:rPr>
            </w:pPr>
          </w:p>
          <w:p w14:paraId="42D586F2" w14:textId="77777777" w:rsidR="007E0EFC" w:rsidRPr="009E6278" w:rsidRDefault="007E0EFC" w:rsidP="005013D8">
            <w:pPr>
              <w:rPr>
                <w:bCs/>
                <w:sz w:val="16"/>
                <w:szCs w:val="16"/>
                <w:lang w:val="en-GB"/>
              </w:rPr>
            </w:pPr>
          </w:p>
          <w:p w14:paraId="14A6C52A" w14:textId="77777777" w:rsidR="007E0EFC" w:rsidRPr="009E6278" w:rsidRDefault="007E0EFC" w:rsidP="005013D8">
            <w:pPr>
              <w:rPr>
                <w:bCs/>
                <w:sz w:val="16"/>
                <w:szCs w:val="16"/>
                <w:lang w:val="en-GB"/>
              </w:rPr>
            </w:pPr>
          </w:p>
          <w:p w14:paraId="5CE6882A" w14:textId="77777777" w:rsidR="007E0EFC" w:rsidRPr="009E6278" w:rsidRDefault="007E0EFC" w:rsidP="005013D8">
            <w:pPr>
              <w:rPr>
                <w:bCs/>
                <w:sz w:val="16"/>
                <w:szCs w:val="16"/>
                <w:lang w:val="en-GB"/>
              </w:rPr>
            </w:pPr>
          </w:p>
          <w:p w14:paraId="13029E09" w14:textId="77777777" w:rsidR="007E0EFC" w:rsidRPr="009E6278" w:rsidRDefault="007E0EFC" w:rsidP="005013D8">
            <w:pPr>
              <w:rPr>
                <w:bCs/>
                <w:sz w:val="16"/>
                <w:szCs w:val="16"/>
                <w:lang w:val="en-GB"/>
              </w:rPr>
            </w:pPr>
          </w:p>
          <w:p w14:paraId="66756C86" w14:textId="77777777" w:rsidR="007E0EFC" w:rsidRPr="009E6278" w:rsidRDefault="007E0EFC" w:rsidP="005013D8">
            <w:pPr>
              <w:rPr>
                <w:bCs/>
                <w:sz w:val="16"/>
                <w:szCs w:val="16"/>
                <w:lang w:val="en-GB"/>
              </w:rPr>
            </w:pPr>
          </w:p>
          <w:p w14:paraId="41D145CB" w14:textId="77777777" w:rsidR="007E0EFC" w:rsidRPr="009E6278" w:rsidRDefault="007E0EFC" w:rsidP="005013D8">
            <w:pPr>
              <w:rPr>
                <w:bCs/>
                <w:sz w:val="16"/>
                <w:szCs w:val="16"/>
                <w:lang w:val="en-GB"/>
              </w:rPr>
            </w:pPr>
          </w:p>
          <w:p w14:paraId="146F52EB" w14:textId="77777777" w:rsidR="007E0EFC" w:rsidRPr="009E6278" w:rsidRDefault="007E0EFC" w:rsidP="005013D8">
            <w:pPr>
              <w:rPr>
                <w:bCs/>
                <w:sz w:val="16"/>
                <w:szCs w:val="16"/>
                <w:lang w:val="en-GB"/>
              </w:rPr>
            </w:pPr>
          </w:p>
          <w:p w14:paraId="0DCCB081" w14:textId="77777777" w:rsidR="007E0EFC" w:rsidRPr="009E6278" w:rsidRDefault="007E0EFC" w:rsidP="005013D8">
            <w:pPr>
              <w:rPr>
                <w:bCs/>
                <w:sz w:val="16"/>
                <w:szCs w:val="16"/>
                <w:lang w:val="en-GB"/>
              </w:rPr>
            </w:pPr>
          </w:p>
          <w:p w14:paraId="009C0202" w14:textId="77777777" w:rsidR="007E0EFC" w:rsidRPr="009E6278" w:rsidRDefault="007E0EFC" w:rsidP="005013D8">
            <w:pPr>
              <w:rPr>
                <w:bCs/>
                <w:sz w:val="16"/>
                <w:szCs w:val="16"/>
                <w:lang w:val="en-GB"/>
              </w:rPr>
            </w:pPr>
          </w:p>
          <w:p w14:paraId="7C05C297" w14:textId="77777777" w:rsidR="007E0EFC" w:rsidRPr="009E6278" w:rsidRDefault="007E0EFC" w:rsidP="005013D8">
            <w:pPr>
              <w:rPr>
                <w:bCs/>
                <w:sz w:val="16"/>
                <w:szCs w:val="16"/>
                <w:lang w:val="en-GB"/>
              </w:rPr>
            </w:pPr>
          </w:p>
          <w:p w14:paraId="04072015" w14:textId="77777777" w:rsidR="007E0EFC" w:rsidRPr="009E6278" w:rsidRDefault="007E0EFC" w:rsidP="005013D8">
            <w:pPr>
              <w:rPr>
                <w:bCs/>
                <w:sz w:val="16"/>
                <w:szCs w:val="16"/>
                <w:lang w:val="en-GB"/>
              </w:rPr>
            </w:pPr>
          </w:p>
          <w:p w14:paraId="206682FF" w14:textId="77777777" w:rsidR="007E0EFC" w:rsidRPr="009E6278" w:rsidRDefault="007E0EFC" w:rsidP="005013D8">
            <w:pPr>
              <w:rPr>
                <w:bCs/>
                <w:sz w:val="16"/>
                <w:szCs w:val="16"/>
                <w:lang w:val="en-GB"/>
              </w:rPr>
            </w:pPr>
          </w:p>
          <w:p w14:paraId="17BC416A" w14:textId="77777777" w:rsidR="007E0EFC" w:rsidRPr="009E6278" w:rsidRDefault="007E0EFC" w:rsidP="005013D8">
            <w:pPr>
              <w:rPr>
                <w:bCs/>
                <w:sz w:val="16"/>
                <w:szCs w:val="16"/>
                <w:lang w:val="en-GB"/>
              </w:rPr>
            </w:pPr>
          </w:p>
          <w:p w14:paraId="2C262BA4" w14:textId="77777777" w:rsidR="007E0EFC" w:rsidRPr="009E6278" w:rsidRDefault="007E0EFC" w:rsidP="005013D8">
            <w:pPr>
              <w:rPr>
                <w:bCs/>
                <w:sz w:val="16"/>
                <w:szCs w:val="16"/>
                <w:lang w:val="en-GB"/>
              </w:rPr>
            </w:pPr>
          </w:p>
          <w:p w14:paraId="4F650BE4" w14:textId="77777777" w:rsidR="007E0EFC" w:rsidRPr="009E6278" w:rsidRDefault="007E0EFC" w:rsidP="005013D8">
            <w:pPr>
              <w:rPr>
                <w:bCs/>
                <w:sz w:val="16"/>
                <w:szCs w:val="16"/>
                <w:lang w:val="en-GB"/>
              </w:rPr>
            </w:pPr>
          </w:p>
          <w:p w14:paraId="72861772" w14:textId="77777777" w:rsidR="007E0EFC" w:rsidRPr="009E6278" w:rsidRDefault="007E0EFC" w:rsidP="005013D8">
            <w:pPr>
              <w:rPr>
                <w:bCs/>
                <w:sz w:val="16"/>
                <w:szCs w:val="16"/>
                <w:lang w:val="en-GB"/>
              </w:rPr>
            </w:pPr>
          </w:p>
          <w:p w14:paraId="1D3E66A7" w14:textId="77777777" w:rsidR="007E0EFC" w:rsidRPr="009E6278" w:rsidRDefault="007E0EFC" w:rsidP="005013D8">
            <w:pPr>
              <w:rPr>
                <w:bCs/>
                <w:sz w:val="16"/>
                <w:szCs w:val="16"/>
                <w:lang w:val="en-GB"/>
              </w:rPr>
            </w:pPr>
          </w:p>
          <w:p w14:paraId="7DF4E06B" w14:textId="77777777" w:rsidR="007E0EFC" w:rsidRPr="009E6278" w:rsidRDefault="007E0EFC" w:rsidP="005013D8">
            <w:pPr>
              <w:rPr>
                <w:bCs/>
                <w:sz w:val="16"/>
                <w:szCs w:val="16"/>
                <w:lang w:val="en-GB"/>
              </w:rPr>
            </w:pPr>
          </w:p>
          <w:p w14:paraId="36525B36" w14:textId="77777777" w:rsidR="007E0EFC" w:rsidRPr="009E6278" w:rsidRDefault="007E0EFC" w:rsidP="005013D8">
            <w:pPr>
              <w:rPr>
                <w:bCs/>
                <w:sz w:val="16"/>
                <w:szCs w:val="16"/>
                <w:lang w:val="en-GB"/>
              </w:rPr>
            </w:pPr>
          </w:p>
          <w:p w14:paraId="108207A7" w14:textId="77777777" w:rsidR="007E0EFC" w:rsidRPr="009E6278" w:rsidRDefault="007E0EFC" w:rsidP="005013D8">
            <w:pPr>
              <w:rPr>
                <w:bCs/>
                <w:sz w:val="16"/>
                <w:szCs w:val="16"/>
                <w:lang w:val="en-GB"/>
              </w:rPr>
            </w:pPr>
          </w:p>
          <w:p w14:paraId="676C4DC2" w14:textId="77777777" w:rsidR="007E0EFC" w:rsidRPr="009E6278" w:rsidRDefault="007E0EFC" w:rsidP="005013D8">
            <w:pPr>
              <w:rPr>
                <w:bCs/>
                <w:sz w:val="16"/>
                <w:szCs w:val="16"/>
                <w:lang w:val="en-GB"/>
              </w:rPr>
            </w:pPr>
          </w:p>
          <w:p w14:paraId="40EFFF3E" w14:textId="77777777" w:rsidR="007E0EFC" w:rsidRPr="009E6278" w:rsidRDefault="007E0EFC" w:rsidP="005013D8">
            <w:pPr>
              <w:rPr>
                <w:bCs/>
                <w:sz w:val="16"/>
                <w:szCs w:val="16"/>
                <w:lang w:val="en-GB"/>
              </w:rPr>
            </w:pPr>
          </w:p>
          <w:p w14:paraId="521FB95A" w14:textId="77777777" w:rsidR="007E0EFC" w:rsidRPr="009E6278" w:rsidRDefault="007E0EFC" w:rsidP="005013D8">
            <w:pPr>
              <w:rPr>
                <w:bCs/>
                <w:sz w:val="16"/>
                <w:szCs w:val="16"/>
                <w:lang w:val="en-GB"/>
              </w:rPr>
            </w:pPr>
          </w:p>
          <w:p w14:paraId="261684A5" w14:textId="77777777" w:rsidR="007E0EFC" w:rsidRPr="009E6278" w:rsidRDefault="007E0EFC" w:rsidP="005013D8">
            <w:pPr>
              <w:rPr>
                <w:bCs/>
                <w:sz w:val="16"/>
                <w:szCs w:val="16"/>
                <w:lang w:val="en-GB"/>
              </w:rPr>
            </w:pPr>
          </w:p>
          <w:p w14:paraId="48EB6457" w14:textId="77777777" w:rsidR="007E0EFC" w:rsidRPr="009E6278" w:rsidRDefault="007E0EFC" w:rsidP="005013D8">
            <w:pPr>
              <w:rPr>
                <w:bCs/>
                <w:sz w:val="16"/>
                <w:szCs w:val="16"/>
                <w:lang w:val="en-GB"/>
              </w:rPr>
            </w:pPr>
          </w:p>
          <w:p w14:paraId="09753281" w14:textId="77777777" w:rsidR="007E0EFC" w:rsidRPr="009E6278" w:rsidRDefault="007E0EFC" w:rsidP="005013D8">
            <w:pPr>
              <w:rPr>
                <w:bCs/>
                <w:sz w:val="16"/>
                <w:szCs w:val="16"/>
                <w:lang w:val="en-GB"/>
              </w:rPr>
            </w:pPr>
          </w:p>
          <w:p w14:paraId="701F2A9E" w14:textId="77777777" w:rsidR="007E0EFC" w:rsidRPr="009E6278" w:rsidRDefault="007E0EFC" w:rsidP="005013D8">
            <w:pPr>
              <w:rPr>
                <w:bCs/>
                <w:sz w:val="16"/>
                <w:szCs w:val="16"/>
                <w:lang w:val="en-GB"/>
              </w:rPr>
            </w:pPr>
          </w:p>
          <w:p w14:paraId="76B2F298" w14:textId="77777777" w:rsidR="007E0EFC" w:rsidRPr="009E6278" w:rsidRDefault="007E0EFC" w:rsidP="005013D8">
            <w:pPr>
              <w:rPr>
                <w:bCs/>
                <w:sz w:val="16"/>
                <w:szCs w:val="16"/>
                <w:lang w:val="en-GB"/>
              </w:rPr>
            </w:pPr>
          </w:p>
          <w:p w14:paraId="4A11B385" w14:textId="77777777" w:rsidR="007E0EFC" w:rsidRPr="009E6278" w:rsidRDefault="007E0EFC" w:rsidP="005013D8">
            <w:pPr>
              <w:rPr>
                <w:bCs/>
                <w:sz w:val="16"/>
                <w:szCs w:val="16"/>
                <w:lang w:val="en-GB"/>
              </w:rPr>
            </w:pPr>
          </w:p>
          <w:p w14:paraId="2420CA5D" w14:textId="77777777" w:rsidR="007E0EFC" w:rsidRPr="009E6278" w:rsidRDefault="007E0EFC" w:rsidP="005013D8">
            <w:pPr>
              <w:rPr>
                <w:bCs/>
                <w:sz w:val="16"/>
                <w:szCs w:val="16"/>
                <w:lang w:val="en-GB"/>
              </w:rPr>
            </w:pPr>
          </w:p>
          <w:p w14:paraId="19000B7C" w14:textId="77777777" w:rsidR="007E0EFC" w:rsidRPr="009E6278" w:rsidRDefault="007E0EFC" w:rsidP="005013D8">
            <w:pPr>
              <w:rPr>
                <w:bCs/>
                <w:sz w:val="16"/>
                <w:szCs w:val="16"/>
                <w:lang w:val="en-GB"/>
              </w:rPr>
            </w:pPr>
          </w:p>
          <w:p w14:paraId="31C54247" w14:textId="77777777" w:rsidR="007E0EFC" w:rsidRPr="009E6278" w:rsidRDefault="007E0EFC" w:rsidP="005013D8">
            <w:pPr>
              <w:rPr>
                <w:bCs/>
                <w:sz w:val="16"/>
                <w:szCs w:val="16"/>
                <w:lang w:val="en-GB"/>
              </w:rPr>
            </w:pPr>
          </w:p>
          <w:p w14:paraId="778C7A67" w14:textId="77777777" w:rsidR="007E0EFC" w:rsidRPr="009E6278" w:rsidRDefault="007E0EFC" w:rsidP="005013D8">
            <w:pPr>
              <w:rPr>
                <w:bCs/>
                <w:sz w:val="16"/>
                <w:szCs w:val="16"/>
                <w:lang w:val="en-GB"/>
              </w:rPr>
            </w:pPr>
          </w:p>
          <w:p w14:paraId="6340AEBD" w14:textId="77777777" w:rsidR="007E0EFC" w:rsidRPr="009E6278" w:rsidRDefault="007E0EFC" w:rsidP="005013D8">
            <w:pPr>
              <w:rPr>
                <w:bCs/>
                <w:sz w:val="16"/>
                <w:szCs w:val="16"/>
                <w:lang w:val="en-GB"/>
              </w:rPr>
            </w:pPr>
          </w:p>
          <w:p w14:paraId="437C6319" w14:textId="77777777" w:rsidR="007E0EFC" w:rsidRPr="009E6278" w:rsidRDefault="007E0EFC" w:rsidP="005013D8">
            <w:pPr>
              <w:rPr>
                <w:bCs/>
                <w:sz w:val="16"/>
                <w:szCs w:val="16"/>
                <w:lang w:val="en-GB"/>
              </w:rPr>
            </w:pPr>
          </w:p>
          <w:p w14:paraId="15F29924" w14:textId="77777777" w:rsidR="007E0EFC" w:rsidRPr="009E6278" w:rsidRDefault="007E0EFC" w:rsidP="005013D8">
            <w:pPr>
              <w:rPr>
                <w:bCs/>
                <w:sz w:val="16"/>
                <w:szCs w:val="16"/>
                <w:lang w:val="en-GB"/>
              </w:rPr>
            </w:pPr>
          </w:p>
          <w:p w14:paraId="16E9B281" w14:textId="77777777" w:rsidR="007E0EFC" w:rsidRPr="009E6278" w:rsidRDefault="007E0EFC" w:rsidP="005013D8">
            <w:pPr>
              <w:rPr>
                <w:bCs/>
                <w:sz w:val="16"/>
                <w:szCs w:val="16"/>
                <w:lang w:val="en-GB"/>
              </w:rPr>
            </w:pPr>
          </w:p>
          <w:p w14:paraId="1E71A9BA" w14:textId="77777777" w:rsidR="007E0EFC" w:rsidRPr="009E6278" w:rsidRDefault="007E0EFC" w:rsidP="005013D8">
            <w:pPr>
              <w:rPr>
                <w:bCs/>
                <w:sz w:val="16"/>
                <w:szCs w:val="16"/>
                <w:lang w:val="en-GB"/>
              </w:rPr>
            </w:pPr>
          </w:p>
          <w:p w14:paraId="0988F427" w14:textId="77777777" w:rsidR="007E0EFC" w:rsidRPr="009E6278" w:rsidRDefault="007E0EFC" w:rsidP="005013D8">
            <w:pPr>
              <w:rPr>
                <w:bCs/>
                <w:sz w:val="16"/>
                <w:szCs w:val="16"/>
                <w:lang w:val="en-GB"/>
              </w:rPr>
            </w:pPr>
          </w:p>
          <w:p w14:paraId="660B3CC1" w14:textId="77777777" w:rsidR="007E0EFC" w:rsidRPr="009E6278" w:rsidRDefault="007E0EFC" w:rsidP="005013D8">
            <w:pPr>
              <w:rPr>
                <w:bCs/>
                <w:sz w:val="16"/>
                <w:szCs w:val="16"/>
                <w:lang w:val="en-GB"/>
              </w:rPr>
            </w:pPr>
          </w:p>
          <w:p w14:paraId="5826A7FB" w14:textId="77777777" w:rsidR="007E0EFC" w:rsidRPr="009E6278" w:rsidRDefault="007E0EFC" w:rsidP="005013D8">
            <w:pPr>
              <w:rPr>
                <w:bCs/>
                <w:sz w:val="16"/>
                <w:szCs w:val="16"/>
                <w:lang w:val="en-GB"/>
              </w:rPr>
            </w:pPr>
          </w:p>
          <w:p w14:paraId="5E07294A" w14:textId="77777777" w:rsidR="007E0EFC" w:rsidRPr="009E6278" w:rsidRDefault="007E0EFC" w:rsidP="005013D8">
            <w:pPr>
              <w:rPr>
                <w:bCs/>
                <w:sz w:val="16"/>
                <w:szCs w:val="16"/>
                <w:lang w:val="en-GB"/>
              </w:rPr>
            </w:pPr>
          </w:p>
          <w:p w14:paraId="53C7E54E" w14:textId="77777777" w:rsidR="007E0EFC" w:rsidRPr="009E6278" w:rsidRDefault="007E0EFC" w:rsidP="005013D8">
            <w:pPr>
              <w:rPr>
                <w:bCs/>
                <w:sz w:val="16"/>
                <w:szCs w:val="16"/>
                <w:lang w:val="en-GB"/>
              </w:rPr>
            </w:pPr>
          </w:p>
          <w:p w14:paraId="36B4D0FB" w14:textId="77777777" w:rsidR="007E0EFC" w:rsidRPr="009E6278" w:rsidRDefault="007E0EFC" w:rsidP="005013D8">
            <w:pPr>
              <w:rPr>
                <w:bCs/>
                <w:sz w:val="16"/>
                <w:szCs w:val="16"/>
                <w:lang w:val="en-GB"/>
              </w:rPr>
            </w:pPr>
          </w:p>
          <w:p w14:paraId="51C1F963" w14:textId="77777777" w:rsidR="007E0EFC" w:rsidRPr="009E6278" w:rsidRDefault="007E0EFC" w:rsidP="005013D8">
            <w:pPr>
              <w:rPr>
                <w:bCs/>
                <w:sz w:val="16"/>
                <w:szCs w:val="16"/>
                <w:lang w:val="en-GB"/>
              </w:rPr>
            </w:pPr>
          </w:p>
          <w:p w14:paraId="19891A64" w14:textId="77777777" w:rsidR="007E0EFC" w:rsidRPr="009E6278" w:rsidRDefault="007E0EFC" w:rsidP="005013D8">
            <w:pPr>
              <w:rPr>
                <w:bCs/>
                <w:sz w:val="16"/>
                <w:szCs w:val="16"/>
                <w:lang w:val="en-GB"/>
              </w:rPr>
            </w:pPr>
          </w:p>
          <w:p w14:paraId="3BC6367C" w14:textId="77777777" w:rsidR="007E0EFC" w:rsidRPr="009E6278" w:rsidRDefault="007E0EFC" w:rsidP="005013D8">
            <w:pPr>
              <w:rPr>
                <w:bCs/>
                <w:sz w:val="16"/>
                <w:szCs w:val="16"/>
                <w:lang w:val="en-GB"/>
              </w:rPr>
            </w:pPr>
          </w:p>
          <w:p w14:paraId="3E2509D0" w14:textId="77777777" w:rsidR="007E0EFC" w:rsidRPr="009E6278" w:rsidRDefault="007E0EFC" w:rsidP="005013D8">
            <w:pPr>
              <w:rPr>
                <w:bCs/>
                <w:sz w:val="16"/>
                <w:szCs w:val="16"/>
                <w:lang w:val="en-GB"/>
              </w:rPr>
            </w:pPr>
          </w:p>
          <w:p w14:paraId="2DF65771" w14:textId="77777777" w:rsidR="007E0EFC" w:rsidRPr="009E6278" w:rsidRDefault="007E0EFC" w:rsidP="005013D8">
            <w:pPr>
              <w:rPr>
                <w:bCs/>
                <w:sz w:val="16"/>
                <w:szCs w:val="16"/>
                <w:lang w:val="en-GB"/>
              </w:rPr>
            </w:pPr>
          </w:p>
          <w:p w14:paraId="5E854C96" w14:textId="77777777" w:rsidR="007E0EFC" w:rsidRPr="009E6278" w:rsidRDefault="007E0EFC" w:rsidP="005013D8">
            <w:pPr>
              <w:rPr>
                <w:bCs/>
                <w:sz w:val="16"/>
                <w:szCs w:val="16"/>
                <w:lang w:val="en-GB"/>
              </w:rPr>
            </w:pPr>
          </w:p>
          <w:p w14:paraId="3AD7FBB9" w14:textId="77777777" w:rsidR="007E0EFC" w:rsidRPr="009E6278" w:rsidRDefault="007E0EFC" w:rsidP="005013D8">
            <w:pPr>
              <w:rPr>
                <w:bCs/>
                <w:sz w:val="16"/>
                <w:szCs w:val="16"/>
                <w:lang w:val="en-GB"/>
              </w:rPr>
            </w:pPr>
          </w:p>
          <w:p w14:paraId="0AE0AAE6" w14:textId="77777777" w:rsidR="007E0EFC" w:rsidRPr="009E6278" w:rsidRDefault="007E0EFC" w:rsidP="005013D8">
            <w:pPr>
              <w:rPr>
                <w:bCs/>
                <w:sz w:val="16"/>
                <w:szCs w:val="16"/>
                <w:lang w:val="en-GB"/>
              </w:rPr>
            </w:pPr>
          </w:p>
          <w:p w14:paraId="6808DFFE" w14:textId="77777777" w:rsidR="007E0EFC" w:rsidRPr="009E6278" w:rsidRDefault="007E0EFC" w:rsidP="005013D8">
            <w:pPr>
              <w:rPr>
                <w:bCs/>
                <w:sz w:val="16"/>
                <w:szCs w:val="16"/>
                <w:lang w:val="en-GB"/>
              </w:rPr>
            </w:pPr>
          </w:p>
          <w:p w14:paraId="3785F415" w14:textId="77777777" w:rsidR="007E0EFC" w:rsidRPr="009E6278" w:rsidRDefault="007E0EFC" w:rsidP="005013D8">
            <w:pPr>
              <w:rPr>
                <w:bCs/>
                <w:sz w:val="16"/>
                <w:szCs w:val="16"/>
                <w:lang w:val="en-GB"/>
              </w:rPr>
            </w:pPr>
          </w:p>
          <w:p w14:paraId="28F1972E" w14:textId="77777777" w:rsidR="007E0EFC" w:rsidRPr="009E6278" w:rsidRDefault="007E0EFC" w:rsidP="005013D8">
            <w:pPr>
              <w:rPr>
                <w:bCs/>
                <w:sz w:val="16"/>
                <w:szCs w:val="16"/>
                <w:lang w:val="en-GB"/>
              </w:rPr>
            </w:pPr>
          </w:p>
          <w:p w14:paraId="57419979" w14:textId="77777777" w:rsidR="007E0EFC" w:rsidRPr="009E6278" w:rsidRDefault="007E0EFC" w:rsidP="005013D8">
            <w:pPr>
              <w:rPr>
                <w:bCs/>
                <w:sz w:val="16"/>
                <w:szCs w:val="16"/>
                <w:lang w:val="en-GB"/>
              </w:rPr>
            </w:pPr>
          </w:p>
          <w:p w14:paraId="0AA9A807" w14:textId="77777777" w:rsidR="007E0EFC" w:rsidRPr="009E6278" w:rsidRDefault="007E0EFC" w:rsidP="005013D8">
            <w:pPr>
              <w:rPr>
                <w:bCs/>
                <w:sz w:val="16"/>
                <w:szCs w:val="16"/>
                <w:lang w:val="en-GB"/>
              </w:rPr>
            </w:pPr>
          </w:p>
          <w:p w14:paraId="299FCBB1" w14:textId="77777777" w:rsidR="007E0EFC" w:rsidRPr="009E6278" w:rsidRDefault="007E0EFC" w:rsidP="005013D8">
            <w:pPr>
              <w:rPr>
                <w:bCs/>
                <w:sz w:val="16"/>
                <w:szCs w:val="16"/>
                <w:lang w:val="en-GB"/>
              </w:rPr>
            </w:pPr>
          </w:p>
          <w:p w14:paraId="72561326" w14:textId="77777777" w:rsidR="007E0EFC" w:rsidRPr="009E6278" w:rsidRDefault="007E0EFC" w:rsidP="005013D8">
            <w:pPr>
              <w:rPr>
                <w:bCs/>
                <w:sz w:val="16"/>
                <w:szCs w:val="16"/>
                <w:lang w:val="en-GB"/>
              </w:rPr>
            </w:pPr>
          </w:p>
          <w:p w14:paraId="6B298E71" w14:textId="77777777" w:rsidR="007E0EFC" w:rsidRPr="009E6278" w:rsidRDefault="007E0EFC" w:rsidP="005013D8">
            <w:pPr>
              <w:rPr>
                <w:bCs/>
                <w:sz w:val="16"/>
                <w:szCs w:val="16"/>
                <w:lang w:val="en-GB"/>
              </w:rPr>
            </w:pPr>
          </w:p>
          <w:p w14:paraId="344A65C9" w14:textId="77777777" w:rsidR="007E0EFC" w:rsidRPr="009E6278" w:rsidRDefault="007E0EFC" w:rsidP="005013D8">
            <w:pPr>
              <w:rPr>
                <w:bCs/>
                <w:sz w:val="16"/>
                <w:szCs w:val="16"/>
                <w:lang w:val="en-GB"/>
              </w:rPr>
            </w:pPr>
          </w:p>
          <w:p w14:paraId="252F96AE" w14:textId="77777777" w:rsidR="007E0EFC" w:rsidRPr="009E6278" w:rsidRDefault="007E0EFC" w:rsidP="005013D8">
            <w:pPr>
              <w:rPr>
                <w:bCs/>
                <w:sz w:val="16"/>
                <w:szCs w:val="16"/>
                <w:lang w:val="en-GB"/>
              </w:rPr>
            </w:pPr>
          </w:p>
          <w:p w14:paraId="2DB44FB4" w14:textId="77777777" w:rsidR="007E0EFC" w:rsidRPr="009E6278" w:rsidRDefault="007E0EFC" w:rsidP="005013D8">
            <w:pPr>
              <w:rPr>
                <w:bCs/>
                <w:sz w:val="16"/>
                <w:szCs w:val="16"/>
                <w:lang w:val="en-GB"/>
              </w:rPr>
            </w:pPr>
          </w:p>
          <w:p w14:paraId="79627298" w14:textId="77777777" w:rsidR="007E0EFC" w:rsidRPr="009E6278" w:rsidRDefault="007E0EFC" w:rsidP="005013D8">
            <w:pPr>
              <w:rPr>
                <w:bCs/>
                <w:sz w:val="16"/>
                <w:szCs w:val="16"/>
                <w:lang w:val="en-GB"/>
              </w:rPr>
            </w:pPr>
          </w:p>
          <w:p w14:paraId="50D338FD" w14:textId="77777777" w:rsidR="007E0EFC" w:rsidRPr="009E6278" w:rsidRDefault="007E0EFC" w:rsidP="005013D8">
            <w:pPr>
              <w:rPr>
                <w:bCs/>
                <w:sz w:val="16"/>
                <w:szCs w:val="16"/>
                <w:lang w:val="en-GB"/>
              </w:rPr>
            </w:pPr>
          </w:p>
          <w:p w14:paraId="523E20D8" w14:textId="77777777" w:rsidR="007E0EFC" w:rsidRPr="009E6278" w:rsidRDefault="007E0EFC" w:rsidP="005013D8">
            <w:pPr>
              <w:rPr>
                <w:bCs/>
                <w:sz w:val="16"/>
                <w:szCs w:val="16"/>
                <w:lang w:val="en-GB"/>
              </w:rPr>
            </w:pPr>
          </w:p>
          <w:p w14:paraId="347EDDA1" w14:textId="77777777" w:rsidR="007E0EFC" w:rsidRPr="009E6278" w:rsidRDefault="007E0EFC" w:rsidP="005013D8">
            <w:pPr>
              <w:rPr>
                <w:bCs/>
                <w:sz w:val="16"/>
                <w:szCs w:val="16"/>
                <w:lang w:val="en-GB"/>
              </w:rPr>
            </w:pPr>
          </w:p>
          <w:p w14:paraId="02093731" w14:textId="77777777" w:rsidR="007E0EFC" w:rsidRPr="009E6278" w:rsidRDefault="007E0EFC" w:rsidP="005013D8">
            <w:pPr>
              <w:rPr>
                <w:bCs/>
                <w:sz w:val="16"/>
                <w:szCs w:val="16"/>
                <w:lang w:val="en-GB"/>
              </w:rPr>
            </w:pPr>
          </w:p>
          <w:p w14:paraId="36971424" w14:textId="77777777" w:rsidR="007E0EFC" w:rsidRPr="009E6278" w:rsidRDefault="007E0EFC" w:rsidP="005013D8">
            <w:pPr>
              <w:rPr>
                <w:bCs/>
                <w:sz w:val="16"/>
                <w:szCs w:val="16"/>
                <w:lang w:val="en-GB"/>
              </w:rPr>
            </w:pPr>
          </w:p>
          <w:p w14:paraId="5CEC6B8A" w14:textId="77777777" w:rsidR="007E0EFC" w:rsidRPr="009E6278" w:rsidRDefault="007E0EFC" w:rsidP="005013D8">
            <w:pPr>
              <w:rPr>
                <w:bCs/>
                <w:sz w:val="16"/>
                <w:szCs w:val="16"/>
                <w:lang w:val="en-GB"/>
              </w:rPr>
            </w:pPr>
          </w:p>
          <w:p w14:paraId="74E68265" w14:textId="77777777" w:rsidR="007E0EFC" w:rsidRPr="009E6278" w:rsidRDefault="007E0EFC" w:rsidP="005013D8">
            <w:pPr>
              <w:rPr>
                <w:bCs/>
                <w:sz w:val="16"/>
                <w:szCs w:val="16"/>
                <w:lang w:val="en-GB"/>
              </w:rPr>
            </w:pPr>
          </w:p>
          <w:p w14:paraId="4A2540CC" w14:textId="77777777" w:rsidR="007E0EFC" w:rsidRPr="009E6278" w:rsidRDefault="007E0EFC" w:rsidP="005013D8">
            <w:pPr>
              <w:rPr>
                <w:bCs/>
                <w:sz w:val="16"/>
                <w:szCs w:val="16"/>
                <w:lang w:val="en-GB"/>
              </w:rPr>
            </w:pPr>
          </w:p>
          <w:p w14:paraId="12339F5D" w14:textId="77777777" w:rsidR="007E0EFC" w:rsidRPr="009E6278" w:rsidRDefault="007E0EFC" w:rsidP="005013D8">
            <w:pPr>
              <w:rPr>
                <w:bCs/>
                <w:sz w:val="16"/>
                <w:szCs w:val="16"/>
                <w:lang w:val="en-GB"/>
              </w:rPr>
            </w:pPr>
          </w:p>
          <w:p w14:paraId="617570AD" w14:textId="77777777" w:rsidR="007E0EFC" w:rsidRPr="009E6278" w:rsidRDefault="007E0EFC" w:rsidP="005013D8">
            <w:pPr>
              <w:rPr>
                <w:bCs/>
                <w:sz w:val="16"/>
                <w:szCs w:val="16"/>
                <w:lang w:val="en-GB"/>
              </w:rPr>
            </w:pPr>
          </w:p>
          <w:p w14:paraId="71707808" w14:textId="77777777" w:rsidR="007E0EFC" w:rsidRPr="009E6278" w:rsidRDefault="007E0EFC" w:rsidP="005013D8">
            <w:pPr>
              <w:rPr>
                <w:bCs/>
                <w:sz w:val="16"/>
                <w:szCs w:val="16"/>
                <w:lang w:val="en-GB"/>
              </w:rPr>
            </w:pPr>
          </w:p>
          <w:p w14:paraId="02B9CD49" w14:textId="77777777" w:rsidR="007E0EFC" w:rsidRPr="009E6278" w:rsidRDefault="007E0EFC" w:rsidP="005013D8">
            <w:pPr>
              <w:rPr>
                <w:bCs/>
                <w:sz w:val="16"/>
                <w:szCs w:val="16"/>
                <w:lang w:val="en-GB"/>
              </w:rPr>
            </w:pPr>
          </w:p>
          <w:p w14:paraId="2D051F18" w14:textId="77777777" w:rsidR="007E0EFC" w:rsidRPr="009E6278" w:rsidRDefault="007E0EFC" w:rsidP="005013D8">
            <w:pPr>
              <w:rPr>
                <w:bCs/>
                <w:sz w:val="16"/>
                <w:szCs w:val="16"/>
                <w:lang w:val="en-GB"/>
              </w:rPr>
            </w:pPr>
          </w:p>
          <w:p w14:paraId="3886B0B1" w14:textId="77777777" w:rsidR="007E0EFC" w:rsidRPr="009E6278" w:rsidRDefault="007E0EFC" w:rsidP="005013D8">
            <w:pPr>
              <w:rPr>
                <w:bCs/>
                <w:sz w:val="16"/>
                <w:szCs w:val="16"/>
                <w:lang w:val="en-GB"/>
              </w:rPr>
            </w:pPr>
          </w:p>
          <w:p w14:paraId="22354008" w14:textId="77777777" w:rsidR="007E0EFC" w:rsidRPr="009E6278" w:rsidRDefault="007E0EFC" w:rsidP="005013D8">
            <w:pPr>
              <w:rPr>
                <w:bCs/>
                <w:sz w:val="16"/>
                <w:szCs w:val="16"/>
                <w:lang w:val="en-GB"/>
              </w:rPr>
            </w:pPr>
          </w:p>
          <w:p w14:paraId="6FE6428D" w14:textId="77777777" w:rsidR="007E0EFC" w:rsidRPr="009E6278" w:rsidRDefault="007E0EFC" w:rsidP="005013D8">
            <w:pPr>
              <w:rPr>
                <w:bCs/>
                <w:sz w:val="16"/>
                <w:szCs w:val="16"/>
                <w:lang w:val="en-GB"/>
              </w:rPr>
            </w:pPr>
          </w:p>
          <w:p w14:paraId="206890DC" w14:textId="321710BF" w:rsidR="007E0EFC" w:rsidRPr="00547151" w:rsidRDefault="007E0EFC" w:rsidP="009E6278">
            <w:pPr>
              <w:spacing w:line="276" w:lineRule="auto"/>
              <w:rPr>
                <w:color w:val="000000"/>
                <w:sz w:val="16"/>
                <w:szCs w:val="16"/>
                <w:lang w:val="en-GB"/>
              </w:rPr>
            </w:pPr>
            <w:r w:rsidRPr="00547151">
              <w:rPr>
                <w:rFonts w:eastAsia="Calibri"/>
                <w:b/>
                <w:bCs/>
                <w:sz w:val="16"/>
                <w:szCs w:val="16"/>
                <w:lang w:val="en-GB"/>
              </w:rPr>
              <w:t>Indicator:</w:t>
            </w:r>
            <w:r w:rsidRPr="00547151">
              <w:rPr>
                <w:rFonts w:eastAsia="Calibri"/>
                <w:sz w:val="16"/>
                <w:szCs w:val="16"/>
                <w:lang w:val="en-GB"/>
              </w:rPr>
              <w:t xml:space="preserve"> </w:t>
            </w:r>
            <w:r w:rsidRPr="00547151">
              <w:rPr>
                <w:color w:val="000000"/>
                <w:sz w:val="16"/>
                <w:szCs w:val="16"/>
                <w:lang w:val="en-GB"/>
              </w:rPr>
              <w:t>Proportion of positions</w:t>
            </w:r>
            <w:r w:rsidR="00CF0E9B" w:rsidRPr="00547151">
              <w:rPr>
                <w:color w:val="000000"/>
                <w:sz w:val="16"/>
                <w:szCs w:val="16"/>
                <w:lang w:val="en-GB"/>
              </w:rPr>
              <w:t>,</w:t>
            </w:r>
            <w:r w:rsidRPr="00547151">
              <w:rPr>
                <w:color w:val="000000"/>
                <w:sz w:val="16"/>
                <w:szCs w:val="16"/>
                <w:lang w:val="en-GB"/>
              </w:rPr>
              <w:t xml:space="preserve"> by sex, age, </w:t>
            </w:r>
            <w:r w:rsidR="00CF0E9B" w:rsidRPr="00547151">
              <w:rPr>
                <w:color w:val="000000"/>
                <w:sz w:val="16"/>
                <w:szCs w:val="16"/>
                <w:lang w:val="en-GB"/>
              </w:rPr>
              <w:t>people with disabilities (</w:t>
            </w:r>
            <w:r w:rsidRPr="00547151">
              <w:rPr>
                <w:color w:val="000000"/>
                <w:sz w:val="16"/>
                <w:szCs w:val="16"/>
                <w:lang w:val="en-GB"/>
              </w:rPr>
              <w:t>PWDs) in public institutions (national and local legislatures) compared to national distributions.</w:t>
            </w:r>
          </w:p>
          <w:p w14:paraId="668A1792" w14:textId="77777777" w:rsidR="007E0EFC" w:rsidRPr="009E6278" w:rsidRDefault="007E0EFC">
            <w:pPr>
              <w:rPr>
                <w:color w:val="000000"/>
                <w:sz w:val="16"/>
                <w:szCs w:val="16"/>
                <w:lang w:val="en-GB"/>
              </w:rPr>
            </w:pPr>
            <w:r w:rsidRPr="009E6278">
              <w:rPr>
                <w:color w:val="000000"/>
                <w:sz w:val="16"/>
                <w:szCs w:val="16"/>
                <w:lang w:val="en-GB"/>
              </w:rPr>
              <w:t xml:space="preserve">National legislature % women  </w:t>
            </w:r>
          </w:p>
          <w:p w14:paraId="5AB71919" w14:textId="4558C310" w:rsidR="007E0EFC" w:rsidRPr="009E6278" w:rsidRDefault="007E0EFC">
            <w:pPr>
              <w:rPr>
                <w:color w:val="000000"/>
                <w:sz w:val="16"/>
                <w:szCs w:val="16"/>
                <w:lang w:val="en-GB"/>
              </w:rPr>
            </w:pPr>
            <w:r w:rsidRPr="009E6278">
              <w:rPr>
                <w:color w:val="000000"/>
                <w:sz w:val="16"/>
                <w:szCs w:val="16"/>
                <w:lang w:val="en-GB"/>
              </w:rPr>
              <w:t xml:space="preserve">Baseline  23% </w:t>
            </w:r>
            <w:r w:rsidR="005F4368" w:rsidRPr="009E6278">
              <w:rPr>
                <w:color w:val="000000"/>
                <w:sz w:val="16"/>
                <w:szCs w:val="16"/>
                <w:lang w:val="en-GB"/>
              </w:rPr>
              <w:t>(2021)</w:t>
            </w:r>
          </w:p>
          <w:p w14:paraId="3D4AC4D9" w14:textId="330AF6D9" w:rsidR="007E0EFC" w:rsidRPr="009E6278" w:rsidRDefault="007E0EFC">
            <w:pPr>
              <w:rPr>
                <w:color w:val="000000"/>
                <w:sz w:val="16"/>
                <w:szCs w:val="16"/>
                <w:lang w:val="en-GB"/>
              </w:rPr>
            </w:pPr>
            <w:r w:rsidRPr="009E6278">
              <w:rPr>
                <w:color w:val="000000"/>
                <w:sz w:val="16"/>
                <w:szCs w:val="16"/>
                <w:lang w:val="en-GB"/>
              </w:rPr>
              <w:t xml:space="preserve">Target: 33% </w:t>
            </w:r>
            <w:r w:rsidR="005F4368" w:rsidRPr="009E6278">
              <w:rPr>
                <w:color w:val="000000"/>
                <w:sz w:val="16"/>
                <w:szCs w:val="16"/>
                <w:lang w:val="en-GB"/>
              </w:rPr>
              <w:t>(2026)</w:t>
            </w:r>
          </w:p>
          <w:p w14:paraId="786EA0D4" w14:textId="39EA47CE" w:rsidR="007E0EFC" w:rsidRPr="009E6278" w:rsidRDefault="007E0EFC">
            <w:pPr>
              <w:rPr>
                <w:color w:val="000000"/>
                <w:sz w:val="16"/>
                <w:szCs w:val="16"/>
                <w:lang w:val="en-GB"/>
              </w:rPr>
            </w:pPr>
            <w:r w:rsidRPr="009E6278">
              <w:rPr>
                <w:color w:val="000000"/>
                <w:sz w:val="16"/>
                <w:szCs w:val="16"/>
                <w:lang w:val="en-GB"/>
              </w:rPr>
              <w:t xml:space="preserve">Local </w:t>
            </w:r>
            <w:r w:rsidR="009540D9" w:rsidRPr="00547151">
              <w:rPr>
                <w:color w:val="000000"/>
                <w:sz w:val="16"/>
                <w:szCs w:val="16"/>
                <w:lang w:val="en-GB"/>
              </w:rPr>
              <w:t>l</w:t>
            </w:r>
            <w:r w:rsidRPr="009E6278">
              <w:rPr>
                <w:color w:val="000000"/>
                <w:sz w:val="16"/>
                <w:szCs w:val="16"/>
                <w:lang w:val="en-GB"/>
              </w:rPr>
              <w:t xml:space="preserve">egislature % women </w:t>
            </w:r>
          </w:p>
          <w:p w14:paraId="471CE9B7" w14:textId="7BFEE076" w:rsidR="007E0EFC" w:rsidRPr="009E6278" w:rsidRDefault="007E0EFC">
            <w:pPr>
              <w:rPr>
                <w:color w:val="000000"/>
                <w:sz w:val="16"/>
                <w:szCs w:val="16"/>
                <w:lang w:val="en-GB"/>
              </w:rPr>
            </w:pPr>
            <w:r w:rsidRPr="009E6278">
              <w:rPr>
                <w:color w:val="000000"/>
                <w:sz w:val="16"/>
                <w:szCs w:val="16"/>
                <w:lang w:val="en-GB"/>
              </w:rPr>
              <w:t xml:space="preserve">Baseline 34.5% </w:t>
            </w:r>
            <w:r w:rsidR="009540D9" w:rsidRPr="00547151">
              <w:rPr>
                <w:color w:val="000000"/>
                <w:sz w:val="16"/>
                <w:szCs w:val="16"/>
                <w:lang w:val="en-GB"/>
              </w:rPr>
              <w:t>(</w:t>
            </w:r>
            <w:r w:rsidRPr="009E6278">
              <w:rPr>
                <w:color w:val="000000"/>
                <w:sz w:val="16"/>
                <w:szCs w:val="16"/>
                <w:lang w:val="en-GB"/>
              </w:rPr>
              <w:t>2022</w:t>
            </w:r>
            <w:r w:rsidR="009540D9" w:rsidRPr="00547151">
              <w:rPr>
                <w:color w:val="000000"/>
                <w:sz w:val="16"/>
                <w:szCs w:val="16"/>
                <w:lang w:val="en-GB"/>
              </w:rPr>
              <w:t>)</w:t>
            </w:r>
          </w:p>
          <w:p w14:paraId="7C8CE870" w14:textId="2B7BD0C7" w:rsidR="006158C5" w:rsidRPr="009E6278" w:rsidRDefault="007E0EFC">
            <w:pPr>
              <w:rPr>
                <w:color w:val="000000"/>
                <w:sz w:val="16"/>
                <w:szCs w:val="16"/>
                <w:lang w:val="en-GB"/>
              </w:rPr>
            </w:pPr>
            <w:r w:rsidRPr="009E6278">
              <w:rPr>
                <w:color w:val="000000"/>
                <w:sz w:val="16"/>
                <w:szCs w:val="16"/>
                <w:lang w:val="en-GB"/>
              </w:rPr>
              <w:t xml:space="preserve">Target 40% </w:t>
            </w:r>
            <w:r w:rsidR="009540D9" w:rsidRPr="00547151">
              <w:rPr>
                <w:color w:val="000000"/>
                <w:sz w:val="16"/>
                <w:szCs w:val="16"/>
                <w:lang w:val="en-GB"/>
              </w:rPr>
              <w:t>(</w:t>
            </w:r>
            <w:r w:rsidRPr="009E6278">
              <w:rPr>
                <w:color w:val="000000"/>
                <w:sz w:val="16"/>
                <w:szCs w:val="16"/>
                <w:lang w:val="en-GB"/>
              </w:rPr>
              <w:t>2026</w:t>
            </w:r>
            <w:r w:rsidR="009540D9" w:rsidRPr="00547151">
              <w:rPr>
                <w:color w:val="000000"/>
                <w:sz w:val="16"/>
                <w:szCs w:val="16"/>
                <w:lang w:val="en-GB"/>
              </w:rPr>
              <w:t>)</w:t>
            </w:r>
          </w:p>
          <w:p w14:paraId="0E22ABC1" w14:textId="1075FFFE" w:rsidR="007E0EFC" w:rsidRPr="009E6278" w:rsidRDefault="007E0EFC" w:rsidP="00423140">
            <w:pPr>
              <w:rPr>
                <w:color w:val="000000"/>
                <w:sz w:val="16"/>
                <w:szCs w:val="16"/>
                <w:lang w:val="en-GB"/>
              </w:rPr>
            </w:pPr>
          </w:p>
        </w:tc>
        <w:tc>
          <w:tcPr>
            <w:tcW w:w="1178" w:type="pct"/>
            <w:vMerge w:val="restart"/>
          </w:tcPr>
          <w:p w14:paraId="6323C3D5" w14:textId="626630C7" w:rsidR="007E0EFC" w:rsidRPr="00547151" w:rsidRDefault="007E0EFC" w:rsidP="005013D8">
            <w:pPr>
              <w:rPr>
                <w:sz w:val="16"/>
                <w:szCs w:val="16"/>
                <w:lang w:val="en-GB"/>
              </w:rPr>
            </w:pPr>
            <w:r w:rsidRPr="00547151">
              <w:rPr>
                <w:b/>
                <w:bCs/>
                <w:sz w:val="16"/>
                <w:szCs w:val="16"/>
                <w:lang w:val="en-GB"/>
              </w:rPr>
              <w:lastRenderedPageBreak/>
              <w:t xml:space="preserve">Data </w:t>
            </w:r>
            <w:r w:rsidR="007C21D4" w:rsidRPr="00547151">
              <w:rPr>
                <w:b/>
                <w:bCs/>
                <w:sz w:val="16"/>
                <w:szCs w:val="16"/>
                <w:lang w:val="en-GB"/>
              </w:rPr>
              <w:t>s</w:t>
            </w:r>
            <w:r w:rsidRPr="00547151">
              <w:rPr>
                <w:b/>
                <w:bCs/>
                <w:sz w:val="16"/>
                <w:szCs w:val="16"/>
                <w:lang w:val="en-GB"/>
              </w:rPr>
              <w:t>ource</w:t>
            </w:r>
            <w:r w:rsidR="007C21D4" w:rsidRPr="00547151">
              <w:rPr>
                <w:b/>
                <w:bCs/>
                <w:sz w:val="16"/>
                <w:szCs w:val="16"/>
                <w:lang w:val="en-GB"/>
              </w:rPr>
              <w:t>:</w:t>
            </w:r>
            <w:r w:rsidRPr="00547151">
              <w:rPr>
                <w:sz w:val="16"/>
                <w:szCs w:val="16"/>
                <w:lang w:val="en-GB"/>
              </w:rPr>
              <w:t xml:space="preserve"> </w:t>
            </w:r>
            <w:r w:rsidRPr="00547151">
              <w:rPr>
                <w:color w:val="000000"/>
                <w:sz w:val="16"/>
                <w:szCs w:val="16"/>
                <w:lang w:val="en-GB"/>
              </w:rPr>
              <w:t>National Steering Committee on Peace</w:t>
            </w:r>
            <w:r w:rsidR="00851565" w:rsidRPr="00547151">
              <w:rPr>
                <w:color w:val="000000"/>
                <w:sz w:val="16"/>
                <w:szCs w:val="16"/>
                <w:lang w:val="en-GB"/>
              </w:rPr>
              <w:t>b</w:t>
            </w:r>
            <w:r w:rsidRPr="00547151">
              <w:rPr>
                <w:color w:val="000000"/>
                <w:sz w:val="16"/>
                <w:szCs w:val="16"/>
                <w:lang w:val="en-GB"/>
              </w:rPr>
              <w:t xml:space="preserve">uilding and Conflict Management </w:t>
            </w:r>
            <w:r w:rsidR="00243699" w:rsidRPr="00547151">
              <w:rPr>
                <w:color w:val="000000"/>
                <w:sz w:val="16"/>
                <w:szCs w:val="16"/>
                <w:lang w:val="en-GB"/>
              </w:rPr>
              <w:t>(NSC)</w:t>
            </w:r>
            <w:r w:rsidR="003075FA" w:rsidRPr="00547151">
              <w:rPr>
                <w:color w:val="000000"/>
                <w:sz w:val="16"/>
                <w:szCs w:val="16"/>
                <w:lang w:val="en-GB"/>
              </w:rPr>
              <w:t>,</w:t>
            </w:r>
            <w:r w:rsidR="00243699" w:rsidRPr="00547151">
              <w:rPr>
                <w:color w:val="000000"/>
                <w:sz w:val="16"/>
                <w:szCs w:val="16"/>
                <w:lang w:val="en-GB"/>
              </w:rPr>
              <w:t xml:space="preserve"> </w:t>
            </w:r>
            <w:r w:rsidRPr="00547151">
              <w:rPr>
                <w:color w:val="000000"/>
                <w:sz w:val="16"/>
                <w:szCs w:val="16"/>
                <w:lang w:val="en-GB"/>
              </w:rPr>
              <w:t>National Cohesion and Integration Commission</w:t>
            </w:r>
            <w:r w:rsidR="00C62A2B" w:rsidRPr="00547151">
              <w:rPr>
                <w:color w:val="000000"/>
                <w:sz w:val="16"/>
                <w:szCs w:val="16"/>
                <w:lang w:val="en-GB"/>
              </w:rPr>
              <w:t xml:space="preserve"> </w:t>
            </w:r>
            <w:r w:rsidR="00243699" w:rsidRPr="00547151">
              <w:rPr>
                <w:color w:val="000000"/>
                <w:sz w:val="16"/>
                <w:szCs w:val="16"/>
                <w:lang w:val="en-GB"/>
              </w:rPr>
              <w:t>(NC</w:t>
            </w:r>
            <w:r w:rsidR="003075FA" w:rsidRPr="00547151">
              <w:rPr>
                <w:color w:val="000000"/>
                <w:sz w:val="16"/>
                <w:szCs w:val="16"/>
                <w:lang w:val="en-GB"/>
              </w:rPr>
              <w:t>I</w:t>
            </w:r>
            <w:r w:rsidR="00243699" w:rsidRPr="00547151">
              <w:rPr>
                <w:color w:val="000000"/>
                <w:sz w:val="16"/>
                <w:szCs w:val="16"/>
                <w:lang w:val="en-GB"/>
              </w:rPr>
              <w:t>C)</w:t>
            </w:r>
            <w:r w:rsidR="003075FA" w:rsidRPr="00547151">
              <w:rPr>
                <w:color w:val="000000"/>
                <w:sz w:val="16"/>
                <w:szCs w:val="16"/>
                <w:lang w:val="en-GB"/>
              </w:rPr>
              <w:t xml:space="preserve"> </w:t>
            </w:r>
          </w:p>
          <w:p w14:paraId="6E1CAF79" w14:textId="056A3443" w:rsidR="007E0EFC" w:rsidRPr="00547151" w:rsidRDefault="007E0EFC" w:rsidP="005013D8">
            <w:pPr>
              <w:rPr>
                <w:sz w:val="16"/>
                <w:szCs w:val="16"/>
                <w:lang w:val="en-GB"/>
              </w:rPr>
            </w:pPr>
            <w:r w:rsidRPr="00547151">
              <w:rPr>
                <w:b/>
                <w:bCs/>
                <w:sz w:val="16"/>
                <w:szCs w:val="16"/>
                <w:lang w:val="en-GB"/>
              </w:rPr>
              <w:t>Frequency</w:t>
            </w:r>
            <w:r w:rsidR="007C21D4" w:rsidRPr="00547151">
              <w:rPr>
                <w:b/>
                <w:bCs/>
                <w:sz w:val="16"/>
                <w:szCs w:val="16"/>
                <w:lang w:val="en-GB"/>
              </w:rPr>
              <w:t>:</w:t>
            </w:r>
            <w:r w:rsidRPr="00547151">
              <w:rPr>
                <w:sz w:val="16"/>
                <w:szCs w:val="16"/>
                <w:lang w:val="en-GB"/>
              </w:rPr>
              <w:t xml:space="preserve"> Annual </w:t>
            </w:r>
          </w:p>
          <w:p w14:paraId="5D84A0C7" w14:textId="48D8EE5D" w:rsidR="007E0EFC" w:rsidRPr="00547151" w:rsidRDefault="007E0EFC" w:rsidP="005013D8">
            <w:pPr>
              <w:rPr>
                <w:sz w:val="16"/>
                <w:szCs w:val="16"/>
                <w:lang w:val="en-GB"/>
              </w:rPr>
            </w:pPr>
            <w:r w:rsidRPr="00547151">
              <w:rPr>
                <w:b/>
                <w:bCs/>
                <w:sz w:val="16"/>
                <w:szCs w:val="16"/>
                <w:lang w:val="en-GB"/>
              </w:rPr>
              <w:t>Responsibility</w:t>
            </w:r>
            <w:r w:rsidR="007C21D4" w:rsidRPr="00547151">
              <w:rPr>
                <w:b/>
                <w:bCs/>
                <w:sz w:val="16"/>
                <w:szCs w:val="16"/>
                <w:lang w:val="en-GB"/>
              </w:rPr>
              <w:t>:</w:t>
            </w:r>
            <w:r w:rsidRPr="00547151">
              <w:rPr>
                <w:sz w:val="16"/>
                <w:szCs w:val="16"/>
                <w:lang w:val="en-GB"/>
              </w:rPr>
              <w:t xml:space="preserve"> Ministry of </w:t>
            </w:r>
            <w:r w:rsidRPr="00547151">
              <w:rPr>
                <w:bCs/>
                <w:color w:val="000000"/>
                <w:sz w:val="16"/>
                <w:szCs w:val="16"/>
                <w:lang w:val="en-GB"/>
              </w:rPr>
              <w:t>Interi</w:t>
            </w:r>
            <w:r w:rsidRPr="00547151">
              <w:rPr>
                <w:color w:val="000000"/>
                <w:sz w:val="16"/>
                <w:szCs w:val="16"/>
                <w:lang w:val="en-GB"/>
              </w:rPr>
              <w:t>or</w:t>
            </w:r>
            <w:r w:rsidR="003075FA" w:rsidRPr="00547151">
              <w:rPr>
                <w:color w:val="000000"/>
                <w:sz w:val="16"/>
                <w:szCs w:val="16"/>
                <w:lang w:val="en-GB"/>
              </w:rPr>
              <w:t>,</w:t>
            </w:r>
            <w:r w:rsidRPr="00547151">
              <w:rPr>
                <w:color w:val="000000"/>
                <w:sz w:val="16"/>
                <w:szCs w:val="16"/>
                <w:lang w:val="en-GB"/>
              </w:rPr>
              <w:t xml:space="preserve"> Nat</w:t>
            </w:r>
            <w:r w:rsidRPr="00547151">
              <w:rPr>
                <w:bCs/>
                <w:color w:val="000000"/>
                <w:sz w:val="16"/>
                <w:szCs w:val="16"/>
                <w:lang w:val="en-GB"/>
              </w:rPr>
              <w:t>i</w:t>
            </w:r>
            <w:r w:rsidRPr="00547151">
              <w:rPr>
                <w:color w:val="000000"/>
                <w:sz w:val="16"/>
                <w:szCs w:val="16"/>
                <w:lang w:val="en-GB"/>
              </w:rPr>
              <w:t>onal Coord</w:t>
            </w:r>
            <w:r w:rsidRPr="00547151">
              <w:rPr>
                <w:bCs/>
                <w:color w:val="000000"/>
                <w:sz w:val="16"/>
                <w:szCs w:val="16"/>
                <w:lang w:val="en-GB"/>
              </w:rPr>
              <w:t>i</w:t>
            </w:r>
            <w:r w:rsidRPr="00547151">
              <w:rPr>
                <w:color w:val="000000"/>
                <w:sz w:val="16"/>
                <w:szCs w:val="16"/>
                <w:lang w:val="en-GB"/>
              </w:rPr>
              <w:t>nat</w:t>
            </w:r>
            <w:r w:rsidRPr="00547151">
              <w:rPr>
                <w:bCs/>
                <w:color w:val="000000"/>
                <w:sz w:val="16"/>
                <w:szCs w:val="16"/>
                <w:lang w:val="en-GB"/>
              </w:rPr>
              <w:t>i</w:t>
            </w:r>
            <w:r w:rsidRPr="00547151">
              <w:rPr>
                <w:color w:val="000000"/>
                <w:sz w:val="16"/>
                <w:szCs w:val="16"/>
                <w:lang w:val="en-GB"/>
              </w:rPr>
              <w:t xml:space="preserve">on </w:t>
            </w:r>
            <w:r w:rsidR="00E22435" w:rsidRPr="00547151">
              <w:rPr>
                <w:color w:val="000000"/>
                <w:sz w:val="16"/>
                <w:szCs w:val="16"/>
                <w:lang w:val="en-GB"/>
              </w:rPr>
              <w:t>(MOINC)</w:t>
            </w:r>
          </w:p>
          <w:p w14:paraId="4418DAD1" w14:textId="77777777" w:rsidR="007E0EFC" w:rsidRPr="00547151" w:rsidRDefault="007E0EFC" w:rsidP="005013D8">
            <w:pPr>
              <w:rPr>
                <w:color w:val="000000"/>
                <w:sz w:val="16"/>
                <w:szCs w:val="16"/>
                <w:lang w:val="en-GB"/>
              </w:rPr>
            </w:pPr>
          </w:p>
          <w:p w14:paraId="088F6CAE" w14:textId="77777777" w:rsidR="007E0EFC" w:rsidRPr="00547151" w:rsidRDefault="007E0EFC" w:rsidP="005013D8">
            <w:pPr>
              <w:rPr>
                <w:color w:val="000000"/>
                <w:sz w:val="16"/>
                <w:szCs w:val="16"/>
                <w:lang w:val="en-GB"/>
              </w:rPr>
            </w:pPr>
          </w:p>
          <w:p w14:paraId="01490025" w14:textId="77777777" w:rsidR="007E0EFC" w:rsidRPr="00547151" w:rsidRDefault="007E0EFC" w:rsidP="005013D8">
            <w:pPr>
              <w:rPr>
                <w:color w:val="000000"/>
                <w:sz w:val="16"/>
                <w:szCs w:val="16"/>
                <w:lang w:val="en-GB"/>
              </w:rPr>
            </w:pPr>
          </w:p>
          <w:p w14:paraId="68973001" w14:textId="77777777" w:rsidR="007E0EFC" w:rsidRPr="00547151" w:rsidRDefault="007E0EFC" w:rsidP="005013D8">
            <w:pPr>
              <w:rPr>
                <w:color w:val="000000"/>
                <w:sz w:val="16"/>
                <w:szCs w:val="16"/>
                <w:lang w:val="en-GB"/>
              </w:rPr>
            </w:pPr>
          </w:p>
          <w:p w14:paraId="0B1988C9" w14:textId="77777777" w:rsidR="007E0EFC" w:rsidRPr="00547151" w:rsidRDefault="007E0EFC" w:rsidP="005013D8">
            <w:pPr>
              <w:rPr>
                <w:color w:val="000000"/>
                <w:sz w:val="16"/>
                <w:szCs w:val="16"/>
                <w:lang w:val="en-GB"/>
              </w:rPr>
            </w:pPr>
          </w:p>
          <w:p w14:paraId="6DA12D9B" w14:textId="77777777" w:rsidR="007E0EFC" w:rsidRPr="00547151" w:rsidRDefault="007E0EFC" w:rsidP="005013D8">
            <w:pPr>
              <w:rPr>
                <w:color w:val="000000"/>
                <w:sz w:val="16"/>
                <w:szCs w:val="16"/>
                <w:lang w:val="en-GB"/>
              </w:rPr>
            </w:pPr>
          </w:p>
          <w:p w14:paraId="5B5F820D" w14:textId="77777777" w:rsidR="007E0EFC" w:rsidRPr="00547151" w:rsidRDefault="007E0EFC" w:rsidP="005013D8">
            <w:pPr>
              <w:rPr>
                <w:color w:val="000000"/>
                <w:sz w:val="16"/>
                <w:szCs w:val="16"/>
                <w:lang w:val="en-GB"/>
              </w:rPr>
            </w:pPr>
          </w:p>
          <w:p w14:paraId="7A0D188B" w14:textId="77777777" w:rsidR="007E0EFC" w:rsidRPr="00547151" w:rsidRDefault="007E0EFC" w:rsidP="005013D8">
            <w:pPr>
              <w:rPr>
                <w:color w:val="000000"/>
                <w:sz w:val="16"/>
                <w:szCs w:val="16"/>
                <w:lang w:val="en-GB"/>
              </w:rPr>
            </w:pPr>
          </w:p>
          <w:p w14:paraId="637374F2" w14:textId="77777777" w:rsidR="007E0EFC" w:rsidRPr="00547151" w:rsidRDefault="007E0EFC" w:rsidP="005013D8">
            <w:pPr>
              <w:rPr>
                <w:color w:val="000000"/>
                <w:sz w:val="16"/>
                <w:szCs w:val="16"/>
                <w:lang w:val="en-GB"/>
              </w:rPr>
            </w:pPr>
          </w:p>
          <w:p w14:paraId="5F5A49D8" w14:textId="77777777" w:rsidR="007E0EFC" w:rsidRPr="00547151" w:rsidRDefault="007E0EFC" w:rsidP="005013D8">
            <w:pPr>
              <w:rPr>
                <w:color w:val="000000"/>
                <w:sz w:val="16"/>
                <w:szCs w:val="16"/>
                <w:lang w:val="en-GB"/>
              </w:rPr>
            </w:pPr>
          </w:p>
          <w:p w14:paraId="45F3801E" w14:textId="77777777" w:rsidR="007E0EFC" w:rsidRPr="00547151" w:rsidRDefault="007E0EFC" w:rsidP="005013D8">
            <w:pPr>
              <w:rPr>
                <w:color w:val="000000"/>
                <w:sz w:val="16"/>
                <w:szCs w:val="16"/>
                <w:lang w:val="en-GB"/>
              </w:rPr>
            </w:pPr>
          </w:p>
          <w:p w14:paraId="48569FFD" w14:textId="77777777" w:rsidR="007C21D4" w:rsidRPr="00547151" w:rsidRDefault="007C21D4" w:rsidP="005013D8">
            <w:pPr>
              <w:rPr>
                <w:color w:val="000000"/>
                <w:sz w:val="16"/>
                <w:szCs w:val="16"/>
                <w:lang w:val="en-GB"/>
              </w:rPr>
            </w:pPr>
          </w:p>
          <w:p w14:paraId="2986CA94" w14:textId="682E30DB" w:rsidR="007E0EFC" w:rsidRPr="00547151" w:rsidRDefault="007E0EFC" w:rsidP="005013D8">
            <w:pPr>
              <w:rPr>
                <w:sz w:val="16"/>
                <w:szCs w:val="16"/>
                <w:lang w:val="en-GB"/>
              </w:rPr>
            </w:pPr>
            <w:r w:rsidRPr="00547151">
              <w:rPr>
                <w:b/>
                <w:bCs/>
                <w:sz w:val="16"/>
                <w:szCs w:val="16"/>
                <w:lang w:val="en-GB"/>
              </w:rPr>
              <w:t xml:space="preserve">Data </w:t>
            </w:r>
            <w:r w:rsidR="007C21D4" w:rsidRPr="00547151">
              <w:rPr>
                <w:b/>
                <w:bCs/>
                <w:sz w:val="16"/>
                <w:szCs w:val="16"/>
                <w:lang w:val="en-GB"/>
              </w:rPr>
              <w:t>s</w:t>
            </w:r>
            <w:r w:rsidRPr="00547151">
              <w:rPr>
                <w:b/>
                <w:bCs/>
                <w:sz w:val="16"/>
                <w:szCs w:val="16"/>
                <w:lang w:val="en-GB"/>
              </w:rPr>
              <w:t>ource</w:t>
            </w:r>
            <w:r w:rsidR="007C21D4" w:rsidRPr="00547151">
              <w:rPr>
                <w:b/>
                <w:bCs/>
                <w:sz w:val="16"/>
                <w:szCs w:val="16"/>
                <w:lang w:val="en-GB"/>
              </w:rPr>
              <w:t>:</w:t>
            </w:r>
            <w:r w:rsidRPr="00547151">
              <w:rPr>
                <w:sz w:val="16"/>
                <w:szCs w:val="16"/>
                <w:lang w:val="en-GB"/>
              </w:rPr>
              <w:t xml:space="preserve"> </w:t>
            </w:r>
            <w:r w:rsidR="0000682C" w:rsidRPr="00547151">
              <w:rPr>
                <w:color w:val="000000"/>
                <w:sz w:val="16"/>
                <w:szCs w:val="16"/>
                <w:lang w:val="en-GB"/>
              </w:rPr>
              <w:t>NSC</w:t>
            </w:r>
            <w:r w:rsidR="00C62A2B" w:rsidRPr="00547151">
              <w:rPr>
                <w:color w:val="000000"/>
                <w:sz w:val="16"/>
                <w:szCs w:val="16"/>
                <w:lang w:val="en-GB"/>
              </w:rPr>
              <w:t xml:space="preserve">, </w:t>
            </w:r>
            <w:r w:rsidR="00995C56" w:rsidRPr="009E6278">
              <w:rPr>
                <w:color w:val="000000"/>
                <w:sz w:val="16"/>
                <w:szCs w:val="16"/>
                <w:lang w:val="en-GB"/>
              </w:rPr>
              <w:t>National Cohesion and Integration Commission</w:t>
            </w:r>
            <w:r w:rsidR="00995C56" w:rsidRPr="00547151">
              <w:rPr>
                <w:color w:val="000000"/>
                <w:sz w:val="16"/>
                <w:szCs w:val="16"/>
                <w:lang w:val="en-GB"/>
              </w:rPr>
              <w:t xml:space="preserve"> (</w:t>
            </w:r>
            <w:r w:rsidR="0000682C" w:rsidRPr="00547151">
              <w:rPr>
                <w:color w:val="000000"/>
                <w:sz w:val="16"/>
                <w:szCs w:val="16"/>
                <w:lang w:val="en-GB"/>
              </w:rPr>
              <w:t>NCIC</w:t>
            </w:r>
            <w:r w:rsidR="00995C56" w:rsidRPr="00547151">
              <w:rPr>
                <w:color w:val="000000"/>
                <w:sz w:val="16"/>
                <w:szCs w:val="16"/>
                <w:lang w:val="en-GB"/>
              </w:rPr>
              <w:t>)</w:t>
            </w:r>
            <w:r w:rsidR="00C62A2B" w:rsidRPr="00547151">
              <w:rPr>
                <w:color w:val="000000"/>
                <w:sz w:val="16"/>
                <w:szCs w:val="16"/>
                <w:lang w:val="en-GB"/>
              </w:rPr>
              <w:t xml:space="preserve">, </w:t>
            </w:r>
            <w:r w:rsidR="003075FA" w:rsidRPr="00547151">
              <w:rPr>
                <w:color w:val="000000"/>
                <w:sz w:val="16"/>
                <w:szCs w:val="16"/>
                <w:lang w:val="en-GB"/>
              </w:rPr>
              <w:t>National Counterterrorism Centre (</w:t>
            </w:r>
            <w:r w:rsidR="00BD4427" w:rsidRPr="00547151">
              <w:rPr>
                <w:color w:val="000000"/>
                <w:sz w:val="16"/>
                <w:szCs w:val="16"/>
                <w:lang w:val="en-GB"/>
              </w:rPr>
              <w:t>NCT</w:t>
            </w:r>
            <w:r w:rsidR="00C62A2B" w:rsidRPr="00547151">
              <w:rPr>
                <w:color w:val="000000"/>
                <w:sz w:val="16"/>
                <w:szCs w:val="16"/>
                <w:lang w:val="en-GB"/>
              </w:rPr>
              <w:t>C</w:t>
            </w:r>
            <w:r w:rsidR="003075FA" w:rsidRPr="00547151">
              <w:rPr>
                <w:color w:val="000000"/>
                <w:sz w:val="16"/>
                <w:szCs w:val="16"/>
                <w:lang w:val="en-GB"/>
              </w:rPr>
              <w:t>)</w:t>
            </w:r>
          </w:p>
          <w:p w14:paraId="331654C7" w14:textId="4F15322D" w:rsidR="007E0EFC" w:rsidRPr="00547151" w:rsidRDefault="007E0EFC" w:rsidP="005013D8">
            <w:pPr>
              <w:rPr>
                <w:sz w:val="16"/>
                <w:szCs w:val="16"/>
                <w:lang w:val="en-GB"/>
              </w:rPr>
            </w:pPr>
            <w:r w:rsidRPr="00547151">
              <w:rPr>
                <w:b/>
                <w:bCs/>
                <w:sz w:val="16"/>
                <w:szCs w:val="16"/>
                <w:lang w:val="en-GB"/>
              </w:rPr>
              <w:t>Frequency</w:t>
            </w:r>
            <w:r w:rsidR="007C21D4" w:rsidRPr="00547151">
              <w:rPr>
                <w:b/>
                <w:bCs/>
                <w:sz w:val="16"/>
                <w:szCs w:val="16"/>
                <w:lang w:val="en-GB"/>
              </w:rPr>
              <w:t>:</w:t>
            </w:r>
            <w:r w:rsidRPr="00547151">
              <w:rPr>
                <w:sz w:val="16"/>
                <w:szCs w:val="16"/>
                <w:lang w:val="en-GB"/>
              </w:rPr>
              <w:t xml:space="preserve"> Annual </w:t>
            </w:r>
          </w:p>
          <w:p w14:paraId="7ABF14EE" w14:textId="7B32C268" w:rsidR="007E0EFC" w:rsidRPr="00547151" w:rsidRDefault="007E0EFC" w:rsidP="005013D8">
            <w:pPr>
              <w:rPr>
                <w:sz w:val="16"/>
                <w:szCs w:val="16"/>
                <w:lang w:val="en-GB"/>
              </w:rPr>
            </w:pPr>
            <w:r w:rsidRPr="00547151">
              <w:rPr>
                <w:b/>
                <w:bCs/>
                <w:sz w:val="16"/>
                <w:szCs w:val="16"/>
                <w:lang w:val="en-GB"/>
              </w:rPr>
              <w:t>Responsibility</w:t>
            </w:r>
            <w:r w:rsidR="007C21D4" w:rsidRPr="00547151">
              <w:rPr>
                <w:b/>
                <w:bCs/>
                <w:sz w:val="16"/>
                <w:szCs w:val="16"/>
                <w:lang w:val="en-GB"/>
              </w:rPr>
              <w:t>:</w:t>
            </w:r>
            <w:r w:rsidRPr="00547151">
              <w:rPr>
                <w:sz w:val="16"/>
                <w:szCs w:val="16"/>
                <w:lang w:val="en-GB"/>
              </w:rPr>
              <w:t xml:space="preserve"> </w:t>
            </w:r>
            <w:r w:rsidR="00E22435" w:rsidRPr="00547151">
              <w:rPr>
                <w:color w:val="000000"/>
                <w:sz w:val="16"/>
                <w:szCs w:val="16"/>
                <w:lang w:val="en-GB"/>
              </w:rPr>
              <w:t>MOINC</w:t>
            </w:r>
            <w:r w:rsidRPr="00547151">
              <w:rPr>
                <w:color w:val="000000"/>
                <w:sz w:val="16"/>
                <w:szCs w:val="16"/>
                <w:lang w:val="en-GB"/>
              </w:rPr>
              <w:t xml:space="preserve"> </w:t>
            </w:r>
          </w:p>
          <w:p w14:paraId="0F92E8F9" w14:textId="77777777" w:rsidR="007E0EFC" w:rsidRPr="00547151" w:rsidRDefault="007E0EFC" w:rsidP="005013D8">
            <w:pPr>
              <w:rPr>
                <w:sz w:val="16"/>
                <w:szCs w:val="16"/>
                <w:lang w:val="en-GB"/>
              </w:rPr>
            </w:pPr>
          </w:p>
          <w:p w14:paraId="12004B56" w14:textId="77777777" w:rsidR="007E0EFC" w:rsidRPr="00547151" w:rsidRDefault="007E0EFC" w:rsidP="005013D8">
            <w:pPr>
              <w:rPr>
                <w:sz w:val="16"/>
                <w:szCs w:val="16"/>
                <w:lang w:val="en-GB"/>
              </w:rPr>
            </w:pPr>
            <w:r w:rsidRPr="00547151">
              <w:rPr>
                <w:b/>
                <w:bCs/>
                <w:sz w:val="16"/>
                <w:szCs w:val="16"/>
                <w:lang w:val="en-GB"/>
              </w:rPr>
              <w:t>Frequency</w:t>
            </w:r>
            <w:r w:rsidRPr="00547151">
              <w:rPr>
                <w:sz w:val="16"/>
                <w:szCs w:val="16"/>
                <w:lang w:val="en-GB"/>
              </w:rPr>
              <w:t xml:space="preserve">: Annual </w:t>
            </w:r>
          </w:p>
          <w:p w14:paraId="3056E288" w14:textId="65591CB8" w:rsidR="007E0EFC" w:rsidRPr="00547151" w:rsidRDefault="007E0EFC" w:rsidP="005013D8">
            <w:pPr>
              <w:rPr>
                <w:color w:val="000000"/>
                <w:sz w:val="16"/>
                <w:szCs w:val="16"/>
                <w:lang w:val="en-GB"/>
              </w:rPr>
            </w:pPr>
            <w:r w:rsidRPr="00547151">
              <w:rPr>
                <w:b/>
                <w:bCs/>
                <w:sz w:val="16"/>
                <w:szCs w:val="16"/>
                <w:lang w:val="en-GB"/>
              </w:rPr>
              <w:t>Responsibility</w:t>
            </w:r>
            <w:r w:rsidR="007C21D4" w:rsidRPr="00547151">
              <w:rPr>
                <w:b/>
                <w:bCs/>
                <w:sz w:val="16"/>
                <w:szCs w:val="16"/>
                <w:lang w:val="en-GB"/>
              </w:rPr>
              <w:t>:</w:t>
            </w:r>
            <w:r w:rsidRPr="00547151">
              <w:rPr>
                <w:sz w:val="16"/>
                <w:szCs w:val="16"/>
                <w:lang w:val="en-GB"/>
              </w:rPr>
              <w:t xml:space="preserve"> </w:t>
            </w:r>
            <w:r w:rsidR="00E22435" w:rsidRPr="00547151">
              <w:rPr>
                <w:sz w:val="16"/>
                <w:szCs w:val="16"/>
                <w:lang w:val="en-GB"/>
              </w:rPr>
              <w:t>MOI</w:t>
            </w:r>
            <w:r w:rsidR="00367D98" w:rsidRPr="00547151">
              <w:rPr>
                <w:sz w:val="16"/>
                <w:szCs w:val="16"/>
                <w:lang w:val="en-GB"/>
              </w:rPr>
              <w:t>NC</w:t>
            </w:r>
          </w:p>
          <w:p w14:paraId="103D4F67" w14:textId="77777777" w:rsidR="007E0EFC" w:rsidRPr="00547151" w:rsidRDefault="007E0EFC" w:rsidP="005013D8">
            <w:pPr>
              <w:rPr>
                <w:sz w:val="16"/>
                <w:szCs w:val="16"/>
                <w:lang w:val="en-GB"/>
              </w:rPr>
            </w:pPr>
          </w:p>
          <w:p w14:paraId="1B1BEDA6" w14:textId="4BC31E1F" w:rsidR="007E0EFC" w:rsidRPr="00547151" w:rsidRDefault="007E0EFC" w:rsidP="005013D8">
            <w:pPr>
              <w:rPr>
                <w:sz w:val="16"/>
                <w:szCs w:val="16"/>
                <w:lang w:val="en-GB"/>
              </w:rPr>
            </w:pPr>
            <w:r w:rsidRPr="00547151">
              <w:rPr>
                <w:b/>
                <w:bCs/>
                <w:sz w:val="16"/>
                <w:szCs w:val="16"/>
                <w:lang w:val="en-GB"/>
              </w:rPr>
              <w:t xml:space="preserve">Data </w:t>
            </w:r>
            <w:r w:rsidR="007C21D4" w:rsidRPr="00547151">
              <w:rPr>
                <w:b/>
                <w:bCs/>
                <w:sz w:val="16"/>
                <w:szCs w:val="16"/>
                <w:lang w:val="en-GB"/>
              </w:rPr>
              <w:t>s</w:t>
            </w:r>
            <w:r w:rsidRPr="00547151">
              <w:rPr>
                <w:b/>
                <w:bCs/>
                <w:sz w:val="16"/>
                <w:szCs w:val="16"/>
                <w:lang w:val="en-GB"/>
              </w:rPr>
              <w:t>ource</w:t>
            </w:r>
            <w:r w:rsidR="007C21D4" w:rsidRPr="00547151">
              <w:rPr>
                <w:b/>
                <w:bCs/>
                <w:sz w:val="16"/>
                <w:szCs w:val="16"/>
                <w:lang w:val="en-GB"/>
              </w:rPr>
              <w:t>:</w:t>
            </w:r>
            <w:r w:rsidRPr="00547151">
              <w:rPr>
                <w:sz w:val="16"/>
                <w:szCs w:val="16"/>
                <w:lang w:val="en-GB"/>
              </w:rPr>
              <w:t xml:space="preserve"> </w:t>
            </w:r>
            <w:r w:rsidR="003075FA" w:rsidRPr="00547151">
              <w:rPr>
                <w:color w:val="000000"/>
                <w:sz w:val="16"/>
                <w:szCs w:val="16"/>
                <w:lang w:val="en-GB"/>
              </w:rPr>
              <w:t>NSC</w:t>
            </w:r>
            <w:r w:rsidR="007C21D4" w:rsidRPr="00547151">
              <w:rPr>
                <w:color w:val="000000"/>
                <w:sz w:val="16"/>
                <w:szCs w:val="16"/>
                <w:lang w:val="en-GB"/>
              </w:rPr>
              <w:t>,</w:t>
            </w:r>
            <w:r w:rsidRPr="00547151">
              <w:rPr>
                <w:color w:val="000000"/>
                <w:sz w:val="16"/>
                <w:szCs w:val="16"/>
                <w:lang w:val="en-GB"/>
              </w:rPr>
              <w:t xml:space="preserve"> </w:t>
            </w:r>
            <w:r w:rsidR="003075FA" w:rsidRPr="00547151">
              <w:rPr>
                <w:color w:val="000000"/>
                <w:sz w:val="16"/>
                <w:szCs w:val="16"/>
                <w:lang w:val="en-GB"/>
              </w:rPr>
              <w:t>NCIC and NCTC</w:t>
            </w:r>
            <w:r w:rsidR="003075FA" w:rsidRPr="00547151" w:rsidDel="003075FA">
              <w:rPr>
                <w:color w:val="000000"/>
                <w:sz w:val="16"/>
                <w:szCs w:val="16"/>
                <w:lang w:val="en-GB"/>
              </w:rPr>
              <w:t xml:space="preserve"> </w:t>
            </w:r>
          </w:p>
          <w:p w14:paraId="1978BADF" w14:textId="77777777" w:rsidR="007E0EFC" w:rsidRPr="00547151" w:rsidRDefault="007E0EFC" w:rsidP="005013D8">
            <w:pPr>
              <w:rPr>
                <w:sz w:val="16"/>
                <w:szCs w:val="16"/>
                <w:lang w:val="en-GB"/>
              </w:rPr>
            </w:pPr>
            <w:r w:rsidRPr="00547151">
              <w:rPr>
                <w:b/>
                <w:bCs/>
                <w:sz w:val="16"/>
                <w:szCs w:val="16"/>
                <w:lang w:val="en-GB"/>
              </w:rPr>
              <w:t>Frequency</w:t>
            </w:r>
            <w:r w:rsidRPr="00547151">
              <w:rPr>
                <w:sz w:val="16"/>
                <w:szCs w:val="16"/>
                <w:lang w:val="en-GB"/>
              </w:rPr>
              <w:t xml:space="preserve">: Annual </w:t>
            </w:r>
          </w:p>
          <w:p w14:paraId="47A5AE04" w14:textId="4DAFE3FB" w:rsidR="007E0EFC" w:rsidRPr="00547151" w:rsidRDefault="007E0EFC" w:rsidP="005013D8">
            <w:pPr>
              <w:rPr>
                <w:sz w:val="16"/>
                <w:szCs w:val="16"/>
                <w:lang w:val="en-GB"/>
              </w:rPr>
            </w:pPr>
            <w:r w:rsidRPr="00547151">
              <w:rPr>
                <w:b/>
                <w:bCs/>
                <w:sz w:val="16"/>
                <w:szCs w:val="16"/>
                <w:lang w:val="en-GB"/>
              </w:rPr>
              <w:t>Responsibility</w:t>
            </w:r>
            <w:r w:rsidRPr="00547151">
              <w:rPr>
                <w:sz w:val="16"/>
                <w:szCs w:val="16"/>
                <w:lang w:val="en-GB"/>
              </w:rPr>
              <w:t xml:space="preserve">: </w:t>
            </w:r>
            <w:r w:rsidR="00367D98" w:rsidRPr="00547151">
              <w:rPr>
                <w:sz w:val="16"/>
                <w:szCs w:val="16"/>
                <w:lang w:val="en-GB"/>
              </w:rPr>
              <w:t>MOINC</w:t>
            </w:r>
            <w:r w:rsidRPr="00547151">
              <w:rPr>
                <w:color w:val="000000"/>
                <w:sz w:val="16"/>
                <w:szCs w:val="16"/>
                <w:lang w:val="en-GB"/>
              </w:rPr>
              <w:t xml:space="preserve"> </w:t>
            </w:r>
          </w:p>
          <w:p w14:paraId="3A11A15A" w14:textId="77777777" w:rsidR="007E0EFC" w:rsidRPr="00547151" w:rsidRDefault="007E0EFC" w:rsidP="005013D8">
            <w:pPr>
              <w:rPr>
                <w:sz w:val="16"/>
                <w:szCs w:val="16"/>
                <w:lang w:val="en-GB"/>
              </w:rPr>
            </w:pPr>
          </w:p>
          <w:p w14:paraId="73FFEC92" w14:textId="77777777" w:rsidR="007E0EFC" w:rsidRPr="00547151" w:rsidRDefault="007E0EFC" w:rsidP="005013D8">
            <w:pPr>
              <w:rPr>
                <w:color w:val="000000"/>
                <w:sz w:val="16"/>
                <w:szCs w:val="16"/>
                <w:lang w:val="en-GB"/>
              </w:rPr>
            </w:pPr>
          </w:p>
          <w:p w14:paraId="3C2384D1" w14:textId="77777777" w:rsidR="007E0EFC" w:rsidRPr="00547151" w:rsidRDefault="007E0EFC" w:rsidP="005013D8">
            <w:pPr>
              <w:rPr>
                <w:color w:val="000000"/>
                <w:sz w:val="16"/>
                <w:szCs w:val="16"/>
                <w:lang w:val="en-GB"/>
              </w:rPr>
            </w:pPr>
          </w:p>
          <w:p w14:paraId="39AB0F6E" w14:textId="77777777" w:rsidR="007E0EFC" w:rsidRPr="00547151" w:rsidRDefault="007E0EFC" w:rsidP="005013D8">
            <w:pPr>
              <w:rPr>
                <w:color w:val="000000"/>
                <w:sz w:val="16"/>
                <w:szCs w:val="16"/>
                <w:lang w:val="en-GB"/>
              </w:rPr>
            </w:pPr>
          </w:p>
          <w:p w14:paraId="727BD011" w14:textId="77777777" w:rsidR="007E0EFC" w:rsidRPr="00547151" w:rsidRDefault="007E0EFC" w:rsidP="005013D8">
            <w:pPr>
              <w:rPr>
                <w:color w:val="000000"/>
                <w:sz w:val="16"/>
                <w:szCs w:val="16"/>
                <w:lang w:val="en-GB"/>
              </w:rPr>
            </w:pPr>
          </w:p>
          <w:p w14:paraId="12EA059A" w14:textId="77777777" w:rsidR="007E0EFC" w:rsidRPr="00547151" w:rsidRDefault="007E0EFC" w:rsidP="005013D8">
            <w:pPr>
              <w:rPr>
                <w:color w:val="000000"/>
                <w:sz w:val="16"/>
                <w:szCs w:val="16"/>
                <w:lang w:val="en-GB"/>
              </w:rPr>
            </w:pPr>
          </w:p>
          <w:p w14:paraId="36E5AE4D" w14:textId="77777777" w:rsidR="007E0EFC" w:rsidRPr="00547151" w:rsidRDefault="007E0EFC" w:rsidP="005013D8">
            <w:pPr>
              <w:rPr>
                <w:color w:val="000000"/>
                <w:sz w:val="16"/>
                <w:szCs w:val="16"/>
                <w:lang w:val="en-GB"/>
              </w:rPr>
            </w:pPr>
          </w:p>
          <w:p w14:paraId="245C9325" w14:textId="77777777" w:rsidR="007E0EFC" w:rsidRPr="00547151" w:rsidRDefault="007E0EFC" w:rsidP="005013D8">
            <w:pPr>
              <w:rPr>
                <w:color w:val="000000"/>
                <w:sz w:val="16"/>
                <w:szCs w:val="16"/>
                <w:lang w:val="en-GB"/>
              </w:rPr>
            </w:pPr>
          </w:p>
          <w:p w14:paraId="0E85BDBF" w14:textId="77777777" w:rsidR="007E0EFC" w:rsidRPr="00547151" w:rsidRDefault="007E0EFC" w:rsidP="005013D8">
            <w:pPr>
              <w:rPr>
                <w:color w:val="000000"/>
                <w:sz w:val="16"/>
                <w:szCs w:val="16"/>
                <w:lang w:val="en-GB"/>
              </w:rPr>
            </w:pPr>
          </w:p>
          <w:p w14:paraId="3BCD10EB" w14:textId="77777777" w:rsidR="007E0EFC" w:rsidRPr="00547151" w:rsidRDefault="007E0EFC" w:rsidP="005013D8">
            <w:pPr>
              <w:rPr>
                <w:sz w:val="16"/>
                <w:szCs w:val="16"/>
                <w:lang w:val="en-GB"/>
              </w:rPr>
            </w:pPr>
          </w:p>
          <w:p w14:paraId="450EDA9E" w14:textId="77777777" w:rsidR="007E0EFC" w:rsidRPr="00547151" w:rsidRDefault="007E0EFC" w:rsidP="005013D8">
            <w:pPr>
              <w:rPr>
                <w:sz w:val="16"/>
                <w:szCs w:val="16"/>
                <w:lang w:val="en-GB"/>
              </w:rPr>
            </w:pPr>
          </w:p>
          <w:p w14:paraId="65E5B1AB" w14:textId="77777777" w:rsidR="007E0EFC" w:rsidRPr="00547151" w:rsidRDefault="007E0EFC" w:rsidP="005013D8">
            <w:pPr>
              <w:rPr>
                <w:sz w:val="16"/>
                <w:szCs w:val="16"/>
                <w:lang w:val="en-GB"/>
              </w:rPr>
            </w:pPr>
          </w:p>
          <w:p w14:paraId="37DDD7E5" w14:textId="77777777" w:rsidR="007E0EFC" w:rsidRPr="00547151" w:rsidRDefault="007E0EFC" w:rsidP="005013D8">
            <w:pPr>
              <w:rPr>
                <w:sz w:val="16"/>
                <w:szCs w:val="16"/>
                <w:lang w:val="en-GB"/>
              </w:rPr>
            </w:pPr>
          </w:p>
          <w:p w14:paraId="54B03FCF" w14:textId="77777777" w:rsidR="007E0EFC" w:rsidRPr="00547151" w:rsidRDefault="007E0EFC" w:rsidP="005013D8">
            <w:pPr>
              <w:rPr>
                <w:sz w:val="16"/>
                <w:szCs w:val="16"/>
                <w:lang w:val="en-GB"/>
              </w:rPr>
            </w:pPr>
          </w:p>
          <w:p w14:paraId="088CDD51" w14:textId="77777777" w:rsidR="007E0EFC" w:rsidRPr="00547151" w:rsidRDefault="007E0EFC" w:rsidP="005013D8">
            <w:pPr>
              <w:rPr>
                <w:sz w:val="16"/>
                <w:szCs w:val="16"/>
                <w:lang w:val="en-GB"/>
              </w:rPr>
            </w:pPr>
          </w:p>
          <w:p w14:paraId="1F131C3B" w14:textId="77777777" w:rsidR="007E0EFC" w:rsidRPr="00547151" w:rsidRDefault="007E0EFC" w:rsidP="005013D8">
            <w:pPr>
              <w:rPr>
                <w:sz w:val="16"/>
                <w:szCs w:val="16"/>
                <w:lang w:val="en-GB"/>
              </w:rPr>
            </w:pPr>
          </w:p>
          <w:p w14:paraId="3B2ED8ED" w14:textId="77777777" w:rsidR="007E0EFC" w:rsidRPr="00547151" w:rsidRDefault="007E0EFC" w:rsidP="005013D8">
            <w:pPr>
              <w:rPr>
                <w:sz w:val="16"/>
                <w:szCs w:val="16"/>
                <w:lang w:val="en-GB"/>
              </w:rPr>
            </w:pPr>
          </w:p>
          <w:p w14:paraId="0F44DF9B" w14:textId="47B9FC4E" w:rsidR="007E0EFC" w:rsidRPr="00547151" w:rsidRDefault="007E0EFC" w:rsidP="005013D8">
            <w:pPr>
              <w:rPr>
                <w:sz w:val="16"/>
                <w:szCs w:val="16"/>
                <w:lang w:val="en-GB"/>
              </w:rPr>
            </w:pPr>
            <w:r w:rsidRPr="00547151">
              <w:rPr>
                <w:b/>
                <w:bCs/>
                <w:sz w:val="16"/>
                <w:szCs w:val="16"/>
                <w:lang w:val="en-GB"/>
              </w:rPr>
              <w:t xml:space="preserve">Data </w:t>
            </w:r>
            <w:r w:rsidR="00E778EE" w:rsidRPr="00547151">
              <w:rPr>
                <w:b/>
                <w:bCs/>
                <w:sz w:val="16"/>
                <w:szCs w:val="16"/>
                <w:lang w:val="en-GB"/>
              </w:rPr>
              <w:t>s</w:t>
            </w:r>
            <w:r w:rsidRPr="00547151">
              <w:rPr>
                <w:b/>
                <w:bCs/>
                <w:sz w:val="16"/>
                <w:szCs w:val="16"/>
                <w:lang w:val="en-GB"/>
              </w:rPr>
              <w:t>ource</w:t>
            </w:r>
            <w:r w:rsidR="007C21D4" w:rsidRPr="00547151">
              <w:rPr>
                <w:b/>
                <w:bCs/>
                <w:sz w:val="16"/>
                <w:szCs w:val="16"/>
                <w:lang w:val="en-GB"/>
              </w:rPr>
              <w:t>:</w:t>
            </w:r>
            <w:r w:rsidRPr="00547151">
              <w:rPr>
                <w:sz w:val="16"/>
                <w:szCs w:val="16"/>
                <w:lang w:val="en-GB"/>
              </w:rPr>
              <w:t xml:space="preserve"> </w:t>
            </w:r>
            <w:r w:rsidRPr="00547151">
              <w:rPr>
                <w:color w:val="000000"/>
                <w:sz w:val="16"/>
                <w:szCs w:val="16"/>
                <w:lang w:val="en-GB"/>
              </w:rPr>
              <w:t>Judiciary/</w:t>
            </w:r>
            <w:r w:rsidRPr="009E6278">
              <w:rPr>
                <w:color w:val="000000"/>
                <w:sz w:val="16"/>
                <w:szCs w:val="16"/>
                <w:lang w:val="en-GB"/>
              </w:rPr>
              <w:t>National Legal Aid Service (NLAS)</w:t>
            </w:r>
          </w:p>
          <w:p w14:paraId="6042F92D" w14:textId="77777777" w:rsidR="007E0EFC" w:rsidRPr="00547151" w:rsidRDefault="007E0EFC" w:rsidP="005013D8">
            <w:pPr>
              <w:rPr>
                <w:sz w:val="16"/>
                <w:szCs w:val="16"/>
                <w:lang w:val="en-GB"/>
              </w:rPr>
            </w:pPr>
            <w:r w:rsidRPr="00547151">
              <w:rPr>
                <w:b/>
                <w:bCs/>
                <w:sz w:val="16"/>
                <w:szCs w:val="16"/>
                <w:lang w:val="en-GB"/>
              </w:rPr>
              <w:t>Frequency</w:t>
            </w:r>
            <w:r w:rsidRPr="009E6278">
              <w:rPr>
                <w:b/>
                <w:sz w:val="16"/>
                <w:szCs w:val="16"/>
                <w:lang w:val="en-GB"/>
              </w:rPr>
              <w:t>:</w:t>
            </w:r>
            <w:r w:rsidRPr="00547151">
              <w:rPr>
                <w:sz w:val="16"/>
                <w:szCs w:val="16"/>
                <w:lang w:val="en-GB"/>
              </w:rPr>
              <w:t xml:space="preserve"> Annual </w:t>
            </w:r>
          </w:p>
          <w:p w14:paraId="045E1236" w14:textId="77777777" w:rsidR="007E0EFC" w:rsidRPr="00547151" w:rsidRDefault="007E0EFC" w:rsidP="005013D8">
            <w:pPr>
              <w:rPr>
                <w:color w:val="000000"/>
                <w:sz w:val="16"/>
                <w:szCs w:val="16"/>
                <w:lang w:val="en-GB"/>
              </w:rPr>
            </w:pPr>
          </w:p>
          <w:p w14:paraId="27ED5372" w14:textId="77777777" w:rsidR="007E0EFC" w:rsidRPr="00547151" w:rsidRDefault="007E0EFC" w:rsidP="005013D8">
            <w:pPr>
              <w:rPr>
                <w:color w:val="000000"/>
                <w:sz w:val="16"/>
                <w:szCs w:val="16"/>
                <w:lang w:val="en-GB"/>
              </w:rPr>
            </w:pPr>
          </w:p>
          <w:p w14:paraId="56A70E3C" w14:textId="77777777" w:rsidR="007E0EFC" w:rsidRPr="00547151" w:rsidRDefault="007E0EFC" w:rsidP="005013D8">
            <w:pPr>
              <w:rPr>
                <w:color w:val="000000"/>
                <w:sz w:val="16"/>
                <w:szCs w:val="16"/>
                <w:lang w:val="en-GB"/>
              </w:rPr>
            </w:pPr>
          </w:p>
          <w:p w14:paraId="61D9FB1F" w14:textId="77777777" w:rsidR="007E0EFC" w:rsidRPr="00547151" w:rsidRDefault="007E0EFC" w:rsidP="005013D8">
            <w:pPr>
              <w:rPr>
                <w:color w:val="000000"/>
                <w:sz w:val="16"/>
                <w:szCs w:val="16"/>
                <w:lang w:val="en-GB"/>
              </w:rPr>
            </w:pPr>
          </w:p>
          <w:p w14:paraId="0283C09D" w14:textId="77777777" w:rsidR="007E0EFC" w:rsidRPr="00547151" w:rsidRDefault="007E0EFC" w:rsidP="005013D8">
            <w:pPr>
              <w:rPr>
                <w:color w:val="000000"/>
                <w:sz w:val="16"/>
                <w:szCs w:val="16"/>
                <w:lang w:val="en-GB"/>
              </w:rPr>
            </w:pPr>
          </w:p>
          <w:p w14:paraId="1380ED2D" w14:textId="77777777" w:rsidR="007E0EFC" w:rsidRPr="00547151" w:rsidRDefault="007E0EFC" w:rsidP="005013D8">
            <w:pPr>
              <w:rPr>
                <w:color w:val="000000"/>
                <w:sz w:val="16"/>
                <w:szCs w:val="16"/>
                <w:lang w:val="en-GB"/>
              </w:rPr>
            </w:pPr>
          </w:p>
          <w:p w14:paraId="54179C48" w14:textId="77777777" w:rsidR="007E0EFC" w:rsidRPr="00547151" w:rsidRDefault="007E0EFC" w:rsidP="005013D8">
            <w:pPr>
              <w:rPr>
                <w:sz w:val="16"/>
                <w:szCs w:val="16"/>
                <w:lang w:val="en-GB"/>
              </w:rPr>
            </w:pPr>
          </w:p>
          <w:p w14:paraId="28D36B32" w14:textId="0505FE94" w:rsidR="007E0EFC" w:rsidRPr="00547151" w:rsidRDefault="007E0EFC" w:rsidP="005013D8">
            <w:pPr>
              <w:rPr>
                <w:sz w:val="16"/>
                <w:szCs w:val="16"/>
                <w:lang w:val="en-GB"/>
              </w:rPr>
            </w:pPr>
            <w:r w:rsidRPr="00547151">
              <w:rPr>
                <w:b/>
                <w:bCs/>
                <w:sz w:val="16"/>
                <w:szCs w:val="16"/>
                <w:lang w:val="en-GB"/>
              </w:rPr>
              <w:t xml:space="preserve">Data </w:t>
            </w:r>
            <w:r w:rsidR="00E778EE" w:rsidRPr="00547151">
              <w:rPr>
                <w:b/>
                <w:bCs/>
                <w:sz w:val="16"/>
                <w:szCs w:val="16"/>
                <w:lang w:val="en-GB"/>
              </w:rPr>
              <w:t>s</w:t>
            </w:r>
            <w:r w:rsidRPr="00547151">
              <w:rPr>
                <w:b/>
                <w:bCs/>
                <w:sz w:val="16"/>
                <w:szCs w:val="16"/>
                <w:lang w:val="en-GB"/>
              </w:rPr>
              <w:t>ource</w:t>
            </w:r>
            <w:r w:rsidRPr="009E6278">
              <w:rPr>
                <w:b/>
                <w:sz w:val="16"/>
                <w:szCs w:val="16"/>
                <w:lang w:val="en-GB"/>
              </w:rPr>
              <w:t xml:space="preserve">: </w:t>
            </w:r>
            <w:r w:rsidRPr="00547151">
              <w:rPr>
                <w:color w:val="000000"/>
                <w:sz w:val="16"/>
                <w:szCs w:val="16"/>
                <w:lang w:val="en-GB"/>
              </w:rPr>
              <w:t>Judiciary/</w:t>
            </w:r>
            <w:r w:rsidRPr="009E6278">
              <w:rPr>
                <w:color w:val="000000"/>
                <w:sz w:val="16"/>
                <w:szCs w:val="16"/>
                <w:lang w:val="en-GB"/>
              </w:rPr>
              <w:t>NLAS</w:t>
            </w:r>
            <w:r w:rsidR="007C21D4" w:rsidRPr="00547151">
              <w:rPr>
                <w:color w:val="000000"/>
                <w:sz w:val="16"/>
                <w:szCs w:val="16"/>
                <w:lang w:val="en-GB"/>
              </w:rPr>
              <w:t xml:space="preserve">; </w:t>
            </w:r>
            <w:r w:rsidR="003075FA" w:rsidRPr="00547151">
              <w:rPr>
                <w:color w:val="000000"/>
                <w:sz w:val="16"/>
                <w:szCs w:val="16"/>
                <w:lang w:val="en-GB"/>
              </w:rPr>
              <w:t>c</w:t>
            </w:r>
            <w:r w:rsidRPr="009E6278">
              <w:rPr>
                <w:color w:val="000000"/>
                <w:sz w:val="16"/>
                <w:szCs w:val="16"/>
                <w:lang w:val="en-GB"/>
              </w:rPr>
              <w:t xml:space="preserve">ivil society organizations </w:t>
            </w:r>
          </w:p>
          <w:p w14:paraId="51C42C5D" w14:textId="5204370D" w:rsidR="007E0EFC" w:rsidRPr="00547151" w:rsidRDefault="007E0EFC" w:rsidP="005013D8">
            <w:pPr>
              <w:rPr>
                <w:sz w:val="16"/>
                <w:szCs w:val="16"/>
                <w:lang w:val="en-GB"/>
              </w:rPr>
            </w:pPr>
            <w:r w:rsidRPr="00547151">
              <w:rPr>
                <w:b/>
                <w:bCs/>
                <w:sz w:val="16"/>
                <w:szCs w:val="16"/>
                <w:lang w:val="en-GB"/>
              </w:rPr>
              <w:t>Frequency</w:t>
            </w:r>
            <w:r w:rsidR="007C21D4" w:rsidRPr="00547151">
              <w:rPr>
                <w:b/>
                <w:bCs/>
                <w:sz w:val="16"/>
                <w:szCs w:val="16"/>
                <w:lang w:val="en-GB"/>
              </w:rPr>
              <w:t>:</w:t>
            </w:r>
            <w:r w:rsidRPr="00547151">
              <w:rPr>
                <w:sz w:val="16"/>
                <w:szCs w:val="16"/>
                <w:lang w:val="en-GB"/>
              </w:rPr>
              <w:t xml:space="preserve"> Annual </w:t>
            </w:r>
          </w:p>
          <w:p w14:paraId="6DE6C566" w14:textId="77777777" w:rsidR="007E0EFC" w:rsidRPr="00547151" w:rsidRDefault="007E0EFC" w:rsidP="005013D8">
            <w:pPr>
              <w:rPr>
                <w:b/>
                <w:bCs/>
                <w:color w:val="000000"/>
                <w:sz w:val="16"/>
                <w:szCs w:val="16"/>
                <w:lang w:val="en-GB"/>
              </w:rPr>
            </w:pPr>
          </w:p>
        </w:tc>
        <w:tc>
          <w:tcPr>
            <w:tcW w:w="1092" w:type="pct"/>
            <w:vMerge w:val="restart"/>
            <w:tcMar>
              <w:top w:w="72" w:type="dxa"/>
              <w:left w:w="144" w:type="dxa"/>
              <w:bottom w:w="72" w:type="dxa"/>
              <w:right w:w="144" w:type="dxa"/>
            </w:tcMar>
          </w:tcPr>
          <w:p w14:paraId="492FBD2F" w14:textId="06C0CBE9" w:rsidR="007E0EFC" w:rsidRPr="009E6278" w:rsidRDefault="007E0EFC" w:rsidP="005013D8">
            <w:pPr>
              <w:rPr>
                <w:color w:val="000000"/>
                <w:sz w:val="16"/>
                <w:szCs w:val="16"/>
                <w:lang w:val="en-GB"/>
              </w:rPr>
            </w:pPr>
            <w:r w:rsidRPr="00547151">
              <w:rPr>
                <w:b/>
                <w:bCs/>
                <w:color w:val="000000"/>
                <w:sz w:val="16"/>
                <w:szCs w:val="16"/>
                <w:lang w:val="en-GB"/>
              </w:rPr>
              <w:lastRenderedPageBreak/>
              <w:t>Output 1.1</w:t>
            </w:r>
            <w:r w:rsidR="00995C56" w:rsidRPr="00547151">
              <w:rPr>
                <w:b/>
                <w:bCs/>
                <w:color w:val="000000"/>
                <w:sz w:val="16"/>
                <w:szCs w:val="16"/>
                <w:lang w:val="en-GB"/>
              </w:rPr>
              <w:t>.</w:t>
            </w:r>
            <w:r w:rsidRPr="00547151">
              <w:rPr>
                <w:color w:val="000000"/>
                <w:sz w:val="16"/>
                <w:szCs w:val="16"/>
                <w:lang w:val="en-GB"/>
              </w:rPr>
              <w:t xml:space="preserve"> </w:t>
            </w:r>
            <w:r w:rsidRPr="009E6278">
              <w:rPr>
                <w:color w:val="000000"/>
                <w:sz w:val="16"/>
                <w:szCs w:val="16"/>
                <w:lang w:val="en-GB"/>
              </w:rPr>
              <w:t>Democratic systems and space for inclusive participation and social cohesion towards peace and security are enhanced</w:t>
            </w:r>
            <w:r w:rsidRPr="00547151">
              <w:rPr>
                <w:color w:val="000000"/>
                <w:sz w:val="16"/>
                <w:szCs w:val="16"/>
                <w:lang w:val="en-GB"/>
              </w:rPr>
              <w:t>.</w:t>
            </w:r>
          </w:p>
          <w:p w14:paraId="477999E7" w14:textId="77777777" w:rsidR="007E0EFC" w:rsidRPr="00547151" w:rsidRDefault="007E0EFC" w:rsidP="005013D8">
            <w:pPr>
              <w:rPr>
                <w:color w:val="000000"/>
                <w:sz w:val="16"/>
                <w:szCs w:val="16"/>
                <w:lang w:val="en-GB"/>
              </w:rPr>
            </w:pPr>
          </w:p>
          <w:p w14:paraId="12801B60" w14:textId="6E72F6A9" w:rsidR="007E0EFC" w:rsidRPr="00547151" w:rsidRDefault="007E0EFC" w:rsidP="00226BB8">
            <w:pPr>
              <w:rPr>
                <w:bCs/>
                <w:color w:val="000000"/>
                <w:sz w:val="16"/>
                <w:szCs w:val="16"/>
                <w:lang w:val="en-GB"/>
              </w:rPr>
            </w:pPr>
            <w:r w:rsidRPr="00547151">
              <w:rPr>
                <w:b/>
                <w:color w:val="000000"/>
                <w:sz w:val="16"/>
                <w:szCs w:val="16"/>
                <w:lang w:val="en-GB"/>
              </w:rPr>
              <w:t>Indicator 1.1.</w:t>
            </w:r>
            <w:r w:rsidR="00B968D7" w:rsidRPr="00547151">
              <w:rPr>
                <w:b/>
                <w:color w:val="000000"/>
                <w:sz w:val="16"/>
                <w:szCs w:val="16"/>
                <w:lang w:val="en-GB"/>
              </w:rPr>
              <w:t>1</w:t>
            </w:r>
            <w:r w:rsidR="00995C56" w:rsidRPr="00547151">
              <w:rPr>
                <w:b/>
                <w:color w:val="000000"/>
                <w:sz w:val="16"/>
                <w:szCs w:val="16"/>
                <w:lang w:val="en-GB"/>
              </w:rPr>
              <w:t>.</w:t>
            </w:r>
            <w:r w:rsidRPr="00547151">
              <w:rPr>
                <w:bCs/>
                <w:color w:val="000000"/>
                <w:sz w:val="16"/>
                <w:szCs w:val="16"/>
                <w:lang w:val="en-GB"/>
              </w:rPr>
              <w:t xml:space="preserve"> </w:t>
            </w:r>
            <w:r w:rsidRPr="009E6278">
              <w:rPr>
                <w:bCs/>
                <w:color w:val="000000"/>
                <w:sz w:val="16"/>
                <w:szCs w:val="16"/>
                <w:lang w:val="en-GB"/>
              </w:rPr>
              <w:t xml:space="preserve">Number of peace, social cohesion, </w:t>
            </w:r>
            <w:r w:rsidR="009F6AA7" w:rsidRPr="00547151">
              <w:rPr>
                <w:bCs/>
                <w:color w:val="000000"/>
                <w:sz w:val="16"/>
                <w:szCs w:val="16"/>
                <w:lang w:val="en-GB"/>
              </w:rPr>
              <w:t>p</w:t>
            </w:r>
            <w:r w:rsidR="009F6AA7" w:rsidRPr="009E6278">
              <w:rPr>
                <w:bCs/>
                <w:color w:val="000000"/>
                <w:sz w:val="16"/>
                <w:szCs w:val="16"/>
                <w:lang w:val="en-GB"/>
              </w:rPr>
              <w:t>reventing and countering violent extremism</w:t>
            </w:r>
            <w:r w:rsidR="00CC2307" w:rsidRPr="00547151">
              <w:rPr>
                <w:bCs/>
                <w:color w:val="000000"/>
                <w:sz w:val="16"/>
                <w:szCs w:val="16"/>
                <w:lang w:val="en-GB"/>
              </w:rPr>
              <w:t>,</w:t>
            </w:r>
            <w:r w:rsidR="009F6AA7" w:rsidRPr="00547151">
              <w:rPr>
                <w:bCs/>
                <w:color w:val="000000"/>
                <w:sz w:val="16"/>
                <w:szCs w:val="16"/>
                <w:lang w:val="en-GB"/>
              </w:rPr>
              <w:t xml:space="preserve"> </w:t>
            </w:r>
            <w:r w:rsidRPr="009E6278">
              <w:rPr>
                <w:bCs/>
                <w:color w:val="000000"/>
                <w:sz w:val="16"/>
                <w:szCs w:val="16"/>
                <w:lang w:val="en-GB"/>
              </w:rPr>
              <w:t xml:space="preserve">and human security plans, policies and legal frameworks enacted and implemented  </w:t>
            </w:r>
          </w:p>
          <w:p w14:paraId="57A6F41C" w14:textId="4B6D9DE4" w:rsidR="007E0EFC" w:rsidRPr="00547151" w:rsidRDefault="007E0EFC" w:rsidP="005013D8">
            <w:pPr>
              <w:rPr>
                <w:color w:val="000000"/>
                <w:sz w:val="16"/>
                <w:szCs w:val="16"/>
                <w:lang w:val="en-GB"/>
              </w:rPr>
            </w:pPr>
            <w:r w:rsidRPr="00547151">
              <w:rPr>
                <w:color w:val="000000"/>
                <w:sz w:val="16"/>
                <w:szCs w:val="16"/>
                <w:lang w:val="en-GB"/>
              </w:rPr>
              <w:t>Baseline : 5 (202</w:t>
            </w:r>
            <w:r w:rsidR="00C679FB" w:rsidRPr="00547151">
              <w:rPr>
                <w:color w:val="000000"/>
                <w:sz w:val="16"/>
                <w:szCs w:val="16"/>
                <w:lang w:val="en-GB"/>
              </w:rPr>
              <w:t>1</w:t>
            </w:r>
            <w:r w:rsidRPr="00547151">
              <w:rPr>
                <w:color w:val="000000"/>
                <w:sz w:val="16"/>
                <w:szCs w:val="16"/>
                <w:lang w:val="en-GB"/>
              </w:rPr>
              <w:t>)</w:t>
            </w:r>
          </w:p>
          <w:p w14:paraId="3AEFC5E4" w14:textId="3AAB56D1" w:rsidR="007E0EFC" w:rsidRPr="00547151" w:rsidRDefault="007E0EFC" w:rsidP="005013D8">
            <w:pPr>
              <w:rPr>
                <w:color w:val="000000"/>
                <w:sz w:val="16"/>
                <w:szCs w:val="16"/>
                <w:lang w:val="en-GB"/>
              </w:rPr>
            </w:pPr>
            <w:r w:rsidRPr="00547151">
              <w:rPr>
                <w:color w:val="000000"/>
                <w:sz w:val="16"/>
                <w:szCs w:val="16"/>
                <w:lang w:val="en-GB"/>
              </w:rPr>
              <w:t>Target :</w:t>
            </w:r>
            <w:r w:rsidR="000135F9" w:rsidRPr="00547151">
              <w:rPr>
                <w:color w:val="000000"/>
                <w:sz w:val="16"/>
                <w:szCs w:val="16"/>
                <w:lang w:val="en-GB"/>
              </w:rPr>
              <w:t>10</w:t>
            </w:r>
            <w:r w:rsidRPr="00547151">
              <w:rPr>
                <w:color w:val="000000"/>
                <w:sz w:val="16"/>
                <w:szCs w:val="16"/>
                <w:lang w:val="en-GB"/>
              </w:rPr>
              <w:t xml:space="preserve"> </w:t>
            </w:r>
            <w:r w:rsidR="000135F9" w:rsidRPr="00547151">
              <w:rPr>
                <w:color w:val="000000"/>
                <w:sz w:val="16"/>
                <w:szCs w:val="16"/>
                <w:lang w:val="en-GB"/>
              </w:rPr>
              <w:t>(</w:t>
            </w:r>
            <w:r w:rsidRPr="00547151">
              <w:rPr>
                <w:color w:val="000000"/>
                <w:sz w:val="16"/>
                <w:szCs w:val="16"/>
                <w:lang w:val="en-GB"/>
              </w:rPr>
              <w:t>2026</w:t>
            </w:r>
            <w:r w:rsidR="000135F9" w:rsidRPr="00547151">
              <w:rPr>
                <w:color w:val="000000"/>
                <w:sz w:val="16"/>
                <w:szCs w:val="16"/>
                <w:lang w:val="en-GB"/>
              </w:rPr>
              <w:t>)</w:t>
            </w:r>
            <w:r w:rsidRPr="00547151">
              <w:rPr>
                <w:color w:val="000000"/>
                <w:sz w:val="16"/>
                <w:szCs w:val="16"/>
                <w:lang w:val="en-GB"/>
              </w:rPr>
              <w:t xml:space="preserve"> </w:t>
            </w:r>
          </w:p>
          <w:p w14:paraId="7F7EE108" w14:textId="3EE329C2" w:rsidR="0011258B" w:rsidRPr="00547151" w:rsidRDefault="007E0EFC" w:rsidP="005013D8">
            <w:pPr>
              <w:rPr>
                <w:color w:val="000000"/>
                <w:sz w:val="16"/>
                <w:szCs w:val="16"/>
                <w:lang w:val="en-GB"/>
              </w:rPr>
            </w:pPr>
            <w:r w:rsidRPr="00547151">
              <w:rPr>
                <w:color w:val="000000"/>
                <w:sz w:val="16"/>
                <w:szCs w:val="16"/>
                <w:lang w:val="en-GB"/>
              </w:rPr>
              <w:t>Data source</w:t>
            </w:r>
            <w:r w:rsidR="00C679FB" w:rsidRPr="00547151">
              <w:rPr>
                <w:color w:val="000000"/>
                <w:sz w:val="16"/>
                <w:szCs w:val="16"/>
                <w:lang w:val="en-GB"/>
              </w:rPr>
              <w:t>:</w:t>
            </w:r>
            <w:r w:rsidRPr="00547151">
              <w:rPr>
                <w:color w:val="000000"/>
                <w:sz w:val="16"/>
                <w:szCs w:val="16"/>
                <w:lang w:val="en-GB"/>
              </w:rPr>
              <w:t xml:space="preserve"> NSC</w:t>
            </w:r>
            <w:r w:rsidR="009F6AA7" w:rsidRPr="00547151">
              <w:rPr>
                <w:color w:val="000000"/>
                <w:sz w:val="16"/>
                <w:szCs w:val="16"/>
                <w:lang w:val="en-GB"/>
              </w:rPr>
              <w:t>,</w:t>
            </w:r>
            <w:r w:rsidRPr="00547151">
              <w:rPr>
                <w:color w:val="000000"/>
                <w:sz w:val="16"/>
                <w:szCs w:val="16"/>
                <w:lang w:val="en-GB"/>
              </w:rPr>
              <w:t xml:space="preserve"> NCI</w:t>
            </w:r>
            <w:r w:rsidR="00BD4427" w:rsidRPr="00547151">
              <w:rPr>
                <w:color w:val="000000"/>
                <w:sz w:val="16"/>
                <w:szCs w:val="16"/>
                <w:lang w:val="en-GB"/>
              </w:rPr>
              <w:t>C</w:t>
            </w:r>
            <w:r w:rsidRPr="00547151">
              <w:rPr>
                <w:color w:val="000000"/>
                <w:sz w:val="16"/>
                <w:szCs w:val="16"/>
                <w:lang w:val="en-GB"/>
              </w:rPr>
              <w:t xml:space="preserve">, </w:t>
            </w:r>
            <w:r w:rsidR="009F6AA7" w:rsidRPr="00547151">
              <w:rPr>
                <w:color w:val="000000"/>
                <w:sz w:val="16"/>
                <w:szCs w:val="16"/>
                <w:lang w:val="en-GB"/>
              </w:rPr>
              <w:t>Kenya National Action Plan</w:t>
            </w:r>
            <w:r w:rsidRPr="00547151">
              <w:rPr>
                <w:color w:val="000000"/>
                <w:sz w:val="16"/>
                <w:szCs w:val="16"/>
                <w:lang w:val="en-GB"/>
              </w:rPr>
              <w:t xml:space="preserve">, NCTC, </w:t>
            </w:r>
            <w:r w:rsidR="009F6AA7" w:rsidRPr="00547151">
              <w:rPr>
                <w:color w:val="000000"/>
                <w:sz w:val="16"/>
                <w:szCs w:val="16"/>
                <w:lang w:val="en-GB"/>
              </w:rPr>
              <w:t>Uwiano</w:t>
            </w:r>
            <w:r w:rsidRPr="00547151">
              <w:rPr>
                <w:color w:val="000000"/>
                <w:sz w:val="16"/>
                <w:szCs w:val="16"/>
                <w:lang w:val="en-GB"/>
              </w:rPr>
              <w:t xml:space="preserve"> Platform for Peace </w:t>
            </w:r>
          </w:p>
          <w:p w14:paraId="1B878F00" w14:textId="79F3F4A9" w:rsidR="007E0EFC" w:rsidRPr="00547151" w:rsidRDefault="0011258B" w:rsidP="005013D8">
            <w:pPr>
              <w:rPr>
                <w:color w:val="000000"/>
                <w:sz w:val="16"/>
                <w:szCs w:val="16"/>
                <w:lang w:val="en-GB"/>
              </w:rPr>
            </w:pPr>
            <w:r w:rsidRPr="00547151">
              <w:rPr>
                <w:color w:val="000000"/>
                <w:sz w:val="16"/>
                <w:szCs w:val="16"/>
                <w:lang w:val="en-GB"/>
              </w:rPr>
              <w:t>Frequency:</w:t>
            </w:r>
            <w:r w:rsidR="007E0EFC" w:rsidRPr="00547151">
              <w:rPr>
                <w:color w:val="000000"/>
                <w:sz w:val="16"/>
                <w:szCs w:val="16"/>
                <w:lang w:val="en-GB"/>
              </w:rPr>
              <w:t xml:space="preserve"> Annual </w:t>
            </w:r>
          </w:p>
          <w:p w14:paraId="3A85BE4E" w14:textId="77777777" w:rsidR="007E0EFC" w:rsidRPr="00547151" w:rsidRDefault="007E0EFC" w:rsidP="005013D8">
            <w:pPr>
              <w:pStyle w:val="ListParagraph"/>
              <w:ind w:left="360"/>
              <w:rPr>
                <w:color w:val="000000"/>
                <w:sz w:val="16"/>
                <w:szCs w:val="16"/>
                <w:lang w:val="en-GB"/>
              </w:rPr>
            </w:pPr>
          </w:p>
          <w:p w14:paraId="37E27EDE" w14:textId="14234F55" w:rsidR="007E0EFC" w:rsidRPr="00547151" w:rsidRDefault="00CC2307" w:rsidP="005013D8">
            <w:pPr>
              <w:rPr>
                <w:color w:val="000000"/>
                <w:sz w:val="16"/>
                <w:szCs w:val="16"/>
                <w:lang w:val="en-GB"/>
              </w:rPr>
            </w:pPr>
            <w:r w:rsidRPr="00547151">
              <w:rPr>
                <w:color w:val="000000"/>
                <w:sz w:val="16"/>
                <w:szCs w:val="16"/>
                <w:lang w:val="en-GB"/>
              </w:rPr>
              <w:t>I</w:t>
            </w:r>
            <w:r w:rsidR="007E0EFC" w:rsidRPr="00547151">
              <w:rPr>
                <w:b/>
                <w:bCs/>
                <w:color w:val="000000"/>
                <w:sz w:val="16"/>
                <w:szCs w:val="16"/>
                <w:lang w:val="en-GB"/>
              </w:rPr>
              <w:t>ndicator 1.1.</w:t>
            </w:r>
            <w:r w:rsidR="00B968D7" w:rsidRPr="00547151">
              <w:rPr>
                <w:b/>
                <w:bCs/>
                <w:color w:val="000000"/>
                <w:sz w:val="16"/>
                <w:szCs w:val="16"/>
                <w:lang w:val="en-GB"/>
              </w:rPr>
              <w:t>2</w:t>
            </w:r>
            <w:r w:rsidR="009F6AA7" w:rsidRPr="00547151">
              <w:rPr>
                <w:b/>
                <w:bCs/>
                <w:color w:val="000000"/>
                <w:sz w:val="16"/>
                <w:szCs w:val="16"/>
                <w:lang w:val="en-GB"/>
              </w:rPr>
              <w:t>.</w:t>
            </w:r>
            <w:r w:rsidR="007E0EFC" w:rsidRPr="00547151">
              <w:rPr>
                <w:b/>
                <w:bCs/>
                <w:color w:val="000000"/>
                <w:sz w:val="16"/>
                <w:szCs w:val="16"/>
                <w:lang w:val="en-GB"/>
              </w:rPr>
              <w:t xml:space="preserve"> </w:t>
            </w:r>
            <w:r w:rsidR="007E0EFC" w:rsidRPr="00547151">
              <w:rPr>
                <w:color w:val="000000"/>
                <w:sz w:val="16"/>
                <w:szCs w:val="16"/>
                <w:lang w:val="en-GB"/>
              </w:rPr>
              <w:t xml:space="preserve">Number of mechanisms supported for dialogue, consensus-building, reconciliation and </w:t>
            </w:r>
            <w:r w:rsidR="009F6AA7" w:rsidRPr="00547151">
              <w:rPr>
                <w:color w:val="000000"/>
                <w:sz w:val="16"/>
                <w:szCs w:val="16"/>
                <w:lang w:val="en-GB"/>
              </w:rPr>
              <w:t>preventing violent extremism</w:t>
            </w:r>
            <w:r w:rsidR="003075FA" w:rsidRPr="00547151">
              <w:rPr>
                <w:color w:val="000000"/>
                <w:sz w:val="16"/>
                <w:szCs w:val="16"/>
                <w:lang w:val="en-GB"/>
              </w:rPr>
              <w:t>,</w:t>
            </w:r>
            <w:r w:rsidR="009F6AA7" w:rsidRPr="00547151">
              <w:rPr>
                <w:color w:val="000000"/>
                <w:sz w:val="16"/>
                <w:szCs w:val="16"/>
                <w:lang w:val="en-GB"/>
              </w:rPr>
              <w:t xml:space="preserve"> </w:t>
            </w:r>
            <w:r w:rsidR="007E0EFC" w:rsidRPr="00547151">
              <w:rPr>
                <w:color w:val="000000"/>
                <w:sz w:val="16"/>
                <w:szCs w:val="16"/>
                <w:lang w:val="en-GB"/>
              </w:rPr>
              <w:t xml:space="preserve">with equal participation of women and men </w:t>
            </w:r>
          </w:p>
          <w:p w14:paraId="0729DDE6" w14:textId="30DAE2D9" w:rsidR="007E0EFC" w:rsidRPr="00547151" w:rsidRDefault="007E0EFC" w:rsidP="005013D8">
            <w:pPr>
              <w:rPr>
                <w:color w:val="000000"/>
                <w:sz w:val="16"/>
                <w:szCs w:val="16"/>
                <w:lang w:val="en-GB"/>
              </w:rPr>
            </w:pPr>
            <w:r w:rsidRPr="00547151">
              <w:rPr>
                <w:color w:val="000000"/>
                <w:sz w:val="16"/>
                <w:szCs w:val="16"/>
                <w:lang w:val="en-GB"/>
              </w:rPr>
              <w:t>Baseline : 10 (202</w:t>
            </w:r>
            <w:r w:rsidR="00FB34EB" w:rsidRPr="00547151">
              <w:rPr>
                <w:color w:val="000000"/>
                <w:sz w:val="16"/>
                <w:szCs w:val="16"/>
                <w:lang w:val="en-GB"/>
              </w:rPr>
              <w:t>1</w:t>
            </w:r>
            <w:r w:rsidRPr="00547151">
              <w:rPr>
                <w:color w:val="000000"/>
                <w:sz w:val="16"/>
                <w:szCs w:val="16"/>
                <w:lang w:val="en-GB"/>
              </w:rPr>
              <w:t>)</w:t>
            </w:r>
          </w:p>
          <w:p w14:paraId="6C326C76" w14:textId="20D18735" w:rsidR="007E0EFC" w:rsidRPr="00547151" w:rsidRDefault="007E0EFC" w:rsidP="005013D8">
            <w:pPr>
              <w:rPr>
                <w:color w:val="000000"/>
                <w:sz w:val="16"/>
                <w:szCs w:val="16"/>
                <w:lang w:val="en-GB"/>
              </w:rPr>
            </w:pPr>
            <w:r w:rsidRPr="00547151">
              <w:rPr>
                <w:color w:val="000000"/>
                <w:sz w:val="16"/>
                <w:szCs w:val="16"/>
                <w:lang w:val="en-GB"/>
              </w:rPr>
              <w:t xml:space="preserve">Target : </w:t>
            </w:r>
            <w:r w:rsidR="00FB34EB" w:rsidRPr="00547151">
              <w:rPr>
                <w:color w:val="000000"/>
                <w:sz w:val="16"/>
                <w:szCs w:val="16"/>
                <w:lang w:val="en-GB"/>
              </w:rPr>
              <w:t>20 (</w:t>
            </w:r>
            <w:r w:rsidRPr="00547151">
              <w:rPr>
                <w:color w:val="000000"/>
                <w:sz w:val="16"/>
                <w:szCs w:val="16"/>
                <w:lang w:val="en-GB"/>
              </w:rPr>
              <w:t>2026</w:t>
            </w:r>
            <w:r w:rsidR="00FB34EB" w:rsidRPr="00547151">
              <w:rPr>
                <w:color w:val="000000"/>
                <w:sz w:val="16"/>
                <w:szCs w:val="16"/>
                <w:lang w:val="en-GB"/>
              </w:rPr>
              <w:t>)</w:t>
            </w:r>
          </w:p>
          <w:p w14:paraId="6BDE1F2F" w14:textId="29A73890" w:rsidR="0011258B" w:rsidRPr="00547151" w:rsidRDefault="007E0EFC" w:rsidP="005013D8">
            <w:pPr>
              <w:rPr>
                <w:bCs/>
                <w:color w:val="000000"/>
                <w:sz w:val="16"/>
                <w:szCs w:val="16"/>
                <w:lang w:val="en-GB"/>
              </w:rPr>
            </w:pPr>
            <w:r w:rsidRPr="00547151">
              <w:rPr>
                <w:color w:val="000000"/>
                <w:sz w:val="16"/>
                <w:szCs w:val="16"/>
                <w:lang w:val="en-GB"/>
              </w:rPr>
              <w:t xml:space="preserve">Data source: </w:t>
            </w:r>
            <w:r w:rsidR="00367D98" w:rsidRPr="00547151">
              <w:rPr>
                <w:bCs/>
                <w:color w:val="000000"/>
                <w:sz w:val="16"/>
                <w:szCs w:val="16"/>
                <w:lang w:val="en-GB"/>
              </w:rPr>
              <w:t>MOINC</w:t>
            </w:r>
            <w:r w:rsidRPr="00547151">
              <w:rPr>
                <w:bCs/>
                <w:color w:val="000000"/>
                <w:sz w:val="16"/>
                <w:szCs w:val="16"/>
                <w:lang w:val="en-GB"/>
              </w:rPr>
              <w:t xml:space="preserve">, NCIC, NCTC </w:t>
            </w:r>
          </w:p>
          <w:p w14:paraId="6577D5A3" w14:textId="41D01F2A" w:rsidR="007E0EFC" w:rsidRPr="00547151" w:rsidRDefault="0011258B" w:rsidP="005013D8">
            <w:pPr>
              <w:rPr>
                <w:bCs/>
                <w:color w:val="000000"/>
                <w:sz w:val="16"/>
                <w:szCs w:val="16"/>
                <w:lang w:val="en-GB"/>
              </w:rPr>
            </w:pPr>
            <w:r w:rsidRPr="00547151">
              <w:rPr>
                <w:bCs/>
                <w:color w:val="000000"/>
                <w:sz w:val="16"/>
                <w:szCs w:val="16"/>
                <w:lang w:val="en-GB"/>
              </w:rPr>
              <w:t xml:space="preserve">Frequency: </w:t>
            </w:r>
            <w:r w:rsidR="007E0EFC" w:rsidRPr="00547151">
              <w:rPr>
                <w:bCs/>
                <w:color w:val="000000"/>
                <w:sz w:val="16"/>
                <w:szCs w:val="16"/>
                <w:lang w:val="en-GB"/>
              </w:rPr>
              <w:t xml:space="preserve">Annual </w:t>
            </w:r>
          </w:p>
          <w:p w14:paraId="134EFB27" w14:textId="77777777" w:rsidR="007E0EFC" w:rsidRPr="00547151" w:rsidRDefault="007E0EFC" w:rsidP="00FB458D">
            <w:pPr>
              <w:rPr>
                <w:color w:val="000000"/>
                <w:sz w:val="16"/>
                <w:szCs w:val="16"/>
                <w:lang w:val="en-GB"/>
              </w:rPr>
            </w:pPr>
          </w:p>
          <w:p w14:paraId="6DAB2B10" w14:textId="56F75AA5" w:rsidR="007E0EFC" w:rsidRPr="009E6278" w:rsidRDefault="007E0EFC" w:rsidP="005013D8">
            <w:pPr>
              <w:rPr>
                <w:b/>
                <w:bCs/>
                <w:color w:val="000000"/>
                <w:sz w:val="16"/>
                <w:szCs w:val="16"/>
                <w:lang w:val="en-GB"/>
              </w:rPr>
            </w:pPr>
            <w:r w:rsidRPr="00547151">
              <w:rPr>
                <w:b/>
                <w:bCs/>
                <w:color w:val="000000"/>
                <w:sz w:val="16"/>
                <w:szCs w:val="16"/>
                <w:lang w:val="en-GB"/>
              </w:rPr>
              <w:t>Output 1.2</w:t>
            </w:r>
            <w:r w:rsidR="00CC2307" w:rsidRPr="00547151">
              <w:rPr>
                <w:b/>
                <w:bCs/>
                <w:color w:val="000000"/>
                <w:sz w:val="16"/>
                <w:szCs w:val="16"/>
                <w:lang w:val="en-GB"/>
              </w:rPr>
              <w:t>.</w:t>
            </w:r>
            <w:r w:rsidRPr="009E6278">
              <w:rPr>
                <w:rFonts w:eastAsiaTheme="minorEastAsia"/>
                <w:color w:val="1F497D" w:themeColor="text2"/>
                <w:kern w:val="24"/>
                <w:sz w:val="16"/>
                <w:szCs w:val="16"/>
                <w:lang w:val="en-GB"/>
              </w:rPr>
              <w:t xml:space="preserve"> </w:t>
            </w:r>
            <w:r w:rsidR="009F6AA7" w:rsidRPr="00547151">
              <w:rPr>
                <w:color w:val="000000"/>
                <w:sz w:val="16"/>
                <w:szCs w:val="16"/>
                <w:lang w:val="en-GB"/>
              </w:rPr>
              <w:t>Capacity of r</w:t>
            </w:r>
            <w:r w:rsidRPr="009E6278">
              <w:rPr>
                <w:color w:val="000000"/>
                <w:sz w:val="16"/>
                <w:szCs w:val="16"/>
                <w:lang w:val="en-GB"/>
              </w:rPr>
              <w:t>ights</w:t>
            </w:r>
            <w:r w:rsidR="009F6AA7" w:rsidRPr="00547151">
              <w:rPr>
                <w:color w:val="000000"/>
                <w:sz w:val="16"/>
                <w:szCs w:val="16"/>
                <w:lang w:val="en-GB"/>
              </w:rPr>
              <w:t>-</w:t>
            </w:r>
            <w:r w:rsidRPr="009E6278">
              <w:rPr>
                <w:color w:val="000000"/>
                <w:sz w:val="16"/>
                <w:szCs w:val="16"/>
                <w:lang w:val="en-GB"/>
              </w:rPr>
              <w:t xml:space="preserve">holders </w:t>
            </w:r>
            <w:r w:rsidR="009F6AA7" w:rsidRPr="00547151">
              <w:rPr>
                <w:color w:val="000000"/>
                <w:sz w:val="16"/>
                <w:szCs w:val="16"/>
                <w:lang w:val="en-GB"/>
              </w:rPr>
              <w:t>and</w:t>
            </w:r>
            <w:r w:rsidR="009F6AA7" w:rsidRPr="009E6278">
              <w:rPr>
                <w:color w:val="000000"/>
                <w:sz w:val="16"/>
                <w:szCs w:val="16"/>
                <w:lang w:val="en-GB"/>
              </w:rPr>
              <w:t xml:space="preserve"> </w:t>
            </w:r>
            <w:r w:rsidRPr="009E6278">
              <w:rPr>
                <w:color w:val="000000"/>
                <w:sz w:val="16"/>
                <w:szCs w:val="16"/>
                <w:lang w:val="en-GB"/>
              </w:rPr>
              <w:t>governance institutions to ensure transparency, accountability and human rights principles towards the attainment of SDGs enhanced</w:t>
            </w:r>
            <w:r w:rsidRPr="009E6278">
              <w:rPr>
                <w:b/>
                <w:bCs/>
                <w:color w:val="000000"/>
                <w:sz w:val="16"/>
                <w:szCs w:val="16"/>
                <w:lang w:val="en-GB"/>
              </w:rPr>
              <w:t xml:space="preserve"> </w:t>
            </w:r>
          </w:p>
          <w:p w14:paraId="375D1DF4" w14:textId="74A05133" w:rsidR="007E0EFC" w:rsidRPr="00547151" w:rsidRDefault="00CC2307" w:rsidP="005013D8">
            <w:pPr>
              <w:rPr>
                <w:color w:val="000000"/>
                <w:sz w:val="16"/>
                <w:szCs w:val="16"/>
                <w:lang w:val="en-GB"/>
              </w:rPr>
            </w:pPr>
            <w:r w:rsidRPr="00547151">
              <w:rPr>
                <w:b/>
                <w:bCs/>
                <w:color w:val="000000"/>
                <w:sz w:val="16"/>
                <w:szCs w:val="16"/>
                <w:lang w:val="en-GB"/>
              </w:rPr>
              <w:lastRenderedPageBreak/>
              <w:t>I</w:t>
            </w:r>
            <w:r w:rsidR="007E0EFC" w:rsidRPr="00547151">
              <w:rPr>
                <w:b/>
                <w:bCs/>
                <w:color w:val="000000"/>
                <w:sz w:val="16"/>
                <w:szCs w:val="16"/>
                <w:lang w:val="en-GB"/>
              </w:rPr>
              <w:t>ndicator 1.2.</w:t>
            </w:r>
            <w:r w:rsidR="00C651B0" w:rsidRPr="00547151">
              <w:rPr>
                <w:b/>
                <w:bCs/>
                <w:color w:val="000000"/>
                <w:sz w:val="16"/>
                <w:szCs w:val="16"/>
                <w:lang w:val="en-GB"/>
              </w:rPr>
              <w:t>1</w:t>
            </w:r>
            <w:r w:rsidRPr="00547151">
              <w:rPr>
                <w:b/>
                <w:bCs/>
                <w:color w:val="000000"/>
                <w:sz w:val="16"/>
                <w:szCs w:val="16"/>
                <w:lang w:val="en-GB"/>
              </w:rPr>
              <w:t>.</w:t>
            </w:r>
            <w:r w:rsidR="007E0EFC" w:rsidRPr="009E6278">
              <w:rPr>
                <w:sz w:val="16"/>
                <w:szCs w:val="16"/>
                <w:lang w:val="en-GB"/>
              </w:rPr>
              <w:t xml:space="preserve"> </w:t>
            </w:r>
            <w:r w:rsidR="007E0EFC" w:rsidRPr="00547151">
              <w:rPr>
                <w:color w:val="000000"/>
                <w:sz w:val="16"/>
                <w:szCs w:val="16"/>
                <w:lang w:val="en-GB"/>
              </w:rPr>
              <w:t>Proportion of persons</w:t>
            </w:r>
            <w:r w:rsidRPr="00547151">
              <w:rPr>
                <w:color w:val="000000"/>
                <w:sz w:val="16"/>
                <w:szCs w:val="16"/>
                <w:lang w:val="en-GB"/>
              </w:rPr>
              <w:t>,</w:t>
            </w:r>
            <w:r w:rsidR="007E0EFC" w:rsidRPr="009E6278">
              <w:rPr>
                <w:color w:val="000000"/>
                <w:sz w:val="16"/>
                <w:szCs w:val="16"/>
                <w:lang w:val="en-GB"/>
              </w:rPr>
              <w:t xml:space="preserve"> </w:t>
            </w:r>
            <w:r w:rsidR="00C679FB" w:rsidRPr="009E6278">
              <w:rPr>
                <w:color w:val="000000"/>
                <w:sz w:val="16"/>
                <w:szCs w:val="16"/>
                <w:lang w:val="en-GB"/>
              </w:rPr>
              <w:t>by gender</w:t>
            </w:r>
            <w:r w:rsidRPr="00547151">
              <w:rPr>
                <w:color w:val="000000"/>
                <w:sz w:val="16"/>
                <w:szCs w:val="16"/>
                <w:lang w:val="en-GB"/>
              </w:rPr>
              <w:t>,</w:t>
            </w:r>
            <w:r w:rsidR="00C679FB" w:rsidRPr="009E6278">
              <w:rPr>
                <w:color w:val="000000"/>
                <w:sz w:val="16"/>
                <w:szCs w:val="16"/>
                <w:lang w:val="en-GB"/>
              </w:rPr>
              <w:t xml:space="preserve"> </w:t>
            </w:r>
            <w:r w:rsidR="007E0EFC" w:rsidRPr="009E6278">
              <w:rPr>
                <w:color w:val="000000"/>
                <w:sz w:val="16"/>
                <w:szCs w:val="16"/>
                <w:lang w:val="en-GB"/>
              </w:rPr>
              <w:t>accessing justice through formal and alternative justice systems</w:t>
            </w:r>
          </w:p>
          <w:p w14:paraId="0A52FBCD" w14:textId="45581208" w:rsidR="007E0EFC" w:rsidRPr="00547151" w:rsidRDefault="007E0EFC" w:rsidP="005013D8">
            <w:pPr>
              <w:rPr>
                <w:color w:val="000000"/>
                <w:sz w:val="16"/>
                <w:szCs w:val="16"/>
                <w:lang w:val="en-GB"/>
              </w:rPr>
            </w:pPr>
            <w:r w:rsidRPr="00547151">
              <w:rPr>
                <w:color w:val="000000"/>
                <w:sz w:val="16"/>
                <w:szCs w:val="16"/>
                <w:lang w:val="en-GB"/>
              </w:rPr>
              <w:t>Baseline:</w:t>
            </w:r>
            <w:r w:rsidR="00CC2307" w:rsidRPr="00547151">
              <w:rPr>
                <w:color w:val="000000"/>
                <w:sz w:val="16"/>
                <w:szCs w:val="16"/>
                <w:lang w:val="en-GB"/>
              </w:rPr>
              <w:t xml:space="preserve"> </w:t>
            </w:r>
            <w:r w:rsidR="003714D6" w:rsidRPr="00547151">
              <w:rPr>
                <w:color w:val="000000"/>
                <w:sz w:val="16"/>
                <w:szCs w:val="16"/>
                <w:lang w:val="en-GB"/>
              </w:rPr>
              <w:t>29% (</w:t>
            </w:r>
            <w:r w:rsidRPr="00547151">
              <w:rPr>
                <w:color w:val="000000"/>
                <w:sz w:val="16"/>
                <w:szCs w:val="16"/>
                <w:lang w:val="en-GB"/>
              </w:rPr>
              <w:t>2018</w:t>
            </w:r>
            <w:r w:rsidR="003714D6" w:rsidRPr="00547151">
              <w:rPr>
                <w:color w:val="000000"/>
                <w:sz w:val="16"/>
                <w:szCs w:val="16"/>
                <w:lang w:val="en-GB"/>
              </w:rPr>
              <w:t>)</w:t>
            </w:r>
          </w:p>
          <w:p w14:paraId="2C929900" w14:textId="5EB88429" w:rsidR="007E0EFC" w:rsidRPr="00547151" w:rsidRDefault="007E0EFC" w:rsidP="005013D8">
            <w:pPr>
              <w:rPr>
                <w:color w:val="000000"/>
                <w:sz w:val="16"/>
                <w:szCs w:val="16"/>
                <w:lang w:val="en-GB"/>
              </w:rPr>
            </w:pPr>
            <w:r w:rsidRPr="00547151">
              <w:rPr>
                <w:color w:val="000000"/>
                <w:sz w:val="16"/>
                <w:szCs w:val="16"/>
                <w:lang w:val="en-GB"/>
              </w:rPr>
              <w:t>Target:</w:t>
            </w:r>
            <w:r w:rsidR="00CC2307" w:rsidRPr="00547151">
              <w:rPr>
                <w:color w:val="000000"/>
                <w:sz w:val="16"/>
                <w:szCs w:val="16"/>
                <w:lang w:val="en-GB"/>
              </w:rPr>
              <w:t xml:space="preserve"> </w:t>
            </w:r>
            <w:r w:rsidR="003714D6" w:rsidRPr="00547151">
              <w:rPr>
                <w:color w:val="000000"/>
                <w:sz w:val="16"/>
                <w:szCs w:val="16"/>
                <w:lang w:val="en-GB"/>
              </w:rPr>
              <w:t>45% (</w:t>
            </w:r>
            <w:r w:rsidRPr="00547151">
              <w:rPr>
                <w:color w:val="000000"/>
                <w:sz w:val="16"/>
                <w:szCs w:val="16"/>
                <w:lang w:val="en-GB"/>
              </w:rPr>
              <w:t>2026</w:t>
            </w:r>
            <w:r w:rsidRPr="009E6278">
              <w:rPr>
                <w:sz w:val="16"/>
                <w:szCs w:val="16"/>
                <w:lang w:val="en-GB"/>
              </w:rPr>
              <w:t xml:space="preserve"> </w:t>
            </w:r>
            <w:r w:rsidR="003714D6" w:rsidRPr="009E6278">
              <w:rPr>
                <w:sz w:val="16"/>
                <w:szCs w:val="16"/>
                <w:lang w:val="en-GB"/>
              </w:rPr>
              <w:t>)</w:t>
            </w:r>
          </w:p>
          <w:p w14:paraId="0F047151" w14:textId="670CB30B" w:rsidR="007E0EFC" w:rsidRPr="00547151" w:rsidRDefault="007E0EFC" w:rsidP="005013D8">
            <w:pPr>
              <w:rPr>
                <w:color w:val="000000"/>
                <w:sz w:val="16"/>
                <w:szCs w:val="16"/>
                <w:lang w:val="en-GB"/>
              </w:rPr>
            </w:pPr>
            <w:r w:rsidRPr="00547151">
              <w:rPr>
                <w:color w:val="000000"/>
                <w:sz w:val="16"/>
                <w:szCs w:val="16"/>
                <w:lang w:val="en-GB"/>
              </w:rPr>
              <w:t xml:space="preserve">Data source: Justice Needs Satisfaction </w:t>
            </w:r>
            <w:r w:rsidR="003075FA" w:rsidRPr="00547151">
              <w:rPr>
                <w:color w:val="000000"/>
                <w:sz w:val="16"/>
                <w:szCs w:val="16"/>
                <w:lang w:val="en-GB"/>
              </w:rPr>
              <w:t>s</w:t>
            </w:r>
            <w:r w:rsidRPr="00547151">
              <w:rPr>
                <w:color w:val="000000"/>
                <w:sz w:val="16"/>
                <w:szCs w:val="16"/>
                <w:lang w:val="en-GB"/>
              </w:rPr>
              <w:t>urvey</w:t>
            </w:r>
            <w:r w:rsidR="00CC2307" w:rsidRPr="00547151">
              <w:rPr>
                <w:color w:val="000000"/>
                <w:sz w:val="16"/>
                <w:szCs w:val="16"/>
                <w:lang w:val="en-GB"/>
              </w:rPr>
              <w:t>,</w:t>
            </w:r>
            <w:r w:rsidRPr="00547151">
              <w:rPr>
                <w:color w:val="000000"/>
                <w:sz w:val="16"/>
                <w:szCs w:val="16"/>
                <w:lang w:val="en-GB"/>
              </w:rPr>
              <w:t xml:space="preserve"> 2018</w:t>
            </w:r>
            <w:r w:rsidR="00CC2307" w:rsidRPr="00547151">
              <w:rPr>
                <w:color w:val="000000"/>
                <w:sz w:val="16"/>
                <w:szCs w:val="16"/>
                <w:lang w:val="en-GB"/>
              </w:rPr>
              <w:t>,</w:t>
            </w:r>
            <w:r w:rsidRPr="00547151">
              <w:rPr>
                <w:color w:val="000000"/>
                <w:sz w:val="16"/>
                <w:szCs w:val="16"/>
                <w:lang w:val="en-GB"/>
              </w:rPr>
              <w:t xml:space="preserve"> and Alternative Justice Systems </w:t>
            </w:r>
            <w:r w:rsidR="003075FA" w:rsidRPr="00547151">
              <w:rPr>
                <w:color w:val="000000"/>
                <w:sz w:val="16"/>
                <w:szCs w:val="16"/>
                <w:lang w:val="en-GB"/>
              </w:rPr>
              <w:t>b</w:t>
            </w:r>
            <w:r w:rsidRPr="00547151">
              <w:rPr>
                <w:color w:val="000000"/>
                <w:sz w:val="16"/>
                <w:szCs w:val="16"/>
                <w:lang w:val="en-GB"/>
              </w:rPr>
              <w:t xml:space="preserve">aseline </w:t>
            </w:r>
            <w:r w:rsidR="003075FA" w:rsidRPr="00547151">
              <w:rPr>
                <w:color w:val="000000"/>
                <w:sz w:val="16"/>
                <w:szCs w:val="16"/>
                <w:lang w:val="en-GB"/>
              </w:rPr>
              <w:t>p</w:t>
            </w:r>
            <w:r w:rsidRPr="00547151">
              <w:rPr>
                <w:color w:val="000000"/>
                <w:sz w:val="16"/>
                <w:szCs w:val="16"/>
                <w:lang w:val="en-GB"/>
              </w:rPr>
              <w:t>olicy</w:t>
            </w:r>
            <w:r w:rsidR="00CC2307" w:rsidRPr="00547151">
              <w:rPr>
                <w:color w:val="000000"/>
                <w:sz w:val="16"/>
                <w:szCs w:val="16"/>
                <w:lang w:val="en-GB"/>
              </w:rPr>
              <w:t>,</w:t>
            </w:r>
            <w:r w:rsidRPr="00547151">
              <w:rPr>
                <w:color w:val="000000"/>
                <w:sz w:val="16"/>
                <w:szCs w:val="16"/>
                <w:lang w:val="en-GB"/>
              </w:rPr>
              <w:t xml:space="preserve"> 2021.</w:t>
            </w:r>
          </w:p>
          <w:p w14:paraId="08658C0A" w14:textId="5C070142" w:rsidR="003714D6" w:rsidRPr="00547151" w:rsidRDefault="003714D6" w:rsidP="005013D8">
            <w:pPr>
              <w:rPr>
                <w:color w:val="000000"/>
                <w:sz w:val="16"/>
                <w:szCs w:val="16"/>
                <w:lang w:val="en-GB"/>
              </w:rPr>
            </w:pPr>
            <w:r w:rsidRPr="00547151">
              <w:rPr>
                <w:color w:val="000000"/>
                <w:sz w:val="16"/>
                <w:szCs w:val="16"/>
                <w:lang w:val="en-GB"/>
              </w:rPr>
              <w:t>Frequency: Annual</w:t>
            </w:r>
          </w:p>
          <w:p w14:paraId="387BDB83" w14:textId="053FD308" w:rsidR="007E0EFC" w:rsidRPr="00547151" w:rsidRDefault="007E0EFC" w:rsidP="005013D8">
            <w:pPr>
              <w:rPr>
                <w:color w:val="000000"/>
                <w:sz w:val="16"/>
                <w:szCs w:val="16"/>
                <w:lang w:val="en-GB"/>
              </w:rPr>
            </w:pPr>
          </w:p>
          <w:p w14:paraId="7A5B7223" w14:textId="6EB4F707" w:rsidR="00CC0178" w:rsidRPr="009E6278" w:rsidRDefault="00CC0178" w:rsidP="00CC0178">
            <w:pPr>
              <w:rPr>
                <w:sz w:val="16"/>
                <w:szCs w:val="16"/>
                <w:lang w:val="en-GB"/>
              </w:rPr>
            </w:pPr>
            <w:r w:rsidRPr="009E6278">
              <w:rPr>
                <w:b/>
                <w:sz w:val="16"/>
                <w:szCs w:val="16"/>
                <w:lang w:val="en-GB"/>
              </w:rPr>
              <w:t>Indicator 1.2.2</w:t>
            </w:r>
            <w:r w:rsidR="00CC2307" w:rsidRPr="00547151">
              <w:rPr>
                <w:b/>
                <w:sz w:val="16"/>
                <w:szCs w:val="16"/>
                <w:lang w:val="en-GB"/>
              </w:rPr>
              <w:t>.</w:t>
            </w:r>
            <w:r w:rsidR="00571A86" w:rsidRPr="009E6278">
              <w:rPr>
                <w:b/>
                <w:sz w:val="16"/>
                <w:szCs w:val="16"/>
                <w:lang w:val="en-GB"/>
              </w:rPr>
              <w:t xml:space="preserve"> </w:t>
            </w:r>
            <w:r w:rsidR="00C15EE8" w:rsidRPr="009E6278">
              <w:rPr>
                <w:sz w:val="16"/>
                <w:szCs w:val="16"/>
                <w:lang w:val="en-GB"/>
              </w:rPr>
              <w:t xml:space="preserve">Proportion of persons </w:t>
            </w:r>
            <w:r w:rsidR="0092576D" w:rsidRPr="009E6278">
              <w:rPr>
                <w:sz w:val="16"/>
                <w:szCs w:val="16"/>
                <w:lang w:val="en-GB"/>
              </w:rPr>
              <w:t>subjected to</w:t>
            </w:r>
            <w:r w:rsidRPr="009E6278">
              <w:rPr>
                <w:sz w:val="16"/>
                <w:szCs w:val="16"/>
                <w:lang w:val="en-GB"/>
              </w:rPr>
              <w:t xml:space="preserve"> HIV</w:t>
            </w:r>
            <w:r w:rsidR="00CC2307" w:rsidRPr="00547151">
              <w:rPr>
                <w:sz w:val="16"/>
                <w:szCs w:val="16"/>
                <w:lang w:val="en-GB"/>
              </w:rPr>
              <w:t>-</w:t>
            </w:r>
            <w:r w:rsidRPr="009E6278">
              <w:rPr>
                <w:sz w:val="16"/>
                <w:szCs w:val="16"/>
                <w:lang w:val="en-GB"/>
              </w:rPr>
              <w:t xml:space="preserve">related stigma and discrimination </w:t>
            </w:r>
          </w:p>
          <w:p w14:paraId="2136955D" w14:textId="5D6DA918" w:rsidR="00CC0178" w:rsidRPr="009E6278" w:rsidRDefault="00CC0178" w:rsidP="00CC0178">
            <w:pPr>
              <w:rPr>
                <w:rFonts w:eastAsiaTheme="minorHAnsi"/>
                <w:sz w:val="16"/>
                <w:szCs w:val="16"/>
                <w:lang w:val="en-GB"/>
              </w:rPr>
            </w:pPr>
            <w:r w:rsidRPr="009E6278">
              <w:rPr>
                <w:sz w:val="16"/>
                <w:szCs w:val="16"/>
                <w:lang w:val="en-GB"/>
              </w:rPr>
              <w:t>Baseline: 45% (2020)</w:t>
            </w:r>
          </w:p>
          <w:p w14:paraId="460CDE56" w14:textId="54EFB6F6" w:rsidR="00CC0178" w:rsidRPr="009E6278" w:rsidRDefault="00CC0178" w:rsidP="00CC0178">
            <w:pPr>
              <w:rPr>
                <w:sz w:val="16"/>
                <w:szCs w:val="16"/>
                <w:lang w:val="en-GB"/>
              </w:rPr>
            </w:pPr>
            <w:r w:rsidRPr="009E6278">
              <w:rPr>
                <w:sz w:val="16"/>
                <w:szCs w:val="16"/>
                <w:lang w:val="en-GB"/>
              </w:rPr>
              <w:t>Target</w:t>
            </w:r>
            <w:r w:rsidR="003075FA" w:rsidRPr="00547151">
              <w:rPr>
                <w:sz w:val="16"/>
                <w:szCs w:val="16"/>
                <w:lang w:val="en-GB"/>
              </w:rPr>
              <w:t>:</w:t>
            </w:r>
            <w:r w:rsidRPr="009E6278">
              <w:rPr>
                <w:sz w:val="16"/>
                <w:szCs w:val="16"/>
                <w:lang w:val="en-GB"/>
              </w:rPr>
              <w:t xml:space="preserve"> 25% (2026)</w:t>
            </w:r>
          </w:p>
          <w:p w14:paraId="76BA6301" w14:textId="0B4AD057" w:rsidR="00CC0178" w:rsidRPr="009E6278" w:rsidRDefault="00CC0178" w:rsidP="00CC0178">
            <w:pPr>
              <w:rPr>
                <w:sz w:val="16"/>
                <w:szCs w:val="16"/>
                <w:lang w:val="en-GB"/>
              </w:rPr>
            </w:pPr>
            <w:r w:rsidRPr="009E6278">
              <w:rPr>
                <w:sz w:val="16"/>
                <w:szCs w:val="16"/>
                <w:lang w:val="en-GB"/>
              </w:rPr>
              <w:t xml:space="preserve">Data Source: HIV </w:t>
            </w:r>
            <w:r w:rsidR="00F97AC6" w:rsidRPr="009E6278">
              <w:rPr>
                <w:sz w:val="16"/>
                <w:szCs w:val="16"/>
                <w:lang w:val="en-GB"/>
              </w:rPr>
              <w:t>S</w:t>
            </w:r>
            <w:r w:rsidRPr="009E6278">
              <w:rPr>
                <w:sz w:val="16"/>
                <w:szCs w:val="16"/>
                <w:lang w:val="en-GB"/>
              </w:rPr>
              <w:t xml:space="preserve">tigma </w:t>
            </w:r>
            <w:r w:rsidR="00F97AC6" w:rsidRPr="009E6278">
              <w:rPr>
                <w:sz w:val="16"/>
                <w:szCs w:val="16"/>
                <w:lang w:val="en-GB"/>
              </w:rPr>
              <w:t>I</w:t>
            </w:r>
            <w:r w:rsidRPr="009E6278">
              <w:rPr>
                <w:sz w:val="16"/>
                <w:szCs w:val="16"/>
                <w:lang w:val="en-GB"/>
              </w:rPr>
              <w:t xml:space="preserve">ndex and Kenya AIDS </w:t>
            </w:r>
            <w:r w:rsidR="00571A86" w:rsidRPr="009E6278">
              <w:rPr>
                <w:sz w:val="16"/>
                <w:szCs w:val="16"/>
                <w:lang w:val="en-GB"/>
              </w:rPr>
              <w:t>F</w:t>
            </w:r>
            <w:r w:rsidRPr="009E6278">
              <w:rPr>
                <w:sz w:val="16"/>
                <w:szCs w:val="16"/>
                <w:lang w:val="en-GB"/>
              </w:rPr>
              <w:t>ramework II</w:t>
            </w:r>
            <w:r w:rsidR="00CC2307" w:rsidRPr="00547151">
              <w:rPr>
                <w:sz w:val="16"/>
                <w:szCs w:val="16"/>
                <w:lang w:val="en-GB"/>
              </w:rPr>
              <w:t>,</w:t>
            </w:r>
            <w:r w:rsidRPr="009E6278">
              <w:rPr>
                <w:sz w:val="16"/>
                <w:szCs w:val="16"/>
                <w:lang w:val="en-GB"/>
              </w:rPr>
              <w:t xml:space="preserve"> 2020-2025</w:t>
            </w:r>
          </w:p>
          <w:p w14:paraId="60D4F6F6" w14:textId="6D2DA597" w:rsidR="005B6606" w:rsidRPr="009E6278" w:rsidRDefault="00CC0178" w:rsidP="00CC0178">
            <w:pPr>
              <w:rPr>
                <w:sz w:val="16"/>
                <w:szCs w:val="16"/>
                <w:lang w:val="en-GB"/>
              </w:rPr>
            </w:pPr>
            <w:r w:rsidRPr="009E6278">
              <w:rPr>
                <w:sz w:val="16"/>
                <w:szCs w:val="16"/>
                <w:lang w:val="en-GB"/>
              </w:rPr>
              <w:t>Frequency: Annual</w:t>
            </w:r>
          </w:p>
          <w:p w14:paraId="0B368C5E" w14:textId="77777777" w:rsidR="00571A86" w:rsidRPr="00547151" w:rsidRDefault="00571A86" w:rsidP="00CC0178">
            <w:pPr>
              <w:rPr>
                <w:color w:val="000000"/>
                <w:sz w:val="16"/>
                <w:szCs w:val="16"/>
                <w:lang w:val="en-GB"/>
              </w:rPr>
            </w:pPr>
          </w:p>
          <w:p w14:paraId="27C12EB4" w14:textId="0EA83199" w:rsidR="007E0EFC" w:rsidRPr="009E6278" w:rsidRDefault="007E0EFC" w:rsidP="005013D8">
            <w:pPr>
              <w:rPr>
                <w:b/>
                <w:bCs/>
                <w:color w:val="000000"/>
                <w:sz w:val="16"/>
                <w:szCs w:val="16"/>
                <w:lang w:val="en-GB"/>
              </w:rPr>
            </w:pPr>
            <w:r w:rsidRPr="00547151">
              <w:rPr>
                <w:b/>
                <w:bCs/>
                <w:color w:val="000000"/>
                <w:sz w:val="16"/>
                <w:szCs w:val="16"/>
                <w:lang w:val="en-GB"/>
              </w:rPr>
              <w:t>Output 1.3</w:t>
            </w:r>
            <w:r w:rsidR="00CC2307" w:rsidRPr="00547151">
              <w:rPr>
                <w:b/>
                <w:bCs/>
                <w:color w:val="000000"/>
                <w:sz w:val="16"/>
                <w:szCs w:val="16"/>
                <w:lang w:val="en-GB"/>
              </w:rPr>
              <w:t>.</w:t>
            </w:r>
            <w:r w:rsidRPr="009E6278">
              <w:rPr>
                <w:rFonts w:eastAsiaTheme="minorEastAsia"/>
                <w:color w:val="1F497D" w:themeColor="text2"/>
                <w:kern w:val="24"/>
                <w:sz w:val="16"/>
                <w:szCs w:val="16"/>
                <w:lang w:val="en-GB"/>
              </w:rPr>
              <w:t xml:space="preserve"> </w:t>
            </w:r>
            <w:r w:rsidRPr="009E6278">
              <w:rPr>
                <w:color w:val="000000"/>
                <w:sz w:val="16"/>
                <w:szCs w:val="16"/>
                <w:lang w:val="en-GB"/>
              </w:rPr>
              <w:t>Enhanced capacity and governance of duty</w:t>
            </w:r>
            <w:r w:rsidR="003075FA" w:rsidRPr="00547151">
              <w:rPr>
                <w:color w:val="000000"/>
                <w:sz w:val="16"/>
                <w:szCs w:val="16"/>
                <w:lang w:val="en-GB"/>
              </w:rPr>
              <w:t>-</w:t>
            </w:r>
            <w:r w:rsidRPr="009E6278">
              <w:rPr>
                <w:color w:val="000000"/>
                <w:sz w:val="16"/>
                <w:szCs w:val="16"/>
                <w:lang w:val="en-GB"/>
              </w:rPr>
              <w:t>bearers to support public delivery of basic services at national and devolved levels</w:t>
            </w:r>
            <w:r w:rsidRPr="009E6278">
              <w:rPr>
                <w:b/>
                <w:bCs/>
                <w:color w:val="000000"/>
                <w:sz w:val="16"/>
                <w:szCs w:val="16"/>
                <w:lang w:val="en-GB"/>
              </w:rPr>
              <w:t xml:space="preserve">. </w:t>
            </w:r>
          </w:p>
          <w:p w14:paraId="39296950" w14:textId="77777777" w:rsidR="007E0EFC" w:rsidRPr="009E6278" w:rsidRDefault="007E0EFC" w:rsidP="005013D8">
            <w:pPr>
              <w:rPr>
                <w:b/>
                <w:bCs/>
                <w:color w:val="000000"/>
                <w:sz w:val="16"/>
                <w:szCs w:val="16"/>
                <w:lang w:val="en-GB"/>
              </w:rPr>
            </w:pPr>
          </w:p>
          <w:p w14:paraId="6A9AA5C6" w14:textId="43454627" w:rsidR="007E0EFC" w:rsidRPr="00547151" w:rsidRDefault="00CC2307" w:rsidP="007C1AB9">
            <w:pPr>
              <w:rPr>
                <w:color w:val="000000"/>
                <w:sz w:val="16"/>
                <w:szCs w:val="16"/>
                <w:lang w:val="en-GB"/>
              </w:rPr>
            </w:pPr>
            <w:r w:rsidRPr="00547151">
              <w:rPr>
                <w:b/>
                <w:bCs/>
                <w:color w:val="000000"/>
                <w:sz w:val="16"/>
                <w:szCs w:val="16"/>
                <w:lang w:val="en-GB"/>
              </w:rPr>
              <w:t>I</w:t>
            </w:r>
            <w:r w:rsidR="007E0EFC" w:rsidRPr="00547151">
              <w:rPr>
                <w:b/>
                <w:bCs/>
                <w:color w:val="000000"/>
                <w:sz w:val="16"/>
                <w:szCs w:val="16"/>
                <w:lang w:val="en-GB"/>
              </w:rPr>
              <w:t>ndicator 1.3.1</w:t>
            </w:r>
            <w:r w:rsidRPr="00547151">
              <w:rPr>
                <w:b/>
                <w:bCs/>
                <w:color w:val="000000"/>
                <w:sz w:val="16"/>
                <w:szCs w:val="16"/>
                <w:lang w:val="en-GB"/>
              </w:rPr>
              <w:t>.</w:t>
            </w:r>
            <w:r w:rsidR="007E0EFC" w:rsidRPr="009E6278">
              <w:rPr>
                <w:sz w:val="16"/>
                <w:szCs w:val="16"/>
                <w:lang w:val="en-GB"/>
              </w:rPr>
              <w:t xml:space="preserve"> </w:t>
            </w:r>
            <w:r w:rsidR="007E0EFC" w:rsidRPr="009E6278">
              <w:rPr>
                <w:color w:val="000000"/>
                <w:sz w:val="16"/>
                <w:szCs w:val="16"/>
                <w:lang w:val="en-GB" w:eastAsia="en-GB"/>
              </w:rPr>
              <w:t xml:space="preserve">Number of counties with improved </w:t>
            </w:r>
            <w:r w:rsidRPr="00547151">
              <w:rPr>
                <w:color w:val="000000"/>
                <w:sz w:val="16"/>
                <w:szCs w:val="16"/>
                <w:lang w:val="en-GB" w:eastAsia="en-GB"/>
              </w:rPr>
              <w:t>monitoring and evaluation (</w:t>
            </w:r>
            <w:r w:rsidR="007E0EFC" w:rsidRPr="009E6278">
              <w:rPr>
                <w:color w:val="000000"/>
                <w:sz w:val="16"/>
                <w:szCs w:val="16"/>
                <w:lang w:val="en-GB" w:eastAsia="en-GB"/>
              </w:rPr>
              <w:t>M&amp;E</w:t>
            </w:r>
            <w:r w:rsidRPr="00547151">
              <w:rPr>
                <w:color w:val="000000"/>
                <w:sz w:val="16"/>
                <w:szCs w:val="16"/>
                <w:lang w:val="en-GB" w:eastAsia="en-GB"/>
              </w:rPr>
              <w:t>)</w:t>
            </w:r>
            <w:r w:rsidR="007E0EFC" w:rsidRPr="009E6278">
              <w:rPr>
                <w:color w:val="000000"/>
                <w:sz w:val="16"/>
                <w:szCs w:val="16"/>
                <w:lang w:val="en-GB" w:eastAsia="en-GB"/>
              </w:rPr>
              <w:t xml:space="preserve">, planning and budgeting capacities </w:t>
            </w:r>
          </w:p>
          <w:p w14:paraId="49D68B60" w14:textId="56F9780F" w:rsidR="007E0EFC" w:rsidRPr="00547151" w:rsidRDefault="007E0EFC" w:rsidP="005013D8">
            <w:pPr>
              <w:rPr>
                <w:color w:val="000000"/>
                <w:sz w:val="16"/>
                <w:szCs w:val="16"/>
                <w:lang w:val="en-GB"/>
              </w:rPr>
            </w:pPr>
            <w:r w:rsidRPr="00547151">
              <w:rPr>
                <w:color w:val="000000"/>
                <w:sz w:val="16"/>
                <w:szCs w:val="16"/>
                <w:lang w:val="en-GB"/>
              </w:rPr>
              <w:t>Baseli</w:t>
            </w:r>
            <w:r w:rsidR="00DB242A" w:rsidRPr="00547151">
              <w:rPr>
                <w:color w:val="000000"/>
                <w:sz w:val="16"/>
                <w:szCs w:val="16"/>
                <w:lang w:val="en-GB"/>
              </w:rPr>
              <w:t>ne:</w:t>
            </w:r>
            <w:r w:rsidRPr="00547151">
              <w:rPr>
                <w:color w:val="000000"/>
                <w:sz w:val="16"/>
                <w:szCs w:val="16"/>
                <w:lang w:val="en-GB"/>
              </w:rPr>
              <w:t xml:space="preserve"> 8 (2021)</w:t>
            </w:r>
          </w:p>
          <w:p w14:paraId="46ADB1AC" w14:textId="06D9527B" w:rsidR="007E0EFC" w:rsidRPr="00547151" w:rsidRDefault="007E0EFC" w:rsidP="005013D8">
            <w:pPr>
              <w:rPr>
                <w:color w:val="000000"/>
                <w:sz w:val="16"/>
                <w:szCs w:val="16"/>
                <w:lang w:val="en-GB"/>
              </w:rPr>
            </w:pPr>
            <w:r w:rsidRPr="00547151">
              <w:rPr>
                <w:color w:val="000000"/>
                <w:sz w:val="16"/>
                <w:szCs w:val="16"/>
                <w:lang w:val="en-GB"/>
              </w:rPr>
              <w:t>Target</w:t>
            </w:r>
            <w:r w:rsidR="00DB242A" w:rsidRPr="00547151">
              <w:rPr>
                <w:color w:val="000000"/>
                <w:sz w:val="16"/>
                <w:szCs w:val="16"/>
                <w:lang w:val="en-GB"/>
              </w:rPr>
              <w:t>:</w:t>
            </w:r>
            <w:r w:rsidRPr="00547151">
              <w:rPr>
                <w:color w:val="000000"/>
                <w:sz w:val="16"/>
                <w:szCs w:val="16"/>
                <w:lang w:val="en-GB"/>
              </w:rPr>
              <w:t xml:space="preserve"> 14 (2026)</w:t>
            </w:r>
          </w:p>
          <w:p w14:paraId="1085FE7C" w14:textId="17F4CEA2" w:rsidR="007E0EFC" w:rsidRPr="00547151" w:rsidRDefault="007E0EFC" w:rsidP="005013D8">
            <w:pPr>
              <w:rPr>
                <w:color w:val="000000"/>
                <w:sz w:val="16"/>
                <w:szCs w:val="16"/>
                <w:lang w:val="en-GB"/>
              </w:rPr>
            </w:pPr>
            <w:r w:rsidRPr="00547151">
              <w:rPr>
                <w:color w:val="000000"/>
                <w:sz w:val="16"/>
                <w:szCs w:val="16"/>
                <w:lang w:val="en-GB"/>
              </w:rPr>
              <w:t xml:space="preserve">Data </w:t>
            </w:r>
            <w:r w:rsidR="00A602C4" w:rsidRPr="00547151">
              <w:rPr>
                <w:color w:val="000000"/>
                <w:sz w:val="16"/>
                <w:szCs w:val="16"/>
                <w:lang w:val="en-GB"/>
              </w:rPr>
              <w:t>source</w:t>
            </w:r>
            <w:r w:rsidR="00C679FB" w:rsidRPr="00547151">
              <w:rPr>
                <w:color w:val="000000"/>
                <w:sz w:val="16"/>
                <w:szCs w:val="16"/>
                <w:lang w:val="en-GB"/>
              </w:rPr>
              <w:t>:</w:t>
            </w:r>
            <w:r w:rsidRPr="00547151">
              <w:rPr>
                <w:color w:val="000000"/>
                <w:sz w:val="16"/>
                <w:szCs w:val="16"/>
                <w:lang w:val="en-GB"/>
              </w:rPr>
              <w:t xml:space="preserve"> </w:t>
            </w:r>
            <w:r w:rsidR="00600224" w:rsidRPr="00F64724">
              <w:rPr>
                <w:color w:val="000000"/>
                <w:sz w:val="16"/>
                <w:szCs w:val="16"/>
                <w:lang w:val="en-GB"/>
              </w:rPr>
              <w:t>S</w:t>
            </w:r>
            <w:r w:rsidR="009E6278" w:rsidRPr="00F64724">
              <w:rPr>
                <w:color w:val="000000"/>
                <w:sz w:val="16"/>
                <w:szCs w:val="16"/>
                <w:lang w:val="en-GB"/>
              </w:rPr>
              <w:t xml:space="preserve">tate </w:t>
            </w:r>
            <w:r w:rsidR="00600224" w:rsidRPr="00F64724">
              <w:rPr>
                <w:color w:val="000000"/>
                <w:sz w:val="16"/>
                <w:szCs w:val="16"/>
                <w:lang w:val="en-GB"/>
              </w:rPr>
              <w:t>D</w:t>
            </w:r>
            <w:r w:rsidR="009E6278" w:rsidRPr="00F64724">
              <w:rPr>
                <w:color w:val="000000"/>
                <w:sz w:val="16"/>
                <w:szCs w:val="16"/>
                <w:lang w:val="en-GB"/>
              </w:rPr>
              <w:t xml:space="preserve">epartment of </w:t>
            </w:r>
            <w:r w:rsidR="00600224" w:rsidRPr="00F64724">
              <w:rPr>
                <w:color w:val="000000"/>
                <w:sz w:val="16"/>
                <w:szCs w:val="16"/>
                <w:lang w:val="en-GB"/>
              </w:rPr>
              <w:t>P</w:t>
            </w:r>
            <w:r w:rsidR="009E6278">
              <w:rPr>
                <w:color w:val="000000"/>
                <w:sz w:val="16"/>
                <w:szCs w:val="16"/>
                <w:lang w:val="en-GB"/>
              </w:rPr>
              <w:t xml:space="preserve">lanning - </w:t>
            </w:r>
            <w:r w:rsidRPr="00547151">
              <w:rPr>
                <w:color w:val="000000"/>
                <w:sz w:val="16"/>
                <w:szCs w:val="16"/>
                <w:lang w:val="en-GB"/>
              </w:rPr>
              <w:t xml:space="preserve"> </w:t>
            </w:r>
            <w:r w:rsidRPr="009E6278">
              <w:rPr>
                <w:color w:val="000000"/>
                <w:sz w:val="16"/>
                <w:szCs w:val="16"/>
                <w:lang w:val="en-GB"/>
              </w:rPr>
              <w:t>M</w:t>
            </w:r>
            <w:r w:rsidRPr="009E6278">
              <w:rPr>
                <w:color w:val="000000"/>
                <w:sz w:val="16"/>
                <w:szCs w:val="16"/>
                <w:lang w:val="en-GB" w:eastAsia="en-GB"/>
              </w:rPr>
              <w:t>on</w:t>
            </w:r>
            <w:r w:rsidRPr="009E6278">
              <w:rPr>
                <w:color w:val="000000"/>
                <w:sz w:val="16"/>
                <w:szCs w:val="16"/>
                <w:lang w:val="en-GB"/>
              </w:rPr>
              <w:t>itoring and Evaluation Departmen</w:t>
            </w:r>
            <w:r w:rsidR="00A602C4" w:rsidRPr="009E6278">
              <w:rPr>
                <w:color w:val="000000"/>
                <w:sz w:val="16"/>
                <w:szCs w:val="16"/>
                <w:lang w:val="en-GB"/>
              </w:rPr>
              <w:t xml:space="preserve">t and </w:t>
            </w:r>
            <w:r w:rsidR="00F459EC" w:rsidRPr="009E6278">
              <w:rPr>
                <w:color w:val="000000"/>
                <w:sz w:val="16"/>
                <w:szCs w:val="16"/>
                <w:lang w:val="en-GB"/>
              </w:rPr>
              <w:t>C</w:t>
            </w:r>
            <w:r w:rsidR="00C679FB" w:rsidRPr="009E6278">
              <w:rPr>
                <w:color w:val="000000"/>
                <w:sz w:val="16"/>
                <w:szCs w:val="16"/>
                <w:lang w:val="en-GB"/>
              </w:rPr>
              <w:t xml:space="preserve">ouncil of Governors </w:t>
            </w:r>
          </w:p>
          <w:p w14:paraId="7F809D34" w14:textId="486356A7" w:rsidR="007E0EFC" w:rsidRPr="00547151" w:rsidRDefault="007E0EFC" w:rsidP="005013D8">
            <w:pPr>
              <w:rPr>
                <w:color w:val="000000"/>
                <w:sz w:val="16"/>
                <w:szCs w:val="16"/>
                <w:lang w:val="en-GB"/>
              </w:rPr>
            </w:pPr>
            <w:r w:rsidRPr="00547151">
              <w:rPr>
                <w:color w:val="000000"/>
                <w:sz w:val="16"/>
                <w:szCs w:val="16"/>
                <w:lang w:val="en-GB"/>
              </w:rPr>
              <w:t>Frequency</w:t>
            </w:r>
            <w:r w:rsidR="0011258B" w:rsidRPr="00547151">
              <w:rPr>
                <w:color w:val="000000"/>
                <w:sz w:val="16"/>
                <w:szCs w:val="16"/>
                <w:lang w:val="en-GB"/>
              </w:rPr>
              <w:t>:</w:t>
            </w:r>
            <w:r w:rsidRPr="00547151">
              <w:rPr>
                <w:color w:val="000000"/>
                <w:sz w:val="16"/>
                <w:szCs w:val="16"/>
                <w:lang w:val="en-GB"/>
              </w:rPr>
              <w:t xml:space="preserve"> Annual </w:t>
            </w:r>
          </w:p>
          <w:p w14:paraId="041BE302" w14:textId="77777777" w:rsidR="007E0EFC" w:rsidRPr="00547151" w:rsidRDefault="007E0EFC" w:rsidP="005013D8">
            <w:pPr>
              <w:pStyle w:val="ListParagraph"/>
              <w:ind w:left="360"/>
              <w:rPr>
                <w:b/>
                <w:bCs/>
                <w:color w:val="000000"/>
                <w:sz w:val="16"/>
                <w:szCs w:val="16"/>
                <w:lang w:val="en-GB"/>
              </w:rPr>
            </w:pPr>
          </w:p>
          <w:p w14:paraId="3CE074CE" w14:textId="12CF600A" w:rsidR="007E0EFC" w:rsidRPr="00547151" w:rsidRDefault="007E0EFC" w:rsidP="005013D8">
            <w:pPr>
              <w:rPr>
                <w:color w:val="000000"/>
                <w:sz w:val="16"/>
                <w:szCs w:val="16"/>
                <w:lang w:val="en-GB"/>
              </w:rPr>
            </w:pPr>
            <w:r w:rsidRPr="00547151">
              <w:rPr>
                <w:b/>
                <w:bCs/>
                <w:color w:val="000000"/>
                <w:sz w:val="16"/>
                <w:szCs w:val="16"/>
                <w:lang w:val="en-GB"/>
              </w:rPr>
              <w:t>Indicator 1.3.2</w:t>
            </w:r>
            <w:r w:rsidR="00CC2307" w:rsidRPr="00547151">
              <w:rPr>
                <w:b/>
                <w:bCs/>
                <w:color w:val="000000"/>
                <w:sz w:val="16"/>
                <w:szCs w:val="16"/>
                <w:lang w:val="en-GB"/>
              </w:rPr>
              <w:t>.</w:t>
            </w:r>
            <w:r w:rsidRPr="00547151">
              <w:rPr>
                <w:color w:val="000000"/>
                <w:sz w:val="16"/>
                <w:szCs w:val="16"/>
                <w:lang w:val="en-GB"/>
              </w:rPr>
              <w:t xml:space="preserve"> Proportion of counties that have enacted policies and laws t</w:t>
            </w:r>
            <w:r w:rsidRPr="009E6278">
              <w:rPr>
                <w:color w:val="000000"/>
                <w:sz w:val="16"/>
                <w:szCs w:val="16"/>
                <w:lang w:val="en-GB"/>
              </w:rPr>
              <w:t>o support gender-sensitive service delivery</w:t>
            </w:r>
          </w:p>
          <w:p w14:paraId="09EDDBB4" w14:textId="38A41D26" w:rsidR="007E0EFC" w:rsidRPr="00547151" w:rsidRDefault="007E0EFC" w:rsidP="005013D8">
            <w:pPr>
              <w:rPr>
                <w:color w:val="000000"/>
                <w:sz w:val="16"/>
                <w:szCs w:val="16"/>
                <w:lang w:val="en-GB"/>
              </w:rPr>
            </w:pPr>
            <w:r w:rsidRPr="00547151">
              <w:rPr>
                <w:color w:val="000000"/>
                <w:sz w:val="16"/>
                <w:szCs w:val="16"/>
                <w:lang w:val="en-GB"/>
              </w:rPr>
              <w:t>Baseline: 57% (2022)</w:t>
            </w:r>
          </w:p>
          <w:p w14:paraId="05124C34" w14:textId="77777777" w:rsidR="007E0EFC" w:rsidRPr="00547151" w:rsidRDefault="007E0EFC" w:rsidP="005013D8">
            <w:pPr>
              <w:rPr>
                <w:color w:val="000000"/>
                <w:sz w:val="16"/>
                <w:szCs w:val="16"/>
                <w:lang w:val="en-GB"/>
              </w:rPr>
            </w:pPr>
            <w:r w:rsidRPr="00547151">
              <w:rPr>
                <w:color w:val="000000"/>
                <w:sz w:val="16"/>
                <w:szCs w:val="16"/>
                <w:lang w:val="en-GB"/>
              </w:rPr>
              <w:t>Target : 70% by 2026</w:t>
            </w:r>
          </w:p>
          <w:p w14:paraId="2A022921" w14:textId="0AFF1985" w:rsidR="007E0EFC" w:rsidRPr="00547151" w:rsidRDefault="007E0EFC" w:rsidP="005013D8">
            <w:pPr>
              <w:rPr>
                <w:color w:val="000000"/>
                <w:sz w:val="16"/>
                <w:szCs w:val="16"/>
                <w:lang w:val="en-GB"/>
              </w:rPr>
            </w:pPr>
            <w:r w:rsidRPr="00547151">
              <w:rPr>
                <w:color w:val="000000"/>
                <w:sz w:val="16"/>
                <w:szCs w:val="16"/>
                <w:lang w:val="en-GB"/>
              </w:rPr>
              <w:t>Data source</w:t>
            </w:r>
            <w:r w:rsidR="00C679FB" w:rsidRPr="00547151">
              <w:rPr>
                <w:color w:val="000000"/>
                <w:sz w:val="16"/>
                <w:szCs w:val="16"/>
                <w:lang w:val="en-GB"/>
              </w:rPr>
              <w:t>:</w:t>
            </w:r>
            <w:r w:rsidRPr="00547151">
              <w:rPr>
                <w:color w:val="000000"/>
                <w:sz w:val="16"/>
                <w:szCs w:val="16"/>
                <w:lang w:val="en-GB"/>
              </w:rPr>
              <w:t xml:space="preserve"> </w:t>
            </w:r>
            <w:r w:rsidR="00E22435" w:rsidRPr="00547151">
              <w:rPr>
                <w:color w:val="000000"/>
                <w:sz w:val="16"/>
                <w:szCs w:val="16"/>
                <w:lang w:val="en-GB"/>
              </w:rPr>
              <w:t>MOD</w:t>
            </w:r>
            <w:r w:rsidRPr="00547151">
              <w:rPr>
                <w:color w:val="000000"/>
                <w:sz w:val="16"/>
                <w:szCs w:val="16"/>
                <w:lang w:val="en-GB"/>
              </w:rPr>
              <w:t xml:space="preserve">, </w:t>
            </w:r>
            <w:r w:rsidR="00CC2307" w:rsidRPr="00547151">
              <w:rPr>
                <w:color w:val="000000"/>
                <w:sz w:val="16"/>
                <w:szCs w:val="16"/>
                <w:lang w:val="en-GB"/>
              </w:rPr>
              <w:t>Council of Governors (</w:t>
            </w:r>
            <w:r w:rsidR="00C679FB" w:rsidRPr="00547151">
              <w:rPr>
                <w:color w:val="000000"/>
                <w:sz w:val="16"/>
                <w:szCs w:val="16"/>
                <w:lang w:val="en-GB"/>
              </w:rPr>
              <w:t>C</w:t>
            </w:r>
            <w:r w:rsidR="00CC2307" w:rsidRPr="00547151">
              <w:rPr>
                <w:color w:val="000000"/>
                <w:sz w:val="16"/>
                <w:szCs w:val="16"/>
                <w:lang w:val="en-GB"/>
              </w:rPr>
              <w:t>O</w:t>
            </w:r>
            <w:r w:rsidR="00C679FB" w:rsidRPr="00547151">
              <w:rPr>
                <w:color w:val="000000"/>
                <w:sz w:val="16"/>
                <w:szCs w:val="16"/>
                <w:lang w:val="en-GB"/>
              </w:rPr>
              <w:t>G</w:t>
            </w:r>
            <w:r w:rsidR="00CC2307" w:rsidRPr="00547151">
              <w:rPr>
                <w:color w:val="000000"/>
                <w:sz w:val="16"/>
                <w:szCs w:val="16"/>
                <w:lang w:val="en-GB"/>
              </w:rPr>
              <w:t>)</w:t>
            </w:r>
            <w:r w:rsidRPr="00547151">
              <w:rPr>
                <w:color w:val="000000"/>
                <w:sz w:val="16"/>
                <w:szCs w:val="16"/>
                <w:lang w:val="en-GB"/>
              </w:rPr>
              <w:t>, County Assemblies Forum</w:t>
            </w:r>
            <w:r w:rsidR="00C679FB" w:rsidRPr="00547151">
              <w:rPr>
                <w:color w:val="000000"/>
                <w:sz w:val="16"/>
                <w:szCs w:val="16"/>
                <w:lang w:val="en-GB"/>
              </w:rPr>
              <w:t xml:space="preserve"> </w:t>
            </w:r>
          </w:p>
          <w:p w14:paraId="2FF0A058" w14:textId="13C839C4" w:rsidR="007E0EFC" w:rsidRPr="00547151" w:rsidRDefault="007E0EFC" w:rsidP="009E6278">
            <w:pPr>
              <w:spacing w:after="120"/>
              <w:rPr>
                <w:color w:val="000000"/>
                <w:sz w:val="16"/>
                <w:szCs w:val="16"/>
                <w:lang w:val="en-GB"/>
              </w:rPr>
            </w:pPr>
            <w:r w:rsidRPr="00547151">
              <w:rPr>
                <w:color w:val="000000"/>
                <w:sz w:val="16"/>
                <w:szCs w:val="16"/>
                <w:lang w:val="en-GB"/>
              </w:rPr>
              <w:t>Frequency</w:t>
            </w:r>
            <w:r w:rsidR="003714D6" w:rsidRPr="00547151">
              <w:rPr>
                <w:color w:val="000000"/>
                <w:sz w:val="16"/>
                <w:szCs w:val="16"/>
                <w:lang w:val="en-GB"/>
              </w:rPr>
              <w:t>:</w:t>
            </w:r>
            <w:r w:rsidRPr="00547151">
              <w:rPr>
                <w:color w:val="000000"/>
                <w:sz w:val="16"/>
                <w:szCs w:val="16"/>
                <w:lang w:val="en-GB"/>
              </w:rPr>
              <w:t xml:space="preserve"> Annual </w:t>
            </w:r>
          </w:p>
          <w:p w14:paraId="4D40E299" w14:textId="49DEFB21" w:rsidR="007E0EFC" w:rsidRPr="009E6278" w:rsidRDefault="00CC2307" w:rsidP="009669FF">
            <w:pPr>
              <w:widowControl w:val="0"/>
              <w:autoSpaceDE w:val="0"/>
              <w:autoSpaceDN w:val="0"/>
              <w:adjustRightInd w:val="0"/>
              <w:rPr>
                <w:color w:val="000000"/>
                <w:sz w:val="16"/>
                <w:szCs w:val="16"/>
                <w:lang w:val="en-GB" w:eastAsia="en-GB"/>
              </w:rPr>
            </w:pPr>
            <w:r w:rsidRPr="00547151">
              <w:rPr>
                <w:b/>
                <w:bCs/>
                <w:color w:val="000000"/>
                <w:sz w:val="16"/>
                <w:szCs w:val="16"/>
                <w:lang w:val="en-GB"/>
              </w:rPr>
              <w:t>I</w:t>
            </w:r>
            <w:r w:rsidR="007E0EFC" w:rsidRPr="00547151">
              <w:rPr>
                <w:b/>
                <w:bCs/>
                <w:color w:val="000000"/>
                <w:sz w:val="16"/>
                <w:szCs w:val="16"/>
                <w:lang w:val="en-GB"/>
              </w:rPr>
              <w:t>ndicator 1.3.3</w:t>
            </w:r>
            <w:r w:rsidRPr="00547151">
              <w:rPr>
                <w:b/>
                <w:bCs/>
                <w:color w:val="000000"/>
                <w:sz w:val="16"/>
                <w:szCs w:val="16"/>
                <w:lang w:val="en-GB"/>
              </w:rPr>
              <w:t>.</w:t>
            </w:r>
            <w:r w:rsidR="007E0EFC" w:rsidRPr="00547151">
              <w:rPr>
                <w:color w:val="000000"/>
                <w:sz w:val="16"/>
                <w:szCs w:val="16"/>
                <w:lang w:val="en-GB"/>
              </w:rPr>
              <w:t xml:space="preserve"> </w:t>
            </w:r>
            <w:r w:rsidR="007E0EFC" w:rsidRPr="009E6278">
              <w:rPr>
                <w:color w:val="000000"/>
                <w:sz w:val="16"/>
                <w:szCs w:val="16"/>
                <w:lang w:val="en-GB" w:eastAsia="en-GB"/>
              </w:rPr>
              <w:t xml:space="preserve">Percentage of counties with mechanisms for inclusive public participation of women, youth and </w:t>
            </w:r>
            <w:r w:rsidR="00F459EC" w:rsidRPr="009E6278">
              <w:rPr>
                <w:color w:val="000000"/>
                <w:sz w:val="16"/>
                <w:szCs w:val="16"/>
                <w:lang w:val="en-GB" w:eastAsia="en-GB"/>
              </w:rPr>
              <w:t>P</w:t>
            </w:r>
            <w:r w:rsidR="00F7483D" w:rsidRPr="009E6278">
              <w:rPr>
                <w:color w:val="000000"/>
                <w:sz w:val="16"/>
                <w:szCs w:val="16"/>
                <w:lang w:val="en-GB" w:eastAsia="en-GB"/>
              </w:rPr>
              <w:t>W</w:t>
            </w:r>
            <w:r w:rsidR="00F459EC" w:rsidRPr="009E6278">
              <w:rPr>
                <w:color w:val="000000"/>
                <w:sz w:val="16"/>
                <w:szCs w:val="16"/>
                <w:lang w:val="en-GB" w:eastAsia="en-GB"/>
              </w:rPr>
              <w:t>D</w:t>
            </w:r>
            <w:r w:rsidR="0011258B" w:rsidRPr="009E6278">
              <w:rPr>
                <w:color w:val="000000"/>
                <w:sz w:val="16"/>
                <w:szCs w:val="16"/>
                <w:lang w:val="en-GB" w:eastAsia="en-GB"/>
              </w:rPr>
              <w:t>s</w:t>
            </w:r>
            <w:r w:rsidR="007E0EFC" w:rsidRPr="009E6278">
              <w:rPr>
                <w:color w:val="000000"/>
                <w:sz w:val="16"/>
                <w:szCs w:val="16"/>
                <w:lang w:val="en-GB" w:eastAsia="en-GB"/>
              </w:rPr>
              <w:t xml:space="preserve"> </w:t>
            </w:r>
          </w:p>
          <w:p w14:paraId="4D41D9DA" w14:textId="77777777" w:rsidR="007E0EFC" w:rsidRPr="00547151" w:rsidRDefault="007E0EFC" w:rsidP="005013D8">
            <w:pPr>
              <w:rPr>
                <w:color w:val="000000"/>
                <w:sz w:val="16"/>
                <w:szCs w:val="16"/>
                <w:lang w:val="en-GB"/>
              </w:rPr>
            </w:pPr>
            <w:r w:rsidRPr="00547151">
              <w:rPr>
                <w:color w:val="000000"/>
                <w:sz w:val="16"/>
                <w:szCs w:val="16"/>
                <w:lang w:val="en-GB"/>
              </w:rPr>
              <w:lastRenderedPageBreak/>
              <w:t>Baseline: 70% (2022)</w:t>
            </w:r>
          </w:p>
          <w:p w14:paraId="724F6AF7" w14:textId="77777777" w:rsidR="007E0EFC" w:rsidRPr="00547151" w:rsidRDefault="007E0EFC" w:rsidP="005013D8">
            <w:pPr>
              <w:rPr>
                <w:color w:val="000000"/>
                <w:sz w:val="16"/>
                <w:szCs w:val="16"/>
                <w:lang w:val="en-GB"/>
              </w:rPr>
            </w:pPr>
            <w:r w:rsidRPr="00547151">
              <w:rPr>
                <w:color w:val="000000"/>
                <w:sz w:val="16"/>
                <w:szCs w:val="16"/>
                <w:lang w:val="en-GB"/>
              </w:rPr>
              <w:t>Target (year): 85%  2026</w:t>
            </w:r>
          </w:p>
          <w:p w14:paraId="46696D6D" w14:textId="0A550E9D" w:rsidR="003714D6" w:rsidRPr="00547151" w:rsidRDefault="007E0EFC" w:rsidP="005013D8">
            <w:pPr>
              <w:rPr>
                <w:color w:val="000000"/>
                <w:sz w:val="16"/>
                <w:szCs w:val="16"/>
                <w:lang w:val="en-GB"/>
              </w:rPr>
            </w:pPr>
            <w:r w:rsidRPr="00547151">
              <w:rPr>
                <w:color w:val="000000"/>
                <w:sz w:val="16"/>
                <w:szCs w:val="16"/>
                <w:lang w:val="en-GB"/>
              </w:rPr>
              <w:t>Data sourc</w:t>
            </w:r>
            <w:r w:rsidR="00C679FB" w:rsidRPr="00547151">
              <w:rPr>
                <w:color w:val="000000"/>
                <w:sz w:val="16"/>
                <w:szCs w:val="16"/>
                <w:lang w:val="en-GB"/>
              </w:rPr>
              <w:t>e: C</w:t>
            </w:r>
            <w:r w:rsidR="00CC2307" w:rsidRPr="00547151">
              <w:rPr>
                <w:color w:val="000000"/>
                <w:sz w:val="16"/>
                <w:szCs w:val="16"/>
                <w:lang w:val="en-GB"/>
              </w:rPr>
              <w:t>O</w:t>
            </w:r>
            <w:r w:rsidR="00C679FB" w:rsidRPr="00547151">
              <w:rPr>
                <w:color w:val="000000"/>
                <w:sz w:val="16"/>
                <w:szCs w:val="16"/>
                <w:lang w:val="en-GB"/>
              </w:rPr>
              <w:t xml:space="preserve">G, CAF </w:t>
            </w:r>
            <w:r w:rsidR="00C807E5" w:rsidRPr="00547151">
              <w:rPr>
                <w:color w:val="000000"/>
                <w:sz w:val="16"/>
                <w:szCs w:val="16"/>
                <w:lang w:val="en-GB"/>
              </w:rPr>
              <w:t>and MOD</w:t>
            </w:r>
            <w:r w:rsidR="003714D6" w:rsidRPr="00547151">
              <w:rPr>
                <w:color w:val="000000"/>
                <w:sz w:val="16"/>
                <w:szCs w:val="16"/>
                <w:lang w:val="en-GB"/>
              </w:rPr>
              <w:t>.</w:t>
            </w:r>
          </w:p>
          <w:p w14:paraId="6BC77FB6" w14:textId="70DF849D" w:rsidR="007E0EFC" w:rsidRPr="009E6278" w:rsidRDefault="003714D6" w:rsidP="005013D8">
            <w:pPr>
              <w:rPr>
                <w:sz w:val="16"/>
                <w:szCs w:val="16"/>
                <w:lang w:val="en-GB"/>
              </w:rPr>
            </w:pPr>
            <w:r w:rsidRPr="009E6278">
              <w:rPr>
                <w:color w:val="000000"/>
                <w:sz w:val="16"/>
                <w:szCs w:val="16"/>
                <w:lang w:val="en-GB"/>
              </w:rPr>
              <w:t>Frequency:</w:t>
            </w:r>
            <w:r w:rsidR="007E0EFC" w:rsidRPr="009E6278">
              <w:rPr>
                <w:color w:val="000000"/>
                <w:sz w:val="16"/>
                <w:szCs w:val="16"/>
                <w:lang w:val="en-GB"/>
              </w:rPr>
              <w:t xml:space="preserve"> </w:t>
            </w:r>
            <w:r w:rsidR="007E0EFC" w:rsidRPr="00547151">
              <w:rPr>
                <w:color w:val="000000"/>
                <w:sz w:val="16"/>
                <w:szCs w:val="16"/>
                <w:lang w:val="en-GB"/>
              </w:rPr>
              <w:t xml:space="preserve">Annual </w:t>
            </w:r>
          </w:p>
          <w:p w14:paraId="5F7B5E3B" w14:textId="77777777" w:rsidR="007E0EFC" w:rsidRPr="00547151" w:rsidRDefault="007E0EFC" w:rsidP="005013D8">
            <w:pPr>
              <w:pStyle w:val="ListParagraph"/>
              <w:ind w:left="360"/>
              <w:rPr>
                <w:color w:val="000000"/>
                <w:sz w:val="16"/>
                <w:szCs w:val="16"/>
                <w:lang w:val="en-GB"/>
              </w:rPr>
            </w:pPr>
          </w:p>
          <w:p w14:paraId="1ADAD3AE" w14:textId="3E0F4476" w:rsidR="007E0EFC" w:rsidRPr="00547151" w:rsidRDefault="007E0EFC" w:rsidP="005013D8">
            <w:pPr>
              <w:widowControl w:val="0"/>
              <w:autoSpaceDE w:val="0"/>
              <w:autoSpaceDN w:val="0"/>
              <w:adjustRightInd w:val="0"/>
              <w:rPr>
                <w:color w:val="000000"/>
                <w:sz w:val="16"/>
                <w:szCs w:val="16"/>
                <w:lang w:val="en-GB"/>
              </w:rPr>
            </w:pPr>
            <w:r w:rsidRPr="00547151">
              <w:rPr>
                <w:b/>
                <w:bCs/>
                <w:color w:val="000000"/>
                <w:sz w:val="16"/>
                <w:szCs w:val="16"/>
                <w:lang w:val="en-GB"/>
              </w:rPr>
              <w:t>I</w:t>
            </w:r>
            <w:r w:rsidR="00423140" w:rsidRPr="00547151">
              <w:rPr>
                <w:b/>
                <w:bCs/>
                <w:color w:val="000000"/>
                <w:sz w:val="16"/>
                <w:szCs w:val="16"/>
                <w:lang w:val="en-GB"/>
              </w:rPr>
              <w:t>n</w:t>
            </w:r>
            <w:r w:rsidRPr="00547151">
              <w:rPr>
                <w:b/>
                <w:bCs/>
                <w:color w:val="000000"/>
                <w:sz w:val="16"/>
                <w:szCs w:val="16"/>
                <w:lang w:val="en-GB"/>
              </w:rPr>
              <w:t>dicator 1.3.4</w:t>
            </w:r>
            <w:r w:rsidR="00CC2307" w:rsidRPr="00547151">
              <w:rPr>
                <w:b/>
                <w:bCs/>
                <w:color w:val="000000"/>
                <w:sz w:val="16"/>
                <w:szCs w:val="16"/>
                <w:lang w:val="en-GB"/>
              </w:rPr>
              <w:t>.</w:t>
            </w:r>
            <w:r w:rsidRPr="00547151">
              <w:rPr>
                <w:color w:val="000000"/>
                <w:sz w:val="16"/>
                <w:szCs w:val="16"/>
                <w:lang w:val="en-GB"/>
              </w:rPr>
              <w:t xml:space="preserve"> Proportion of county governments reporting improved public finance management processes and systems for equitable, efficient and accountable service delivery</w:t>
            </w:r>
          </w:p>
          <w:p w14:paraId="57F7704F" w14:textId="6AC24B64" w:rsidR="007E0EFC" w:rsidRPr="00547151" w:rsidRDefault="007E0EFC" w:rsidP="005013D8">
            <w:pPr>
              <w:rPr>
                <w:color w:val="000000"/>
                <w:sz w:val="16"/>
                <w:szCs w:val="16"/>
                <w:lang w:val="en-GB"/>
              </w:rPr>
            </w:pPr>
            <w:r w:rsidRPr="00547151">
              <w:rPr>
                <w:color w:val="000000"/>
                <w:sz w:val="16"/>
                <w:szCs w:val="16"/>
                <w:lang w:val="en-GB"/>
              </w:rPr>
              <w:t>Baseline: 50% (2021)</w:t>
            </w:r>
          </w:p>
          <w:p w14:paraId="4A9C6615" w14:textId="511BEA8E" w:rsidR="007E0EFC" w:rsidRPr="00547151" w:rsidRDefault="007E0EFC" w:rsidP="005013D8">
            <w:pPr>
              <w:rPr>
                <w:color w:val="000000"/>
                <w:sz w:val="16"/>
                <w:szCs w:val="16"/>
                <w:lang w:val="en-GB"/>
              </w:rPr>
            </w:pPr>
            <w:r w:rsidRPr="00547151">
              <w:rPr>
                <w:color w:val="000000"/>
                <w:sz w:val="16"/>
                <w:szCs w:val="16"/>
                <w:lang w:val="en-GB"/>
              </w:rPr>
              <w:t xml:space="preserve">Target: 75% (2026) </w:t>
            </w:r>
          </w:p>
          <w:p w14:paraId="6D05163B" w14:textId="6B9995CA" w:rsidR="007E0EFC" w:rsidRPr="00547151" w:rsidRDefault="007E0EFC" w:rsidP="005013D8">
            <w:pPr>
              <w:rPr>
                <w:color w:val="000000"/>
                <w:sz w:val="16"/>
                <w:szCs w:val="16"/>
                <w:lang w:val="en-GB"/>
              </w:rPr>
            </w:pPr>
            <w:r w:rsidRPr="00547151">
              <w:rPr>
                <w:color w:val="000000"/>
                <w:sz w:val="16"/>
                <w:szCs w:val="16"/>
                <w:lang w:val="en-GB"/>
              </w:rPr>
              <w:t xml:space="preserve">Data </w:t>
            </w:r>
            <w:r w:rsidR="00CC2307" w:rsidRPr="00547151">
              <w:rPr>
                <w:color w:val="000000"/>
                <w:sz w:val="16"/>
                <w:szCs w:val="16"/>
                <w:lang w:val="en-GB"/>
              </w:rPr>
              <w:t>s</w:t>
            </w:r>
            <w:r w:rsidRPr="00547151">
              <w:rPr>
                <w:color w:val="000000"/>
                <w:sz w:val="16"/>
                <w:szCs w:val="16"/>
                <w:lang w:val="en-GB"/>
              </w:rPr>
              <w:t>ource: C</w:t>
            </w:r>
            <w:r w:rsidR="00CC2307" w:rsidRPr="00547151">
              <w:rPr>
                <w:color w:val="000000"/>
                <w:sz w:val="16"/>
                <w:szCs w:val="16"/>
                <w:lang w:val="en-GB"/>
              </w:rPr>
              <w:t>O</w:t>
            </w:r>
            <w:r w:rsidR="00C679FB" w:rsidRPr="00547151">
              <w:rPr>
                <w:color w:val="000000"/>
                <w:sz w:val="16"/>
                <w:szCs w:val="16"/>
                <w:lang w:val="en-GB"/>
              </w:rPr>
              <w:t>G</w:t>
            </w:r>
            <w:r w:rsidRPr="00547151">
              <w:rPr>
                <w:color w:val="000000"/>
                <w:sz w:val="16"/>
                <w:szCs w:val="16"/>
                <w:lang w:val="en-GB"/>
              </w:rPr>
              <w:t xml:space="preserve">, Office of Auditor General, Office of Controller of Budget, National Treasury </w:t>
            </w:r>
          </w:p>
          <w:p w14:paraId="7F5B8CCF" w14:textId="394909D0" w:rsidR="003714D6" w:rsidRPr="00547151" w:rsidRDefault="003714D6" w:rsidP="005013D8">
            <w:pPr>
              <w:rPr>
                <w:color w:val="000000"/>
                <w:sz w:val="16"/>
                <w:szCs w:val="16"/>
                <w:lang w:val="en-GB"/>
              </w:rPr>
            </w:pPr>
            <w:r w:rsidRPr="00547151">
              <w:rPr>
                <w:color w:val="000000"/>
                <w:sz w:val="16"/>
                <w:szCs w:val="16"/>
                <w:lang w:val="en-GB"/>
              </w:rPr>
              <w:t>Frequency: Annual</w:t>
            </w:r>
          </w:p>
          <w:p w14:paraId="74741D5F" w14:textId="77777777" w:rsidR="007E0EFC" w:rsidRPr="00547151" w:rsidRDefault="007E0EFC" w:rsidP="00FB458D">
            <w:pPr>
              <w:rPr>
                <w:color w:val="000000"/>
                <w:sz w:val="16"/>
                <w:szCs w:val="16"/>
                <w:lang w:val="en-GB"/>
              </w:rPr>
            </w:pPr>
          </w:p>
          <w:p w14:paraId="4AAB4DAD" w14:textId="7E144E3B" w:rsidR="007E0EFC" w:rsidRPr="009E6278" w:rsidRDefault="007E0EFC" w:rsidP="005013D8">
            <w:pPr>
              <w:rPr>
                <w:color w:val="000000"/>
                <w:sz w:val="16"/>
                <w:szCs w:val="16"/>
                <w:lang w:val="en-GB"/>
              </w:rPr>
            </w:pPr>
            <w:r w:rsidRPr="00547151">
              <w:rPr>
                <w:b/>
                <w:bCs/>
                <w:color w:val="000000"/>
                <w:sz w:val="16"/>
                <w:szCs w:val="16"/>
                <w:lang w:val="en-GB"/>
              </w:rPr>
              <w:t>Output 1.4</w:t>
            </w:r>
            <w:r w:rsidR="00CC2307" w:rsidRPr="00547151">
              <w:rPr>
                <w:b/>
                <w:bCs/>
                <w:color w:val="000000"/>
                <w:sz w:val="16"/>
                <w:szCs w:val="16"/>
                <w:lang w:val="en-GB"/>
              </w:rPr>
              <w:t>.</w:t>
            </w:r>
            <w:r w:rsidRPr="009E6278">
              <w:rPr>
                <w:rFonts w:eastAsiaTheme="minorEastAsia"/>
                <w:color w:val="1F497D" w:themeColor="text2"/>
                <w:kern w:val="24"/>
                <w:sz w:val="16"/>
                <w:szCs w:val="16"/>
                <w:lang w:val="en-GB"/>
              </w:rPr>
              <w:t xml:space="preserve"> </w:t>
            </w:r>
            <w:r w:rsidRPr="009E6278">
              <w:rPr>
                <w:color w:val="000000"/>
                <w:sz w:val="16"/>
                <w:szCs w:val="16"/>
                <w:lang w:val="en-GB"/>
              </w:rPr>
              <w:t>Electoral, legislative and oversight institutions strengthened to promote inclusive, transparent and accountable governance and service delivery</w:t>
            </w:r>
          </w:p>
          <w:p w14:paraId="38A60BD4" w14:textId="77777777" w:rsidR="006D2972" w:rsidRPr="00547151" w:rsidRDefault="006D2972" w:rsidP="005013D8">
            <w:pPr>
              <w:rPr>
                <w:b/>
                <w:bCs/>
                <w:color w:val="000000"/>
                <w:sz w:val="16"/>
                <w:szCs w:val="16"/>
                <w:highlight w:val="yellow"/>
                <w:lang w:val="en-GB"/>
              </w:rPr>
            </w:pPr>
          </w:p>
          <w:p w14:paraId="28CFBB1E" w14:textId="7F084E5B" w:rsidR="007E0EFC" w:rsidRPr="00547151" w:rsidRDefault="007E0EFC" w:rsidP="005013D8">
            <w:pPr>
              <w:rPr>
                <w:color w:val="000000"/>
                <w:sz w:val="16"/>
                <w:szCs w:val="16"/>
                <w:lang w:val="en-GB"/>
              </w:rPr>
            </w:pPr>
            <w:r w:rsidRPr="00547151">
              <w:rPr>
                <w:b/>
                <w:bCs/>
                <w:color w:val="000000"/>
                <w:sz w:val="16"/>
                <w:szCs w:val="16"/>
                <w:lang w:val="en-GB"/>
              </w:rPr>
              <w:t>Indicator 1 4.1</w:t>
            </w:r>
            <w:r w:rsidR="00CC2307" w:rsidRPr="00547151">
              <w:rPr>
                <w:b/>
                <w:bCs/>
                <w:color w:val="000000"/>
                <w:sz w:val="16"/>
                <w:szCs w:val="16"/>
                <w:lang w:val="en-GB"/>
              </w:rPr>
              <w:t>.</w:t>
            </w:r>
            <w:r w:rsidRPr="009E6278">
              <w:rPr>
                <w:sz w:val="16"/>
                <w:szCs w:val="16"/>
                <w:lang w:val="en-GB"/>
              </w:rPr>
              <w:t xml:space="preserve"> </w:t>
            </w:r>
          </w:p>
          <w:p w14:paraId="6EFFC2BA" w14:textId="186DCF74" w:rsidR="007E0EFC" w:rsidRPr="009E6278" w:rsidRDefault="00497249" w:rsidP="005013D8">
            <w:pPr>
              <w:rPr>
                <w:color w:val="000000"/>
                <w:sz w:val="16"/>
                <w:szCs w:val="16"/>
                <w:lang w:val="en-GB"/>
              </w:rPr>
            </w:pPr>
            <w:r w:rsidRPr="00547151">
              <w:rPr>
                <w:sz w:val="16"/>
                <w:szCs w:val="16"/>
                <w:lang w:val="en-GB"/>
              </w:rPr>
              <w:t>N</w:t>
            </w:r>
            <w:r w:rsidR="0055608D" w:rsidRPr="00547151">
              <w:rPr>
                <w:sz w:val="16"/>
                <w:szCs w:val="16"/>
                <w:lang w:val="en-GB"/>
              </w:rPr>
              <w:t xml:space="preserve">umber of institutions with strengthened capacities </w:t>
            </w:r>
            <w:r w:rsidR="00D55C22" w:rsidRPr="00547151">
              <w:rPr>
                <w:sz w:val="16"/>
                <w:szCs w:val="16"/>
                <w:lang w:val="en-GB"/>
              </w:rPr>
              <w:t>for transparent and accountable governance</w:t>
            </w:r>
            <w:r w:rsidR="008D705E" w:rsidRPr="00547151">
              <w:rPr>
                <w:sz w:val="16"/>
                <w:szCs w:val="16"/>
                <w:lang w:val="en-GB"/>
              </w:rPr>
              <w:t xml:space="preserve"> through UNDP support</w:t>
            </w:r>
            <w:r w:rsidR="00D55C22" w:rsidRPr="00547151">
              <w:rPr>
                <w:sz w:val="16"/>
                <w:szCs w:val="16"/>
                <w:lang w:val="en-GB"/>
              </w:rPr>
              <w:t xml:space="preserve"> </w:t>
            </w:r>
          </w:p>
          <w:p w14:paraId="64DE5DAB" w14:textId="768A8E42" w:rsidR="007E0EFC" w:rsidRPr="009E6278" w:rsidRDefault="007E0EFC" w:rsidP="005013D8">
            <w:pPr>
              <w:rPr>
                <w:color w:val="000000"/>
                <w:sz w:val="16"/>
                <w:szCs w:val="16"/>
                <w:lang w:val="en-GB"/>
              </w:rPr>
            </w:pPr>
            <w:r w:rsidRPr="00547151">
              <w:rPr>
                <w:color w:val="000000"/>
                <w:sz w:val="16"/>
                <w:szCs w:val="16"/>
                <w:lang w:val="en-GB"/>
              </w:rPr>
              <w:t>Baseline:</w:t>
            </w:r>
            <w:r w:rsidR="00E778EE" w:rsidRPr="00547151">
              <w:rPr>
                <w:color w:val="000000"/>
                <w:sz w:val="16"/>
                <w:szCs w:val="16"/>
                <w:lang w:val="en-GB"/>
              </w:rPr>
              <w:t xml:space="preserve"> </w:t>
            </w:r>
            <w:r w:rsidR="00F53610" w:rsidRPr="00547151">
              <w:rPr>
                <w:color w:val="000000"/>
                <w:sz w:val="16"/>
                <w:szCs w:val="16"/>
                <w:lang w:val="en-GB"/>
              </w:rPr>
              <w:t xml:space="preserve">8 (national) </w:t>
            </w:r>
            <w:r w:rsidRPr="00547151">
              <w:rPr>
                <w:color w:val="000000"/>
                <w:sz w:val="16"/>
                <w:szCs w:val="16"/>
                <w:lang w:val="en-GB"/>
              </w:rPr>
              <w:t>(20</w:t>
            </w:r>
            <w:r w:rsidR="00104D62" w:rsidRPr="00547151">
              <w:rPr>
                <w:color w:val="000000"/>
                <w:sz w:val="16"/>
                <w:szCs w:val="16"/>
                <w:lang w:val="en-GB"/>
              </w:rPr>
              <w:t>20</w:t>
            </w:r>
            <w:r w:rsidRPr="00547151">
              <w:rPr>
                <w:color w:val="000000"/>
                <w:sz w:val="16"/>
                <w:szCs w:val="16"/>
                <w:lang w:val="en-GB"/>
              </w:rPr>
              <w:t>)</w:t>
            </w:r>
          </w:p>
          <w:p w14:paraId="41BC4BF4" w14:textId="4F161AA8" w:rsidR="007E0EFC" w:rsidRPr="00547151" w:rsidRDefault="007E0EFC" w:rsidP="005013D8">
            <w:pPr>
              <w:rPr>
                <w:color w:val="000000"/>
                <w:sz w:val="16"/>
                <w:szCs w:val="16"/>
                <w:lang w:val="en-GB"/>
              </w:rPr>
            </w:pPr>
            <w:r w:rsidRPr="00547151">
              <w:rPr>
                <w:color w:val="000000"/>
                <w:sz w:val="16"/>
                <w:szCs w:val="16"/>
                <w:lang w:val="en-GB"/>
              </w:rPr>
              <w:t xml:space="preserve">Target: </w:t>
            </w:r>
            <w:r w:rsidR="00C40FCB" w:rsidRPr="00547151">
              <w:rPr>
                <w:color w:val="000000"/>
                <w:sz w:val="16"/>
                <w:szCs w:val="16"/>
                <w:lang w:val="en-GB"/>
              </w:rPr>
              <w:t>16</w:t>
            </w:r>
            <w:r w:rsidR="00104D62" w:rsidRPr="00547151">
              <w:rPr>
                <w:color w:val="000000"/>
                <w:sz w:val="16"/>
                <w:szCs w:val="16"/>
                <w:lang w:val="en-GB"/>
              </w:rPr>
              <w:t xml:space="preserve"> (2026)</w:t>
            </w:r>
            <w:r w:rsidR="00C40FCB" w:rsidRPr="00547151">
              <w:rPr>
                <w:color w:val="000000"/>
                <w:sz w:val="16"/>
                <w:szCs w:val="16"/>
                <w:lang w:val="en-GB"/>
              </w:rPr>
              <w:t xml:space="preserve"> </w:t>
            </w:r>
          </w:p>
          <w:p w14:paraId="496A064C" w14:textId="251EA804" w:rsidR="00625ECC" w:rsidRPr="00547151" w:rsidRDefault="00625ECC" w:rsidP="005013D8">
            <w:pPr>
              <w:rPr>
                <w:color w:val="000000"/>
                <w:sz w:val="16"/>
                <w:szCs w:val="16"/>
                <w:lang w:val="en-GB"/>
              </w:rPr>
            </w:pPr>
            <w:r w:rsidRPr="00547151">
              <w:rPr>
                <w:color w:val="000000"/>
                <w:sz w:val="16"/>
                <w:szCs w:val="16"/>
                <w:lang w:val="en-GB"/>
              </w:rPr>
              <w:t xml:space="preserve">Data </w:t>
            </w:r>
            <w:r w:rsidR="009540D9" w:rsidRPr="00547151">
              <w:rPr>
                <w:color w:val="000000"/>
                <w:sz w:val="16"/>
                <w:szCs w:val="16"/>
                <w:lang w:val="en-GB"/>
              </w:rPr>
              <w:t>s</w:t>
            </w:r>
            <w:r w:rsidRPr="00547151">
              <w:rPr>
                <w:color w:val="000000"/>
                <w:sz w:val="16"/>
                <w:szCs w:val="16"/>
                <w:lang w:val="en-GB"/>
              </w:rPr>
              <w:t xml:space="preserve">ource: </w:t>
            </w:r>
            <w:r w:rsidR="00104D62" w:rsidRPr="00547151">
              <w:rPr>
                <w:color w:val="000000"/>
                <w:sz w:val="16"/>
                <w:szCs w:val="16"/>
                <w:lang w:val="en-GB"/>
              </w:rPr>
              <w:t>Perception surveys</w:t>
            </w:r>
            <w:r w:rsidR="00B36AAA" w:rsidRPr="00547151">
              <w:rPr>
                <w:color w:val="000000"/>
                <w:sz w:val="16"/>
                <w:szCs w:val="16"/>
                <w:lang w:val="en-GB"/>
              </w:rPr>
              <w:t>/KNBS/C</w:t>
            </w:r>
            <w:r w:rsidR="00CC2307" w:rsidRPr="00547151">
              <w:rPr>
                <w:color w:val="000000"/>
                <w:sz w:val="16"/>
                <w:szCs w:val="16"/>
                <w:lang w:val="en-GB"/>
              </w:rPr>
              <w:t>O</w:t>
            </w:r>
            <w:r w:rsidR="00B36AAA" w:rsidRPr="00547151">
              <w:rPr>
                <w:color w:val="000000"/>
                <w:sz w:val="16"/>
                <w:szCs w:val="16"/>
                <w:lang w:val="en-GB"/>
              </w:rPr>
              <w:t>G</w:t>
            </w:r>
          </w:p>
          <w:p w14:paraId="37FBAFFF" w14:textId="4F814AD8" w:rsidR="007E0EFC" w:rsidRPr="009E6278" w:rsidRDefault="0077798B" w:rsidP="009669FF">
            <w:pPr>
              <w:rPr>
                <w:color w:val="000000"/>
                <w:sz w:val="16"/>
                <w:szCs w:val="16"/>
                <w:lang w:val="en-GB"/>
              </w:rPr>
            </w:pPr>
            <w:r w:rsidRPr="009E6278">
              <w:rPr>
                <w:color w:val="000000"/>
                <w:sz w:val="16"/>
                <w:szCs w:val="16"/>
                <w:lang w:val="en-GB"/>
              </w:rPr>
              <w:t>Frequency: Annual</w:t>
            </w:r>
            <w:r w:rsidR="00535D09" w:rsidRPr="009E6278">
              <w:rPr>
                <w:color w:val="000000"/>
                <w:sz w:val="16"/>
                <w:szCs w:val="16"/>
                <w:lang w:val="en-GB"/>
              </w:rPr>
              <w:t xml:space="preserve"> </w:t>
            </w:r>
          </w:p>
        </w:tc>
        <w:tc>
          <w:tcPr>
            <w:tcW w:w="861" w:type="pct"/>
            <w:gridSpan w:val="2"/>
            <w:vMerge w:val="restart"/>
          </w:tcPr>
          <w:p w14:paraId="2BD47D57" w14:textId="77777777" w:rsidR="009F6AA7" w:rsidRPr="00547151" w:rsidRDefault="007E0EFC" w:rsidP="005013D8">
            <w:pPr>
              <w:rPr>
                <w:sz w:val="16"/>
                <w:szCs w:val="16"/>
                <w:lang w:val="en-GB"/>
              </w:rPr>
            </w:pPr>
            <w:r w:rsidRPr="009E6278">
              <w:rPr>
                <w:sz w:val="16"/>
                <w:szCs w:val="16"/>
                <w:lang w:val="en-GB"/>
              </w:rPr>
              <w:lastRenderedPageBreak/>
              <w:t>Ministry of Devolution</w:t>
            </w:r>
            <w:r w:rsidR="00BA32A0" w:rsidRPr="009E6278">
              <w:rPr>
                <w:sz w:val="16"/>
                <w:szCs w:val="16"/>
                <w:lang w:val="en-GB"/>
              </w:rPr>
              <w:t xml:space="preserve"> (MOD)</w:t>
            </w:r>
          </w:p>
          <w:p w14:paraId="1F68E54E" w14:textId="099786EB" w:rsidR="009F6AA7" w:rsidRPr="00547151" w:rsidRDefault="0065524A" w:rsidP="005013D8">
            <w:pPr>
              <w:rPr>
                <w:sz w:val="16"/>
                <w:szCs w:val="16"/>
                <w:lang w:val="en-GB"/>
              </w:rPr>
            </w:pPr>
            <w:r w:rsidRPr="009E6278">
              <w:rPr>
                <w:sz w:val="16"/>
                <w:szCs w:val="16"/>
                <w:lang w:val="en-GB"/>
              </w:rPr>
              <w:t>Ministry of Gender and Public Affairs</w:t>
            </w:r>
          </w:p>
          <w:p w14:paraId="0A799AF5" w14:textId="151F9A6C" w:rsidR="009F6AA7" w:rsidRPr="00547151" w:rsidRDefault="007E0EFC" w:rsidP="005013D8">
            <w:pPr>
              <w:rPr>
                <w:sz w:val="16"/>
                <w:szCs w:val="16"/>
                <w:lang w:val="en-GB"/>
              </w:rPr>
            </w:pPr>
            <w:r w:rsidRPr="009E6278">
              <w:rPr>
                <w:sz w:val="16"/>
                <w:szCs w:val="16"/>
                <w:lang w:val="en-GB"/>
              </w:rPr>
              <w:t>Parliament</w:t>
            </w:r>
          </w:p>
          <w:p w14:paraId="50856F57" w14:textId="7873EBC9" w:rsidR="009F6AA7" w:rsidRPr="00547151" w:rsidRDefault="007E0EFC" w:rsidP="005013D8">
            <w:pPr>
              <w:rPr>
                <w:sz w:val="16"/>
                <w:szCs w:val="16"/>
                <w:lang w:val="en-GB"/>
              </w:rPr>
            </w:pPr>
            <w:r w:rsidRPr="009E6278">
              <w:rPr>
                <w:sz w:val="16"/>
                <w:szCs w:val="16"/>
                <w:lang w:val="en-GB"/>
              </w:rPr>
              <w:t>Judiciary</w:t>
            </w:r>
          </w:p>
          <w:p w14:paraId="57AF47EE" w14:textId="5B52543F" w:rsidR="009F6AA7" w:rsidRPr="00547151" w:rsidRDefault="007E0EFC" w:rsidP="005013D8">
            <w:pPr>
              <w:rPr>
                <w:sz w:val="16"/>
                <w:szCs w:val="16"/>
                <w:lang w:val="en-GB"/>
              </w:rPr>
            </w:pPr>
            <w:r w:rsidRPr="009E6278">
              <w:rPr>
                <w:sz w:val="16"/>
                <w:szCs w:val="16"/>
                <w:lang w:val="en-GB"/>
              </w:rPr>
              <w:t xml:space="preserve">Office of the Attorney General </w:t>
            </w:r>
            <w:r w:rsidR="00104C9B" w:rsidRPr="009E6278">
              <w:rPr>
                <w:sz w:val="16"/>
                <w:szCs w:val="16"/>
                <w:lang w:val="en-GB"/>
              </w:rPr>
              <w:t>C</w:t>
            </w:r>
            <w:r w:rsidR="00BD4427" w:rsidRPr="009E6278">
              <w:rPr>
                <w:sz w:val="16"/>
                <w:szCs w:val="16"/>
                <w:lang w:val="en-GB"/>
              </w:rPr>
              <w:t xml:space="preserve">ouncil </w:t>
            </w:r>
            <w:r w:rsidR="00104C9B" w:rsidRPr="009E6278">
              <w:rPr>
                <w:sz w:val="16"/>
                <w:szCs w:val="16"/>
                <w:lang w:val="en-GB"/>
              </w:rPr>
              <w:t>o</w:t>
            </w:r>
            <w:r w:rsidR="00BD4427" w:rsidRPr="009E6278">
              <w:rPr>
                <w:sz w:val="16"/>
                <w:szCs w:val="16"/>
                <w:lang w:val="en-GB"/>
              </w:rPr>
              <w:t xml:space="preserve">f </w:t>
            </w:r>
            <w:r w:rsidR="00104C9B" w:rsidRPr="009E6278">
              <w:rPr>
                <w:sz w:val="16"/>
                <w:szCs w:val="16"/>
                <w:lang w:val="en-GB"/>
              </w:rPr>
              <w:t>G</w:t>
            </w:r>
            <w:r w:rsidR="00BD4427" w:rsidRPr="009E6278">
              <w:rPr>
                <w:sz w:val="16"/>
                <w:szCs w:val="16"/>
                <w:lang w:val="en-GB"/>
              </w:rPr>
              <w:t>overnors</w:t>
            </w:r>
          </w:p>
          <w:p w14:paraId="4D9BA965" w14:textId="694A22B7" w:rsidR="007E0EFC" w:rsidRPr="009E6278" w:rsidRDefault="009F6AA7" w:rsidP="005013D8">
            <w:pPr>
              <w:rPr>
                <w:sz w:val="16"/>
                <w:szCs w:val="16"/>
                <w:lang w:val="en-GB"/>
              </w:rPr>
            </w:pPr>
            <w:r w:rsidRPr="009E6278">
              <w:rPr>
                <w:sz w:val="16"/>
                <w:szCs w:val="16"/>
                <w:lang w:val="en-GB"/>
              </w:rPr>
              <w:t>County Assemblies Forum (</w:t>
            </w:r>
            <w:r w:rsidR="00104C9B" w:rsidRPr="009E6278">
              <w:rPr>
                <w:sz w:val="16"/>
                <w:szCs w:val="16"/>
                <w:lang w:val="en-GB"/>
              </w:rPr>
              <w:t>CAF</w:t>
            </w:r>
            <w:r w:rsidRPr="00547151">
              <w:rPr>
                <w:sz w:val="16"/>
                <w:szCs w:val="16"/>
                <w:lang w:val="en-GB"/>
              </w:rPr>
              <w:t>)</w:t>
            </w:r>
          </w:p>
          <w:p w14:paraId="166F1C4F" w14:textId="5C22A916" w:rsidR="009F6AA7" w:rsidRPr="00547151" w:rsidRDefault="00234E84" w:rsidP="005013D8">
            <w:pPr>
              <w:rPr>
                <w:sz w:val="16"/>
                <w:szCs w:val="16"/>
                <w:lang w:val="en-GB"/>
              </w:rPr>
            </w:pPr>
            <w:r w:rsidRPr="009E6278">
              <w:rPr>
                <w:sz w:val="16"/>
                <w:szCs w:val="16"/>
                <w:lang w:val="en-GB"/>
              </w:rPr>
              <w:t>Kenya National Commission on Human Rights</w:t>
            </w:r>
          </w:p>
          <w:p w14:paraId="23D52652" w14:textId="5C7528AD" w:rsidR="009F6AA7" w:rsidRPr="00547151" w:rsidRDefault="007E0EFC" w:rsidP="005013D8">
            <w:pPr>
              <w:rPr>
                <w:sz w:val="16"/>
                <w:szCs w:val="16"/>
                <w:lang w:val="en-GB"/>
              </w:rPr>
            </w:pPr>
            <w:r w:rsidRPr="009E6278">
              <w:rPr>
                <w:sz w:val="16"/>
                <w:szCs w:val="16"/>
                <w:lang w:val="en-GB"/>
              </w:rPr>
              <w:t xml:space="preserve">Independent Electoral and Boundaries Commission </w:t>
            </w:r>
          </w:p>
          <w:p w14:paraId="0B646AB9" w14:textId="15A65E33" w:rsidR="009F6AA7" w:rsidRPr="00547151" w:rsidRDefault="002850F1" w:rsidP="005013D8">
            <w:pPr>
              <w:rPr>
                <w:sz w:val="16"/>
                <w:szCs w:val="16"/>
                <w:lang w:val="en-GB"/>
              </w:rPr>
            </w:pPr>
            <w:r w:rsidRPr="009E6278">
              <w:rPr>
                <w:sz w:val="16"/>
                <w:szCs w:val="16"/>
                <w:lang w:val="en-GB"/>
              </w:rPr>
              <w:t>National AIDS Control Council</w:t>
            </w:r>
          </w:p>
          <w:p w14:paraId="0FD67DD1" w14:textId="75AB1F02" w:rsidR="009F6AA7" w:rsidRPr="00547151" w:rsidRDefault="007E0EFC">
            <w:pPr>
              <w:rPr>
                <w:sz w:val="16"/>
                <w:szCs w:val="16"/>
                <w:lang w:val="en-GB"/>
              </w:rPr>
            </w:pPr>
            <w:r w:rsidRPr="009E6278">
              <w:rPr>
                <w:sz w:val="16"/>
                <w:szCs w:val="16"/>
                <w:lang w:val="en-GB"/>
              </w:rPr>
              <w:t>Kenya School of Government</w:t>
            </w:r>
          </w:p>
          <w:p w14:paraId="63032C90" w14:textId="40D181D8" w:rsidR="009F6AA7" w:rsidRPr="00547151" w:rsidRDefault="007E0EFC">
            <w:pPr>
              <w:rPr>
                <w:sz w:val="16"/>
                <w:szCs w:val="16"/>
                <w:lang w:val="en-GB"/>
              </w:rPr>
            </w:pPr>
            <w:r w:rsidRPr="009E6278">
              <w:rPr>
                <w:sz w:val="16"/>
                <w:szCs w:val="16"/>
                <w:lang w:val="en-GB"/>
              </w:rPr>
              <w:t xml:space="preserve">County </w:t>
            </w:r>
            <w:r w:rsidR="009F6AA7" w:rsidRPr="00547151">
              <w:rPr>
                <w:sz w:val="16"/>
                <w:szCs w:val="16"/>
                <w:lang w:val="en-GB"/>
              </w:rPr>
              <w:t>g</w:t>
            </w:r>
            <w:r w:rsidRPr="009E6278">
              <w:rPr>
                <w:sz w:val="16"/>
                <w:szCs w:val="16"/>
                <w:lang w:val="en-GB"/>
              </w:rPr>
              <w:t>overnments</w:t>
            </w:r>
          </w:p>
          <w:p w14:paraId="4F9B487F" w14:textId="7E80612A" w:rsidR="009F6AA7" w:rsidRPr="00547151" w:rsidRDefault="009F6AA7">
            <w:pPr>
              <w:rPr>
                <w:sz w:val="16"/>
                <w:szCs w:val="16"/>
                <w:lang w:val="en-GB"/>
              </w:rPr>
            </w:pPr>
            <w:r w:rsidRPr="00547151">
              <w:rPr>
                <w:sz w:val="16"/>
                <w:szCs w:val="16"/>
                <w:lang w:val="en-GB"/>
              </w:rPr>
              <w:t>C</w:t>
            </w:r>
            <w:r w:rsidR="007E0EFC" w:rsidRPr="009E6278">
              <w:rPr>
                <w:sz w:val="16"/>
                <w:szCs w:val="16"/>
                <w:lang w:val="en-GB"/>
              </w:rPr>
              <w:t>ivil society</w:t>
            </w:r>
          </w:p>
          <w:p w14:paraId="0FC77BE8" w14:textId="1E1C7F06" w:rsidR="009F6AA7" w:rsidRPr="00547151" w:rsidRDefault="007E0EFC">
            <w:pPr>
              <w:rPr>
                <w:sz w:val="16"/>
                <w:szCs w:val="16"/>
                <w:lang w:val="en-GB"/>
              </w:rPr>
            </w:pPr>
            <w:r w:rsidRPr="009E6278">
              <w:rPr>
                <w:sz w:val="16"/>
                <w:szCs w:val="16"/>
                <w:lang w:val="en-GB"/>
              </w:rPr>
              <w:t>UN-Women</w:t>
            </w:r>
          </w:p>
          <w:p w14:paraId="77AE590E" w14:textId="625F912B" w:rsidR="009F6AA7" w:rsidRPr="00547151" w:rsidRDefault="006952BC">
            <w:pPr>
              <w:rPr>
                <w:sz w:val="16"/>
                <w:szCs w:val="16"/>
                <w:lang w:val="en-GB"/>
              </w:rPr>
            </w:pPr>
            <w:r w:rsidRPr="00547151">
              <w:rPr>
                <w:sz w:val="16"/>
                <w:szCs w:val="16"/>
                <w:lang w:val="en-GB"/>
              </w:rPr>
              <w:t>United Nations Children’s Fund</w:t>
            </w:r>
          </w:p>
          <w:p w14:paraId="44BD54CD" w14:textId="4A6980BE" w:rsidR="009F6AA7" w:rsidRPr="00547151" w:rsidRDefault="006952BC">
            <w:pPr>
              <w:rPr>
                <w:sz w:val="16"/>
                <w:szCs w:val="16"/>
                <w:lang w:val="en-GB"/>
              </w:rPr>
            </w:pPr>
            <w:r w:rsidRPr="00547151">
              <w:rPr>
                <w:sz w:val="16"/>
                <w:szCs w:val="16"/>
                <w:lang w:val="en-GB"/>
              </w:rPr>
              <w:t>Office of the High Commissioner on Human Rights</w:t>
            </w:r>
          </w:p>
          <w:p w14:paraId="5D4F4C37" w14:textId="6CF9EB36" w:rsidR="009F6AA7" w:rsidRPr="00547151" w:rsidRDefault="00C62A2B">
            <w:pPr>
              <w:rPr>
                <w:sz w:val="16"/>
                <w:szCs w:val="16"/>
                <w:lang w:val="en-GB"/>
              </w:rPr>
            </w:pPr>
            <w:r w:rsidRPr="009E6278">
              <w:rPr>
                <w:sz w:val="16"/>
                <w:szCs w:val="16"/>
                <w:lang w:val="en-GB"/>
              </w:rPr>
              <w:t>U</w:t>
            </w:r>
            <w:r w:rsidR="006952BC" w:rsidRPr="00547151">
              <w:rPr>
                <w:sz w:val="16"/>
                <w:szCs w:val="16"/>
                <w:lang w:val="en-GB"/>
              </w:rPr>
              <w:t>nited Nations Office on Drugs and Crime</w:t>
            </w:r>
          </w:p>
          <w:p w14:paraId="18D46BFA" w14:textId="797CB91B" w:rsidR="009F6AA7" w:rsidRPr="00547151" w:rsidRDefault="006952BC">
            <w:pPr>
              <w:rPr>
                <w:sz w:val="16"/>
                <w:szCs w:val="16"/>
                <w:lang w:val="en-GB"/>
              </w:rPr>
            </w:pPr>
            <w:r w:rsidRPr="009E6278">
              <w:rPr>
                <w:sz w:val="16"/>
                <w:szCs w:val="16"/>
                <w:lang w:val="en-GB"/>
              </w:rPr>
              <w:t>United Nations Educational, Scientific and Cultural Organization</w:t>
            </w:r>
          </w:p>
          <w:p w14:paraId="16DB68B2" w14:textId="72CBACF9" w:rsidR="009F6AA7" w:rsidRPr="00547151" w:rsidRDefault="006952BC">
            <w:pPr>
              <w:rPr>
                <w:color w:val="000000"/>
                <w:sz w:val="16"/>
                <w:szCs w:val="16"/>
                <w:lang w:val="en-GB"/>
              </w:rPr>
            </w:pPr>
            <w:r w:rsidRPr="00547151">
              <w:rPr>
                <w:sz w:val="16"/>
                <w:szCs w:val="16"/>
                <w:lang w:val="en-GB"/>
              </w:rPr>
              <w:t>United Nations Capital Development Fund (</w:t>
            </w:r>
            <w:r w:rsidR="007E0EFC" w:rsidRPr="009E6278">
              <w:rPr>
                <w:sz w:val="16"/>
                <w:szCs w:val="16"/>
                <w:lang w:val="en-GB"/>
              </w:rPr>
              <w:t>UNCDF</w:t>
            </w:r>
            <w:r w:rsidRPr="00547151">
              <w:rPr>
                <w:sz w:val="16"/>
                <w:szCs w:val="16"/>
                <w:lang w:val="en-GB"/>
              </w:rPr>
              <w:t>)</w:t>
            </w:r>
          </w:p>
          <w:p w14:paraId="58DA65A9" w14:textId="48E85912" w:rsidR="009F6AA7" w:rsidRPr="00547151" w:rsidRDefault="006952BC">
            <w:pPr>
              <w:rPr>
                <w:color w:val="000000"/>
                <w:sz w:val="16"/>
                <w:szCs w:val="16"/>
                <w:lang w:val="en-GB"/>
              </w:rPr>
            </w:pPr>
            <w:r w:rsidRPr="009E6278">
              <w:rPr>
                <w:sz w:val="16"/>
                <w:szCs w:val="16"/>
                <w:lang w:val="en-GB"/>
              </w:rPr>
              <w:t>Intergovernmental Authority on Development</w:t>
            </w:r>
          </w:p>
          <w:p w14:paraId="7E86EBA3" w14:textId="6B47D374" w:rsidR="009F6AA7" w:rsidRPr="00547151" w:rsidRDefault="00366FC5">
            <w:pPr>
              <w:rPr>
                <w:color w:val="000000"/>
                <w:sz w:val="16"/>
                <w:szCs w:val="16"/>
                <w:lang w:val="en-GB"/>
              </w:rPr>
            </w:pPr>
            <w:r w:rsidRPr="00547151">
              <w:rPr>
                <w:color w:val="000000"/>
                <w:sz w:val="16"/>
                <w:szCs w:val="16"/>
                <w:lang w:val="en-GB"/>
              </w:rPr>
              <w:t>E</w:t>
            </w:r>
            <w:r w:rsidR="006952BC" w:rsidRPr="00547151">
              <w:rPr>
                <w:color w:val="000000"/>
                <w:sz w:val="16"/>
                <w:szCs w:val="16"/>
                <w:lang w:val="en-GB"/>
              </w:rPr>
              <w:t>uropean Union</w:t>
            </w:r>
          </w:p>
          <w:p w14:paraId="4D4E4242" w14:textId="3D880453" w:rsidR="009F6AA7" w:rsidRPr="00547151" w:rsidRDefault="004E3F98">
            <w:pPr>
              <w:rPr>
                <w:color w:val="000000"/>
                <w:sz w:val="16"/>
                <w:szCs w:val="16"/>
                <w:lang w:val="en-GB"/>
              </w:rPr>
            </w:pPr>
            <w:r w:rsidRPr="00547151">
              <w:rPr>
                <w:color w:val="000000"/>
                <w:sz w:val="16"/>
                <w:szCs w:val="16"/>
                <w:lang w:val="en-GB"/>
              </w:rPr>
              <w:t>Sweden</w:t>
            </w:r>
          </w:p>
          <w:p w14:paraId="08BA0956" w14:textId="261AAF4F" w:rsidR="009F6AA7" w:rsidRPr="00547151" w:rsidRDefault="00065537">
            <w:pPr>
              <w:rPr>
                <w:color w:val="000000"/>
                <w:sz w:val="16"/>
                <w:szCs w:val="16"/>
                <w:lang w:val="en-GB"/>
              </w:rPr>
            </w:pPr>
            <w:r w:rsidRPr="00547151">
              <w:rPr>
                <w:color w:val="000000"/>
                <w:sz w:val="16"/>
                <w:szCs w:val="16"/>
                <w:lang w:val="en-GB"/>
              </w:rPr>
              <w:t>Germany</w:t>
            </w:r>
          </w:p>
          <w:p w14:paraId="28E119DB" w14:textId="68C4244A" w:rsidR="009F6AA7" w:rsidRPr="00547151" w:rsidRDefault="00832EF4">
            <w:pPr>
              <w:rPr>
                <w:color w:val="000000"/>
                <w:sz w:val="16"/>
                <w:szCs w:val="16"/>
                <w:lang w:val="en-GB"/>
              </w:rPr>
            </w:pPr>
            <w:r w:rsidRPr="00547151">
              <w:rPr>
                <w:color w:val="000000"/>
                <w:sz w:val="16"/>
                <w:szCs w:val="16"/>
                <w:lang w:val="en-GB"/>
              </w:rPr>
              <w:lastRenderedPageBreak/>
              <w:t>Italy</w:t>
            </w:r>
          </w:p>
          <w:p w14:paraId="2CF9EC43" w14:textId="47B12CBC" w:rsidR="009F6AA7" w:rsidRPr="00547151" w:rsidRDefault="00832EF4">
            <w:pPr>
              <w:rPr>
                <w:color w:val="000000"/>
                <w:sz w:val="16"/>
                <w:szCs w:val="16"/>
                <w:lang w:val="en-GB"/>
              </w:rPr>
            </w:pPr>
            <w:r w:rsidRPr="00547151">
              <w:rPr>
                <w:color w:val="000000"/>
                <w:sz w:val="16"/>
                <w:szCs w:val="16"/>
                <w:lang w:val="en-GB"/>
              </w:rPr>
              <w:t>United Kingdom</w:t>
            </w:r>
          </w:p>
          <w:p w14:paraId="3AB3AFEF" w14:textId="730DF9D1" w:rsidR="009F6AA7" w:rsidRPr="00547151" w:rsidRDefault="004E3F98">
            <w:pPr>
              <w:rPr>
                <w:color w:val="000000"/>
                <w:sz w:val="16"/>
                <w:szCs w:val="16"/>
                <w:lang w:val="en-GB"/>
              </w:rPr>
            </w:pPr>
            <w:r w:rsidRPr="00547151">
              <w:rPr>
                <w:color w:val="000000"/>
                <w:sz w:val="16"/>
                <w:szCs w:val="16"/>
                <w:lang w:val="en-GB"/>
              </w:rPr>
              <w:t>Norway</w:t>
            </w:r>
          </w:p>
          <w:p w14:paraId="0423E246" w14:textId="7A35B8BD" w:rsidR="009F6AA7" w:rsidRPr="00547151" w:rsidRDefault="004E3F98">
            <w:pPr>
              <w:rPr>
                <w:color w:val="000000"/>
                <w:sz w:val="16"/>
                <w:szCs w:val="16"/>
                <w:lang w:val="en-GB"/>
              </w:rPr>
            </w:pPr>
            <w:r w:rsidRPr="00547151">
              <w:rPr>
                <w:color w:val="000000"/>
                <w:sz w:val="16"/>
                <w:szCs w:val="16"/>
                <w:lang w:val="en-GB"/>
              </w:rPr>
              <w:t>Finland</w:t>
            </w:r>
          </w:p>
          <w:p w14:paraId="67BE66C6" w14:textId="79FD2790" w:rsidR="007E0EFC" w:rsidRPr="00547151" w:rsidRDefault="00851565">
            <w:pPr>
              <w:rPr>
                <w:color w:val="000000"/>
                <w:sz w:val="16"/>
                <w:szCs w:val="16"/>
                <w:lang w:val="en-GB"/>
              </w:rPr>
            </w:pPr>
            <w:r w:rsidRPr="00547151">
              <w:rPr>
                <w:color w:val="000000"/>
                <w:sz w:val="16"/>
                <w:szCs w:val="16"/>
                <w:lang w:val="en-GB"/>
              </w:rPr>
              <w:t>Peacebuilding Fund</w:t>
            </w:r>
          </w:p>
        </w:tc>
        <w:tc>
          <w:tcPr>
            <w:tcW w:w="772" w:type="pct"/>
            <w:tcMar>
              <w:top w:w="15" w:type="dxa"/>
              <w:left w:w="108" w:type="dxa"/>
              <w:bottom w:w="0" w:type="dxa"/>
              <w:right w:w="108" w:type="dxa"/>
            </w:tcMar>
          </w:tcPr>
          <w:p w14:paraId="0E79A707" w14:textId="7FE3B7B8" w:rsidR="007E0EFC" w:rsidRPr="009E6278" w:rsidRDefault="007E0EFC" w:rsidP="005013D8">
            <w:pPr>
              <w:rPr>
                <w:b/>
                <w:color w:val="000000"/>
                <w:sz w:val="16"/>
                <w:szCs w:val="16"/>
                <w:lang w:val="en-GB"/>
              </w:rPr>
            </w:pPr>
            <w:r w:rsidRPr="009E6278">
              <w:rPr>
                <w:b/>
                <w:color w:val="000000"/>
                <w:sz w:val="16"/>
                <w:szCs w:val="16"/>
                <w:lang w:val="en-GB"/>
              </w:rPr>
              <w:lastRenderedPageBreak/>
              <w:t>Regular</w:t>
            </w:r>
            <w:r w:rsidR="00995C56" w:rsidRPr="00547151">
              <w:rPr>
                <w:b/>
                <w:color w:val="000000"/>
                <w:sz w:val="16"/>
                <w:szCs w:val="16"/>
                <w:lang w:val="en-GB"/>
              </w:rPr>
              <w:t>:</w:t>
            </w:r>
            <w:r w:rsidR="001544A3" w:rsidRPr="009E6278">
              <w:rPr>
                <w:b/>
                <w:color w:val="000000"/>
                <w:sz w:val="16"/>
                <w:szCs w:val="16"/>
                <w:lang w:val="en-GB"/>
              </w:rPr>
              <w:t xml:space="preserve"> </w:t>
            </w:r>
            <w:r w:rsidR="00995C56" w:rsidRPr="00547151">
              <w:rPr>
                <w:b/>
                <w:color w:val="000000"/>
                <w:sz w:val="16"/>
                <w:szCs w:val="16"/>
                <w:lang w:val="en-GB"/>
              </w:rPr>
              <w:t>$</w:t>
            </w:r>
            <w:r w:rsidR="004543D4" w:rsidRPr="009E6278">
              <w:rPr>
                <w:b/>
                <w:color w:val="000000"/>
                <w:sz w:val="16"/>
                <w:szCs w:val="16"/>
                <w:lang w:val="en-GB"/>
              </w:rPr>
              <w:t>2</w:t>
            </w:r>
            <w:r w:rsidR="001544A3" w:rsidRPr="009E6278">
              <w:rPr>
                <w:b/>
                <w:color w:val="000000"/>
                <w:sz w:val="16"/>
                <w:szCs w:val="16"/>
                <w:lang w:val="en-GB"/>
              </w:rPr>
              <w:t>.</w:t>
            </w:r>
            <w:r w:rsidR="004543D4" w:rsidRPr="009E6278">
              <w:rPr>
                <w:b/>
                <w:color w:val="000000"/>
                <w:sz w:val="16"/>
                <w:szCs w:val="16"/>
                <w:lang w:val="en-GB"/>
              </w:rPr>
              <w:t>2</w:t>
            </w:r>
            <w:r w:rsidR="001544A3" w:rsidRPr="009E6278">
              <w:rPr>
                <w:b/>
                <w:color w:val="000000"/>
                <w:sz w:val="16"/>
                <w:szCs w:val="16"/>
                <w:lang w:val="en-GB"/>
              </w:rPr>
              <w:t xml:space="preserve"> million</w:t>
            </w:r>
          </w:p>
        </w:tc>
      </w:tr>
      <w:tr w:rsidR="007E0EFC" w:rsidRPr="00547151" w14:paraId="2214AC6B" w14:textId="77777777" w:rsidTr="00F358B4">
        <w:tc>
          <w:tcPr>
            <w:tcW w:w="1097" w:type="pct"/>
            <w:vMerge/>
            <w:tcMar>
              <w:top w:w="72" w:type="dxa"/>
              <w:left w:w="144" w:type="dxa"/>
              <w:bottom w:w="72" w:type="dxa"/>
              <w:right w:w="144" w:type="dxa"/>
            </w:tcMar>
          </w:tcPr>
          <w:p w14:paraId="430D5173" w14:textId="77777777" w:rsidR="007E0EFC" w:rsidRPr="00547151" w:rsidRDefault="007E0EFC" w:rsidP="005013D8">
            <w:pPr>
              <w:rPr>
                <w:color w:val="000000"/>
                <w:sz w:val="16"/>
                <w:szCs w:val="16"/>
                <w:lang w:val="en-GB"/>
              </w:rPr>
            </w:pPr>
          </w:p>
        </w:tc>
        <w:tc>
          <w:tcPr>
            <w:tcW w:w="1178" w:type="pct"/>
            <w:vMerge/>
          </w:tcPr>
          <w:p w14:paraId="70FA8AB5" w14:textId="77777777" w:rsidR="007E0EFC" w:rsidRPr="00547151" w:rsidRDefault="007E0EFC" w:rsidP="005013D8">
            <w:pPr>
              <w:rPr>
                <w:color w:val="000000"/>
                <w:sz w:val="16"/>
                <w:szCs w:val="16"/>
                <w:lang w:val="en-GB"/>
              </w:rPr>
            </w:pPr>
          </w:p>
        </w:tc>
        <w:tc>
          <w:tcPr>
            <w:tcW w:w="1092" w:type="pct"/>
            <w:vMerge/>
            <w:tcMar>
              <w:top w:w="72" w:type="dxa"/>
              <w:left w:w="144" w:type="dxa"/>
              <w:bottom w:w="72" w:type="dxa"/>
              <w:right w:w="144" w:type="dxa"/>
            </w:tcMar>
          </w:tcPr>
          <w:p w14:paraId="56A82B1A" w14:textId="77777777" w:rsidR="007E0EFC" w:rsidRPr="00547151" w:rsidRDefault="007E0EFC" w:rsidP="005013D8">
            <w:pPr>
              <w:rPr>
                <w:color w:val="000000"/>
                <w:sz w:val="16"/>
                <w:szCs w:val="16"/>
                <w:lang w:val="en-GB"/>
              </w:rPr>
            </w:pPr>
          </w:p>
        </w:tc>
        <w:tc>
          <w:tcPr>
            <w:tcW w:w="861" w:type="pct"/>
            <w:gridSpan w:val="2"/>
            <w:vMerge/>
          </w:tcPr>
          <w:p w14:paraId="0C8A6D46" w14:textId="77777777" w:rsidR="007E0EFC" w:rsidRPr="00547151" w:rsidRDefault="007E0EFC" w:rsidP="005013D8">
            <w:pPr>
              <w:rPr>
                <w:color w:val="000000"/>
                <w:sz w:val="16"/>
                <w:szCs w:val="16"/>
                <w:lang w:val="en-GB"/>
              </w:rPr>
            </w:pPr>
          </w:p>
        </w:tc>
        <w:tc>
          <w:tcPr>
            <w:tcW w:w="772" w:type="pct"/>
            <w:tcMar>
              <w:top w:w="15" w:type="dxa"/>
              <w:left w:w="108" w:type="dxa"/>
              <w:bottom w:w="0" w:type="dxa"/>
              <w:right w:w="108" w:type="dxa"/>
            </w:tcMar>
          </w:tcPr>
          <w:p w14:paraId="45351FE0" w14:textId="5E0C0A26" w:rsidR="007E0EFC" w:rsidRPr="009E6278" w:rsidRDefault="007E0EFC" w:rsidP="00423140">
            <w:pPr>
              <w:rPr>
                <w:b/>
                <w:color w:val="000000"/>
                <w:sz w:val="16"/>
                <w:szCs w:val="16"/>
                <w:lang w:val="en-GB"/>
              </w:rPr>
            </w:pPr>
            <w:r w:rsidRPr="009E6278">
              <w:rPr>
                <w:b/>
                <w:color w:val="000000"/>
                <w:sz w:val="16"/>
                <w:szCs w:val="16"/>
                <w:lang w:val="en-GB"/>
              </w:rPr>
              <w:t>Other</w:t>
            </w:r>
            <w:r w:rsidR="00995C56" w:rsidRPr="00547151">
              <w:rPr>
                <w:b/>
                <w:color w:val="000000"/>
                <w:sz w:val="16"/>
                <w:szCs w:val="16"/>
                <w:lang w:val="en-GB"/>
              </w:rPr>
              <w:t>:</w:t>
            </w:r>
            <w:r w:rsidR="001544A3" w:rsidRPr="009E6278">
              <w:rPr>
                <w:b/>
                <w:color w:val="000000"/>
                <w:sz w:val="16"/>
                <w:szCs w:val="16"/>
                <w:lang w:val="en-GB"/>
              </w:rPr>
              <w:t xml:space="preserve"> </w:t>
            </w:r>
            <w:r w:rsidR="00995C56" w:rsidRPr="00547151">
              <w:rPr>
                <w:b/>
                <w:color w:val="000000"/>
                <w:sz w:val="16"/>
                <w:szCs w:val="16"/>
                <w:lang w:val="en-GB"/>
              </w:rPr>
              <w:t>$</w:t>
            </w:r>
            <w:r w:rsidR="001544A3" w:rsidRPr="009E6278">
              <w:rPr>
                <w:b/>
                <w:color w:val="000000"/>
                <w:sz w:val="16"/>
                <w:szCs w:val="16"/>
                <w:lang w:val="en-GB"/>
              </w:rPr>
              <w:t>3</w:t>
            </w:r>
            <w:r w:rsidR="00653651" w:rsidRPr="009E6278">
              <w:rPr>
                <w:b/>
                <w:color w:val="000000"/>
                <w:sz w:val="16"/>
                <w:szCs w:val="16"/>
                <w:lang w:val="en-GB"/>
              </w:rPr>
              <w:t>7</w:t>
            </w:r>
            <w:r w:rsidR="001544A3" w:rsidRPr="009E6278">
              <w:rPr>
                <w:b/>
                <w:color w:val="000000"/>
                <w:sz w:val="16"/>
                <w:szCs w:val="16"/>
                <w:lang w:val="en-GB"/>
              </w:rPr>
              <w:t>.</w:t>
            </w:r>
            <w:r w:rsidR="00653651" w:rsidRPr="009E6278">
              <w:rPr>
                <w:b/>
                <w:color w:val="000000"/>
                <w:sz w:val="16"/>
                <w:szCs w:val="16"/>
                <w:lang w:val="en-GB"/>
              </w:rPr>
              <w:t>8</w:t>
            </w:r>
            <w:r w:rsidR="001544A3" w:rsidRPr="009E6278">
              <w:rPr>
                <w:b/>
                <w:color w:val="000000"/>
                <w:sz w:val="16"/>
                <w:szCs w:val="16"/>
                <w:lang w:val="en-GB"/>
              </w:rPr>
              <w:t xml:space="preserve"> million</w:t>
            </w:r>
          </w:p>
        </w:tc>
      </w:tr>
      <w:tr w:rsidR="007E0EFC" w:rsidRPr="00547151" w14:paraId="67D59EB4" w14:textId="77777777" w:rsidTr="00F358B4">
        <w:tc>
          <w:tcPr>
            <w:tcW w:w="5000" w:type="pct"/>
            <w:gridSpan w:val="6"/>
            <w:shd w:val="clear" w:color="auto" w:fill="DBE5F1" w:themeFill="accent1" w:themeFillTint="33"/>
            <w:tcMar>
              <w:top w:w="72" w:type="dxa"/>
              <w:left w:w="144" w:type="dxa"/>
              <w:bottom w:w="72" w:type="dxa"/>
              <w:right w:w="144" w:type="dxa"/>
            </w:tcMar>
          </w:tcPr>
          <w:p w14:paraId="63023C71" w14:textId="0EEE3AD6" w:rsidR="007E0EFC" w:rsidRPr="009E6278" w:rsidRDefault="007E0EFC" w:rsidP="005013D8">
            <w:pPr>
              <w:rPr>
                <w:color w:val="000000"/>
                <w:sz w:val="16"/>
                <w:szCs w:val="16"/>
                <w:lang w:val="en-GB"/>
              </w:rPr>
            </w:pPr>
            <w:r w:rsidRPr="00547151">
              <w:rPr>
                <w:b/>
                <w:bCs/>
                <w:color w:val="000000"/>
                <w:sz w:val="16"/>
                <w:szCs w:val="16"/>
                <w:lang w:val="en-GB"/>
              </w:rPr>
              <w:lastRenderedPageBreak/>
              <w:t xml:space="preserve">NATIONAL PRIORITY OR GOAL: </w:t>
            </w:r>
            <w:r w:rsidRPr="009E6278">
              <w:rPr>
                <w:b/>
                <w:color w:val="000000"/>
                <w:sz w:val="16"/>
                <w:szCs w:val="16"/>
                <w:lang w:val="en-GB"/>
              </w:rPr>
              <w:t>A</w:t>
            </w:r>
            <w:r w:rsidRPr="009E6278">
              <w:rPr>
                <w:b/>
                <w:color w:val="333333"/>
                <w:sz w:val="16"/>
                <w:szCs w:val="16"/>
                <w:lang w:val="en-GB"/>
              </w:rPr>
              <w:t xml:space="preserve"> globally competitive and prosperous country with a high quality of life by 2030</w:t>
            </w:r>
          </w:p>
        </w:tc>
      </w:tr>
      <w:tr w:rsidR="007E0EFC" w:rsidRPr="00547151" w14:paraId="51A44E9D" w14:textId="77777777" w:rsidTr="00F358B4">
        <w:tc>
          <w:tcPr>
            <w:tcW w:w="5000" w:type="pct"/>
            <w:gridSpan w:val="6"/>
            <w:shd w:val="clear" w:color="auto" w:fill="DBE5F1" w:themeFill="accent1" w:themeFillTint="33"/>
            <w:tcMar>
              <w:top w:w="72" w:type="dxa"/>
              <w:left w:w="144" w:type="dxa"/>
              <w:bottom w:w="72" w:type="dxa"/>
              <w:right w:w="144" w:type="dxa"/>
            </w:tcMar>
          </w:tcPr>
          <w:p w14:paraId="09364F90" w14:textId="32D90659" w:rsidR="007E0EFC" w:rsidRPr="009E6278" w:rsidRDefault="007E0EFC" w:rsidP="005013D8">
            <w:pPr>
              <w:rPr>
                <w:b/>
                <w:bCs/>
                <w:sz w:val="16"/>
                <w:szCs w:val="16"/>
                <w:lang w:val="en-GB"/>
              </w:rPr>
            </w:pPr>
            <w:r w:rsidRPr="00547151">
              <w:rPr>
                <w:b/>
                <w:bCs/>
                <w:color w:val="000000"/>
                <w:sz w:val="16"/>
                <w:szCs w:val="16"/>
                <w:lang w:val="en-GB"/>
              </w:rPr>
              <w:t>2.1</w:t>
            </w:r>
            <w:r w:rsidR="00E778EE" w:rsidRPr="00547151">
              <w:rPr>
                <w:b/>
                <w:bCs/>
                <w:color w:val="000000"/>
                <w:sz w:val="16"/>
                <w:szCs w:val="16"/>
                <w:lang w:val="en-GB"/>
              </w:rPr>
              <w:t>.</w:t>
            </w:r>
            <w:r w:rsidRPr="00547151">
              <w:rPr>
                <w:b/>
                <w:bCs/>
                <w:color w:val="000000"/>
                <w:sz w:val="16"/>
                <w:szCs w:val="16"/>
                <w:lang w:val="en-GB"/>
              </w:rPr>
              <w:t xml:space="preserve"> COOPERATION FRAMEWORK (OR EQUIVALENT) OUTCOME INVOLVING UNDP </w:t>
            </w:r>
            <w:r w:rsidR="00E778EE" w:rsidRPr="00547151">
              <w:rPr>
                <w:b/>
                <w:bCs/>
                <w:color w:val="000000"/>
                <w:sz w:val="16"/>
                <w:szCs w:val="16"/>
                <w:lang w:val="en-GB"/>
              </w:rPr>
              <w:t xml:space="preserve">No. </w:t>
            </w:r>
            <w:r w:rsidRPr="00547151">
              <w:rPr>
                <w:b/>
                <w:bCs/>
                <w:color w:val="000000"/>
                <w:sz w:val="16"/>
                <w:szCs w:val="16"/>
                <w:lang w:val="en-GB"/>
              </w:rPr>
              <w:t>2</w:t>
            </w:r>
            <w:r w:rsidR="00E778EE" w:rsidRPr="00547151">
              <w:rPr>
                <w:b/>
                <w:bCs/>
                <w:color w:val="000000"/>
                <w:sz w:val="16"/>
                <w:szCs w:val="16"/>
                <w:lang w:val="en-GB"/>
              </w:rPr>
              <w:t>.</w:t>
            </w:r>
            <w:r w:rsidRPr="00547151">
              <w:rPr>
                <w:color w:val="000000"/>
                <w:sz w:val="16"/>
                <w:szCs w:val="16"/>
                <w:lang w:val="en-GB"/>
              </w:rPr>
              <w:t xml:space="preserve">  </w:t>
            </w:r>
            <w:r w:rsidRPr="009E6278">
              <w:rPr>
                <w:b/>
                <w:bCs/>
                <w:sz w:val="16"/>
                <w:szCs w:val="16"/>
                <w:lang w:val="en-GB"/>
              </w:rPr>
              <w:t xml:space="preserve">By 2026, people in Kenya at risk of being left behind </w:t>
            </w:r>
            <w:r w:rsidR="009540D9" w:rsidRPr="00547151">
              <w:rPr>
                <w:b/>
                <w:bCs/>
                <w:sz w:val="16"/>
                <w:szCs w:val="16"/>
                <w:lang w:val="en-GB"/>
              </w:rPr>
              <w:t>–</w:t>
            </w:r>
            <w:r w:rsidRPr="009E6278">
              <w:rPr>
                <w:b/>
                <w:bCs/>
                <w:sz w:val="16"/>
                <w:szCs w:val="16"/>
                <w:lang w:val="en-GB"/>
              </w:rPr>
              <w:t xml:space="preserve"> particularly in the ASAL counties, informal urban settlements, all women and girls, all children and youth</w:t>
            </w:r>
            <w:r w:rsidR="009540D9" w:rsidRPr="00547151">
              <w:rPr>
                <w:b/>
                <w:bCs/>
                <w:sz w:val="16"/>
                <w:szCs w:val="16"/>
                <w:lang w:val="en-GB"/>
              </w:rPr>
              <w:t xml:space="preserve"> –</w:t>
            </w:r>
            <w:r w:rsidRPr="009E6278">
              <w:rPr>
                <w:b/>
                <w:bCs/>
                <w:sz w:val="16"/>
                <w:szCs w:val="16"/>
                <w:lang w:val="en-GB"/>
              </w:rPr>
              <w:t xml:space="preserve"> derive benefit from inclusive, sustainable, diversified and environmentally/climate-sensitive quality livelihoods with decent work in the sector economies</w:t>
            </w:r>
            <w:r w:rsidR="009540D9" w:rsidRPr="00547151">
              <w:rPr>
                <w:b/>
                <w:bCs/>
                <w:sz w:val="16"/>
                <w:szCs w:val="16"/>
                <w:lang w:val="en-GB"/>
              </w:rPr>
              <w:t>,</w:t>
            </w:r>
            <w:r w:rsidRPr="009E6278">
              <w:rPr>
                <w:b/>
                <w:bCs/>
                <w:sz w:val="16"/>
                <w:szCs w:val="16"/>
                <w:lang w:val="en-GB"/>
              </w:rPr>
              <w:t xml:space="preserve"> and realize growth that is resilient, green, and equitable</w:t>
            </w:r>
          </w:p>
          <w:p w14:paraId="0396F792" w14:textId="77777777" w:rsidR="007E0EFC" w:rsidRPr="009E6278" w:rsidRDefault="007E0EFC" w:rsidP="005013D8">
            <w:pPr>
              <w:rPr>
                <w:color w:val="000000"/>
                <w:sz w:val="16"/>
                <w:szCs w:val="16"/>
                <w:lang w:val="en-GB"/>
              </w:rPr>
            </w:pPr>
            <w:r w:rsidRPr="009E6278">
              <w:rPr>
                <w:b/>
                <w:sz w:val="16"/>
                <w:szCs w:val="16"/>
                <w:lang w:val="en-GB"/>
              </w:rPr>
              <w:t>SDGs 5, 6, 7, 8, 9, 11, 12, 13, 14</w:t>
            </w:r>
          </w:p>
        </w:tc>
      </w:tr>
      <w:tr w:rsidR="007E0EFC" w:rsidRPr="00547151" w14:paraId="7ABA78D3" w14:textId="77777777" w:rsidTr="00F358B4">
        <w:tc>
          <w:tcPr>
            <w:tcW w:w="5000" w:type="pct"/>
            <w:gridSpan w:val="6"/>
            <w:shd w:val="clear" w:color="auto" w:fill="DBE5F1" w:themeFill="accent1" w:themeFillTint="33"/>
            <w:tcMar>
              <w:top w:w="72" w:type="dxa"/>
              <w:left w:w="144" w:type="dxa"/>
              <w:bottom w:w="72" w:type="dxa"/>
              <w:right w:w="144" w:type="dxa"/>
            </w:tcMar>
          </w:tcPr>
          <w:p w14:paraId="2768CE2E" w14:textId="6DD6B968" w:rsidR="007E0EFC" w:rsidRPr="00547151" w:rsidRDefault="007E0EFC">
            <w:pPr>
              <w:rPr>
                <w:b/>
                <w:bCs/>
                <w:color w:val="000000"/>
                <w:sz w:val="16"/>
                <w:szCs w:val="16"/>
                <w:lang w:val="en-GB"/>
              </w:rPr>
            </w:pPr>
            <w:r w:rsidRPr="00547151">
              <w:rPr>
                <w:b/>
                <w:bCs/>
                <w:color w:val="000000"/>
                <w:sz w:val="16"/>
                <w:szCs w:val="16"/>
                <w:lang w:val="en-GB"/>
              </w:rPr>
              <w:t>RELATED STRATEGIC PLAN OUTCOME</w:t>
            </w:r>
            <w:r w:rsidRPr="00547151">
              <w:rPr>
                <w:b/>
                <w:bCs/>
                <w:sz w:val="16"/>
                <w:szCs w:val="16"/>
                <w:lang w:val="en-GB"/>
              </w:rPr>
              <w:t xml:space="preserve"> 1</w:t>
            </w:r>
            <w:r w:rsidR="00E778EE" w:rsidRPr="00547151">
              <w:rPr>
                <w:b/>
                <w:bCs/>
                <w:sz w:val="16"/>
                <w:szCs w:val="16"/>
                <w:lang w:val="en-GB"/>
              </w:rPr>
              <w:t>.</w:t>
            </w:r>
            <w:r w:rsidRPr="00547151">
              <w:rPr>
                <w:sz w:val="16"/>
                <w:szCs w:val="16"/>
                <w:lang w:val="en-GB"/>
              </w:rPr>
              <w:t xml:space="preserve"> </w:t>
            </w:r>
            <w:r w:rsidRPr="009E6278">
              <w:rPr>
                <w:rFonts w:eastAsia="Calibri"/>
                <w:b/>
                <w:sz w:val="16"/>
                <w:szCs w:val="16"/>
                <w:lang w:val="en-GB"/>
              </w:rPr>
              <w:t xml:space="preserve">Structural transformation accelerated, particularly green, </w:t>
            </w:r>
            <w:r w:rsidRPr="009E6278">
              <w:rPr>
                <w:rFonts w:eastAsia="Calibri"/>
                <w:b/>
                <w:bCs/>
                <w:sz w:val="16"/>
                <w:szCs w:val="16"/>
                <w:lang w:val="en-GB"/>
              </w:rPr>
              <w:t>inclusive,</w:t>
            </w:r>
            <w:r w:rsidRPr="009E6278">
              <w:rPr>
                <w:rFonts w:eastAsia="Calibri"/>
                <w:b/>
                <w:sz w:val="16"/>
                <w:szCs w:val="16"/>
                <w:lang w:val="en-GB"/>
              </w:rPr>
              <w:t xml:space="preserve"> and digital transitions</w:t>
            </w:r>
            <w:r w:rsidRPr="00547151">
              <w:rPr>
                <w:sz w:val="16"/>
                <w:szCs w:val="16"/>
                <w:lang w:val="en-GB"/>
              </w:rPr>
              <w:t xml:space="preserve"> </w:t>
            </w:r>
          </w:p>
        </w:tc>
      </w:tr>
      <w:tr w:rsidR="007E0EFC" w:rsidRPr="00547151" w14:paraId="6DF69188" w14:textId="77777777" w:rsidTr="00F358B4">
        <w:tc>
          <w:tcPr>
            <w:tcW w:w="1097" w:type="pct"/>
            <w:vMerge w:val="restart"/>
            <w:tcMar>
              <w:top w:w="72" w:type="dxa"/>
              <w:left w:w="144" w:type="dxa"/>
              <w:bottom w:w="72" w:type="dxa"/>
              <w:right w:w="144" w:type="dxa"/>
            </w:tcMar>
          </w:tcPr>
          <w:p w14:paraId="0C7A07E8" w14:textId="59D0DACE" w:rsidR="007E0EFC" w:rsidRPr="009E6278" w:rsidRDefault="007E0EFC" w:rsidP="005013D8">
            <w:pPr>
              <w:rPr>
                <w:sz w:val="16"/>
                <w:szCs w:val="16"/>
                <w:lang w:val="en-GB"/>
              </w:rPr>
            </w:pPr>
            <w:r w:rsidRPr="009E6278">
              <w:rPr>
                <w:sz w:val="16"/>
                <w:szCs w:val="16"/>
                <w:lang w:val="en-GB"/>
              </w:rPr>
              <w:t>Proportion of men, women and children of all ages living in poverty in all its dimensions according to national definition</w:t>
            </w:r>
          </w:p>
          <w:p w14:paraId="408E0D9F" w14:textId="6193AD9C" w:rsidR="007E0EFC" w:rsidRPr="009E6278" w:rsidRDefault="007E0EFC" w:rsidP="005013D8">
            <w:pPr>
              <w:rPr>
                <w:sz w:val="16"/>
                <w:szCs w:val="16"/>
                <w:lang w:val="en-GB"/>
              </w:rPr>
            </w:pPr>
            <w:r w:rsidRPr="009E6278">
              <w:rPr>
                <w:b/>
                <w:bCs/>
                <w:sz w:val="16"/>
                <w:szCs w:val="16"/>
                <w:lang w:val="en-GB"/>
              </w:rPr>
              <w:t>Baseline</w:t>
            </w:r>
            <w:r w:rsidR="009540D9" w:rsidRPr="00547151">
              <w:rPr>
                <w:b/>
                <w:bCs/>
                <w:sz w:val="16"/>
                <w:szCs w:val="16"/>
                <w:lang w:val="en-GB"/>
              </w:rPr>
              <w:t>:</w:t>
            </w:r>
            <w:r w:rsidRPr="009E6278">
              <w:rPr>
                <w:sz w:val="16"/>
                <w:szCs w:val="16"/>
                <w:lang w:val="en-GB"/>
              </w:rPr>
              <w:t xml:space="preserve"> 53% (2020)</w:t>
            </w:r>
          </w:p>
          <w:p w14:paraId="51E1ADAE" w14:textId="33C4AD14" w:rsidR="009540D9" w:rsidRPr="00547151" w:rsidRDefault="007E0EFC" w:rsidP="005013D8">
            <w:pPr>
              <w:rPr>
                <w:sz w:val="16"/>
                <w:szCs w:val="16"/>
                <w:lang w:val="en-GB"/>
              </w:rPr>
            </w:pPr>
            <w:r w:rsidRPr="009E6278">
              <w:rPr>
                <w:sz w:val="16"/>
                <w:szCs w:val="16"/>
                <w:lang w:val="en-GB"/>
              </w:rPr>
              <w:t xml:space="preserve">52.0%  </w:t>
            </w:r>
            <w:r w:rsidR="009540D9" w:rsidRPr="00547151">
              <w:rPr>
                <w:sz w:val="16"/>
                <w:szCs w:val="16"/>
                <w:lang w:val="en-GB"/>
              </w:rPr>
              <w:t>m</w:t>
            </w:r>
            <w:r w:rsidRPr="009E6278">
              <w:rPr>
                <w:sz w:val="16"/>
                <w:szCs w:val="16"/>
                <w:lang w:val="en-GB"/>
              </w:rPr>
              <w:t>ale</w:t>
            </w:r>
            <w:r w:rsidR="009540D9" w:rsidRPr="00547151">
              <w:rPr>
                <w:sz w:val="16"/>
                <w:szCs w:val="16"/>
                <w:lang w:val="en-GB"/>
              </w:rPr>
              <w:t>;</w:t>
            </w:r>
            <w:r w:rsidRPr="009E6278">
              <w:rPr>
                <w:sz w:val="16"/>
                <w:szCs w:val="16"/>
                <w:lang w:val="en-GB"/>
              </w:rPr>
              <w:t xml:space="preserve"> 54.0% </w:t>
            </w:r>
            <w:r w:rsidR="009540D9" w:rsidRPr="00547151">
              <w:rPr>
                <w:sz w:val="16"/>
                <w:szCs w:val="16"/>
                <w:lang w:val="en-GB"/>
              </w:rPr>
              <w:t>f</w:t>
            </w:r>
            <w:r w:rsidRPr="009E6278">
              <w:rPr>
                <w:sz w:val="16"/>
                <w:szCs w:val="16"/>
                <w:lang w:val="en-GB"/>
              </w:rPr>
              <w:t>emale</w:t>
            </w:r>
            <w:r w:rsidR="009540D9" w:rsidRPr="00547151">
              <w:rPr>
                <w:sz w:val="16"/>
                <w:szCs w:val="16"/>
                <w:lang w:val="en-GB"/>
              </w:rPr>
              <w:t>;</w:t>
            </w:r>
          </w:p>
          <w:p w14:paraId="24AD6B66" w14:textId="361F2821" w:rsidR="007E0EFC" w:rsidRPr="009E6278" w:rsidRDefault="007E0EFC" w:rsidP="005013D8">
            <w:pPr>
              <w:rPr>
                <w:sz w:val="16"/>
                <w:szCs w:val="16"/>
                <w:lang w:val="en-GB"/>
              </w:rPr>
            </w:pPr>
            <w:r w:rsidRPr="009E6278">
              <w:rPr>
                <w:sz w:val="16"/>
                <w:szCs w:val="16"/>
                <w:lang w:val="en-GB"/>
              </w:rPr>
              <w:lastRenderedPageBreak/>
              <w:t>48% children</w:t>
            </w:r>
            <w:r w:rsidR="009540D9" w:rsidRPr="00547151">
              <w:rPr>
                <w:sz w:val="16"/>
                <w:szCs w:val="16"/>
                <w:lang w:val="en-GB"/>
              </w:rPr>
              <w:t xml:space="preserve">; </w:t>
            </w:r>
            <w:r w:rsidRPr="009E6278">
              <w:rPr>
                <w:sz w:val="16"/>
                <w:szCs w:val="16"/>
                <w:lang w:val="en-GB"/>
              </w:rPr>
              <w:t xml:space="preserve">52% adults </w:t>
            </w:r>
          </w:p>
          <w:p w14:paraId="2BFDEB58" w14:textId="77777777" w:rsidR="007E0EFC" w:rsidRPr="009E6278" w:rsidRDefault="007E0EFC" w:rsidP="005013D8">
            <w:pPr>
              <w:rPr>
                <w:sz w:val="16"/>
                <w:szCs w:val="16"/>
                <w:lang w:val="en-GB"/>
              </w:rPr>
            </w:pPr>
            <w:r w:rsidRPr="009E6278">
              <w:rPr>
                <w:sz w:val="16"/>
                <w:szCs w:val="16"/>
                <w:lang w:val="en-GB"/>
              </w:rPr>
              <w:t xml:space="preserve">Target: 28% </w:t>
            </w:r>
          </w:p>
          <w:p w14:paraId="473A46CA" w14:textId="77777777" w:rsidR="007E0EFC" w:rsidRPr="009E6278" w:rsidRDefault="007E0EFC" w:rsidP="005013D8">
            <w:pPr>
              <w:rPr>
                <w:sz w:val="16"/>
                <w:szCs w:val="16"/>
                <w:lang w:val="en-GB"/>
              </w:rPr>
            </w:pPr>
          </w:p>
          <w:p w14:paraId="21BA9996" w14:textId="77777777" w:rsidR="007E0EFC" w:rsidRPr="009E6278" w:rsidRDefault="007E0EFC" w:rsidP="005013D8">
            <w:pPr>
              <w:rPr>
                <w:sz w:val="16"/>
                <w:szCs w:val="16"/>
                <w:lang w:val="en-GB"/>
              </w:rPr>
            </w:pPr>
          </w:p>
          <w:p w14:paraId="0EA2E00B" w14:textId="6453419E" w:rsidR="007E0EFC" w:rsidRPr="009E6278" w:rsidRDefault="007E0EFC" w:rsidP="005013D8">
            <w:pPr>
              <w:rPr>
                <w:sz w:val="16"/>
                <w:szCs w:val="16"/>
                <w:lang w:val="en-GB"/>
              </w:rPr>
            </w:pPr>
            <w:r w:rsidRPr="009E6278">
              <w:rPr>
                <w:sz w:val="16"/>
                <w:szCs w:val="16"/>
                <w:lang w:val="en-GB"/>
              </w:rPr>
              <w:t xml:space="preserve">Employment in formal and informal sectors </w:t>
            </w:r>
          </w:p>
          <w:p w14:paraId="1979C397" w14:textId="1C450A06" w:rsidR="007E0EFC" w:rsidRPr="009E6278" w:rsidRDefault="007E0EFC" w:rsidP="005013D8">
            <w:pPr>
              <w:rPr>
                <w:b/>
                <w:bCs/>
                <w:sz w:val="16"/>
                <w:szCs w:val="16"/>
                <w:lang w:val="en-GB"/>
              </w:rPr>
            </w:pPr>
            <w:r w:rsidRPr="009E6278">
              <w:rPr>
                <w:b/>
                <w:bCs/>
                <w:sz w:val="16"/>
                <w:szCs w:val="16"/>
                <w:lang w:val="en-GB"/>
              </w:rPr>
              <w:t>Baseline</w:t>
            </w:r>
            <w:r w:rsidR="009540D9" w:rsidRPr="00547151">
              <w:rPr>
                <w:b/>
                <w:bCs/>
                <w:sz w:val="16"/>
                <w:szCs w:val="16"/>
                <w:lang w:val="en-GB"/>
              </w:rPr>
              <w:t>:</w:t>
            </w:r>
            <w:r w:rsidRPr="009E6278">
              <w:rPr>
                <w:b/>
                <w:bCs/>
                <w:sz w:val="16"/>
                <w:szCs w:val="16"/>
                <w:lang w:val="en-GB"/>
              </w:rPr>
              <w:t xml:space="preserve"> </w:t>
            </w:r>
          </w:p>
          <w:p w14:paraId="6F51372B" w14:textId="77777777" w:rsidR="007E0EFC" w:rsidRPr="009E6278" w:rsidRDefault="007E0EFC" w:rsidP="005013D8">
            <w:pPr>
              <w:rPr>
                <w:sz w:val="16"/>
                <w:szCs w:val="16"/>
                <w:lang w:val="en-GB"/>
              </w:rPr>
            </w:pPr>
            <w:r w:rsidRPr="009E6278">
              <w:rPr>
                <w:sz w:val="16"/>
                <w:szCs w:val="16"/>
                <w:lang w:val="en-GB"/>
              </w:rPr>
              <w:t xml:space="preserve">17% formal (KNBS 2020) </w:t>
            </w:r>
          </w:p>
          <w:p w14:paraId="19BE591F" w14:textId="77777777" w:rsidR="007E0EFC" w:rsidRPr="009E6278" w:rsidRDefault="007E0EFC" w:rsidP="005013D8">
            <w:pPr>
              <w:rPr>
                <w:sz w:val="16"/>
                <w:szCs w:val="16"/>
                <w:lang w:val="en-GB"/>
              </w:rPr>
            </w:pPr>
            <w:r w:rsidRPr="009E6278">
              <w:rPr>
                <w:sz w:val="16"/>
                <w:szCs w:val="16"/>
                <w:lang w:val="en-GB"/>
              </w:rPr>
              <w:t xml:space="preserve">83% informal </w:t>
            </w:r>
          </w:p>
          <w:p w14:paraId="366DAE56" w14:textId="1F9E4386" w:rsidR="007E0EFC" w:rsidRPr="009E6278" w:rsidRDefault="007E0EFC" w:rsidP="005013D8">
            <w:pPr>
              <w:rPr>
                <w:b/>
                <w:bCs/>
                <w:sz w:val="16"/>
                <w:szCs w:val="16"/>
                <w:lang w:val="en-GB"/>
              </w:rPr>
            </w:pPr>
            <w:r w:rsidRPr="009E6278">
              <w:rPr>
                <w:b/>
                <w:bCs/>
                <w:sz w:val="16"/>
                <w:szCs w:val="16"/>
                <w:lang w:val="en-GB"/>
              </w:rPr>
              <w:t>Target</w:t>
            </w:r>
            <w:r w:rsidR="009540D9" w:rsidRPr="00547151">
              <w:rPr>
                <w:b/>
                <w:bCs/>
                <w:sz w:val="16"/>
                <w:szCs w:val="16"/>
                <w:lang w:val="en-GB"/>
              </w:rPr>
              <w:t>:</w:t>
            </w:r>
          </w:p>
          <w:p w14:paraId="28C5FC4D" w14:textId="77777777" w:rsidR="007E0EFC" w:rsidRPr="009E6278" w:rsidRDefault="007E0EFC" w:rsidP="005013D8">
            <w:pPr>
              <w:rPr>
                <w:sz w:val="16"/>
                <w:szCs w:val="16"/>
                <w:lang w:val="en-GB"/>
              </w:rPr>
            </w:pPr>
            <w:r w:rsidRPr="009E6278">
              <w:rPr>
                <w:sz w:val="16"/>
                <w:szCs w:val="16"/>
                <w:lang w:val="en-GB"/>
              </w:rPr>
              <w:t xml:space="preserve">Formal 25% </w:t>
            </w:r>
          </w:p>
          <w:p w14:paraId="4E6CCE65" w14:textId="77777777" w:rsidR="007E0EFC" w:rsidRPr="009E6278" w:rsidRDefault="007E0EFC" w:rsidP="005013D8">
            <w:pPr>
              <w:rPr>
                <w:sz w:val="16"/>
                <w:szCs w:val="16"/>
                <w:lang w:val="en-GB"/>
              </w:rPr>
            </w:pPr>
            <w:r w:rsidRPr="009E6278">
              <w:rPr>
                <w:sz w:val="16"/>
                <w:szCs w:val="16"/>
                <w:lang w:val="en-GB"/>
              </w:rPr>
              <w:t xml:space="preserve">Informal 75% </w:t>
            </w:r>
          </w:p>
          <w:p w14:paraId="3F36C9EA" w14:textId="77777777" w:rsidR="007E0EFC" w:rsidRPr="009E6278" w:rsidRDefault="007E0EFC" w:rsidP="005013D8">
            <w:pPr>
              <w:rPr>
                <w:sz w:val="16"/>
                <w:szCs w:val="16"/>
                <w:lang w:val="en-GB"/>
              </w:rPr>
            </w:pPr>
          </w:p>
          <w:p w14:paraId="33ECEBF4" w14:textId="77777777" w:rsidR="007E0EFC" w:rsidRPr="009E6278" w:rsidRDefault="007E0EFC" w:rsidP="005013D8">
            <w:pPr>
              <w:rPr>
                <w:sz w:val="16"/>
                <w:szCs w:val="16"/>
                <w:lang w:val="en-GB"/>
              </w:rPr>
            </w:pPr>
          </w:p>
          <w:p w14:paraId="2324B03B" w14:textId="77777777" w:rsidR="007E0EFC" w:rsidRPr="009E6278" w:rsidRDefault="007E0EFC" w:rsidP="005013D8">
            <w:pPr>
              <w:rPr>
                <w:sz w:val="16"/>
                <w:szCs w:val="16"/>
                <w:lang w:val="en-GB"/>
              </w:rPr>
            </w:pPr>
            <w:r w:rsidRPr="009E6278">
              <w:rPr>
                <w:sz w:val="16"/>
                <w:szCs w:val="16"/>
                <w:lang w:val="en-GB"/>
              </w:rPr>
              <w:t xml:space="preserve">Kenya ranking in Green Growth Index for Africa. </w:t>
            </w:r>
          </w:p>
          <w:p w14:paraId="15914020" w14:textId="77777777" w:rsidR="009540D9" w:rsidRPr="00547151" w:rsidRDefault="007E0EFC" w:rsidP="005013D8">
            <w:pPr>
              <w:rPr>
                <w:sz w:val="16"/>
                <w:szCs w:val="16"/>
                <w:lang w:val="en-GB"/>
              </w:rPr>
            </w:pPr>
            <w:r w:rsidRPr="009E6278">
              <w:rPr>
                <w:b/>
                <w:bCs/>
                <w:sz w:val="16"/>
                <w:szCs w:val="16"/>
                <w:lang w:val="en-GB"/>
              </w:rPr>
              <w:t>Baseline:</w:t>
            </w:r>
            <w:r w:rsidRPr="009E6278">
              <w:rPr>
                <w:sz w:val="16"/>
                <w:szCs w:val="16"/>
                <w:lang w:val="en-GB"/>
              </w:rPr>
              <w:t xml:space="preserve"> </w:t>
            </w:r>
          </w:p>
          <w:p w14:paraId="518990F0" w14:textId="0055DA4E" w:rsidR="007E0EFC" w:rsidRPr="009E6278" w:rsidRDefault="007E0EFC" w:rsidP="005013D8">
            <w:pPr>
              <w:rPr>
                <w:sz w:val="16"/>
                <w:szCs w:val="16"/>
                <w:lang w:val="en-GB"/>
              </w:rPr>
            </w:pPr>
            <w:r w:rsidRPr="009E6278">
              <w:rPr>
                <w:sz w:val="16"/>
                <w:szCs w:val="16"/>
                <w:lang w:val="en-GB"/>
              </w:rPr>
              <w:t>14</w:t>
            </w:r>
            <w:r w:rsidR="004A6F90" w:rsidRPr="009E6278">
              <w:rPr>
                <w:sz w:val="16"/>
                <w:szCs w:val="16"/>
                <w:lang w:val="en-GB"/>
              </w:rPr>
              <w:t>th</w:t>
            </w:r>
            <w:r w:rsidRPr="009E6278">
              <w:rPr>
                <w:sz w:val="16"/>
                <w:szCs w:val="16"/>
                <w:lang w:val="en-GB"/>
              </w:rPr>
              <w:t xml:space="preserve"> in Africa (2019</w:t>
            </w:r>
            <w:r w:rsidR="004A6F90" w:rsidRPr="009E6278">
              <w:rPr>
                <w:sz w:val="16"/>
                <w:szCs w:val="16"/>
                <w:lang w:val="en-GB"/>
              </w:rPr>
              <w:t>)</w:t>
            </w:r>
            <w:r w:rsidRPr="009E6278">
              <w:rPr>
                <w:sz w:val="16"/>
                <w:szCs w:val="16"/>
                <w:lang w:val="en-GB"/>
              </w:rPr>
              <w:t xml:space="preserve"> Green Growth Index</w:t>
            </w:r>
            <w:r w:rsidR="004A6F90" w:rsidRPr="009E6278">
              <w:rPr>
                <w:sz w:val="16"/>
                <w:szCs w:val="16"/>
                <w:lang w:val="en-GB"/>
              </w:rPr>
              <w:t xml:space="preserve"> </w:t>
            </w:r>
          </w:p>
          <w:p w14:paraId="78A48B2B" w14:textId="77777777" w:rsidR="009540D9" w:rsidRPr="00547151" w:rsidRDefault="007E0EFC" w:rsidP="00451802">
            <w:pPr>
              <w:rPr>
                <w:sz w:val="16"/>
                <w:szCs w:val="16"/>
                <w:lang w:val="en-GB"/>
              </w:rPr>
            </w:pPr>
            <w:r w:rsidRPr="009E6278">
              <w:rPr>
                <w:b/>
                <w:bCs/>
                <w:sz w:val="16"/>
                <w:szCs w:val="16"/>
                <w:lang w:val="en-GB"/>
              </w:rPr>
              <w:t>Target:</w:t>
            </w:r>
            <w:r w:rsidRPr="009E6278">
              <w:rPr>
                <w:sz w:val="16"/>
                <w:szCs w:val="16"/>
                <w:lang w:val="en-GB"/>
              </w:rPr>
              <w:t xml:space="preserve"> </w:t>
            </w:r>
          </w:p>
          <w:p w14:paraId="258A284C" w14:textId="5FA270C8" w:rsidR="007E0EFC" w:rsidRPr="009E6278" w:rsidRDefault="007E0EFC" w:rsidP="00451802">
            <w:pPr>
              <w:rPr>
                <w:sz w:val="16"/>
                <w:szCs w:val="16"/>
                <w:lang w:val="en-GB"/>
              </w:rPr>
            </w:pPr>
            <w:r w:rsidRPr="009E6278">
              <w:rPr>
                <w:sz w:val="16"/>
                <w:szCs w:val="16"/>
                <w:lang w:val="en-GB"/>
              </w:rPr>
              <w:t>11</w:t>
            </w:r>
            <w:r w:rsidR="004E32EA" w:rsidRPr="009E6278">
              <w:rPr>
                <w:sz w:val="16"/>
                <w:szCs w:val="16"/>
                <w:vertAlign w:val="superscript"/>
                <w:lang w:val="en-GB"/>
              </w:rPr>
              <w:t>th</w:t>
            </w:r>
            <w:r w:rsidR="009540D9" w:rsidRPr="00547151">
              <w:rPr>
                <w:sz w:val="16"/>
                <w:szCs w:val="16"/>
                <w:lang w:val="en-GB"/>
              </w:rPr>
              <w:t xml:space="preserve"> in Index</w:t>
            </w:r>
          </w:p>
        </w:tc>
        <w:tc>
          <w:tcPr>
            <w:tcW w:w="1178" w:type="pct"/>
            <w:vMerge w:val="restart"/>
          </w:tcPr>
          <w:p w14:paraId="4038AEAC" w14:textId="69093D1D" w:rsidR="007E0EFC" w:rsidRPr="00547151" w:rsidRDefault="007E0EFC" w:rsidP="005013D8">
            <w:pPr>
              <w:rPr>
                <w:sz w:val="16"/>
                <w:szCs w:val="16"/>
                <w:lang w:val="en-GB"/>
              </w:rPr>
            </w:pPr>
            <w:r w:rsidRPr="00547151">
              <w:rPr>
                <w:b/>
                <w:bCs/>
                <w:sz w:val="16"/>
                <w:szCs w:val="16"/>
                <w:lang w:val="en-GB"/>
              </w:rPr>
              <w:lastRenderedPageBreak/>
              <w:t xml:space="preserve">Data </w:t>
            </w:r>
            <w:r w:rsidR="00E778EE" w:rsidRPr="00547151">
              <w:rPr>
                <w:b/>
                <w:bCs/>
                <w:sz w:val="16"/>
                <w:szCs w:val="16"/>
                <w:lang w:val="en-GB"/>
              </w:rPr>
              <w:t>s</w:t>
            </w:r>
            <w:r w:rsidRPr="00547151">
              <w:rPr>
                <w:b/>
                <w:bCs/>
                <w:sz w:val="16"/>
                <w:szCs w:val="16"/>
                <w:lang w:val="en-GB"/>
              </w:rPr>
              <w:t>ource</w:t>
            </w:r>
            <w:r w:rsidRPr="00547151">
              <w:rPr>
                <w:sz w:val="16"/>
                <w:szCs w:val="16"/>
                <w:lang w:val="en-GB"/>
              </w:rPr>
              <w:t xml:space="preserve">: </w:t>
            </w:r>
            <w:r w:rsidR="0060688F" w:rsidRPr="00547151">
              <w:rPr>
                <w:color w:val="000000"/>
                <w:sz w:val="16"/>
                <w:szCs w:val="16"/>
                <w:lang w:val="en-GB"/>
              </w:rPr>
              <w:t>KNBS</w:t>
            </w:r>
          </w:p>
          <w:p w14:paraId="5991C5C3" w14:textId="77777777" w:rsidR="007E0EFC" w:rsidRPr="00547151" w:rsidRDefault="007E0EFC" w:rsidP="005013D8">
            <w:pPr>
              <w:rPr>
                <w:sz w:val="16"/>
                <w:szCs w:val="16"/>
                <w:lang w:val="en-GB"/>
              </w:rPr>
            </w:pPr>
            <w:r w:rsidRPr="00547151">
              <w:rPr>
                <w:b/>
                <w:bCs/>
                <w:sz w:val="16"/>
                <w:szCs w:val="16"/>
                <w:lang w:val="en-GB"/>
              </w:rPr>
              <w:t>Frequency</w:t>
            </w:r>
            <w:r w:rsidRPr="00547151">
              <w:rPr>
                <w:sz w:val="16"/>
                <w:szCs w:val="16"/>
                <w:lang w:val="en-GB"/>
              </w:rPr>
              <w:t xml:space="preserve">: Annual </w:t>
            </w:r>
          </w:p>
          <w:p w14:paraId="485CBC68" w14:textId="7F53D7A1" w:rsidR="007E0EFC" w:rsidRPr="00547151" w:rsidRDefault="007E0EFC" w:rsidP="005013D8">
            <w:pPr>
              <w:rPr>
                <w:sz w:val="16"/>
                <w:szCs w:val="16"/>
                <w:lang w:val="en-GB"/>
              </w:rPr>
            </w:pPr>
            <w:r w:rsidRPr="00547151">
              <w:rPr>
                <w:b/>
                <w:bCs/>
                <w:sz w:val="16"/>
                <w:szCs w:val="16"/>
                <w:lang w:val="en-GB"/>
              </w:rPr>
              <w:t>Responsibility</w:t>
            </w:r>
            <w:r w:rsidRPr="00547151">
              <w:rPr>
                <w:sz w:val="16"/>
                <w:szCs w:val="16"/>
                <w:lang w:val="en-GB"/>
              </w:rPr>
              <w:t xml:space="preserve">: </w:t>
            </w:r>
            <w:r w:rsidR="00E05B34">
              <w:rPr>
                <w:sz w:val="16"/>
                <w:szCs w:val="16"/>
                <w:lang w:val="en-GB"/>
              </w:rPr>
              <w:t>State Department of Planning (</w:t>
            </w:r>
            <w:r w:rsidRPr="00547151">
              <w:rPr>
                <w:sz w:val="16"/>
                <w:szCs w:val="16"/>
                <w:lang w:val="en-GB"/>
              </w:rPr>
              <w:t>S</w:t>
            </w:r>
            <w:r w:rsidR="00367D98" w:rsidRPr="00547151">
              <w:rPr>
                <w:sz w:val="16"/>
                <w:szCs w:val="16"/>
                <w:lang w:val="en-GB"/>
              </w:rPr>
              <w:t>DP</w:t>
            </w:r>
            <w:r w:rsidR="00E05B34">
              <w:rPr>
                <w:sz w:val="16"/>
                <w:szCs w:val="16"/>
                <w:lang w:val="en-GB"/>
              </w:rPr>
              <w:t>)</w:t>
            </w:r>
          </w:p>
          <w:p w14:paraId="28B4B135" w14:textId="77777777" w:rsidR="007E0EFC" w:rsidRPr="00547151" w:rsidRDefault="007E0EFC" w:rsidP="005013D8">
            <w:pPr>
              <w:rPr>
                <w:sz w:val="16"/>
                <w:szCs w:val="16"/>
                <w:lang w:val="en-GB"/>
              </w:rPr>
            </w:pPr>
          </w:p>
          <w:p w14:paraId="36FF0669" w14:textId="77777777" w:rsidR="007E0EFC" w:rsidRPr="00547151" w:rsidRDefault="007E0EFC" w:rsidP="005013D8">
            <w:pPr>
              <w:rPr>
                <w:sz w:val="16"/>
                <w:szCs w:val="16"/>
                <w:lang w:val="en-GB"/>
              </w:rPr>
            </w:pPr>
          </w:p>
          <w:p w14:paraId="70A5C0E9" w14:textId="77777777" w:rsidR="007E0EFC" w:rsidRPr="00547151" w:rsidRDefault="007E0EFC" w:rsidP="005013D8">
            <w:pPr>
              <w:rPr>
                <w:sz w:val="16"/>
                <w:szCs w:val="16"/>
                <w:lang w:val="en-GB"/>
              </w:rPr>
            </w:pPr>
          </w:p>
          <w:p w14:paraId="21E69186" w14:textId="77777777" w:rsidR="007E0EFC" w:rsidRPr="00547151" w:rsidRDefault="007E0EFC" w:rsidP="005013D8">
            <w:pPr>
              <w:rPr>
                <w:sz w:val="16"/>
                <w:szCs w:val="16"/>
                <w:lang w:val="en-GB"/>
              </w:rPr>
            </w:pPr>
          </w:p>
          <w:p w14:paraId="2569844B" w14:textId="77777777" w:rsidR="007E0EFC" w:rsidRPr="00547151" w:rsidRDefault="007E0EFC" w:rsidP="005013D8">
            <w:pPr>
              <w:rPr>
                <w:sz w:val="16"/>
                <w:szCs w:val="16"/>
                <w:lang w:val="en-GB"/>
              </w:rPr>
            </w:pPr>
          </w:p>
          <w:p w14:paraId="5C04F714" w14:textId="77777777" w:rsidR="007E0EFC" w:rsidRPr="00547151" w:rsidRDefault="007E0EFC" w:rsidP="005013D8">
            <w:pPr>
              <w:rPr>
                <w:sz w:val="16"/>
                <w:szCs w:val="16"/>
                <w:lang w:val="en-GB"/>
              </w:rPr>
            </w:pPr>
          </w:p>
          <w:p w14:paraId="45879F32" w14:textId="77777777" w:rsidR="007E0EFC" w:rsidRPr="00547151" w:rsidRDefault="007E0EFC" w:rsidP="005013D8">
            <w:pPr>
              <w:rPr>
                <w:sz w:val="16"/>
                <w:szCs w:val="16"/>
                <w:lang w:val="en-GB"/>
              </w:rPr>
            </w:pPr>
          </w:p>
          <w:p w14:paraId="7EF30E56" w14:textId="77777777" w:rsidR="007E0EFC" w:rsidRPr="00547151" w:rsidRDefault="007E0EFC" w:rsidP="005013D8">
            <w:pPr>
              <w:rPr>
                <w:sz w:val="16"/>
                <w:szCs w:val="16"/>
                <w:lang w:val="en-GB"/>
              </w:rPr>
            </w:pPr>
          </w:p>
          <w:p w14:paraId="4D79FCE4" w14:textId="77777777" w:rsidR="007E0EFC" w:rsidRPr="00547151" w:rsidRDefault="007E0EFC" w:rsidP="005013D8">
            <w:pPr>
              <w:rPr>
                <w:sz w:val="16"/>
                <w:szCs w:val="16"/>
                <w:lang w:val="en-GB"/>
              </w:rPr>
            </w:pPr>
          </w:p>
          <w:p w14:paraId="5BE79636" w14:textId="77777777" w:rsidR="007E0EFC" w:rsidRPr="00547151" w:rsidRDefault="007E0EFC" w:rsidP="005013D8">
            <w:pPr>
              <w:rPr>
                <w:sz w:val="16"/>
                <w:szCs w:val="16"/>
                <w:lang w:val="en-GB"/>
              </w:rPr>
            </w:pPr>
          </w:p>
          <w:p w14:paraId="5E7A7839" w14:textId="77777777" w:rsidR="007E0EFC" w:rsidRPr="00547151" w:rsidRDefault="007E0EFC" w:rsidP="005013D8">
            <w:pPr>
              <w:rPr>
                <w:b/>
                <w:bCs/>
                <w:sz w:val="16"/>
                <w:szCs w:val="16"/>
                <w:lang w:val="en-GB"/>
              </w:rPr>
            </w:pPr>
          </w:p>
          <w:p w14:paraId="1B62FE0C" w14:textId="77777777" w:rsidR="007E0EFC" w:rsidRPr="00547151" w:rsidRDefault="007E0EFC" w:rsidP="005013D8">
            <w:pPr>
              <w:rPr>
                <w:b/>
                <w:bCs/>
                <w:sz w:val="16"/>
                <w:szCs w:val="16"/>
                <w:lang w:val="en-GB"/>
              </w:rPr>
            </w:pPr>
          </w:p>
          <w:p w14:paraId="3FB8D5F2" w14:textId="77777777" w:rsidR="007E0EFC" w:rsidRPr="00547151" w:rsidRDefault="007E0EFC" w:rsidP="005013D8">
            <w:pPr>
              <w:rPr>
                <w:b/>
                <w:bCs/>
                <w:sz w:val="16"/>
                <w:szCs w:val="16"/>
                <w:lang w:val="en-GB"/>
              </w:rPr>
            </w:pPr>
          </w:p>
          <w:p w14:paraId="30F4789C" w14:textId="77777777" w:rsidR="007E0EFC" w:rsidRPr="00547151" w:rsidRDefault="007E0EFC" w:rsidP="005013D8">
            <w:pPr>
              <w:rPr>
                <w:b/>
                <w:bCs/>
                <w:sz w:val="16"/>
                <w:szCs w:val="16"/>
                <w:lang w:val="en-GB"/>
              </w:rPr>
            </w:pPr>
          </w:p>
          <w:p w14:paraId="2DC3CE64" w14:textId="77777777" w:rsidR="007E0EFC" w:rsidRPr="00547151" w:rsidRDefault="007E0EFC" w:rsidP="005013D8">
            <w:pPr>
              <w:rPr>
                <w:b/>
                <w:bCs/>
                <w:sz w:val="16"/>
                <w:szCs w:val="16"/>
                <w:lang w:val="en-GB"/>
              </w:rPr>
            </w:pPr>
          </w:p>
          <w:p w14:paraId="4BD1A460" w14:textId="480D0BAB" w:rsidR="007E0EFC" w:rsidRPr="00547151" w:rsidRDefault="007E0EFC" w:rsidP="005013D8">
            <w:pPr>
              <w:rPr>
                <w:sz w:val="16"/>
                <w:szCs w:val="16"/>
                <w:lang w:val="en-GB"/>
              </w:rPr>
            </w:pPr>
            <w:r w:rsidRPr="00547151">
              <w:rPr>
                <w:b/>
                <w:bCs/>
                <w:sz w:val="16"/>
                <w:szCs w:val="16"/>
                <w:lang w:val="en-GB"/>
              </w:rPr>
              <w:t xml:space="preserve">Data </w:t>
            </w:r>
            <w:r w:rsidR="009540D9" w:rsidRPr="00547151">
              <w:rPr>
                <w:b/>
                <w:bCs/>
                <w:sz w:val="16"/>
                <w:szCs w:val="16"/>
                <w:lang w:val="en-GB"/>
              </w:rPr>
              <w:t>s</w:t>
            </w:r>
            <w:r w:rsidRPr="00547151">
              <w:rPr>
                <w:b/>
                <w:bCs/>
                <w:sz w:val="16"/>
                <w:szCs w:val="16"/>
                <w:lang w:val="en-GB"/>
              </w:rPr>
              <w:t>ource</w:t>
            </w:r>
            <w:r w:rsidR="009540D9" w:rsidRPr="00547151">
              <w:rPr>
                <w:b/>
                <w:bCs/>
                <w:sz w:val="16"/>
                <w:szCs w:val="16"/>
                <w:lang w:val="en-GB"/>
              </w:rPr>
              <w:t>:</w:t>
            </w:r>
            <w:r w:rsidRPr="00547151">
              <w:rPr>
                <w:sz w:val="16"/>
                <w:szCs w:val="16"/>
                <w:lang w:val="en-GB"/>
              </w:rPr>
              <w:t xml:space="preserve"> </w:t>
            </w:r>
            <w:r w:rsidR="00A602C4" w:rsidRPr="009E6278">
              <w:rPr>
                <w:color w:val="000000"/>
                <w:sz w:val="16"/>
                <w:szCs w:val="16"/>
                <w:lang w:val="en-GB"/>
              </w:rPr>
              <w:t>M</w:t>
            </w:r>
            <w:r w:rsidR="002E176C" w:rsidRPr="00547151">
              <w:rPr>
                <w:color w:val="000000"/>
                <w:sz w:val="16"/>
                <w:szCs w:val="16"/>
                <w:lang w:val="en-GB"/>
              </w:rPr>
              <w:t>O</w:t>
            </w:r>
            <w:r w:rsidR="00A602C4" w:rsidRPr="009E6278">
              <w:rPr>
                <w:color w:val="000000"/>
                <w:sz w:val="16"/>
                <w:szCs w:val="16"/>
                <w:lang w:val="en-GB"/>
              </w:rPr>
              <w:t xml:space="preserve">ITED </w:t>
            </w:r>
          </w:p>
          <w:p w14:paraId="449BCCBE" w14:textId="37856C4C" w:rsidR="007E0EFC" w:rsidRPr="00547151" w:rsidRDefault="007E0EFC" w:rsidP="005013D8">
            <w:pPr>
              <w:rPr>
                <w:sz w:val="16"/>
                <w:szCs w:val="16"/>
                <w:lang w:val="en-GB"/>
              </w:rPr>
            </w:pPr>
            <w:r w:rsidRPr="00547151">
              <w:rPr>
                <w:b/>
                <w:bCs/>
                <w:sz w:val="16"/>
                <w:szCs w:val="16"/>
                <w:lang w:val="en-GB"/>
              </w:rPr>
              <w:t>Frequency</w:t>
            </w:r>
            <w:r w:rsidR="009540D9" w:rsidRPr="00547151">
              <w:rPr>
                <w:b/>
                <w:bCs/>
                <w:sz w:val="16"/>
                <w:szCs w:val="16"/>
                <w:lang w:val="en-GB"/>
              </w:rPr>
              <w:t>:</w:t>
            </w:r>
            <w:r w:rsidRPr="00547151">
              <w:rPr>
                <w:sz w:val="16"/>
                <w:szCs w:val="16"/>
                <w:lang w:val="en-GB"/>
              </w:rPr>
              <w:t xml:space="preserve"> Annual </w:t>
            </w:r>
          </w:p>
          <w:p w14:paraId="280A7502" w14:textId="14987CE6" w:rsidR="007E0EFC" w:rsidRPr="00547151" w:rsidRDefault="007E0EFC" w:rsidP="005013D8">
            <w:pPr>
              <w:rPr>
                <w:sz w:val="16"/>
                <w:szCs w:val="16"/>
                <w:lang w:val="en-GB"/>
              </w:rPr>
            </w:pPr>
            <w:r w:rsidRPr="00547151">
              <w:rPr>
                <w:b/>
                <w:bCs/>
                <w:sz w:val="16"/>
                <w:szCs w:val="16"/>
                <w:lang w:val="en-GB"/>
              </w:rPr>
              <w:t>Responsibility</w:t>
            </w:r>
            <w:r w:rsidR="009540D9" w:rsidRPr="00547151">
              <w:rPr>
                <w:b/>
                <w:bCs/>
                <w:sz w:val="16"/>
                <w:szCs w:val="16"/>
                <w:lang w:val="en-GB"/>
              </w:rPr>
              <w:t>:</w:t>
            </w:r>
            <w:r w:rsidRPr="00547151">
              <w:rPr>
                <w:sz w:val="16"/>
                <w:szCs w:val="16"/>
                <w:lang w:val="en-GB"/>
              </w:rPr>
              <w:t xml:space="preserve"> </w:t>
            </w:r>
            <w:r w:rsidR="00367D98" w:rsidRPr="00547151">
              <w:rPr>
                <w:sz w:val="16"/>
                <w:szCs w:val="16"/>
                <w:lang w:val="en-GB"/>
              </w:rPr>
              <w:t>SDP</w:t>
            </w:r>
          </w:p>
          <w:p w14:paraId="34379B5A" w14:textId="77777777" w:rsidR="007E0EFC" w:rsidRPr="00547151" w:rsidRDefault="007E0EFC" w:rsidP="005013D8">
            <w:pPr>
              <w:rPr>
                <w:sz w:val="16"/>
                <w:szCs w:val="16"/>
                <w:lang w:val="en-GB"/>
              </w:rPr>
            </w:pPr>
          </w:p>
          <w:p w14:paraId="544FAC6D" w14:textId="77777777" w:rsidR="007E0EFC" w:rsidRPr="00547151" w:rsidRDefault="007E0EFC" w:rsidP="005013D8">
            <w:pPr>
              <w:rPr>
                <w:sz w:val="16"/>
                <w:szCs w:val="16"/>
                <w:lang w:val="en-GB"/>
              </w:rPr>
            </w:pPr>
          </w:p>
          <w:p w14:paraId="0F96BE8C" w14:textId="77777777" w:rsidR="007E0EFC" w:rsidRPr="00547151" w:rsidRDefault="007E0EFC" w:rsidP="005013D8">
            <w:pPr>
              <w:rPr>
                <w:sz w:val="16"/>
                <w:szCs w:val="16"/>
                <w:lang w:val="en-GB"/>
              </w:rPr>
            </w:pPr>
          </w:p>
          <w:p w14:paraId="2518B862" w14:textId="77777777" w:rsidR="007E0EFC" w:rsidRPr="00547151" w:rsidRDefault="007E0EFC" w:rsidP="005013D8">
            <w:pPr>
              <w:rPr>
                <w:sz w:val="16"/>
                <w:szCs w:val="16"/>
                <w:lang w:val="en-GB"/>
              </w:rPr>
            </w:pPr>
          </w:p>
          <w:p w14:paraId="406651EE" w14:textId="77777777" w:rsidR="007E0EFC" w:rsidRPr="00547151" w:rsidRDefault="007E0EFC" w:rsidP="005013D8">
            <w:pPr>
              <w:rPr>
                <w:sz w:val="16"/>
                <w:szCs w:val="16"/>
                <w:lang w:val="en-GB"/>
              </w:rPr>
            </w:pPr>
          </w:p>
          <w:p w14:paraId="3061F87F" w14:textId="77777777" w:rsidR="007E0EFC" w:rsidRPr="00547151" w:rsidRDefault="007E0EFC" w:rsidP="005013D8">
            <w:pPr>
              <w:rPr>
                <w:sz w:val="16"/>
                <w:szCs w:val="16"/>
                <w:lang w:val="en-GB"/>
              </w:rPr>
            </w:pPr>
          </w:p>
          <w:p w14:paraId="3986DC3B" w14:textId="77777777" w:rsidR="007E0EFC" w:rsidRPr="00547151" w:rsidRDefault="007E0EFC" w:rsidP="005013D8">
            <w:pPr>
              <w:rPr>
                <w:sz w:val="16"/>
                <w:szCs w:val="16"/>
                <w:lang w:val="en-GB"/>
              </w:rPr>
            </w:pPr>
          </w:p>
          <w:p w14:paraId="05BB90D7" w14:textId="77777777" w:rsidR="007E0EFC" w:rsidRPr="00547151" w:rsidRDefault="007E0EFC" w:rsidP="005013D8">
            <w:pPr>
              <w:rPr>
                <w:sz w:val="16"/>
                <w:szCs w:val="16"/>
                <w:lang w:val="en-GB"/>
              </w:rPr>
            </w:pPr>
          </w:p>
          <w:p w14:paraId="07B02D93" w14:textId="77777777" w:rsidR="007E0EFC" w:rsidRPr="00547151" w:rsidRDefault="007E0EFC" w:rsidP="005013D8">
            <w:pPr>
              <w:rPr>
                <w:sz w:val="16"/>
                <w:szCs w:val="16"/>
                <w:lang w:val="en-GB"/>
              </w:rPr>
            </w:pPr>
          </w:p>
          <w:p w14:paraId="0CD10CFD" w14:textId="7188DC2C" w:rsidR="007E0EFC" w:rsidRPr="00547151" w:rsidRDefault="007E0EFC" w:rsidP="005013D8">
            <w:pPr>
              <w:rPr>
                <w:sz w:val="16"/>
                <w:szCs w:val="16"/>
                <w:lang w:val="en-GB"/>
              </w:rPr>
            </w:pPr>
            <w:r w:rsidRPr="00547151">
              <w:rPr>
                <w:b/>
                <w:bCs/>
                <w:sz w:val="16"/>
                <w:szCs w:val="16"/>
                <w:lang w:val="en-GB"/>
              </w:rPr>
              <w:t xml:space="preserve">Data </w:t>
            </w:r>
            <w:r w:rsidR="009540D9" w:rsidRPr="00547151">
              <w:rPr>
                <w:b/>
                <w:bCs/>
                <w:sz w:val="16"/>
                <w:szCs w:val="16"/>
                <w:lang w:val="en-GB"/>
              </w:rPr>
              <w:t>s</w:t>
            </w:r>
            <w:r w:rsidRPr="00547151">
              <w:rPr>
                <w:b/>
                <w:bCs/>
                <w:sz w:val="16"/>
                <w:szCs w:val="16"/>
                <w:lang w:val="en-GB"/>
              </w:rPr>
              <w:t>ource</w:t>
            </w:r>
            <w:r w:rsidR="009540D9" w:rsidRPr="00547151">
              <w:rPr>
                <w:b/>
                <w:bCs/>
                <w:sz w:val="16"/>
                <w:szCs w:val="16"/>
                <w:lang w:val="en-GB"/>
              </w:rPr>
              <w:t>:</w:t>
            </w:r>
            <w:r w:rsidRPr="00547151">
              <w:rPr>
                <w:sz w:val="16"/>
                <w:szCs w:val="16"/>
                <w:lang w:val="en-GB"/>
              </w:rPr>
              <w:t xml:space="preserve"> </w:t>
            </w:r>
            <w:r w:rsidRPr="009E6278">
              <w:rPr>
                <w:color w:val="000000"/>
                <w:sz w:val="16"/>
                <w:szCs w:val="16"/>
                <w:lang w:val="en-GB"/>
              </w:rPr>
              <w:t>M</w:t>
            </w:r>
            <w:r w:rsidR="002E176C" w:rsidRPr="00547151">
              <w:rPr>
                <w:color w:val="000000"/>
                <w:sz w:val="16"/>
                <w:szCs w:val="16"/>
                <w:lang w:val="en-GB"/>
              </w:rPr>
              <w:t>O</w:t>
            </w:r>
            <w:r w:rsidR="00A602C4" w:rsidRPr="009E6278">
              <w:rPr>
                <w:color w:val="000000"/>
                <w:sz w:val="16"/>
                <w:szCs w:val="16"/>
                <w:lang w:val="en-GB"/>
              </w:rPr>
              <w:t xml:space="preserve">ITED </w:t>
            </w:r>
          </w:p>
          <w:p w14:paraId="4AEBFC4F" w14:textId="2A736D8F" w:rsidR="007E0EFC" w:rsidRPr="00547151" w:rsidRDefault="007E0EFC" w:rsidP="005013D8">
            <w:pPr>
              <w:rPr>
                <w:sz w:val="16"/>
                <w:szCs w:val="16"/>
                <w:lang w:val="en-GB"/>
              </w:rPr>
            </w:pPr>
            <w:r w:rsidRPr="00547151">
              <w:rPr>
                <w:b/>
                <w:bCs/>
                <w:sz w:val="16"/>
                <w:szCs w:val="16"/>
                <w:lang w:val="en-GB"/>
              </w:rPr>
              <w:t>Frequency</w:t>
            </w:r>
            <w:r w:rsidR="009540D9" w:rsidRPr="00547151">
              <w:rPr>
                <w:b/>
                <w:bCs/>
                <w:sz w:val="16"/>
                <w:szCs w:val="16"/>
                <w:lang w:val="en-GB"/>
              </w:rPr>
              <w:t>:</w:t>
            </w:r>
            <w:r w:rsidRPr="00547151">
              <w:rPr>
                <w:sz w:val="16"/>
                <w:szCs w:val="16"/>
                <w:lang w:val="en-GB"/>
              </w:rPr>
              <w:t xml:space="preserve"> Annual </w:t>
            </w:r>
          </w:p>
          <w:p w14:paraId="5A3B3797" w14:textId="293EDE3E" w:rsidR="007E0EFC" w:rsidRPr="00547151" w:rsidRDefault="007E0EFC" w:rsidP="005013D8">
            <w:pPr>
              <w:rPr>
                <w:sz w:val="16"/>
                <w:szCs w:val="16"/>
                <w:lang w:val="en-GB"/>
              </w:rPr>
            </w:pPr>
            <w:r w:rsidRPr="00547151">
              <w:rPr>
                <w:b/>
                <w:bCs/>
                <w:sz w:val="16"/>
                <w:szCs w:val="16"/>
                <w:lang w:val="en-GB"/>
              </w:rPr>
              <w:t>Responsibility</w:t>
            </w:r>
            <w:r w:rsidR="009540D9" w:rsidRPr="00547151">
              <w:rPr>
                <w:b/>
                <w:bCs/>
                <w:sz w:val="16"/>
                <w:szCs w:val="16"/>
                <w:lang w:val="en-GB"/>
              </w:rPr>
              <w:t>:</w:t>
            </w:r>
            <w:r w:rsidRPr="00547151">
              <w:rPr>
                <w:sz w:val="16"/>
                <w:szCs w:val="16"/>
                <w:lang w:val="en-GB"/>
              </w:rPr>
              <w:t xml:space="preserve"> </w:t>
            </w:r>
            <w:r w:rsidR="00367D98" w:rsidRPr="00547151">
              <w:rPr>
                <w:sz w:val="16"/>
                <w:szCs w:val="16"/>
                <w:lang w:val="en-GB"/>
              </w:rPr>
              <w:t>SDP</w:t>
            </w:r>
          </w:p>
          <w:p w14:paraId="0D7025E1" w14:textId="77777777" w:rsidR="007E0EFC" w:rsidRPr="00547151" w:rsidRDefault="007E0EFC" w:rsidP="00423140">
            <w:pPr>
              <w:rPr>
                <w:b/>
                <w:bCs/>
                <w:color w:val="000000"/>
                <w:sz w:val="16"/>
                <w:szCs w:val="16"/>
                <w:lang w:val="en-GB"/>
              </w:rPr>
            </w:pPr>
          </w:p>
        </w:tc>
        <w:tc>
          <w:tcPr>
            <w:tcW w:w="1092" w:type="pct"/>
            <w:vMerge w:val="restart"/>
            <w:tcMar>
              <w:top w:w="72" w:type="dxa"/>
              <w:left w:w="144" w:type="dxa"/>
              <w:bottom w:w="72" w:type="dxa"/>
              <w:right w:w="144" w:type="dxa"/>
            </w:tcMar>
          </w:tcPr>
          <w:p w14:paraId="2269E86E" w14:textId="6BE0BB73" w:rsidR="007E0EFC" w:rsidRPr="009E6278" w:rsidRDefault="007E0EFC" w:rsidP="005013D8">
            <w:pPr>
              <w:rPr>
                <w:bCs/>
                <w:color w:val="000000"/>
                <w:sz w:val="16"/>
                <w:szCs w:val="16"/>
                <w:lang w:val="en-GB"/>
              </w:rPr>
            </w:pPr>
            <w:r w:rsidRPr="00547151">
              <w:rPr>
                <w:b/>
                <w:bCs/>
                <w:color w:val="000000"/>
                <w:sz w:val="16"/>
                <w:szCs w:val="16"/>
                <w:lang w:val="en-GB"/>
              </w:rPr>
              <w:lastRenderedPageBreak/>
              <w:t>Output 2.1</w:t>
            </w:r>
            <w:r w:rsidR="00E778EE" w:rsidRPr="00547151">
              <w:rPr>
                <w:b/>
                <w:bCs/>
                <w:color w:val="000000"/>
                <w:sz w:val="16"/>
                <w:szCs w:val="16"/>
                <w:lang w:val="en-GB"/>
              </w:rPr>
              <w:t>.</w:t>
            </w:r>
            <w:r w:rsidRPr="00547151">
              <w:rPr>
                <w:color w:val="000000"/>
                <w:sz w:val="16"/>
                <w:szCs w:val="16"/>
                <w:lang w:val="en-GB"/>
              </w:rPr>
              <w:t xml:space="preserve"> </w:t>
            </w:r>
            <w:r w:rsidRPr="009E6278">
              <w:rPr>
                <w:bCs/>
                <w:color w:val="000000"/>
                <w:sz w:val="16"/>
                <w:szCs w:val="16"/>
                <w:lang w:val="en-GB"/>
              </w:rPr>
              <w:t>Inclusive and resilient green growth policies, financing and practices across key growth sectors enhanced</w:t>
            </w:r>
          </w:p>
          <w:p w14:paraId="19657B3D" w14:textId="26015EF0" w:rsidR="007E0EFC" w:rsidRPr="009E6278" w:rsidRDefault="007E0EFC" w:rsidP="005013D8">
            <w:pPr>
              <w:rPr>
                <w:color w:val="000000"/>
                <w:sz w:val="16"/>
                <w:szCs w:val="16"/>
                <w:lang w:val="en-GB"/>
              </w:rPr>
            </w:pPr>
            <w:r w:rsidRPr="00547151">
              <w:rPr>
                <w:b/>
                <w:bCs/>
                <w:color w:val="000000"/>
                <w:sz w:val="16"/>
                <w:szCs w:val="16"/>
                <w:lang w:val="en-GB"/>
              </w:rPr>
              <w:lastRenderedPageBreak/>
              <w:t>Indicator 2.1.1</w:t>
            </w:r>
            <w:r w:rsidR="002E176C" w:rsidRPr="00547151">
              <w:rPr>
                <w:b/>
                <w:bCs/>
                <w:color w:val="000000"/>
                <w:sz w:val="16"/>
                <w:szCs w:val="16"/>
                <w:lang w:val="en-GB"/>
              </w:rPr>
              <w:t>.</w:t>
            </w:r>
            <w:r w:rsidRPr="009E6278">
              <w:rPr>
                <w:rFonts w:asciiTheme="minorHAnsi" w:eastAsiaTheme="minorHAnsi" w:hAnsiTheme="minorHAnsi" w:cstheme="minorHAnsi"/>
                <w:sz w:val="16"/>
                <w:szCs w:val="16"/>
                <w:lang w:val="en-GB"/>
              </w:rPr>
              <w:t xml:space="preserve"> </w:t>
            </w:r>
            <w:r w:rsidRPr="009E6278">
              <w:rPr>
                <w:color w:val="000000"/>
                <w:sz w:val="16"/>
                <w:szCs w:val="16"/>
                <w:lang w:val="en-GB"/>
              </w:rPr>
              <w:t xml:space="preserve">Number of </w:t>
            </w:r>
            <w:r w:rsidR="003714D6" w:rsidRPr="009E6278">
              <w:rPr>
                <w:color w:val="000000"/>
                <w:sz w:val="16"/>
                <w:szCs w:val="16"/>
                <w:lang w:val="en-GB"/>
              </w:rPr>
              <w:t>risk</w:t>
            </w:r>
            <w:r w:rsidR="002E176C" w:rsidRPr="00547151">
              <w:rPr>
                <w:color w:val="000000"/>
                <w:sz w:val="16"/>
                <w:szCs w:val="16"/>
                <w:lang w:val="en-GB"/>
              </w:rPr>
              <w:t>-</w:t>
            </w:r>
            <w:r w:rsidR="003714D6" w:rsidRPr="009E6278">
              <w:rPr>
                <w:color w:val="000000"/>
                <w:sz w:val="16"/>
                <w:szCs w:val="16"/>
                <w:lang w:val="en-GB"/>
              </w:rPr>
              <w:t>informed development strategies</w:t>
            </w:r>
            <w:r w:rsidRPr="009E6278">
              <w:rPr>
                <w:color w:val="000000"/>
                <w:sz w:val="16"/>
                <w:szCs w:val="16"/>
                <w:lang w:val="en-GB"/>
              </w:rPr>
              <w:t xml:space="preserve"> and plans </w:t>
            </w:r>
            <w:r w:rsidR="003714D6" w:rsidRPr="009E6278">
              <w:rPr>
                <w:color w:val="000000"/>
                <w:sz w:val="16"/>
                <w:szCs w:val="16"/>
                <w:lang w:val="en-GB"/>
              </w:rPr>
              <w:t>in place</w:t>
            </w:r>
          </w:p>
          <w:p w14:paraId="653591B9" w14:textId="1DA3EF16" w:rsidR="007E0EFC" w:rsidRPr="00547151" w:rsidRDefault="007E0EFC" w:rsidP="005013D8">
            <w:pPr>
              <w:rPr>
                <w:color w:val="000000"/>
                <w:sz w:val="16"/>
                <w:szCs w:val="16"/>
                <w:lang w:val="en-GB"/>
              </w:rPr>
            </w:pPr>
            <w:r w:rsidRPr="00547151">
              <w:rPr>
                <w:color w:val="000000"/>
                <w:sz w:val="16"/>
                <w:szCs w:val="16"/>
                <w:lang w:val="en-GB"/>
              </w:rPr>
              <w:t>Baseline: 2 (2017)</w:t>
            </w:r>
          </w:p>
          <w:p w14:paraId="532459BF" w14:textId="3517E6ED" w:rsidR="007E0EFC" w:rsidRPr="00547151" w:rsidRDefault="007E0EFC" w:rsidP="005013D8">
            <w:pPr>
              <w:rPr>
                <w:color w:val="000000"/>
                <w:sz w:val="16"/>
                <w:szCs w:val="16"/>
                <w:lang w:val="en-GB"/>
              </w:rPr>
            </w:pPr>
            <w:r w:rsidRPr="00547151">
              <w:rPr>
                <w:color w:val="000000"/>
                <w:sz w:val="16"/>
                <w:szCs w:val="16"/>
                <w:lang w:val="en-GB"/>
              </w:rPr>
              <w:t>Target:10 (2026)</w:t>
            </w:r>
          </w:p>
          <w:p w14:paraId="2FC7C6B0" w14:textId="148A513F" w:rsidR="003714D6" w:rsidRPr="00547151" w:rsidRDefault="007E0EFC" w:rsidP="005013D8">
            <w:pPr>
              <w:rPr>
                <w:color w:val="000000"/>
                <w:sz w:val="16"/>
                <w:szCs w:val="16"/>
                <w:lang w:val="en-GB"/>
              </w:rPr>
            </w:pPr>
            <w:r w:rsidRPr="00547151">
              <w:rPr>
                <w:color w:val="000000"/>
                <w:sz w:val="16"/>
                <w:szCs w:val="16"/>
                <w:lang w:val="en-GB"/>
              </w:rPr>
              <w:t>Data source</w:t>
            </w:r>
            <w:r w:rsidR="0011258B" w:rsidRPr="00547151">
              <w:rPr>
                <w:color w:val="000000"/>
                <w:sz w:val="16"/>
                <w:szCs w:val="16"/>
                <w:lang w:val="en-GB"/>
              </w:rPr>
              <w:t>:</w:t>
            </w:r>
            <w:r w:rsidRPr="00547151">
              <w:rPr>
                <w:color w:val="000000"/>
                <w:sz w:val="16"/>
                <w:szCs w:val="16"/>
                <w:lang w:val="en-GB"/>
              </w:rPr>
              <w:t xml:space="preserve"> KNBS</w:t>
            </w:r>
            <w:r w:rsidR="002E176C" w:rsidRPr="00547151">
              <w:rPr>
                <w:color w:val="000000"/>
                <w:sz w:val="16"/>
                <w:szCs w:val="16"/>
                <w:lang w:val="en-GB"/>
              </w:rPr>
              <w:t>;</w:t>
            </w:r>
            <w:r w:rsidRPr="00547151">
              <w:rPr>
                <w:color w:val="000000"/>
                <w:sz w:val="16"/>
                <w:szCs w:val="16"/>
                <w:lang w:val="en-GB"/>
              </w:rPr>
              <w:t xml:space="preserve"> National Treasury; Kenya Investment Authority  </w:t>
            </w:r>
          </w:p>
          <w:p w14:paraId="3493D1AC" w14:textId="243ABF98" w:rsidR="007E0EFC" w:rsidRPr="00547151" w:rsidRDefault="00F40A44" w:rsidP="005013D8">
            <w:pPr>
              <w:rPr>
                <w:color w:val="000000"/>
                <w:sz w:val="16"/>
                <w:szCs w:val="16"/>
                <w:lang w:val="en-GB"/>
              </w:rPr>
            </w:pPr>
            <w:r w:rsidRPr="00547151">
              <w:rPr>
                <w:color w:val="000000"/>
                <w:sz w:val="16"/>
                <w:szCs w:val="16"/>
                <w:lang w:val="en-GB"/>
              </w:rPr>
              <w:t>Frequency: Annual</w:t>
            </w:r>
          </w:p>
          <w:p w14:paraId="25DF92CC" w14:textId="77777777" w:rsidR="007E0EFC" w:rsidRPr="00547151" w:rsidRDefault="007E0EFC" w:rsidP="005013D8">
            <w:pPr>
              <w:jc w:val="both"/>
              <w:rPr>
                <w:color w:val="000000"/>
                <w:sz w:val="16"/>
                <w:szCs w:val="16"/>
                <w:lang w:val="en-GB"/>
              </w:rPr>
            </w:pPr>
          </w:p>
          <w:p w14:paraId="0D0F5163" w14:textId="7639A09C" w:rsidR="007E0EFC" w:rsidRPr="009E6278" w:rsidRDefault="007E0EFC" w:rsidP="009E6278">
            <w:pPr>
              <w:rPr>
                <w:bCs/>
                <w:color w:val="000000"/>
                <w:sz w:val="16"/>
                <w:szCs w:val="16"/>
                <w:lang w:val="en-GB"/>
              </w:rPr>
            </w:pPr>
            <w:r w:rsidRPr="009E6278">
              <w:rPr>
                <w:b/>
                <w:color w:val="000000"/>
                <w:sz w:val="16"/>
                <w:szCs w:val="16"/>
                <w:lang w:val="en-GB"/>
              </w:rPr>
              <w:t xml:space="preserve">Output </w:t>
            </w:r>
            <w:r w:rsidRPr="00547151">
              <w:rPr>
                <w:b/>
                <w:bCs/>
                <w:color w:val="000000"/>
                <w:sz w:val="16"/>
                <w:szCs w:val="16"/>
                <w:lang w:val="en-GB"/>
              </w:rPr>
              <w:t>2.2</w:t>
            </w:r>
            <w:r w:rsidR="002E176C" w:rsidRPr="00547151">
              <w:rPr>
                <w:b/>
                <w:bCs/>
                <w:color w:val="000000"/>
                <w:sz w:val="16"/>
                <w:szCs w:val="16"/>
                <w:lang w:val="en-GB"/>
              </w:rPr>
              <w:t>.</w:t>
            </w:r>
            <w:r w:rsidRPr="00547151">
              <w:rPr>
                <w:color w:val="000000"/>
                <w:sz w:val="16"/>
                <w:szCs w:val="16"/>
                <w:lang w:val="en-GB"/>
              </w:rPr>
              <w:t xml:space="preserve"> </w:t>
            </w:r>
            <w:r w:rsidRPr="00547151">
              <w:rPr>
                <w:bCs/>
                <w:color w:val="000000"/>
                <w:sz w:val="16"/>
                <w:szCs w:val="16"/>
                <w:lang w:val="en-GB"/>
              </w:rPr>
              <w:t>National policy frameworks, planning, budgeting and data systems for SDG indicator tracking</w:t>
            </w:r>
            <w:r w:rsidR="002E176C" w:rsidRPr="00547151">
              <w:rPr>
                <w:bCs/>
                <w:color w:val="000000"/>
                <w:sz w:val="16"/>
                <w:szCs w:val="16"/>
                <w:lang w:val="en-GB"/>
              </w:rPr>
              <w:t xml:space="preserve"> and</w:t>
            </w:r>
            <w:r w:rsidRPr="00547151">
              <w:rPr>
                <w:bCs/>
                <w:color w:val="000000"/>
                <w:sz w:val="16"/>
                <w:szCs w:val="16"/>
                <w:lang w:val="en-GB"/>
              </w:rPr>
              <w:t xml:space="preserve"> reporting and M&amp;E systems strengthened</w:t>
            </w:r>
          </w:p>
          <w:p w14:paraId="1FB1FC10" w14:textId="77777777" w:rsidR="007E0EFC" w:rsidRPr="00547151" w:rsidRDefault="007E0EFC" w:rsidP="005013D8">
            <w:pPr>
              <w:rPr>
                <w:color w:val="000000"/>
                <w:sz w:val="16"/>
                <w:szCs w:val="16"/>
                <w:lang w:val="en-GB"/>
              </w:rPr>
            </w:pPr>
          </w:p>
          <w:p w14:paraId="0A1FB507" w14:textId="69F2A1F2" w:rsidR="007E0EFC" w:rsidRPr="00547151" w:rsidRDefault="007E0EFC" w:rsidP="005013D8">
            <w:pPr>
              <w:rPr>
                <w:color w:val="000000"/>
                <w:sz w:val="16"/>
                <w:szCs w:val="16"/>
                <w:lang w:val="en-GB"/>
              </w:rPr>
            </w:pPr>
            <w:r w:rsidRPr="00547151">
              <w:rPr>
                <w:b/>
                <w:bCs/>
                <w:color w:val="000000"/>
                <w:sz w:val="16"/>
                <w:szCs w:val="16"/>
                <w:lang w:val="en-GB"/>
              </w:rPr>
              <w:t>Indicator 2.2.1</w:t>
            </w:r>
            <w:r w:rsidR="002E176C" w:rsidRPr="00547151">
              <w:rPr>
                <w:b/>
                <w:bCs/>
                <w:color w:val="000000"/>
                <w:sz w:val="16"/>
                <w:szCs w:val="16"/>
                <w:lang w:val="en-GB"/>
              </w:rPr>
              <w:t>.</w:t>
            </w:r>
            <w:r w:rsidRPr="00547151">
              <w:rPr>
                <w:b/>
                <w:bCs/>
                <w:color w:val="000000"/>
                <w:sz w:val="16"/>
                <w:szCs w:val="16"/>
                <w:lang w:val="en-GB"/>
              </w:rPr>
              <w:t xml:space="preserve"> </w:t>
            </w:r>
            <w:r w:rsidRPr="00547151">
              <w:rPr>
                <w:color w:val="000000"/>
                <w:sz w:val="16"/>
                <w:szCs w:val="16"/>
                <w:lang w:val="en-GB"/>
              </w:rPr>
              <w:t xml:space="preserve">Percentage of SDG </w:t>
            </w:r>
            <w:r w:rsidR="002E176C" w:rsidRPr="00547151">
              <w:rPr>
                <w:color w:val="000000"/>
                <w:sz w:val="16"/>
                <w:szCs w:val="16"/>
                <w:lang w:val="en-GB"/>
              </w:rPr>
              <w:t>i</w:t>
            </w:r>
            <w:r w:rsidRPr="00547151">
              <w:rPr>
                <w:color w:val="000000"/>
                <w:sz w:val="16"/>
                <w:szCs w:val="16"/>
                <w:lang w:val="en-GB"/>
              </w:rPr>
              <w:t xml:space="preserve">ndicators captured in the National Integrated Monitoring and Evaluation </w:t>
            </w:r>
            <w:r w:rsidR="002368F9" w:rsidRPr="00547151">
              <w:rPr>
                <w:color w:val="000000"/>
                <w:sz w:val="16"/>
                <w:szCs w:val="16"/>
                <w:lang w:val="en-GB"/>
              </w:rPr>
              <w:t>s</w:t>
            </w:r>
            <w:r w:rsidRPr="00547151">
              <w:rPr>
                <w:color w:val="000000"/>
                <w:sz w:val="16"/>
                <w:szCs w:val="16"/>
                <w:lang w:val="en-GB"/>
              </w:rPr>
              <w:t xml:space="preserve">ystem achieved </w:t>
            </w:r>
          </w:p>
          <w:p w14:paraId="7D707E65" w14:textId="3861709E" w:rsidR="007E0EFC" w:rsidRPr="00547151" w:rsidRDefault="007E0EFC" w:rsidP="00717339">
            <w:pPr>
              <w:rPr>
                <w:color w:val="000000"/>
                <w:sz w:val="16"/>
                <w:szCs w:val="16"/>
                <w:lang w:val="en-GB"/>
              </w:rPr>
            </w:pPr>
            <w:r w:rsidRPr="00547151">
              <w:rPr>
                <w:color w:val="000000"/>
                <w:sz w:val="16"/>
                <w:szCs w:val="16"/>
                <w:lang w:val="en-GB"/>
              </w:rPr>
              <w:t>Baseline: 131 (54.6%) 2021</w:t>
            </w:r>
          </w:p>
          <w:p w14:paraId="5FADD303" w14:textId="0D2A3B10" w:rsidR="007E0EFC" w:rsidRPr="00547151" w:rsidRDefault="007E0EFC" w:rsidP="00717339">
            <w:pPr>
              <w:rPr>
                <w:color w:val="000000"/>
                <w:sz w:val="16"/>
                <w:szCs w:val="16"/>
                <w:lang w:val="en-GB"/>
              </w:rPr>
            </w:pPr>
            <w:r w:rsidRPr="00547151">
              <w:rPr>
                <w:color w:val="000000"/>
                <w:sz w:val="16"/>
                <w:szCs w:val="16"/>
                <w:lang w:val="en-GB"/>
              </w:rPr>
              <w:t>Target ): 166 (71.9%) 2026</w:t>
            </w:r>
          </w:p>
          <w:p w14:paraId="0CF0AEBA" w14:textId="0D4F8715" w:rsidR="003714D6" w:rsidRPr="00547151" w:rsidRDefault="007E0EFC" w:rsidP="00717339">
            <w:pPr>
              <w:rPr>
                <w:color w:val="000000"/>
                <w:sz w:val="16"/>
                <w:szCs w:val="16"/>
                <w:lang w:val="en-GB"/>
              </w:rPr>
            </w:pPr>
            <w:r w:rsidRPr="00547151">
              <w:rPr>
                <w:color w:val="000000"/>
                <w:sz w:val="16"/>
                <w:szCs w:val="16"/>
                <w:lang w:val="en-GB"/>
              </w:rPr>
              <w:t>Data source</w:t>
            </w:r>
            <w:r w:rsidR="0011258B" w:rsidRPr="00547151">
              <w:rPr>
                <w:color w:val="000000"/>
                <w:sz w:val="16"/>
                <w:szCs w:val="16"/>
                <w:lang w:val="en-GB"/>
              </w:rPr>
              <w:t>: KNBS</w:t>
            </w:r>
            <w:r w:rsidR="003714D6" w:rsidRPr="00547151">
              <w:rPr>
                <w:color w:val="000000"/>
                <w:sz w:val="16"/>
                <w:szCs w:val="16"/>
                <w:lang w:val="en-GB"/>
              </w:rPr>
              <w:t xml:space="preserve"> </w:t>
            </w:r>
          </w:p>
          <w:p w14:paraId="2A8510B4" w14:textId="28288A3D" w:rsidR="007E0EFC" w:rsidRPr="00547151" w:rsidRDefault="003714D6" w:rsidP="00717339">
            <w:pPr>
              <w:rPr>
                <w:b/>
                <w:bCs/>
                <w:color w:val="000000"/>
                <w:sz w:val="16"/>
                <w:szCs w:val="16"/>
                <w:lang w:val="en-GB"/>
              </w:rPr>
            </w:pPr>
            <w:r w:rsidRPr="00547151">
              <w:rPr>
                <w:color w:val="000000"/>
                <w:sz w:val="16"/>
                <w:szCs w:val="16"/>
                <w:lang w:val="en-GB"/>
              </w:rPr>
              <w:t>F</w:t>
            </w:r>
            <w:r w:rsidR="007E0EFC" w:rsidRPr="00547151">
              <w:rPr>
                <w:color w:val="000000"/>
                <w:sz w:val="16"/>
                <w:szCs w:val="16"/>
                <w:lang w:val="en-GB"/>
              </w:rPr>
              <w:t>requency</w:t>
            </w:r>
            <w:r w:rsidRPr="00547151">
              <w:rPr>
                <w:color w:val="000000"/>
                <w:sz w:val="16"/>
                <w:szCs w:val="16"/>
                <w:lang w:val="en-GB"/>
              </w:rPr>
              <w:t xml:space="preserve">: Biennial </w:t>
            </w:r>
          </w:p>
          <w:p w14:paraId="5AC675CC" w14:textId="77777777" w:rsidR="007E0EFC" w:rsidRPr="00547151" w:rsidRDefault="007E0EFC" w:rsidP="005013D8">
            <w:pPr>
              <w:jc w:val="both"/>
              <w:rPr>
                <w:b/>
                <w:bCs/>
                <w:color w:val="000000"/>
                <w:sz w:val="16"/>
                <w:szCs w:val="16"/>
                <w:lang w:val="en-GB"/>
              </w:rPr>
            </w:pPr>
          </w:p>
          <w:p w14:paraId="0AA20468" w14:textId="364C0D31" w:rsidR="007E0EFC" w:rsidRPr="009E6278" w:rsidRDefault="007E0EFC" w:rsidP="009E6278">
            <w:pPr>
              <w:rPr>
                <w:bCs/>
                <w:color w:val="000000"/>
                <w:sz w:val="16"/>
                <w:szCs w:val="16"/>
                <w:lang w:val="en-GB"/>
              </w:rPr>
            </w:pPr>
            <w:r w:rsidRPr="00547151">
              <w:rPr>
                <w:b/>
                <w:bCs/>
                <w:color w:val="000000"/>
                <w:sz w:val="16"/>
                <w:szCs w:val="16"/>
                <w:lang w:val="en-GB"/>
              </w:rPr>
              <w:t>Output 2.3</w:t>
            </w:r>
            <w:r w:rsidR="002E176C" w:rsidRPr="00547151">
              <w:rPr>
                <w:b/>
                <w:bCs/>
                <w:color w:val="000000"/>
                <w:sz w:val="16"/>
                <w:szCs w:val="16"/>
                <w:lang w:val="en-GB"/>
              </w:rPr>
              <w:t>.</w:t>
            </w:r>
            <w:r w:rsidRPr="00547151">
              <w:rPr>
                <w:color w:val="000000"/>
                <w:sz w:val="16"/>
                <w:szCs w:val="16"/>
                <w:lang w:val="en-GB"/>
              </w:rPr>
              <w:t xml:space="preserve"> </w:t>
            </w:r>
            <w:r w:rsidRPr="009E6278">
              <w:rPr>
                <w:bCs/>
                <w:color w:val="000000"/>
                <w:sz w:val="16"/>
                <w:szCs w:val="16"/>
                <w:lang w:val="en-GB"/>
              </w:rPr>
              <w:t xml:space="preserve">Capacities to promote innovation in existing and emerging markets enhanced across productive sectors for youth, women and </w:t>
            </w:r>
            <w:r w:rsidR="002E176C" w:rsidRPr="00547151">
              <w:rPr>
                <w:bCs/>
                <w:color w:val="000000"/>
                <w:sz w:val="16"/>
                <w:szCs w:val="16"/>
                <w:lang w:val="en-GB"/>
              </w:rPr>
              <w:t>micro, small and medium-sized enterprises (</w:t>
            </w:r>
            <w:r w:rsidRPr="009E6278">
              <w:rPr>
                <w:bCs/>
                <w:color w:val="000000"/>
                <w:sz w:val="16"/>
                <w:szCs w:val="16"/>
                <w:lang w:val="en-GB"/>
              </w:rPr>
              <w:t>MSMEs</w:t>
            </w:r>
            <w:r w:rsidR="002E176C" w:rsidRPr="00547151">
              <w:rPr>
                <w:bCs/>
                <w:color w:val="000000"/>
                <w:sz w:val="16"/>
                <w:szCs w:val="16"/>
                <w:lang w:val="en-GB"/>
              </w:rPr>
              <w:t>)</w:t>
            </w:r>
          </w:p>
          <w:p w14:paraId="048FAF79" w14:textId="77777777" w:rsidR="007E0EFC" w:rsidRPr="009E6278" w:rsidRDefault="007E0EFC" w:rsidP="005013D8">
            <w:pPr>
              <w:jc w:val="both"/>
              <w:rPr>
                <w:bCs/>
                <w:color w:val="000000"/>
                <w:sz w:val="16"/>
                <w:szCs w:val="16"/>
                <w:lang w:val="en-GB"/>
              </w:rPr>
            </w:pPr>
          </w:p>
          <w:p w14:paraId="174B7672" w14:textId="6C2FDA51" w:rsidR="007E0EFC" w:rsidRPr="00547151" w:rsidRDefault="007E0EFC" w:rsidP="005013D8">
            <w:pPr>
              <w:rPr>
                <w:color w:val="000000"/>
                <w:sz w:val="16"/>
                <w:szCs w:val="16"/>
                <w:lang w:val="en-GB"/>
              </w:rPr>
            </w:pPr>
            <w:r w:rsidRPr="00547151">
              <w:rPr>
                <w:b/>
                <w:bCs/>
                <w:color w:val="000000"/>
                <w:sz w:val="16"/>
                <w:szCs w:val="16"/>
                <w:lang w:val="en-GB"/>
              </w:rPr>
              <w:t>Indicator 2.3.1</w:t>
            </w:r>
            <w:r w:rsidR="002E176C" w:rsidRPr="00547151">
              <w:rPr>
                <w:b/>
                <w:bCs/>
                <w:color w:val="000000"/>
                <w:sz w:val="16"/>
                <w:szCs w:val="16"/>
                <w:lang w:val="en-GB"/>
              </w:rPr>
              <w:t>.</w:t>
            </w:r>
          </w:p>
          <w:p w14:paraId="450BC3D0" w14:textId="2510E683" w:rsidR="007E0EFC" w:rsidRPr="009E6278" w:rsidRDefault="007E0EFC" w:rsidP="005013D8">
            <w:pPr>
              <w:pStyle w:val="Default"/>
              <w:rPr>
                <w:sz w:val="16"/>
                <w:szCs w:val="16"/>
                <w:lang w:val="en-GB"/>
              </w:rPr>
            </w:pPr>
            <w:r w:rsidRPr="009E6278">
              <w:rPr>
                <w:sz w:val="16"/>
                <w:szCs w:val="16"/>
                <w:lang w:val="en-GB"/>
              </w:rPr>
              <w:t>Proportion of formal to informal jobs in productive sectors</w:t>
            </w:r>
            <w:r w:rsidR="002E176C" w:rsidRPr="00547151">
              <w:rPr>
                <w:sz w:val="16"/>
                <w:szCs w:val="16"/>
                <w:lang w:val="en-GB"/>
              </w:rPr>
              <w:t>,</w:t>
            </w:r>
            <w:r w:rsidRPr="009E6278">
              <w:rPr>
                <w:sz w:val="16"/>
                <w:szCs w:val="16"/>
                <w:lang w:val="en-GB"/>
              </w:rPr>
              <w:t xml:space="preserve"> </w:t>
            </w:r>
            <w:r w:rsidR="000D7025" w:rsidRPr="009E6278">
              <w:rPr>
                <w:sz w:val="16"/>
                <w:szCs w:val="16"/>
                <w:lang w:val="en-GB"/>
              </w:rPr>
              <w:t>by gender</w:t>
            </w:r>
            <w:r w:rsidRPr="009E6278">
              <w:rPr>
                <w:sz w:val="16"/>
                <w:szCs w:val="16"/>
                <w:lang w:val="en-GB"/>
              </w:rPr>
              <w:t xml:space="preserve"> </w:t>
            </w:r>
          </w:p>
          <w:p w14:paraId="6F63D894" w14:textId="3430425F" w:rsidR="007E0EFC" w:rsidRPr="00547151" w:rsidRDefault="007E0EFC" w:rsidP="005013D8">
            <w:pPr>
              <w:rPr>
                <w:color w:val="000000"/>
                <w:sz w:val="16"/>
                <w:szCs w:val="16"/>
                <w:lang w:val="en-GB"/>
              </w:rPr>
            </w:pPr>
            <w:r w:rsidRPr="00547151">
              <w:rPr>
                <w:color w:val="000000"/>
                <w:sz w:val="16"/>
                <w:szCs w:val="16"/>
                <w:lang w:val="en-GB"/>
              </w:rPr>
              <w:t>Baseline: Formal 17%</w:t>
            </w:r>
            <w:r w:rsidR="002E176C" w:rsidRPr="00547151">
              <w:rPr>
                <w:color w:val="000000"/>
                <w:sz w:val="16"/>
                <w:szCs w:val="16"/>
                <w:lang w:val="en-GB"/>
              </w:rPr>
              <w:t>, i</w:t>
            </w:r>
            <w:r w:rsidRPr="00547151">
              <w:rPr>
                <w:color w:val="000000"/>
                <w:sz w:val="16"/>
                <w:szCs w:val="16"/>
                <w:lang w:val="en-GB"/>
              </w:rPr>
              <w:t>nformal, 83% (2020)</w:t>
            </w:r>
          </w:p>
          <w:p w14:paraId="647893AF" w14:textId="58B2EA81" w:rsidR="007E0EFC" w:rsidRPr="00547151" w:rsidRDefault="007E0EFC" w:rsidP="005013D8">
            <w:pPr>
              <w:rPr>
                <w:color w:val="000000"/>
                <w:sz w:val="16"/>
                <w:szCs w:val="16"/>
                <w:lang w:val="en-GB"/>
              </w:rPr>
            </w:pPr>
            <w:r w:rsidRPr="00547151">
              <w:rPr>
                <w:color w:val="000000"/>
                <w:sz w:val="16"/>
                <w:szCs w:val="16"/>
                <w:lang w:val="en-GB"/>
              </w:rPr>
              <w:t xml:space="preserve">Target ): Formal 25%, </w:t>
            </w:r>
            <w:r w:rsidR="002E176C" w:rsidRPr="00547151">
              <w:rPr>
                <w:color w:val="000000"/>
                <w:sz w:val="16"/>
                <w:szCs w:val="16"/>
                <w:lang w:val="en-GB"/>
              </w:rPr>
              <w:t>i</w:t>
            </w:r>
            <w:r w:rsidRPr="00547151">
              <w:rPr>
                <w:color w:val="000000"/>
                <w:sz w:val="16"/>
                <w:szCs w:val="16"/>
                <w:lang w:val="en-GB"/>
              </w:rPr>
              <w:t>nformal75% (2026)</w:t>
            </w:r>
          </w:p>
          <w:p w14:paraId="592E2BF8" w14:textId="62DB2CBB" w:rsidR="000D7025" w:rsidRPr="00547151" w:rsidRDefault="007E0EFC" w:rsidP="005013D8">
            <w:pPr>
              <w:rPr>
                <w:color w:val="000000"/>
                <w:sz w:val="16"/>
                <w:szCs w:val="16"/>
                <w:lang w:val="en-GB"/>
              </w:rPr>
            </w:pPr>
            <w:r w:rsidRPr="00547151">
              <w:rPr>
                <w:color w:val="000000"/>
                <w:sz w:val="16"/>
                <w:szCs w:val="16"/>
                <w:lang w:val="en-GB"/>
              </w:rPr>
              <w:t>Data source</w:t>
            </w:r>
            <w:r w:rsidR="00C679FB" w:rsidRPr="00547151">
              <w:rPr>
                <w:color w:val="000000"/>
                <w:sz w:val="16"/>
                <w:szCs w:val="16"/>
                <w:lang w:val="en-GB"/>
              </w:rPr>
              <w:t>:</w:t>
            </w:r>
            <w:r w:rsidRPr="00547151">
              <w:rPr>
                <w:color w:val="000000"/>
                <w:sz w:val="16"/>
                <w:szCs w:val="16"/>
                <w:lang w:val="en-GB"/>
              </w:rPr>
              <w:t xml:space="preserve"> KNBS, Ministry of Labour</w:t>
            </w:r>
          </w:p>
          <w:p w14:paraId="00C68C66" w14:textId="0D4FE1EC" w:rsidR="007E0EFC" w:rsidRPr="00547151" w:rsidRDefault="000D7025" w:rsidP="005013D8">
            <w:pPr>
              <w:rPr>
                <w:b/>
                <w:bCs/>
                <w:color w:val="000000"/>
                <w:sz w:val="16"/>
                <w:szCs w:val="16"/>
                <w:lang w:val="en-GB"/>
              </w:rPr>
            </w:pPr>
            <w:r w:rsidRPr="00547151">
              <w:rPr>
                <w:color w:val="000000"/>
                <w:sz w:val="16"/>
                <w:szCs w:val="16"/>
                <w:lang w:val="en-GB"/>
              </w:rPr>
              <w:t xml:space="preserve">Frequency: </w:t>
            </w:r>
            <w:r w:rsidR="007E0EFC" w:rsidRPr="00547151">
              <w:rPr>
                <w:color w:val="000000"/>
                <w:sz w:val="16"/>
                <w:szCs w:val="16"/>
                <w:lang w:val="en-GB"/>
              </w:rPr>
              <w:t>Annual</w:t>
            </w:r>
          </w:p>
          <w:p w14:paraId="5C04E724" w14:textId="77777777" w:rsidR="007E0EFC" w:rsidRPr="00547151" w:rsidRDefault="007E0EFC" w:rsidP="005013D8">
            <w:pPr>
              <w:ind w:left="720"/>
              <w:rPr>
                <w:b/>
                <w:bCs/>
                <w:color w:val="000000"/>
                <w:sz w:val="16"/>
                <w:szCs w:val="16"/>
                <w:lang w:val="en-GB"/>
              </w:rPr>
            </w:pPr>
          </w:p>
          <w:p w14:paraId="432431DC" w14:textId="6811345E" w:rsidR="007E0EFC" w:rsidRPr="00547151" w:rsidRDefault="007E0EFC" w:rsidP="005013D8">
            <w:pPr>
              <w:rPr>
                <w:b/>
                <w:bCs/>
                <w:color w:val="000000"/>
                <w:sz w:val="16"/>
                <w:szCs w:val="16"/>
                <w:lang w:val="en-GB"/>
              </w:rPr>
            </w:pPr>
            <w:r w:rsidRPr="00547151">
              <w:rPr>
                <w:b/>
                <w:bCs/>
                <w:color w:val="000000"/>
                <w:sz w:val="16"/>
                <w:szCs w:val="16"/>
                <w:lang w:val="en-GB"/>
              </w:rPr>
              <w:t>Indicator 2.3.2</w:t>
            </w:r>
            <w:r w:rsidR="002E176C" w:rsidRPr="00547151">
              <w:rPr>
                <w:b/>
                <w:bCs/>
                <w:color w:val="000000"/>
                <w:sz w:val="16"/>
                <w:szCs w:val="16"/>
                <w:lang w:val="en-GB"/>
              </w:rPr>
              <w:t>.</w:t>
            </w:r>
          </w:p>
          <w:p w14:paraId="5E99ABCC" w14:textId="28614CE5" w:rsidR="007E0EFC" w:rsidRPr="009E6278" w:rsidRDefault="007E0EFC" w:rsidP="005013D8">
            <w:pPr>
              <w:pStyle w:val="Default"/>
              <w:rPr>
                <w:sz w:val="16"/>
                <w:szCs w:val="16"/>
                <w:lang w:val="en-GB"/>
              </w:rPr>
            </w:pPr>
            <w:r w:rsidRPr="009E6278">
              <w:rPr>
                <w:sz w:val="16"/>
                <w:szCs w:val="16"/>
                <w:lang w:val="en-GB"/>
              </w:rPr>
              <w:t>Number of innovative products and services certified for existing and emerging markets by women- and youth-led MSMEs in productive sectors</w:t>
            </w:r>
            <w:r w:rsidR="002E176C" w:rsidRPr="00547151">
              <w:rPr>
                <w:sz w:val="16"/>
                <w:szCs w:val="16"/>
                <w:lang w:val="en-GB"/>
              </w:rPr>
              <w:t>,</w:t>
            </w:r>
            <w:r w:rsidRPr="009E6278">
              <w:rPr>
                <w:sz w:val="16"/>
                <w:szCs w:val="16"/>
                <w:lang w:val="en-GB"/>
              </w:rPr>
              <w:t xml:space="preserve"> disaggregated by sector </w:t>
            </w:r>
          </w:p>
          <w:p w14:paraId="48609A02" w14:textId="7712E717" w:rsidR="007E0EFC" w:rsidRPr="00547151" w:rsidRDefault="007E0EFC" w:rsidP="005013D8">
            <w:pPr>
              <w:rPr>
                <w:color w:val="000000"/>
                <w:sz w:val="16"/>
                <w:szCs w:val="16"/>
                <w:lang w:val="en-GB"/>
              </w:rPr>
            </w:pPr>
            <w:r w:rsidRPr="00547151">
              <w:rPr>
                <w:color w:val="000000"/>
                <w:sz w:val="16"/>
                <w:szCs w:val="16"/>
                <w:lang w:val="en-GB"/>
              </w:rPr>
              <w:t xml:space="preserve">Baseline: 290 </w:t>
            </w:r>
            <w:r w:rsidR="000D7025" w:rsidRPr="00547151">
              <w:rPr>
                <w:color w:val="000000"/>
                <w:sz w:val="16"/>
                <w:szCs w:val="16"/>
                <w:lang w:val="en-GB"/>
              </w:rPr>
              <w:t>(</w:t>
            </w:r>
            <w:r w:rsidRPr="00547151">
              <w:rPr>
                <w:color w:val="000000"/>
                <w:sz w:val="16"/>
                <w:szCs w:val="16"/>
                <w:lang w:val="en-GB"/>
              </w:rPr>
              <w:t>2021</w:t>
            </w:r>
            <w:r w:rsidR="000D7025" w:rsidRPr="00547151">
              <w:rPr>
                <w:color w:val="000000"/>
                <w:sz w:val="16"/>
                <w:szCs w:val="16"/>
                <w:lang w:val="en-GB"/>
              </w:rPr>
              <w:t>)</w:t>
            </w:r>
          </w:p>
          <w:p w14:paraId="3D0123F5" w14:textId="2B38619B" w:rsidR="007E0EFC" w:rsidRPr="00547151" w:rsidRDefault="007E0EFC" w:rsidP="005013D8">
            <w:pPr>
              <w:rPr>
                <w:color w:val="000000"/>
                <w:sz w:val="16"/>
                <w:szCs w:val="16"/>
                <w:lang w:val="en-GB"/>
              </w:rPr>
            </w:pPr>
            <w:r w:rsidRPr="00547151">
              <w:rPr>
                <w:color w:val="000000"/>
                <w:sz w:val="16"/>
                <w:szCs w:val="16"/>
                <w:lang w:val="en-GB"/>
              </w:rPr>
              <w:lastRenderedPageBreak/>
              <w:t xml:space="preserve">Target: 500 </w:t>
            </w:r>
            <w:r w:rsidR="000D7025" w:rsidRPr="00547151">
              <w:rPr>
                <w:color w:val="000000"/>
                <w:sz w:val="16"/>
                <w:szCs w:val="16"/>
                <w:lang w:val="en-GB"/>
              </w:rPr>
              <w:t>(</w:t>
            </w:r>
            <w:r w:rsidRPr="00547151">
              <w:rPr>
                <w:color w:val="000000"/>
                <w:sz w:val="16"/>
                <w:szCs w:val="16"/>
                <w:lang w:val="en-GB"/>
              </w:rPr>
              <w:t>2026</w:t>
            </w:r>
            <w:r w:rsidR="000D7025" w:rsidRPr="00547151">
              <w:rPr>
                <w:color w:val="000000"/>
                <w:sz w:val="16"/>
                <w:szCs w:val="16"/>
                <w:lang w:val="en-GB"/>
              </w:rPr>
              <w:t>)</w:t>
            </w:r>
          </w:p>
          <w:p w14:paraId="6FCD30B0" w14:textId="6196F792" w:rsidR="007E0EFC" w:rsidRPr="00547151" w:rsidRDefault="007E0EFC" w:rsidP="005013D8">
            <w:pPr>
              <w:rPr>
                <w:color w:val="000000"/>
                <w:sz w:val="16"/>
                <w:szCs w:val="16"/>
                <w:lang w:val="en-GB"/>
              </w:rPr>
            </w:pPr>
            <w:r w:rsidRPr="00547151">
              <w:rPr>
                <w:color w:val="000000"/>
                <w:sz w:val="16"/>
                <w:szCs w:val="16"/>
                <w:lang w:val="en-GB"/>
              </w:rPr>
              <w:t xml:space="preserve">Data source: </w:t>
            </w:r>
            <w:r w:rsidR="00E22041" w:rsidRPr="00547151">
              <w:rPr>
                <w:color w:val="000000"/>
                <w:sz w:val="16"/>
                <w:szCs w:val="16"/>
                <w:lang w:val="en-GB"/>
              </w:rPr>
              <w:t xml:space="preserve">Kenya </w:t>
            </w:r>
            <w:r w:rsidRPr="00547151">
              <w:rPr>
                <w:color w:val="000000"/>
                <w:sz w:val="16"/>
                <w:szCs w:val="16"/>
                <w:lang w:val="en-GB"/>
              </w:rPr>
              <w:t>ICT</w:t>
            </w:r>
            <w:r w:rsidR="00E22041" w:rsidRPr="00547151">
              <w:rPr>
                <w:color w:val="000000"/>
                <w:sz w:val="16"/>
                <w:szCs w:val="16"/>
                <w:lang w:val="en-GB"/>
              </w:rPr>
              <w:t xml:space="preserve"> </w:t>
            </w:r>
            <w:r w:rsidRPr="00547151">
              <w:rPr>
                <w:color w:val="000000"/>
                <w:sz w:val="16"/>
                <w:szCs w:val="16"/>
                <w:lang w:val="en-GB"/>
              </w:rPr>
              <w:t xml:space="preserve">Authority; </w:t>
            </w:r>
            <w:r w:rsidR="00E22041" w:rsidRPr="009E6278">
              <w:rPr>
                <w:color w:val="000000"/>
                <w:sz w:val="16"/>
                <w:szCs w:val="16"/>
                <w:lang w:val="en-GB"/>
              </w:rPr>
              <w:t>Kenya Institute of Administration</w:t>
            </w:r>
            <w:r w:rsidRPr="00547151">
              <w:rPr>
                <w:color w:val="000000"/>
                <w:sz w:val="16"/>
                <w:szCs w:val="16"/>
                <w:lang w:val="en-GB"/>
              </w:rPr>
              <w:t xml:space="preserve">; Kenya Intellectual Property Institute </w:t>
            </w:r>
          </w:p>
          <w:p w14:paraId="413E7409" w14:textId="2D3B26AE" w:rsidR="007E0EFC" w:rsidRPr="00547151" w:rsidRDefault="000D7025" w:rsidP="005013D8">
            <w:pPr>
              <w:rPr>
                <w:color w:val="000000"/>
                <w:sz w:val="16"/>
                <w:szCs w:val="16"/>
                <w:lang w:val="en-GB"/>
              </w:rPr>
            </w:pPr>
            <w:r w:rsidRPr="00547151">
              <w:rPr>
                <w:color w:val="000000"/>
                <w:sz w:val="16"/>
                <w:szCs w:val="16"/>
                <w:lang w:val="en-GB"/>
              </w:rPr>
              <w:t>Frequency: Annual</w:t>
            </w:r>
          </w:p>
        </w:tc>
        <w:tc>
          <w:tcPr>
            <w:tcW w:w="861" w:type="pct"/>
            <w:gridSpan w:val="2"/>
            <w:vMerge w:val="restart"/>
          </w:tcPr>
          <w:p w14:paraId="13F652EA" w14:textId="7E6A2674" w:rsidR="007E0EFC" w:rsidRPr="009E6278" w:rsidRDefault="007E0EFC" w:rsidP="005013D8">
            <w:pPr>
              <w:rPr>
                <w:color w:val="000000"/>
                <w:sz w:val="16"/>
                <w:szCs w:val="16"/>
                <w:lang w:val="en-GB"/>
              </w:rPr>
            </w:pPr>
            <w:r w:rsidRPr="009E6278">
              <w:rPr>
                <w:color w:val="000000"/>
                <w:sz w:val="16"/>
                <w:szCs w:val="16"/>
                <w:lang w:val="en-GB"/>
              </w:rPr>
              <w:lastRenderedPageBreak/>
              <w:t>M</w:t>
            </w:r>
            <w:r w:rsidR="00BA32A0" w:rsidRPr="009E6278">
              <w:rPr>
                <w:color w:val="000000"/>
                <w:sz w:val="16"/>
                <w:szCs w:val="16"/>
                <w:lang w:val="en-GB"/>
              </w:rPr>
              <w:t>OD</w:t>
            </w:r>
          </w:p>
          <w:p w14:paraId="6BD7A615" w14:textId="7052D2D7" w:rsidR="007E0EFC" w:rsidRPr="009E6278" w:rsidRDefault="009540D9" w:rsidP="005013D8">
            <w:pPr>
              <w:rPr>
                <w:color w:val="000000"/>
                <w:sz w:val="16"/>
                <w:szCs w:val="16"/>
                <w:lang w:val="en-GB"/>
              </w:rPr>
            </w:pPr>
            <w:r w:rsidRPr="00547151">
              <w:rPr>
                <w:color w:val="000000"/>
                <w:sz w:val="16"/>
                <w:szCs w:val="16"/>
                <w:lang w:val="en-GB"/>
              </w:rPr>
              <w:t>Ministry of Industrialization, Trade and Enterprise Development (</w:t>
            </w:r>
            <w:r w:rsidR="00911BBF" w:rsidRPr="009E6278">
              <w:rPr>
                <w:color w:val="000000"/>
                <w:sz w:val="16"/>
                <w:szCs w:val="16"/>
                <w:lang w:val="en-GB"/>
              </w:rPr>
              <w:t>M</w:t>
            </w:r>
            <w:r w:rsidR="00E778EE" w:rsidRPr="00547151">
              <w:rPr>
                <w:color w:val="000000"/>
                <w:sz w:val="16"/>
                <w:szCs w:val="16"/>
                <w:lang w:val="en-GB"/>
              </w:rPr>
              <w:t>O</w:t>
            </w:r>
            <w:r w:rsidR="00911BBF" w:rsidRPr="009E6278">
              <w:rPr>
                <w:color w:val="000000"/>
                <w:sz w:val="16"/>
                <w:szCs w:val="16"/>
                <w:lang w:val="en-GB"/>
              </w:rPr>
              <w:t>ITED</w:t>
            </w:r>
            <w:r w:rsidR="007E0EFC" w:rsidRPr="009E6278">
              <w:rPr>
                <w:color w:val="000000"/>
                <w:sz w:val="16"/>
                <w:szCs w:val="16"/>
                <w:lang w:val="en-GB"/>
              </w:rPr>
              <w:t xml:space="preserve"> </w:t>
            </w:r>
          </w:p>
          <w:p w14:paraId="02028BB9" w14:textId="346F6456" w:rsidR="00E778EE" w:rsidRPr="00547151" w:rsidRDefault="007E0EFC" w:rsidP="005013D8">
            <w:pPr>
              <w:rPr>
                <w:color w:val="000000"/>
                <w:sz w:val="16"/>
                <w:szCs w:val="16"/>
                <w:lang w:val="en-GB"/>
              </w:rPr>
            </w:pPr>
            <w:r w:rsidRPr="009E6278">
              <w:rPr>
                <w:color w:val="000000"/>
                <w:sz w:val="16"/>
                <w:szCs w:val="16"/>
                <w:lang w:val="en-GB"/>
              </w:rPr>
              <w:t>National Treasury, Kenya Industrial Training Institute</w:t>
            </w:r>
            <w:r w:rsidR="00E778EE" w:rsidRPr="00547151">
              <w:rPr>
                <w:color w:val="000000"/>
                <w:sz w:val="16"/>
                <w:szCs w:val="16"/>
                <w:lang w:val="en-GB"/>
              </w:rPr>
              <w:t xml:space="preserve"> </w:t>
            </w:r>
            <w:r w:rsidRPr="009E6278">
              <w:rPr>
                <w:color w:val="000000"/>
                <w:sz w:val="16"/>
                <w:szCs w:val="16"/>
                <w:lang w:val="en-GB"/>
              </w:rPr>
              <w:lastRenderedPageBreak/>
              <w:t>Kenya National Chamber of Commerce and Industry</w:t>
            </w:r>
          </w:p>
          <w:p w14:paraId="4B0B73FB" w14:textId="4A849B82" w:rsidR="007E0EFC" w:rsidRPr="009E6278" w:rsidRDefault="007E0EFC" w:rsidP="005013D8">
            <w:pPr>
              <w:rPr>
                <w:color w:val="000000"/>
                <w:sz w:val="16"/>
                <w:szCs w:val="16"/>
                <w:lang w:val="en-GB"/>
              </w:rPr>
            </w:pPr>
            <w:r w:rsidRPr="009E6278">
              <w:rPr>
                <w:color w:val="000000"/>
                <w:sz w:val="16"/>
                <w:szCs w:val="16"/>
                <w:lang w:val="en-GB"/>
              </w:rPr>
              <w:t>Kenya Private Sector Alliance</w:t>
            </w:r>
          </w:p>
          <w:p w14:paraId="116D43DF" w14:textId="4E2746CC" w:rsidR="007E0EFC" w:rsidRPr="009E6278" w:rsidRDefault="007E0EFC" w:rsidP="005013D8">
            <w:pPr>
              <w:rPr>
                <w:color w:val="000000"/>
                <w:sz w:val="16"/>
                <w:szCs w:val="16"/>
                <w:lang w:val="en-GB"/>
              </w:rPr>
            </w:pPr>
            <w:r w:rsidRPr="009E6278">
              <w:rPr>
                <w:color w:val="000000"/>
                <w:sz w:val="16"/>
                <w:szCs w:val="16"/>
                <w:lang w:val="en-GB"/>
              </w:rPr>
              <w:t xml:space="preserve">Kenya Investment Authority </w:t>
            </w:r>
            <w:r w:rsidR="00E778EE" w:rsidRPr="009E6278">
              <w:rPr>
                <w:color w:val="000000"/>
                <w:sz w:val="16"/>
                <w:szCs w:val="16"/>
                <w:lang w:val="en-GB"/>
              </w:rPr>
              <w:t>Kenya Association of Manufacturers</w:t>
            </w:r>
            <w:r w:rsidR="002E176C" w:rsidRPr="009E6278">
              <w:rPr>
                <w:color w:val="000000"/>
                <w:sz w:val="16"/>
                <w:szCs w:val="16"/>
                <w:lang w:val="en-GB"/>
              </w:rPr>
              <w:t xml:space="preserve"> (</w:t>
            </w:r>
            <w:r w:rsidRPr="009E6278">
              <w:rPr>
                <w:color w:val="000000"/>
                <w:sz w:val="16"/>
                <w:szCs w:val="16"/>
                <w:lang w:val="en-GB"/>
              </w:rPr>
              <w:t>KAM</w:t>
            </w:r>
            <w:r w:rsidR="002E176C" w:rsidRPr="00547151">
              <w:rPr>
                <w:color w:val="000000"/>
                <w:sz w:val="16"/>
                <w:szCs w:val="16"/>
                <w:lang w:val="en-GB"/>
              </w:rPr>
              <w:t>)</w:t>
            </w:r>
          </w:p>
          <w:p w14:paraId="244295D1" w14:textId="53D3E8EF" w:rsidR="00E778EE" w:rsidRPr="00547151" w:rsidRDefault="002E176C" w:rsidP="005013D8">
            <w:pPr>
              <w:rPr>
                <w:color w:val="000000"/>
                <w:sz w:val="16"/>
                <w:szCs w:val="16"/>
                <w:lang w:val="en-GB"/>
              </w:rPr>
            </w:pPr>
            <w:r w:rsidRPr="00547151">
              <w:rPr>
                <w:color w:val="000000"/>
                <w:sz w:val="16"/>
                <w:szCs w:val="16"/>
                <w:lang w:val="en-GB"/>
              </w:rPr>
              <w:t>International Labour Organization</w:t>
            </w:r>
          </w:p>
          <w:p w14:paraId="51A9865A" w14:textId="1162CDCD" w:rsidR="00E778EE" w:rsidRPr="00547151" w:rsidRDefault="002E176C" w:rsidP="005013D8">
            <w:pPr>
              <w:rPr>
                <w:color w:val="000000"/>
                <w:sz w:val="16"/>
                <w:szCs w:val="16"/>
                <w:lang w:val="en-GB"/>
              </w:rPr>
            </w:pPr>
            <w:r w:rsidRPr="009E6278">
              <w:rPr>
                <w:color w:val="000000"/>
                <w:sz w:val="16"/>
                <w:szCs w:val="16"/>
                <w:lang w:val="en-GB"/>
              </w:rPr>
              <w:t>United Nations Industrial Development Organization</w:t>
            </w:r>
          </w:p>
          <w:p w14:paraId="1D5C237C" w14:textId="167DFDE7" w:rsidR="00E778EE" w:rsidRPr="00547151" w:rsidRDefault="007E0EFC" w:rsidP="005013D8">
            <w:pPr>
              <w:rPr>
                <w:color w:val="000000"/>
                <w:sz w:val="16"/>
                <w:szCs w:val="16"/>
                <w:lang w:val="en-GB"/>
              </w:rPr>
            </w:pPr>
            <w:r w:rsidRPr="009E6278">
              <w:rPr>
                <w:color w:val="000000"/>
                <w:sz w:val="16"/>
                <w:szCs w:val="16"/>
                <w:lang w:val="en-GB"/>
              </w:rPr>
              <w:t>FAO</w:t>
            </w:r>
          </w:p>
          <w:p w14:paraId="604652FF" w14:textId="72997441" w:rsidR="00E778EE" w:rsidRPr="00547151" w:rsidRDefault="007E0EFC">
            <w:pPr>
              <w:rPr>
                <w:color w:val="000000"/>
                <w:sz w:val="16"/>
                <w:szCs w:val="16"/>
                <w:lang w:val="en-GB"/>
              </w:rPr>
            </w:pPr>
            <w:r w:rsidRPr="009E6278">
              <w:rPr>
                <w:color w:val="000000"/>
                <w:sz w:val="16"/>
                <w:szCs w:val="16"/>
                <w:lang w:val="en-GB"/>
              </w:rPr>
              <w:t>UNCDF</w:t>
            </w:r>
          </w:p>
          <w:p w14:paraId="448F40AB" w14:textId="040DE005" w:rsidR="00E778EE" w:rsidRPr="00547151" w:rsidRDefault="002E176C">
            <w:pPr>
              <w:rPr>
                <w:color w:val="000000"/>
                <w:sz w:val="16"/>
                <w:szCs w:val="16"/>
                <w:lang w:val="en-GB"/>
              </w:rPr>
            </w:pPr>
            <w:r w:rsidRPr="009E6278">
              <w:rPr>
                <w:color w:val="000000"/>
                <w:sz w:val="16"/>
                <w:szCs w:val="16"/>
                <w:lang w:val="en-GB"/>
              </w:rPr>
              <w:t>United Nations Conference on Trade and Development</w:t>
            </w:r>
          </w:p>
          <w:p w14:paraId="34769AD3" w14:textId="306AE614" w:rsidR="00E778EE" w:rsidRPr="00547151" w:rsidRDefault="002E176C" w:rsidP="00E778EE">
            <w:pPr>
              <w:rPr>
                <w:color w:val="000000"/>
                <w:sz w:val="16"/>
                <w:szCs w:val="16"/>
                <w:lang w:val="en-GB"/>
              </w:rPr>
            </w:pPr>
            <w:r w:rsidRPr="00547151">
              <w:rPr>
                <w:color w:val="000000"/>
                <w:sz w:val="16"/>
                <w:szCs w:val="16"/>
                <w:lang w:val="en-GB"/>
              </w:rPr>
              <w:t>European Union</w:t>
            </w:r>
          </w:p>
          <w:p w14:paraId="04DDC3EA" w14:textId="2357E3C7" w:rsidR="00E778EE" w:rsidRPr="00547151" w:rsidRDefault="00A63ABD">
            <w:pPr>
              <w:rPr>
                <w:color w:val="000000"/>
                <w:sz w:val="16"/>
                <w:szCs w:val="16"/>
                <w:lang w:val="en-GB"/>
              </w:rPr>
            </w:pPr>
            <w:r w:rsidRPr="009E6278">
              <w:rPr>
                <w:color w:val="000000"/>
                <w:sz w:val="16"/>
                <w:szCs w:val="16"/>
                <w:lang w:val="en-GB"/>
              </w:rPr>
              <w:t>Sweden</w:t>
            </w:r>
          </w:p>
          <w:p w14:paraId="3B2308A7" w14:textId="245CE0C0" w:rsidR="00E778EE" w:rsidRPr="00547151" w:rsidRDefault="000A6E6D">
            <w:pPr>
              <w:rPr>
                <w:color w:val="000000"/>
                <w:sz w:val="16"/>
                <w:szCs w:val="16"/>
                <w:lang w:val="en-GB"/>
              </w:rPr>
            </w:pPr>
            <w:r w:rsidRPr="009E6278">
              <w:rPr>
                <w:color w:val="000000"/>
                <w:sz w:val="16"/>
                <w:szCs w:val="16"/>
                <w:lang w:val="en-GB"/>
              </w:rPr>
              <w:t>Russia</w:t>
            </w:r>
          </w:p>
          <w:p w14:paraId="27D173C4" w14:textId="1A26F0FB" w:rsidR="007E0EFC" w:rsidRPr="00547151" w:rsidRDefault="000A6E6D">
            <w:pPr>
              <w:rPr>
                <w:color w:val="000000"/>
                <w:sz w:val="16"/>
                <w:szCs w:val="16"/>
                <w:lang w:val="en-GB"/>
              </w:rPr>
            </w:pPr>
            <w:r w:rsidRPr="009E6278">
              <w:rPr>
                <w:color w:val="000000"/>
                <w:sz w:val="16"/>
                <w:szCs w:val="16"/>
                <w:lang w:val="en-GB"/>
              </w:rPr>
              <w:t>Japan</w:t>
            </w:r>
          </w:p>
        </w:tc>
        <w:tc>
          <w:tcPr>
            <w:tcW w:w="772" w:type="pct"/>
            <w:tcMar>
              <w:top w:w="15" w:type="dxa"/>
              <w:left w:w="108" w:type="dxa"/>
              <w:bottom w:w="0" w:type="dxa"/>
              <w:right w:w="108" w:type="dxa"/>
            </w:tcMar>
          </w:tcPr>
          <w:p w14:paraId="2952F10F" w14:textId="760FF588" w:rsidR="007E0EFC" w:rsidRPr="009E6278" w:rsidRDefault="007E0EFC" w:rsidP="005013D8">
            <w:pPr>
              <w:rPr>
                <w:b/>
                <w:color w:val="000000"/>
                <w:sz w:val="16"/>
                <w:szCs w:val="16"/>
                <w:lang w:val="en-GB"/>
              </w:rPr>
            </w:pPr>
            <w:r w:rsidRPr="009E6278">
              <w:rPr>
                <w:b/>
                <w:color w:val="000000"/>
                <w:sz w:val="16"/>
                <w:szCs w:val="16"/>
                <w:lang w:val="en-GB"/>
              </w:rPr>
              <w:lastRenderedPageBreak/>
              <w:t>Regular</w:t>
            </w:r>
            <w:r w:rsidR="00EB02FB" w:rsidRPr="009E6278">
              <w:rPr>
                <w:b/>
                <w:color w:val="000000"/>
                <w:sz w:val="16"/>
                <w:szCs w:val="16"/>
                <w:lang w:val="en-GB"/>
              </w:rPr>
              <w:t xml:space="preserve"> –</w:t>
            </w:r>
            <w:r w:rsidR="00423140" w:rsidRPr="009E6278">
              <w:rPr>
                <w:b/>
                <w:color w:val="000000"/>
                <w:sz w:val="16"/>
                <w:szCs w:val="16"/>
                <w:lang w:val="en-GB"/>
              </w:rPr>
              <w:t xml:space="preserve"> $</w:t>
            </w:r>
            <w:r w:rsidR="00864C18" w:rsidRPr="009E6278">
              <w:rPr>
                <w:b/>
                <w:color w:val="000000"/>
                <w:sz w:val="16"/>
                <w:szCs w:val="16"/>
                <w:lang w:val="en-GB"/>
              </w:rPr>
              <w:t>3.8</w:t>
            </w:r>
            <w:r w:rsidR="00EB02FB" w:rsidRPr="009E6278">
              <w:rPr>
                <w:b/>
                <w:color w:val="000000"/>
                <w:sz w:val="16"/>
                <w:szCs w:val="16"/>
                <w:lang w:val="en-GB"/>
              </w:rPr>
              <w:t xml:space="preserve"> million</w:t>
            </w:r>
          </w:p>
        </w:tc>
      </w:tr>
      <w:tr w:rsidR="007E0EFC" w:rsidRPr="00547151" w14:paraId="66635448" w14:textId="77777777" w:rsidTr="00F358B4">
        <w:tc>
          <w:tcPr>
            <w:tcW w:w="1097" w:type="pct"/>
            <w:vMerge/>
            <w:tcMar>
              <w:top w:w="72" w:type="dxa"/>
              <w:left w:w="144" w:type="dxa"/>
              <w:bottom w:w="72" w:type="dxa"/>
              <w:right w:w="144" w:type="dxa"/>
            </w:tcMar>
          </w:tcPr>
          <w:p w14:paraId="2739FA61" w14:textId="77777777" w:rsidR="007E0EFC" w:rsidRPr="00547151" w:rsidRDefault="007E0EFC" w:rsidP="005013D8">
            <w:pPr>
              <w:rPr>
                <w:color w:val="000000"/>
                <w:sz w:val="16"/>
                <w:szCs w:val="16"/>
                <w:lang w:val="en-GB"/>
              </w:rPr>
            </w:pPr>
          </w:p>
        </w:tc>
        <w:tc>
          <w:tcPr>
            <w:tcW w:w="1178" w:type="pct"/>
            <w:vMerge/>
          </w:tcPr>
          <w:p w14:paraId="76472B55" w14:textId="77777777" w:rsidR="007E0EFC" w:rsidRPr="00547151" w:rsidRDefault="007E0EFC" w:rsidP="005013D8">
            <w:pPr>
              <w:rPr>
                <w:color w:val="000000"/>
                <w:sz w:val="16"/>
                <w:szCs w:val="16"/>
                <w:lang w:val="en-GB"/>
              </w:rPr>
            </w:pPr>
          </w:p>
        </w:tc>
        <w:tc>
          <w:tcPr>
            <w:tcW w:w="1092" w:type="pct"/>
            <w:vMerge/>
            <w:tcMar>
              <w:top w:w="72" w:type="dxa"/>
              <w:left w:w="144" w:type="dxa"/>
              <w:bottom w:w="72" w:type="dxa"/>
              <w:right w:w="144" w:type="dxa"/>
            </w:tcMar>
          </w:tcPr>
          <w:p w14:paraId="235662C0" w14:textId="77777777" w:rsidR="007E0EFC" w:rsidRPr="00547151" w:rsidRDefault="007E0EFC" w:rsidP="005013D8">
            <w:pPr>
              <w:rPr>
                <w:color w:val="000000"/>
                <w:sz w:val="16"/>
                <w:szCs w:val="16"/>
                <w:lang w:val="en-GB"/>
              </w:rPr>
            </w:pPr>
          </w:p>
        </w:tc>
        <w:tc>
          <w:tcPr>
            <w:tcW w:w="861" w:type="pct"/>
            <w:gridSpan w:val="2"/>
            <w:vMerge/>
          </w:tcPr>
          <w:p w14:paraId="441737CA" w14:textId="77777777" w:rsidR="007E0EFC" w:rsidRPr="00547151" w:rsidRDefault="007E0EFC" w:rsidP="005013D8">
            <w:pPr>
              <w:rPr>
                <w:color w:val="000000"/>
                <w:sz w:val="16"/>
                <w:szCs w:val="16"/>
                <w:lang w:val="en-GB"/>
              </w:rPr>
            </w:pPr>
          </w:p>
        </w:tc>
        <w:tc>
          <w:tcPr>
            <w:tcW w:w="772" w:type="pct"/>
            <w:tcMar>
              <w:top w:w="15" w:type="dxa"/>
              <w:left w:w="108" w:type="dxa"/>
              <w:bottom w:w="0" w:type="dxa"/>
              <w:right w:w="108" w:type="dxa"/>
            </w:tcMar>
          </w:tcPr>
          <w:p w14:paraId="49C42AA1" w14:textId="25F80859" w:rsidR="007E0EFC" w:rsidRPr="009E6278" w:rsidRDefault="007E0EFC" w:rsidP="005013D8">
            <w:pPr>
              <w:rPr>
                <w:b/>
                <w:color w:val="000000"/>
                <w:sz w:val="16"/>
                <w:szCs w:val="16"/>
                <w:lang w:val="en-GB"/>
              </w:rPr>
            </w:pPr>
            <w:r w:rsidRPr="009E6278">
              <w:rPr>
                <w:b/>
                <w:color w:val="000000"/>
                <w:sz w:val="16"/>
                <w:szCs w:val="16"/>
                <w:lang w:val="en-GB"/>
              </w:rPr>
              <w:t>Other</w:t>
            </w:r>
            <w:r w:rsidR="00EB02FB" w:rsidRPr="009E6278">
              <w:rPr>
                <w:b/>
                <w:color w:val="000000"/>
                <w:sz w:val="16"/>
                <w:szCs w:val="16"/>
                <w:lang w:val="en-GB"/>
              </w:rPr>
              <w:t xml:space="preserve"> – </w:t>
            </w:r>
            <w:r w:rsidR="00423140" w:rsidRPr="009E6278">
              <w:rPr>
                <w:b/>
                <w:color w:val="000000"/>
                <w:sz w:val="16"/>
                <w:szCs w:val="16"/>
                <w:lang w:val="en-GB"/>
              </w:rPr>
              <w:t>$</w:t>
            </w:r>
            <w:r w:rsidR="00EB02FB" w:rsidRPr="009E6278">
              <w:rPr>
                <w:b/>
                <w:color w:val="000000"/>
                <w:sz w:val="16"/>
                <w:szCs w:val="16"/>
                <w:lang w:val="en-GB"/>
              </w:rPr>
              <w:t>26</w:t>
            </w:r>
            <w:r w:rsidR="0017598D" w:rsidRPr="009E6278">
              <w:rPr>
                <w:b/>
                <w:color w:val="000000"/>
                <w:sz w:val="16"/>
                <w:szCs w:val="16"/>
                <w:lang w:val="en-GB"/>
              </w:rPr>
              <w:t>.2</w:t>
            </w:r>
            <w:r w:rsidR="00EB02FB" w:rsidRPr="009E6278">
              <w:rPr>
                <w:b/>
                <w:color w:val="000000"/>
                <w:sz w:val="16"/>
                <w:szCs w:val="16"/>
                <w:lang w:val="en-GB"/>
              </w:rPr>
              <w:t xml:space="preserve"> million</w:t>
            </w:r>
          </w:p>
          <w:p w14:paraId="2732E40B" w14:textId="77777777" w:rsidR="007E0EFC" w:rsidRPr="009E6278" w:rsidRDefault="007E0EFC" w:rsidP="005013D8">
            <w:pPr>
              <w:rPr>
                <w:b/>
                <w:color w:val="000000"/>
                <w:sz w:val="16"/>
                <w:szCs w:val="16"/>
                <w:lang w:val="en-GB"/>
              </w:rPr>
            </w:pPr>
          </w:p>
        </w:tc>
      </w:tr>
      <w:tr w:rsidR="00394AEB" w:rsidRPr="00547151" w14:paraId="56FC5296" w14:textId="77777777" w:rsidTr="00F358B4">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72" w:type="dxa"/>
              <w:left w:w="144" w:type="dxa"/>
              <w:bottom w:w="72" w:type="dxa"/>
              <w:right w:w="144" w:type="dxa"/>
            </w:tcMar>
          </w:tcPr>
          <w:p w14:paraId="148F42A4" w14:textId="77777777" w:rsidR="00394AEB" w:rsidRPr="009E6278" w:rsidRDefault="00394AEB" w:rsidP="00F31ED7">
            <w:pPr>
              <w:rPr>
                <w:color w:val="000000"/>
                <w:sz w:val="16"/>
                <w:szCs w:val="16"/>
                <w:lang w:val="en-GB"/>
              </w:rPr>
            </w:pPr>
            <w:r w:rsidRPr="00547151">
              <w:rPr>
                <w:b/>
                <w:bCs/>
                <w:color w:val="000000"/>
                <w:sz w:val="16"/>
                <w:szCs w:val="16"/>
                <w:lang w:val="en-GB"/>
              </w:rPr>
              <w:lastRenderedPageBreak/>
              <w:t xml:space="preserve">NATIONAL PRIORITY OR GOAL: </w:t>
            </w:r>
            <w:r w:rsidRPr="009E6278">
              <w:rPr>
                <w:b/>
                <w:color w:val="000000"/>
                <w:sz w:val="16"/>
                <w:szCs w:val="16"/>
                <w:lang w:val="en-GB"/>
              </w:rPr>
              <w:t>A nation living in a clean, secure and sustainable environment</w:t>
            </w:r>
          </w:p>
        </w:tc>
      </w:tr>
      <w:tr w:rsidR="00394AEB" w:rsidRPr="00547151" w14:paraId="6638C052" w14:textId="77777777" w:rsidTr="00F358B4">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72" w:type="dxa"/>
              <w:left w:w="144" w:type="dxa"/>
              <w:bottom w:w="72" w:type="dxa"/>
              <w:right w:w="144" w:type="dxa"/>
            </w:tcMar>
          </w:tcPr>
          <w:p w14:paraId="28F9297F" w14:textId="20E6810B" w:rsidR="00394AEB" w:rsidRPr="009E6278" w:rsidRDefault="00394AEB" w:rsidP="00F31ED7">
            <w:pPr>
              <w:rPr>
                <w:color w:val="000000" w:themeColor="text1"/>
                <w:sz w:val="16"/>
                <w:szCs w:val="16"/>
                <w:lang w:val="en-GB"/>
              </w:rPr>
            </w:pPr>
            <w:r w:rsidRPr="00547151">
              <w:rPr>
                <w:b/>
                <w:bCs/>
                <w:color w:val="000000"/>
                <w:sz w:val="16"/>
                <w:szCs w:val="16"/>
                <w:lang w:val="en-GB"/>
              </w:rPr>
              <w:t>2.2</w:t>
            </w:r>
            <w:r w:rsidR="00E22041" w:rsidRPr="00547151">
              <w:rPr>
                <w:b/>
                <w:bCs/>
                <w:color w:val="000000"/>
                <w:sz w:val="16"/>
                <w:szCs w:val="16"/>
                <w:lang w:val="en-GB"/>
              </w:rPr>
              <w:t>.</w:t>
            </w:r>
            <w:r w:rsidRPr="00547151">
              <w:rPr>
                <w:b/>
                <w:bCs/>
                <w:color w:val="000000"/>
                <w:sz w:val="16"/>
                <w:szCs w:val="16"/>
                <w:lang w:val="en-GB"/>
              </w:rPr>
              <w:t xml:space="preserve"> COOPERATION FRAMEWORK (OR EQUIVALENT) OUTCOME INVOLVING UNDP </w:t>
            </w:r>
            <w:r w:rsidR="00E22041" w:rsidRPr="00547151">
              <w:rPr>
                <w:b/>
                <w:bCs/>
                <w:color w:val="000000"/>
                <w:sz w:val="16"/>
                <w:szCs w:val="16"/>
                <w:lang w:val="en-GB"/>
              </w:rPr>
              <w:t xml:space="preserve">No. </w:t>
            </w:r>
            <w:r w:rsidRPr="00547151">
              <w:rPr>
                <w:b/>
                <w:bCs/>
                <w:color w:val="000000"/>
                <w:sz w:val="16"/>
                <w:szCs w:val="16"/>
                <w:lang w:val="en-GB"/>
              </w:rPr>
              <w:t>3</w:t>
            </w:r>
            <w:r w:rsidR="00E22041" w:rsidRPr="00547151">
              <w:rPr>
                <w:b/>
                <w:bCs/>
                <w:color w:val="000000"/>
                <w:sz w:val="16"/>
                <w:szCs w:val="16"/>
                <w:lang w:val="en-GB"/>
              </w:rPr>
              <w:t>.</w:t>
            </w:r>
            <w:r w:rsidRPr="00547151">
              <w:rPr>
                <w:b/>
                <w:bCs/>
                <w:color w:val="000000"/>
                <w:sz w:val="16"/>
                <w:szCs w:val="16"/>
                <w:lang w:val="en-GB"/>
              </w:rPr>
              <w:t xml:space="preserve"> </w:t>
            </w:r>
            <w:r w:rsidRPr="009E6278">
              <w:rPr>
                <w:b/>
                <w:bCs/>
                <w:color w:val="000000" w:themeColor="text1"/>
                <w:sz w:val="16"/>
                <w:szCs w:val="16"/>
                <w:lang w:val="en-GB"/>
              </w:rPr>
              <w:t xml:space="preserve">By 2026, people in Kenya at risk of being left behind </w:t>
            </w:r>
            <w:r w:rsidR="009540D9" w:rsidRPr="00547151">
              <w:rPr>
                <w:b/>
                <w:bCs/>
                <w:color w:val="000000" w:themeColor="text1"/>
                <w:sz w:val="16"/>
                <w:szCs w:val="16"/>
                <w:lang w:val="en-GB"/>
              </w:rPr>
              <w:t>–</w:t>
            </w:r>
            <w:r w:rsidRPr="009E6278">
              <w:rPr>
                <w:b/>
                <w:bCs/>
                <w:color w:val="000000" w:themeColor="text1"/>
                <w:sz w:val="16"/>
                <w:szCs w:val="16"/>
                <w:lang w:val="en-GB"/>
              </w:rPr>
              <w:t xml:space="preserve"> particularly in the ASAL counties, informal urban settlements, all women and girls, all children and youth</w:t>
            </w:r>
            <w:r w:rsidR="009540D9" w:rsidRPr="00547151">
              <w:rPr>
                <w:b/>
                <w:bCs/>
                <w:color w:val="000000" w:themeColor="text1"/>
                <w:sz w:val="16"/>
                <w:szCs w:val="16"/>
                <w:lang w:val="en-GB"/>
              </w:rPr>
              <w:t xml:space="preserve"> –</w:t>
            </w:r>
            <w:r w:rsidRPr="009E6278">
              <w:rPr>
                <w:b/>
                <w:bCs/>
                <w:color w:val="000000" w:themeColor="text1"/>
                <w:sz w:val="16"/>
                <w:szCs w:val="16"/>
                <w:lang w:val="en-GB"/>
              </w:rPr>
              <w:t xml:space="preserve"> have access to and derive benefit from sustainably managed ecosystems for nature-based solutions in a green transition.</w:t>
            </w:r>
          </w:p>
          <w:p w14:paraId="79B9C147" w14:textId="673A3D08" w:rsidR="00394AEB" w:rsidRPr="009E6278" w:rsidRDefault="00394AEB" w:rsidP="00F31ED7">
            <w:pPr>
              <w:rPr>
                <w:color w:val="000000"/>
                <w:sz w:val="16"/>
                <w:szCs w:val="16"/>
                <w:lang w:val="en-GB"/>
              </w:rPr>
            </w:pPr>
            <w:r w:rsidRPr="009E6278">
              <w:rPr>
                <w:color w:val="000000"/>
                <w:sz w:val="16"/>
                <w:szCs w:val="16"/>
                <w:lang w:val="en-GB"/>
              </w:rPr>
              <w:t>SDGs 5, 6, 7, 8, 9, 11,</w:t>
            </w:r>
            <w:r w:rsidR="009540D9" w:rsidRPr="00547151">
              <w:rPr>
                <w:color w:val="000000"/>
                <w:sz w:val="16"/>
                <w:szCs w:val="16"/>
                <w:lang w:val="en-GB"/>
              </w:rPr>
              <w:t xml:space="preserve"> </w:t>
            </w:r>
            <w:r w:rsidRPr="009E6278">
              <w:rPr>
                <w:color w:val="000000"/>
                <w:sz w:val="16"/>
                <w:szCs w:val="16"/>
                <w:lang w:val="en-GB"/>
              </w:rPr>
              <w:t>12, 13,</w:t>
            </w:r>
            <w:r w:rsidR="009540D9" w:rsidRPr="00547151">
              <w:rPr>
                <w:color w:val="000000"/>
                <w:sz w:val="16"/>
                <w:szCs w:val="16"/>
                <w:lang w:val="en-GB"/>
              </w:rPr>
              <w:t xml:space="preserve"> </w:t>
            </w:r>
            <w:r w:rsidRPr="009E6278">
              <w:rPr>
                <w:color w:val="000000"/>
                <w:sz w:val="16"/>
                <w:szCs w:val="16"/>
                <w:lang w:val="en-GB"/>
              </w:rPr>
              <w:t>14,</w:t>
            </w:r>
            <w:r w:rsidR="00E22041" w:rsidRPr="00547151">
              <w:rPr>
                <w:color w:val="000000"/>
                <w:sz w:val="16"/>
                <w:szCs w:val="16"/>
                <w:lang w:val="en-GB"/>
              </w:rPr>
              <w:t xml:space="preserve"> </w:t>
            </w:r>
            <w:r w:rsidRPr="009E6278">
              <w:rPr>
                <w:color w:val="000000"/>
                <w:sz w:val="16"/>
                <w:szCs w:val="16"/>
                <w:lang w:val="en-GB"/>
              </w:rPr>
              <w:t>and 15</w:t>
            </w:r>
          </w:p>
        </w:tc>
      </w:tr>
      <w:tr w:rsidR="00394AEB" w:rsidRPr="00547151" w14:paraId="17AD5ED1" w14:textId="77777777" w:rsidTr="00F358B4">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72" w:type="dxa"/>
              <w:left w:w="144" w:type="dxa"/>
              <w:bottom w:w="72" w:type="dxa"/>
              <w:right w:w="144" w:type="dxa"/>
            </w:tcMar>
          </w:tcPr>
          <w:p w14:paraId="2A36E9A0" w14:textId="163B08B4" w:rsidR="00394AEB" w:rsidRPr="00547151" w:rsidRDefault="00394AEB">
            <w:pPr>
              <w:rPr>
                <w:b/>
                <w:bCs/>
                <w:color w:val="000000"/>
                <w:sz w:val="16"/>
                <w:szCs w:val="16"/>
                <w:lang w:val="en-GB"/>
              </w:rPr>
            </w:pPr>
            <w:r w:rsidRPr="00547151">
              <w:rPr>
                <w:b/>
                <w:bCs/>
                <w:color w:val="000000"/>
                <w:sz w:val="16"/>
                <w:szCs w:val="16"/>
                <w:lang w:val="en-GB"/>
              </w:rPr>
              <w:t>RELATED STRATEGIC PLAN OUTCOME</w:t>
            </w:r>
            <w:r w:rsidRPr="00547151">
              <w:rPr>
                <w:b/>
                <w:bCs/>
                <w:sz w:val="16"/>
                <w:szCs w:val="16"/>
                <w:lang w:val="en-GB"/>
              </w:rPr>
              <w:t xml:space="preserve"> 3</w:t>
            </w:r>
            <w:r w:rsidR="00E22041" w:rsidRPr="00547151">
              <w:rPr>
                <w:b/>
                <w:bCs/>
                <w:sz w:val="16"/>
                <w:szCs w:val="16"/>
                <w:lang w:val="en-GB"/>
              </w:rPr>
              <w:t>.</w:t>
            </w:r>
            <w:r w:rsidRPr="00547151">
              <w:rPr>
                <w:b/>
                <w:bCs/>
                <w:sz w:val="16"/>
                <w:szCs w:val="16"/>
                <w:lang w:val="en-GB"/>
              </w:rPr>
              <w:t xml:space="preserve"> Resilience built to respond to systemic uncertainty and risk</w:t>
            </w:r>
          </w:p>
        </w:tc>
      </w:tr>
      <w:tr w:rsidR="00394AEB" w:rsidRPr="00547151" w14:paraId="1CC7E90E" w14:textId="77777777" w:rsidTr="00F358B4">
        <w:tblPrEx>
          <w:tblBorders>
            <w:top w:val="none" w:sz="0" w:space="0" w:color="auto"/>
            <w:left w:val="none" w:sz="0" w:space="0" w:color="auto"/>
            <w:bottom w:val="none" w:sz="0" w:space="0" w:color="auto"/>
            <w:right w:val="none" w:sz="0" w:space="0" w:color="auto"/>
          </w:tblBorders>
        </w:tblPrEx>
        <w:tc>
          <w:tcPr>
            <w:tcW w:w="1097" w:type="pct"/>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5EB46236" w14:textId="77777777" w:rsidR="00394AEB" w:rsidRPr="009E6278" w:rsidRDefault="00394AEB" w:rsidP="00F31ED7">
            <w:pPr>
              <w:rPr>
                <w:sz w:val="16"/>
                <w:szCs w:val="16"/>
                <w:lang w:val="en-GB"/>
              </w:rPr>
            </w:pPr>
            <w:r w:rsidRPr="009E6278">
              <w:rPr>
                <w:b/>
                <w:bCs/>
                <w:sz w:val="16"/>
                <w:szCs w:val="16"/>
                <w:lang w:val="en-GB"/>
              </w:rPr>
              <w:t>Indicator 3.1.</w:t>
            </w:r>
            <w:r w:rsidRPr="009E6278">
              <w:rPr>
                <w:sz w:val="16"/>
                <w:szCs w:val="16"/>
                <w:lang w:val="en-GB"/>
              </w:rPr>
              <w:t xml:space="preserve"> Tree cover as a proportion of total land area (%)  </w:t>
            </w:r>
          </w:p>
          <w:p w14:paraId="49289B91" w14:textId="71C9A892" w:rsidR="00394AEB" w:rsidRPr="009E6278" w:rsidRDefault="00394AEB" w:rsidP="00F31ED7">
            <w:pPr>
              <w:rPr>
                <w:sz w:val="16"/>
                <w:szCs w:val="16"/>
                <w:lang w:val="en-GB"/>
              </w:rPr>
            </w:pPr>
            <w:r w:rsidRPr="009E6278">
              <w:rPr>
                <w:b/>
                <w:bCs/>
                <w:sz w:val="16"/>
                <w:szCs w:val="16"/>
                <w:lang w:val="en-GB"/>
              </w:rPr>
              <w:t>Baseline</w:t>
            </w:r>
            <w:r w:rsidR="009540D9" w:rsidRPr="00547151">
              <w:rPr>
                <w:b/>
                <w:bCs/>
                <w:sz w:val="16"/>
                <w:szCs w:val="16"/>
                <w:lang w:val="en-GB"/>
              </w:rPr>
              <w:t>:</w:t>
            </w:r>
            <w:r w:rsidRPr="009E6278">
              <w:rPr>
                <w:sz w:val="16"/>
                <w:szCs w:val="16"/>
                <w:lang w:val="en-GB"/>
              </w:rPr>
              <w:t xml:space="preserve"> 7.28% (2022)</w:t>
            </w:r>
          </w:p>
          <w:p w14:paraId="35E4DD5F" w14:textId="6054D84E" w:rsidR="00394AEB" w:rsidRPr="009E6278" w:rsidRDefault="00394AEB" w:rsidP="00F31ED7">
            <w:pPr>
              <w:rPr>
                <w:sz w:val="16"/>
                <w:szCs w:val="16"/>
                <w:lang w:val="en-GB"/>
              </w:rPr>
            </w:pPr>
            <w:r w:rsidRPr="009E6278">
              <w:rPr>
                <w:b/>
                <w:bCs/>
                <w:sz w:val="16"/>
                <w:szCs w:val="16"/>
                <w:lang w:val="en-GB"/>
              </w:rPr>
              <w:t>Target</w:t>
            </w:r>
            <w:r w:rsidR="009540D9" w:rsidRPr="00547151">
              <w:rPr>
                <w:b/>
                <w:bCs/>
                <w:sz w:val="16"/>
                <w:szCs w:val="16"/>
                <w:lang w:val="en-GB"/>
              </w:rPr>
              <w:t>:</w:t>
            </w:r>
            <w:r w:rsidRPr="009E6278">
              <w:rPr>
                <w:sz w:val="16"/>
                <w:szCs w:val="16"/>
                <w:lang w:val="en-GB"/>
              </w:rPr>
              <w:t xml:space="preserve"> 12% (2026)</w:t>
            </w:r>
          </w:p>
          <w:p w14:paraId="280D5B3B" w14:textId="77777777" w:rsidR="00394AEB" w:rsidRPr="009E6278" w:rsidRDefault="00394AEB" w:rsidP="00F31ED7">
            <w:pPr>
              <w:rPr>
                <w:sz w:val="16"/>
                <w:szCs w:val="16"/>
                <w:lang w:val="en-GB"/>
              </w:rPr>
            </w:pPr>
          </w:p>
          <w:p w14:paraId="2371B87B" w14:textId="09CDD923" w:rsidR="00394AEB" w:rsidRPr="009E6278" w:rsidRDefault="00394AEB" w:rsidP="00F31ED7">
            <w:pPr>
              <w:rPr>
                <w:sz w:val="16"/>
                <w:szCs w:val="16"/>
                <w:lang w:val="en-GB"/>
              </w:rPr>
            </w:pPr>
            <w:r w:rsidRPr="009E6278">
              <w:rPr>
                <w:b/>
                <w:bCs/>
                <w:sz w:val="16"/>
                <w:szCs w:val="16"/>
                <w:lang w:val="en-GB"/>
              </w:rPr>
              <w:t>Indicator 3.2.</w:t>
            </w:r>
            <w:r w:rsidRPr="009E6278">
              <w:rPr>
                <w:sz w:val="16"/>
                <w:szCs w:val="16"/>
                <w:lang w:val="en-GB"/>
              </w:rPr>
              <w:t xml:space="preserve"> Number of deaths, missing persons and directly affected persons attributed to disasters</w:t>
            </w:r>
            <w:r w:rsidR="00E22041" w:rsidRPr="00547151">
              <w:rPr>
                <w:sz w:val="16"/>
                <w:szCs w:val="16"/>
                <w:lang w:val="en-GB"/>
              </w:rPr>
              <w:t>,</w:t>
            </w:r>
            <w:r w:rsidRPr="009E6278">
              <w:rPr>
                <w:sz w:val="16"/>
                <w:szCs w:val="16"/>
                <w:lang w:val="en-GB"/>
              </w:rPr>
              <w:t xml:space="preserve"> per 100</w:t>
            </w:r>
            <w:r w:rsidR="00E22041" w:rsidRPr="00547151">
              <w:rPr>
                <w:sz w:val="16"/>
                <w:szCs w:val="16"/>
                <w:lang w:val="en-GB"/>
              </w:rPr>
              <w:t>,</w:t>
            </w:r>
            <w:r w:rsidRPr="009E6278">
              <w:rPr>
                <w:sz w:val="16"/>
                <w:szCs w:val="16"/>
                <w:lang w:val="en-GB"/>
              </w:rPr>
              <w:t>000 population</w:t>
            </w:r>
          </w:p>
          <w:p w14:paraId="5CBF1C8D" w14:textId="390FD5E1" w:rsidR="00394AEB" w:rsidRPr="009E6278" w:rsidRDefault="00394AEB" w:rsidP="00F31ED7">
            <w:pPr>
              <w:rPr>
                <w:sz w:val="16"/>
                <w:szCs w:val="16"/>
                <w:lang w:val="en-GB"/>
              </w:rPr>
            </w:pPr>
            <w:r w:rsidRPr="009E6278">
              <w:rPr>
                <w:b/>
                <w:bCs/>
                <w:sz w:val="16"/>
                <w:szCs w:val="16"/>
                <w:lang w:val="en-GB"/>
              </w:rPr>
              <w:t>Baseline</w:t>
            </w:r>
            <w:r w:rsidR="009540D9" w:rsidRPr="00547151">
              <w:rPr>
                <w:b/>
                <w:bCs/>
                <w:sz w:val="16"/>
                <w:szCs w:val="16"/>
                <w:lang w:val="en-GB"/>
              </w:rPr>
              <w:t>:</w:t>
            </w:r>
          </w:p>
          <w:p w14:paraId="2AB72D35" w14:textId="2F8CDB20" w:rsidR="00394AEB" w:rsidRPr="009E6278" w:rsidRDefault="00394AEB" w:rsidP="00F31ED7">
            <w:pPr>
              <w:rPr>
                <w:sz w:val="16"/>
                <w:szCs w:val="16"/>
                <w:lang w:val="en-GB"/>
              </w:rPr>
            </w:pPr>
            <w:r w:rsidRPr="009E6278">
              <w:rPr>
                <w:b/>
                <w:bCs/>
                <w:sz w:val="16"/>
                <w:szCs w:val="16"/>
                <w:lang w:val="en-GB"/>
              </w:rPr>
              <w:t>Target</w:t>
            </w:r>
            <w:r w:rsidR="009540D9" w:rsidRPr="00547151">
              <w:rPr>
                <w:b/>
                <w:bCs/>
                <w:sz w:val="16"/>
                <w:szCs w:val="16"/>
                <w:lang w:val="en-GB"/>
              </w:rPr>
              <w:t>:</w:t>
            </w:r>
            <w:r w:rsidRPr="009E6278">
              <w:rPr>
                <w:sz w:val="16"/>
                <w:szCs w:val="16"/>
                <w:lang w:val="en-GB"/>
              </w:rPr>
              <w:t xml:space="preserve"> </w:t>
            </w:r>
          </w:p>
          <w:p w14:paraId="504E17E1" w14:textId="77777777" w:rsidR="00394AEB" w:rsidRPr="009E6278" w:rsidRDefault="00394AEB" w:rsidP="00F31ED7">
            <w:pPr>
              <w:rPr>
                <w:sz w:val="16"/>
                <w:szCs w:val="16"/>
                <w:lang w:val="en-GB"/>
              </w:rPr>
            </w:pPr>
          </w:p>
          <w:p w14:paraId="5EF6F378" w14:textId="05C5D62C" w:rsidR="00394AEB" w:rsidRPr="009E6278" w:rsidRDefault="00394AEB" w:rsidP="00F31ED7">
            <w:pPr>
              <w:rPr>
                <w:sz w:val="16"/>
                <w:szCs w:val="16"/>
                <w:lang w:val="en-GB"/>
              </w:rPr>
            </w:pPr>
            <w:r w:rsidRPr="009E6278">
              <w:rPr>
                <w:b/>
                <w:bCs/>
                <w:sz w:val="16"/>
                <w:szCs w:val="16"/>
                <w:lang w:val="en-GB"/>
              </w:rPr>
              <w:t>Indicator 3.3.</w:t>
            </w:r>
            <w:r w:rsidRPr="009E6278">
              <w:rPr>
                <w:sz w:val="16"/>
                <w:szCs w:val="16"/>
                <w:lang w:val="en-GB"/>
              </w:rPr>
              <w:t xml:space="preserve"> Percentage of household</w:t>
            </w:r>
            <w:r w:rsidR="009540D9" w:rsidRPr="00547151">
              <w:rPr>
                <w:sz w:val="16"/>
                <w:szCs w:val="16"/>
                <w:lang w:val="en-GB"/>
              </w:rPr>
              <w:t>s</w:t>
            </w:r>
            <w:r w:rsidRPr="009E6278">
              <w:rPr>
                <w:sz w:val="16"/>
                <w:szCs w:val="16"/>
                <w:lang w:val="en-GB"/>
              </w:rPr>
              <w:t xml:space="preserve"> using renewable energy and green technologies.</w:t>
            </w:r>
          </w:p>
          <w:p w14:paraId="42E72F8A" w14:textId="49BF31EB" w:rsidR="00394AEB" w:rsidRPr="009E6278" w:rsidRDefault="00394AEB" w:rsidP="00F31ED7">
            <w:pPr>
              <w:rPr>
                <w:sz w:val="16"/>
                <w:szCs w:val="16"/>
                <w:lang w:val="en-GB"/>
              </w:rPr>
            </w:pPr>
            <w:r w:rsidRPr="009E6278">
              <w:rPr>
                <w:b/>
                <w:bCs/>
                <w:sz w:val="16"/>
                <w:szCs w:val="16"/>
                <w:lang w:val="en-GB"/>
              </w:rPr>
              <w:t>Baseline</w:t>
            </w:r>
            <w:r w:rsidR="009540D9" w:rsidRPr="00547151">
              <w:rPr>
                <w:b/>
                <w:bCs/>
                <w:sz w:val="16"/>
                <w:szCs w:val="16"/>
                <w:lang w:val="en-GB"/>
              </w:rPr>
              <w:t>:</w:t>
            </w:r>
            <w:r w:rsidRPr="009E6278">
              <w:rPr>
                <w:sz w:val="16"/>
                <w:szCs w:val="16"/>
                <w:lang w:val="en-GB"/>
              </w:rPr>
              <w:t xml:space="preserve"> 70% (2022)</w:t>
            </w:r>
          </w:p>
          <w:p w14:paraId="373C4D25" w14:textId="46EACF4D" w:rsidR="00394AEB" w:rsidRPr="009E6278" w:rsidRDefault="00394AEB" w:rsidP="00F31ED7">
            <w:pPr>
              <w:rPr>
                <w:sz w:val="16"/>
                <w:szCs w:val="16"/>
                <w:lang w:val="en-GB"/>
              </w:rPr>
            </w:pPr>
            <w:r w:rsidRPr="009E6278">
              <w:rPr>
                <w:b/>
                <w:bCs/>
                <w:sz w:val="16"/>
                <w:szCs w:val="16"/>
                <w:lang w:val="en-GB"/>
              </w:rPr>
              <w:t>Target</w:t>
            </w:r>
            <w:r w:rsidR="009540D9" w:rsidRPr="00547151">
              <w:rPr>
                <w:b/>
                <w:bCs/>
                <w:sz w:val="16"/>
                <w:szCs w:val="16"/>
                <w:lang w:val="en-GB"/>
              </w:rPr>
              <w:t>:</w:t>
            </w:r>
            <w:r w:rsidRPr="009E6278">
              <w:rPr>
                <w:sz w:val="16"/>
                <w:szCs w:val="16"/>
                <w:lang w:val="en-GB"/>
              </w:rPr>
              <w:t xml:space="preserve"> 90% (2026)</w:t>
            </w:r>
          </w:p>
          <w:p w14:paraId="1F68657A" w14:textId="77777777" w:rsidR="00394AEB" w:rsidRPr="00547151" w:rsidRDefault="00394AEB" w:rsidP="00F31ED7">
            <w:pPr>
              <w:ind w:left="360"/>
              <w:rPr>
                <w:bCs/>
                <w:color w:val="000000"/>
                <w:sz w:val="16"/>
                <w:szCs w:val="16"/>
                <w:lang w:val="en-GB"/>
              </w:rPr>
            </w:pPr>
            <w:r w:rsidRPr="00547151">
              <w:rPr>
                <w:color w:val="C0504D" w:themeColor="accent2"/>
                <w:sz w:val="16"/>
                <w:szCs w:val="16"/>
                <w:lang w:val="en-GB"/>
              </w:rPr>
              <w:t>.</w:t>
            </w:r>
          </w:p>
        </w:tc>
        <w:tc>
          <w:tcPr>
            <w:tcW w:w="1178" w:type="pct"/>
            <w:vMerge w:val="restart"/>
            <w:tcBorders>
              <w:top w:val="single" w:sz="4" w:space="0" w:color="auto"/>
              <w:bottom w:val="single" w:sz="4" w:space="0" w:color="auto"/>
            </w:tcBorders>
          </w:tcPr>
          <w:p w14:paraId="0309B56B" w14:textId="09D89309" w:rsidR="00394AEB" w:rsidRPr="00547151" w:rsidRDefault="00394AEB" w:rsidP="00F31ED7">
            <w:pPr>
              <w:rPr>
                <w:sz w:val="16"/>
                <w:szCs w:val="16"/>
                <w:lang w:val="en-GB"/>
              </w:rPr>
            </w:pPr>
            <w:r w:rsidRPr="00547151">
              <w:rPr>
                <w:b/>
                <w:bCs/>
                <w:sz w:val="16"/>
                <w:szCs w:val="16"/>
                <w:lang w:val="en-GB"/>
              </w:rPr>
              <w:t xml:space="preserve">Data </w:t>
            </w:r>
            <w:r w:rsidR="00E22041" w:rsidRPr="00547151">
              <w:rPr>
                <w:b/>
                <w:bCs/>
                <w:sz w:val="16"/>
                <w:szCs w:val="16"/>
                <w:lang w:val="en-GB"/>
              </w:rPr>
              <w:t>s</w:t>
            </w:r>
            <w:r w:rsidRPr="00547151">
              <w:rPr>
                <w:b/>
                <w:bCs/>
                <w:sz w:val="16"/>
                <w:szCs w:val="16"/>
                <w:lang w:val="en-GB"/>
              </w:rPr>
              <w:t>ource</w:t>
            </w:r>
            <w:r w:rsidR="00E22041" w:rsidRPr="00547151">
              <w:rPr>
                <w:b/>
                <w:bCs/>
                <w:sz w:val="16"/>
                <w:szCs w:val="16"/>
                <w:lang w:val="en-GB"/>
              </w:rPr>
              <w:t>:</w:t>
            </w:r>
            <w:r w:rsidRPr="00547151">
              <w:rPr>
                <w:sz w:val="16"/>
                <w:szCs w:val="16"/>
                <w:lang w:val="en-GB"/>
              </w:rPr>
              <w:t xml:space="preserve"> Kenya Forest Service (KFS) </w:t>
            </w:r>
          </w:p>
          <w:p w14:paraId="268170E9" w14:textId="548D6A4E" w:rsidR="00394AEB" w:rsidRPr="00547151" w:rsidRDefault="00394AEB" w:rsidP="00F31ED7">
            <w:pPr>
              <w:rPr>
                <w:sz w:val="16"/>
                <w:szCs w:val="16"/>
                <w:lang w:val="en-GB"/>
              </w:rPr>
            </w:pPr>
            <w:r w:rsidRPr="00547151">
              <w:rPr>
                <w:b/>
                <w:bCs/>
                <w:sz w:val="16"/>
                <w:szCs w:val="16"/>
                <w:lang w:val="en-GB"/>
              </w:rPr>
              <w:t>Frequency</w:t>
            </w:r>
            <w:r w:rsidR="00E22041" w:rsidRPr="00547151">
              <w:rPr>
                <w:b/>
                <w:bCs/>
                <w:sz w:val="16"/>
                <w:szCs w:val="16"/>
                <w:lang w:val="en-GB"/>
              </w:rPr>
              <w:t>:</w:t>
            </w:r>
            <w:r w:rsidRPr="00547151">
              <w:rPr>
                <w:sz w:val="16"/>
                <w:szCs w:val="16"/>
                <w:lang w:val="en-GB"/>
              </w:rPr>
              <w:t xml:space="preserve"> Annual </w:t>
            </w:r>
          </w:p>
          <w:p w14:paraId="4ED56679" w14:textId="7731529D" w:rsidR="00394AEB" w:rsidRPr="00547151" w:rsidRDefault="00394AEB" w:rsidP="00F31ED7">
            <w:pPr>
              <w:rPr>
                <w:sz w:val="16"/>
                <w:szCs w:val="16"/>
                <w:lang w:val="en-GB"/>
              </w:rPr>
            </w:pPr>
            <w:r w:rsidRPr="00547151">
              <w:rPr>
                <w:b/>
                <w:bCs/>
                <w:sz w:val="16"/>
                <w:szCs w:val="16"/>
                <w:lang w:val="en-GB"/>
              </w:rPr>
              <w:t>Responsibility</w:t>
            </w:r>
            <w:r w:rsidR="00E22041" w:rsidRPr="00547151">
              <w:rPr>
                <w:b/>
                <w:bCs/>
                <w:sz w:val="16"/>
                <w:szCs w:val="16"/>
                <w:lang w:val="en-GB"/>
              </w:rPr>
              <w:t>:</w:t>
            </w:r>
            <w:r w:rsidRPr="00547151">
              <w:rPr>
                <w:sz w:val="16"/>
                <w:szCs w:val="16"/>
                <w:lang w:val="en-GB"/>
              </w:rPr>
              <w:t xml:space="preserve"> Ministry of Environment and Forestry</w:t>
            </w:r>
            <w:r w:rsidR="00A602C4" w:rsidRPr="00547151">
              <w:rPr>
                <w:sz w:val="16"/>
                <w:szCs w:val="16"/>
                <w:lang w:val="en-GB"/>
              </w:rPr>
              <w:t xml:space="preserve"> (M</w:t>
            </w:r>
            <w:r w:rsidR="00E22041" w:rsidRPr="00547151">
              <w:rPr>
                <w:sz w:val="16"/>
                <w:szCs w:val="16"/>
                <w:lang w:val="en-GB"/>
              </w:rPr>
              <w:t>O</w:t>
            </w:r>
            <w:r w:rsidR="00A602C4" w:rsidRPr="00547151">
              <w:rPr>
                <w:sz w:val="16"/>
                <w:szCs w:val="16"/>
                <w:lang w:val="en-GB"/>
              </w:rPr>
              <w:t>EF)</w:t>
            </w:r>
          </w:p>
          <w:p w14:paraId="6BC919E7" w14:textId="77777777" w:rsidR="00394AEB" w:rsidRPr="00547151" w:rsidRDefault="00394AEB" w:rsidP="00F31ED7">
            <w:pPr>
              <w:rPr>
                <w:sz w:val="16"/>
                <w:szCs w:val="16"/>
                <w:lang w:val="en-GB"/>
              </w:rPr>
            </w:pPr>
          </w:p>
          <w:p w14:paraId="1CF3ACFB" w14:textId="0D97A64B" w:rsidR="00394AEB" w:rsidRPr="00547151" w:rsidRDefault="00394AEB" w:rsidP="00F31ED7">
            <w:pPr>
              <w:rPr>
                <w:sz w:val="16"/>
                <w:szCs w:val="16"/>
                <w:lang w:val="en-GB"/>
              </w:rPr>
            </w:pPr>
            <w:r w:rsidRPr="00547151">
              <w:rPr>
                <w:b/>
                <w:bCs/>
                <w:sz w:val="16"/>
                <w:szCs w:val="16"/>
                <w:lang w:val="en-GB"/>
              </w:rPr>
              <w:t xml:space="preserve">Data </w:t>
            </w:r>
            <w:r w:rsidR="00E22041" w:rsidRPr="00547151">
              <w:rPr>
                <w:b/>
                <w:bCs/>
                <w:sz w:val="16"/>
                <w:szCs w:val="16"/>
                <w:lang w:val="en-GB"/>
              </w:rPr>
              <w:t>s</w:t>
            </w:r>
            <w:r w:rsidRPr="00547151">
              <w:rPr>
                <w:b/>
                <w:bCs/>
                <w:sz w:val="16"/>
                <w:szCs w:val="16"/>
                <w:lang w:val="en-GB"/>
              </w:rPr>
              <w:t>ource</w:t>
            </w:r>
            <w:r w:rsidR="00E22041" w:rsidRPr="00547151">
              <w:rPr>
                <w:b/>
                <w:bCs/>
                <w:sz w:val="16"/>
                <w:szCs w:val="16"/>
                <w:lang w:val="en-GB"/>
              </w:rPr>
              <w:t>:</w:t>
            </w:r>
            <w:r w:rsidRPr="00547151">
              <w:rPr>
                <w:sz w:val="16"/>
                <w:szCs w:val="16"/>
                <w:lang w:val="en-GB"/>
              </w:rPr>
              <w:t xml:space="preserve"> National Disaster Operation Centre (NDOC) </w:t>
            </w:r>
          </w:p>
          <w:p w14:paraId="4B3FC89D" w14:textId="0DD3325D" w:rsidR="00394AEB" w:rsidRPr="00547151" w:rsidRDefault="00394AEB" w:rsidP="00F31ED7">
            <w:pPr>
              <w:rPr>
                <w:sz w:val="16"/>
                <w:szCs w:val="16"/>
                <w:lang w:val="en-GB"/>
              </w:rPr>
            </w:pPr>
            <w:r w:rsidRPr="00547151">
              <w:rPr>
                <w:b/>
                <w:bCs/>
                <w:sz w:val="16"/>
                <w:szCs w:val="16"/>
                <w:lang w:val="en-GB"/>
              </w:rPr>
              <w:t>Frequency</w:t>
            </w:r>
            <w:r w:rsidR="00E22041" w:rsidRPr="00547151">
              <w:rPr>
                <w:b/>
                <w:bCs/>
                <w:sz w:val="16"/>
                <w:szCs w:val="16"/>
                <w:lang w:val="en-GB"/>
              </w:rPr>
              <w:t>:</w:t>
            </w:r>
            <w:r w:rsidRPr="00547151">
              <w:rPr>
                <w:sz w:val="16"/>
                <w:szCs w:val="16"/>
                <w:lang w:val="en-GB"/>
              </w:rPr>
              <w:t xml:space="preserve"> Annual </w:t>
            </w:r>
          </w:p>
          <w:p w14:paraId="6900080C" w14:textId="7A3FC637" w:rsidR="00394AEB" w:rsidRPr="00547151" w:rsidRDefault="00394AEB" w:rsidP="00F31ED7">
            <w:pPr>
              <w:rPr>
                <w:sz w:val="16"/>
                <w:szCs w:val="16"/>
                <w:lang w:val="en-GB"/>
              </w:rPr>
            </w:pPr>
            <w:r w:rsidRPr="00547151">
              <w:rPr>
                <w:b/>
                <w:bCs/>
                <w:sz w:val="16"/>
                <w:szCs w:val="16"/>
                <w:lang w:val="en-GB"/>
              </w:rPr>
              <w:t>Responsibility</w:t>
            </w:r>
            <w:r w:rsidR="00E22041" w:rsidRPr="00547151">
              <w:rPr>
                <w:b/>
                <w:bCs/>
                <w:sz w:val="16"/>
                <w:szCs w:val="16"/>
                <w:lang w:val="en-GB"/>
              </w:rPr>
              <w:t>:</w:t>
            </w:r>
            <w:r w:rsidRPr="00547151">
              <w:rPr>
                <w:sz w:val="16"/>
                <w:szCs w:val="16"/>
                <w:lang w:val="en-GB"/>
              </w:rPr>
              <w:t xml:space="preserve"> NDOC </w:t>
            </w:r>
          </w:p>
          <w:p w14:paraId="4141AC78" w14:textId="77777777" w:rsidR="00394AEB" w:rsidRPr="00547151" w:rsidRDefault="00394AEB" w:rsidP="00F31ED7">
            <w:pPr>
              <w:rPr>
                <w:sz w:val="16"/>
                <w:szCs w:val="16"/>
                <w:lang w:val="en-GB"/>
              </w:rPr>
            </w:pPr>
          </w:p>
          <w:p w14:paraId="0F8257F4" w14:textId="77777777" w:rsidR="00394AEB" w:rsidRPr="00547151" w:rsidRDefault="00394AEB" w:rsidP="00F31ED7">
            <w:pPr>
              <w:rPr>
                <w:b/>
                <w:bCs/>
                <w:sz w:val="16"/>
                <w:szCs w:val="16"/>
                <w:lang w:val="en-GB"/>
              </w:rPr>
            </w:pPr>
          </w:p>
          <w:p w14:paraId="1674F5BF" w14:textId="77777777" w:rsidR="00394AEB" w:rsidRPr="00547151" w:rsidRDefault="00394AEB" w:rsidP="00F31ED7">
            <w:pPr>
              <w:rPr>
                <w:b/>
                <w:bCs/>
                <w:sz w:val="16"/>
                <w:szCs w:val="16"/>
                <w:lang w:val="en-GB"/>
              </w:rPr>
            </w:pPr>
          </w:p>
          <w:p w14:paraId="20046C84" w14:textId="77777777" w:rsidR="00394AEB" w:rsidRPr="00547151" w:rsidRDefault="00394AEB" w:rsidP="00F31ED7">
            <w:pPr>
              <w:rPr>
                <w:b/>
                <w:bCs/>
                <w:sz w:val="16"/>
                <w:szCs w:val="16"/>
                <w:lang w:val="en-GB"/>
              </w:rPr>
            </w:pPr>
          </w:p>
          <w:p w14:paraId="64C3CC68" w14:textId="62994BC1" w:rsidR="00394AEB" w:rsidRPr="00547151" w:rsidRDefault="00394AEB" w:rsidP="00F31ED7">
            <w:pPr>
              <w:rPr>
                <w:sz w:val="16"/>
                <w:szCs w:val="16"/>
                <w:lang w:val="en-GB"/>
              </w:rPr>
            </w:pPr>
            <w:r w:rsidRPr="00547151">
              <w:rPr>
                <w:b/>
                <w:bCs/>
                <w:sz w:val="16"/>
                <w:szCs w:val="16"/>
                <w:lang w:val="en-GB"/>
              </w:rPr>
              <w:t xml:space="preserve">Data </w:t>
            </w:r>
            <w:r w:rsidR="00E22041" w:rsidRPr="00547151">
              <w:rPr>
                <w:b/>
                <w:bCs/>
                <w:sz w:val="16"/>
                <w:szCs w:val="16"/>
                <w:lang w:val="en-GB"/>
              </w:rPr>
              <w:t>s</w:t>
            </w:r>
            <w:r w:rsidRPr="00547151">
              <w:rPr>
                <w:b/>
                <w:bCs/>
                <w:sz w:val="16"/>
                <w:szCs w:val="16"/>
                <w:lang w:val="en-GB"/>
              </w:rPr>
              <w:t>ource</w:t>
            </w:r>
            <w:r w:rsidR="00E22041" w:rsidRPr="00547151">
              <w:rPr>
                <w:b/>
                <w:bCs/>
                <w:sz w:val="16"/>
                <w:szCs w:val="16"/>
                <w:lang w:val="en-GB"/>
              </w:rPr>
              <w:t>:</w:t>
            </w:r>
            <w:r w:rsidR="0060688F" w:rsidRPr="00547151">
              <w:rPr>
                <w:sz w:val="16"/>
                <w:szCs w:val="16"/>
                <w:lang w:val="en-GB"/>
              </w:rPr>
              <w:t xml:space="preserve"> KNBS</w:t>
            </w:r>
            <w:r w:rsidRPr="00547151">
              <w:rPr>
                <w:sz w:val="16"/>
                <w:szCs w:val="16"/>
                <w:lang w:val="en-GB"/>
              </w:rPr>
              <w:t xml:space="preserve"> </w:t>
            </w:r>
          </w:p>
          <w:p w14:paraId="4685A46C" w14:textId="2DFC22ED" w:rsidR="00394AEB" w:rsidRPr="00547151" w:rsidRDefault="00394AEB" w:rsidP="00F31ED7">
            <w:pPr>
              <w:rPr>
                <w:sz w:val="16"/>
                <w:szCs w:val="16"/>
                <w:lang w:val="en-GB"/>
              </w:rPr>
            </w:pPr>
            <w:r w:rsidRPr="00547151">
              <w:rPr>
                <w:b/>
                <w:bCs/>
                <w:sz w:val="16"/>
                <w:szCs w:val="16"/>
                <w:lang w:val="en-GB"/>
              </w:rPr>
              <w:t>Frequency</w:t>
            </w:r>
            <w:r w:rsidR="00E22041" w:rsidRPr="00547151">
              <w:rPr>
                <w:b/>
                <w:bCs/>
                <w:sz w:val="16"/>
                <w:szCs w:val="16"/>
                <w:lang w:val="en-GB"/>
              </w:rPr>
              <w:t>:</w:t>
            </w:r>
            <w:r w:rsidRPr="00547151">
              <w:rPr>
                <w:sz w:val="16"/>
                <w:szCs w:val="16"/>
                <w:lang w:val="en-GB"/>
              </w:rPr>
              <w:t xml:space="preserve"> Annual </w:t>
            </w:r>
          </w:p>
          <w:p w14:paraId="100199A1" w14:textId="3CD4A295" w:rsidR="00394AEB" w:rsidRPr="00547151" w:rsidRDefault="00394AEB" w:rsidP="00F31ED7">
            <w:pPr>
              <w:rPr>
                <w:sz w:val="16"/>
                <w:szCs w:val="16"/>
                <w:lang w:val="en-GB"/>
              </w:rPr>
            </w:pPr>
            <w:r w:rsidRPr="00547151">
              <w:rPr>
                <w:b/>
                <w:bCs/>
                <w:sz w:val="16"/>
                <w:szCs w:val="16"/>
                <w:lang w:val="en-GB"/>
              </w:rPr>
              <w:t>Responsibility</w:t>
            </w:r>
            <w:r w:rsidR="00E22041" w:rsidRPr="00547151">
              <w:rPr>
                <w:b/>
                <w:bCs/>
                <w:sz w:val="16"/>
                <w:szCs w:val="16"/>
                <w:lang w:val="en-GB"/>
              </w:rPr>
              <w:t>:</w:t>
            </w:r>
            <w:r w:rsidRPr="00547151">
              <w:rPr>
                <w:sz w:val="16"/>
                <w:szCs w:val="16"/>
                <w:lang w:val="en-GB"/>
              </w:rPr>
              <w:t xml:space="preserve"> </w:t>
            </w:r>
            <w:r w:rsidR="00233EC3" w:rsidRPr="00547151">
              <w:rPr>
                <w:sz w:val="16"/>
                <w:szCs w:val="16"/>
                <w:lang w:val="en-GB"/>
              </w:rPr>
              <w:t xml:space="preserve">MOEF </w:t>
            </w:r>
          </w:p>
          <w:p w14:paraId="71BE4DE5" w14:textId="77777777" w:rsidR="00394AEB" w:rsidRPr="00547151" w:rsidRDefault="00394AEB" w:rsidP="00423140">
            <w:pPr>
              <w:rPr>
                <w:b/>
                <w:bCs/>
                <w:color w:val="000000"/>
                <w:sz w:val="16"/>
                <w:szCs w:val="16"/>
                <w:lang w:val="en-GB"/>
              </w:rPr>
            </w:pPr>
          </w:p>
        </w:tc>
        <w:tc>
          <w:tcPr>
            <w:tcW w:w="1092" w:type="pct"/>
            <w:vMerge w:val="restart"/>
            <w:tcBorders>
              <w:top w:val="single" w:sz="4" w:space="0" w:color="auto"/>
              <w:bottom w:val="single" w:sz="4" w:space="0" w:color="auto"/>
            </w:tcBorders>
            <w:tcMar>
              <w:top w:w="72" w:type="dxa"/>
              <w:left w:w="144" w:type="dxa"/>
              <w:bottom w:w="72" w:type="dxa"/>
              <w:right w:w="144" w:type="dxa"/>
            </w:tcMar>
          </w:tcPr>
          <w:p w14:paraId="2CBF47FF" w14:textId="74F04578" w:rsidR="00394AEB" w:rsidRPr="009E6278" w:rsidRDefault="00394AEB" w:rsidP="00F31ED7">
            <w:pPr>
              <w:rPr>
                <w:color w:val="000000"/>
                <w:sz w:val="16"/>
                <w:szCs w:val="16"/>
                <w:lang w:val="en-GB"/>
              </w:rPr>
            </w:pPr>
            <w:r w:rsidRPr="00547151">
              <w:rPr>
                <w:b/>
                <w:bCs/>
                <w:color w:val="000000"/>
                <w:sz w:val="16"/>
                <w:szCs w:val="16"/>
                <w:lang w:val="en-GB"/>
              </w:rPr>
              <w:t>Output 3.1</w:t>
            </w:r>
            <w:r w:rsidR="00E22041" w:rsidRPr="00547151">
              <w:rPr>
                <w:b/>
                <w:bCs/>
                <w:color w:val="000000"/>
                <w:sz w:val="16"/>
                <w:szCs w:val="16"/>
                <w:lang w:val="en-GB"/>
              </w:rPr>
              <w:t>.</w:t>
            </w:r>
            <w:r w:rsidRPr="00547151">
              <w:rPr>
                <w:color w:val="000000"/>
                <w:sz w:val="16"/>
                <w:szCs w:val="16"/>
                <w:lang w:val="en-GB"/>
              </w:rPr>
              <w:t xml:space="preserve"> </w:t>
            </w:r>
            <w:r w:rsidRPr="009E6278">
              <w:rPr>
                <w:color w:val="000000"/>
                <w:sz w:val="16"/>
                <w:szCs w:val="16"/>
                <w:lang w:val="en-GB"/>
              </w:rPr>
              <w:t>Sustainable management of natural resources at  national, subnational and grassroots level</w:t>
            </w:r>
            <w:r w:rsidR="00E22041" w:rsidRPr="00547151">
              <w:rPr>
                <w:color w:val="000000"/>
                <w:sz w:val="16"/>
                <w:szCs w:val="16"/>
                <w:lang w:val="en-GB"/>
              </w:rPr>
              <w:t>s,</w:t>
            </w:r>
            <w:r w:rsidRPr="009E6278">
              <w:rPr>
                <w:color w:val="000000"/>
                <w:sz w:val="16"/>
                <w:szCs w:val="16"/>
                <w:lang w:val="en-GB"/>
              </w:rPr>
              <w:t xml:space="preserve"> using people</w:t>
            </w:r>
            <w:r w:rsidR="009540D9" w:rsidRPr="00547151">
              <w:rPr>
                <w:color w:val="000000"/>
                <w:sz w:val="16"/>
                <w:szCs w:val="16"/>
                <w:lang w:val="en-GB"/>
              </w:rPr>
              <w:t>-</w:t>
            </w:r>
            <w:r w:rsidRPr="009E6278">
              <w:rPr>
                <w:color w:val="000000"/>
                <w:sz w:val="16"/>
                <w:szCs w:val="16"/>
                <w:lang w:val="en-GB"/>
              </w:rPr>
              <w:t>centred approaches</w:t>
            </w:r>
            <w:r w:rsidR="00E22041" w:rsidRPr="00547151">
              <w:rPr>
                <w:color w:val="000000"/>
                <w:sz w:val="16"/>
                <w:szCs w:val="16"/>
                <w:lang w:val="en-GB"/>
              </w:rPr>
              <w:t>,</w:t>
            </w:r>
            <w:r w:rsidRPr="009E6278">
              <w:rPr>
                <w:color w:val="000000"/>
                <w:sz w:val="16"/>
                <w:szCs w:val="16"/>
                <w:lang w:val="en-GB"/>
              </w:rPr>
              <w:t xml:space="preserve"> enhanced</w:t>
            </w:r>
          </w:p>
          <w:p w14:paraId="4139DA94" w14:textId="77777777" w:rsidR="00394AEB" w:rsidRPr="00547151" w:rsidRDefault="00394AEB" w:rsidP="00F31ED7">
            <w:pPr>
              <w:rPr>
                <w:color w:val="000000"/>
                <w:sz w:val="16"/>
                <w:szCs w:val="16"/>
                <w:lang w:val="en-GB"/>
              </w:rPr>
            </w:pPr>
          </w:p>
          <w:p w14:paraId="63832A8B" w14:textId="53B5B0E1" w:rsidR="00394AEB" w:rsidRPr="00547151" w:rsidRDefault="00394AEB" w:rsidP="00F31ED7">
            <w:pPr>
              <w:rPr>
                <w:color w:val="000000"/>
                <w:sz w:val="16"/>
                <w:szCs w:val="16"/>
                <w:lang w:val="en-GB"/>
              </w:rPr>
            </w:pPr>
            <w:r w:rsidRPr="00547151">
              <w:rPr>
                <w:b/>
                <w:bCs/>
                <w:color w:val="000000"/>
                <w:sz w:val="16"/>
                <w:szCs w:val="16"/>
                <w:lang w:val="en-GB"/>
              </w:rPr>
              <w:t>Indicator 3.1.1</w:t>
            </w:r>
            <w:r w:rsidR="00E22041" w:rsidRPr="00547151">
              <w:rPr>
                <w:b/>
                <w:bCs/>
                <w:color w:val="000000"/>
                <w:sz w:val="16"/>
                <w:szCs w:val="16"/>
                <w:lang w:val="en-GB"/>
              </w:rPr>
              <w:t>.</w:t>
            </w:r>
            <w:r w:rsidRPr="00547151">
              <w:rPr>
                <w:color w:val="000000"/>
                <w:sz w:val="16"/>
                <w:szCs w:val="16"/>
                <w:lang w:val="en-GB"/>
              </w:rPr>
              <w:t xml:space="preserve"> </w:t>
            </w:r>
            <w:r w:rsidR="000D7025" w:rsidRPr="00547151">
              <w:rPr>
                <w:color w:val="000000"/>
                <w:sz w:val="16"/>
                <w:szCs w:val="16"/>
                <w:lang w:val="en-GB"/>
              </w:rPr>
              <w:t>Areas of</w:t>
            </w:r>
            <w:r w:rsidRPr="00547151">
              <w:rPr>
                <w:color w:val="000000"/>
                <w:sz w:val="16"/>
                <w:szCs w:val="16"/>
                <w:lang w:val="en-GB"/>
              </w:rPr>
              <w:t xml:space="preserve"> landscape </w:t>
            </w:r>
            <w:r w:rsidR="00E22041" w:rsidRPr="00547151">
              <w:rPr>
                <w:color w:val="000000"/>
                <w:sz w:val="16"/>
                <w:szCs w:val="16"/>
                <w:lang w:val="en-GB"/>
              </w:rPr>
              <w:t xml:space="preserve">– </w:t>
            </w:r>
            <w:r w:rsidRPr="00547151">
              <w:rPr>
                <w:color w:val="000000"/>
                <w:sz w:val="16"/>
                <w:szCs w:val="16"/>
                <w:lang w:val="en-GB"/>
              </w:rPr>
              <w:t xml:space="preserve">forests </w:t>
            </w:r>
            <w:r w:rsidR="00E22041" w:rsidRPr="00547151">
              <w:rPr>
                <w:color w:val="000000"/>
                <w:sz w:val="16"/>
                <w:szCs w:val="16"/>
                <w:lang w:val="en-GB"/>
              </w:rPr>
              <w:t>and</w:t>
            </w:r>
            <w:r w:rsidRPr="00547151">
              <w:rPr>
                <w:color w:val="000000"/>
                <w:sz w:val="16"/>
                <w:szCs w:val="16"/>
                <w:lang w:val="en-GB"/>
              </w:rPr>
              <w:t xml:space="preserve"> rangelands</w:t>
            </w:r>
            <w:r w:rsidR="000D7025" w:rsidRPr="009E6278">
              <w:rPr>
                <w:sz w:val="16"/>
                <w:szCs w:val="16"/>
                <w:lang w:val="en-GB"/>
              </w:rPr>
              <w:t xml:space="preserve"> </w:t>
            </w:r>
            <w:r w:rsidR="00E22041" w:rsidRPr="00547151">
              <w:rPr>
                <w:sz w:val="16"/>
                <w:szCs w:val="16"/>
                <w:lang w:val="en-GB"/>
              </w:rPr>
              <w:t xml:space="preserve">– </w:t>
            </w:r>
            <w:r w:rsidR="000D7025" w:rsidRPr="00547151">
              <w:rPr>
                <w:color w:val="000000"/>
                <w:sz w:val="16"/>
                <w:szCs w:val="16"/>
                <w:lang w:val="en-GB"/>
              </w:rPr>
              <w:t>under improved management practices</w:t>
            </w:r>
          </w:p>
          <w:p w14:paraId="3A03FAFA" w14:textId="2FCF5E51" w:rsidR="00394AEB" w:rsidRPr="00547151" w:rsidRDefault="00394AEB" w:rsidP="00F31ED7">
            <w:pPr>
              <w:rPr>
                <w:color w:val="000000"/>
                <w:sz w:val="16"/>
                <w:szCs w:val="16"/>
                <w:lang w:val="en-GB"/>
              </w:rPr>
            </w:pPr>
            <w:r w:rsidRPr="00547151">
              <w:rPr>
                <w:color w:val="000000"/>
                <w:sz w:val="16"/>
                <w:szCs w:val="16"/>
                <w:lang w:val="en-GB"/>
              </w:rPr>
              <w:t>Baseline</w:t>
            </w:r>
            <w:r w:rsidR="00E22041" w:rsidRPr="00547151">
              <w:rPr>
                <w:color w:val="000000"/>
                <w:sz w:val="16"/>
                <w:szCs w:val="16"/>
                <w:lang w:val="en-GB"/>
              </w:rPr>
              <w:t>:</w:t>
            </w:r>
            <w:r w:rsidRPr="00547151">
              <w:rPr>
                <w:color w:val="000000"/>
                <w:sz w:val="16"/>
                <w:szCs w:val="16"/>
                <w:lang w:val="en-GB"/>
              </w:rPr>
              <w:t xml:space="preserve"> 3.4MHa (2021)</w:t>
            </w:r>
          </w:p>
          <w:p w14:paraId="45C0128D" w14:textId="416224B0" w:rsidR="00394AEB" w:rsidRPr="00547151" w:rsidRDefault="00394AEB" w:rsidP="00F31ED7">
            <w:pPr>
              <w:rPr>
                <w:color w:val="000000"/>
                <w:sz w:val="16"/>
                <w:szCs w:val="16"/>
                <w:lang w:val="en-GB"/>
              </w:rPr>
            </w:pPr>
            <w:r w:rsidRPr="00547151">
              <w:rPr>
                <w:color w:val="000000"/>
                <w:sz w:val="16"/>
                <w:szCs w:val="16"/>
                <w:lang w:val="en-GB"/>
              </w:rPr>
              <w:t>Target</w:t>
            </w:r>
            <w:r w:rsidR="00E22041" w:rsidRPr="00547151">
              <w:rPr>
                <w:color w:val="000000"/>
                <w:sz w:val="16"/>
                <w:szCs w:val="16"/>
                <w:lang w:val="en-GB"/>
              </w:rPr>
              <w:t>:</w:t>
            </w:r>
            <w:r w:rsidRPr="00547151">
              <w:rPr>
                <w:color w:val="000000"/>
                <w:sz w:val="16"/>
                <w:szCs w:val="16"/>
                <w:lang w:val="en-GB"/>
              </w:rPr>
              <w:t xml:space="preserve"> 600,000Ha (2026)</w:t>
            </w:r>
          </w:p>
          <w:p w14:paraId="74947ADE" w14:textId="7C4F87DE" w:rsidR="00394AEB" w:rsidRPr="00547151" w:rsidRDefault="00394AEB" w:rsidP="00F31ED7">
            <w:pPr>
              <w:rPr>
                <w:color w:val="000000"/>
                <w:sz w:val="16"/>
                <w:szCs w:val="16"/>
                <w:lang w:val="en-GB"/>
              </w:rPr>
            </w:pPr>
            <w:r w:rsidRPr="00547151">
              <w:rPr>
                <w:color w:val="000000"/>
                <w:sz w:val="16"/>
                <w:szCs w:val="16"/>
                <w:lang w:val="en-GB"/>
              </w:rPr>
              <w:t xml:space="preserve">Data source: KFS; </w:t>
            </w:r>
            <w:r w:rsidR="00E22041" w:rsidRPr="009E6278">
              <w:rPr>
                <w:color w:val="000000"/>
                <w:sz w:val="16"/>
                <w:szCs w:val="16"/>
                <w:lang w:val="en-GB"/>
              </w:rPr>
              <w:t>Department of Resource Surveys and Remote Sensing</w:t>
            </w:r>
          </w:p>
          <w:p w14:paraId="7F3A9A12" w14:textId="77777777" w:rsidR="00394AEB" w:rsidRPr="00547151" w:rsidRDefault="00394AEB" w:rsidP="00F31ED7">
            <w:pPr>
              <w:rPr>
                <w:color w:val="000000"/>
                <w:sz w:val="16"/>
                <w:szCs w:val="16"/>
                <w:lang w:val="en-GB"/>
              </w:rPr>
            </w:pPr>
            <w:r w:rsidRPr="00547151">
              <w:rPr>
                <w:color w:val="000000"/>
                <w:sz w:val="16"/>
                <w:szCs w:val="16"/>
                <w:lang w:val="en-GB"/>
              </w:rPr>
              <w:t>Frequency: Annual</w:t>
            </w:r>
          </w:p>
          <w:p w14:paraId="06359576" w14:textId="77777777" w:rsidR="00394AEB" w:rsidRPr="00547151" w:rsidRDefault="00394AEB" w:rsidP="00F31ED7">
            <w:pPr>
              <w:rPr>
                <w:color w:val="000000"/>
                <w:sz w:val="16"/>
                <w:szCs w:val="16"/>
                <w:lang w:val="en-GB"/>
              </w:rPr>
            </w:pPr>
          </w:p>
          <w:p w14:paraId="50B37927" w14:textId="121C5194" w:rsidR="00394AEB" w:rsidRPr="00547151" w:rsidRDefault="00394AEB" w:rsidP="00F31ED7">
            <w:pPr>
              <w:rPr>
                <w:color w:val="000000"/>
                <w:sz w:val="16"/>
                <w:szCs w:val="16"/>
                <w:lang w:val="en-GB"/>
              </w:rPr>
            </w:pPr>
            <w:r w:rsidRPr="00547151">
              <w:rPr>
                <w:b/>
                <w:bCs/>
                <w:color w:val="000000"/>
                <w:sz w:val="16"/>
                <w:szCs w:val="16"/>
                <w:lang w:val="en-GB"/>
              </w:rPr>
              <w:t>Indicator 3.1.2</w:t>
            </w:r>
            <w:r w:rsidR="00E22041" w:rsidRPr="00547151">
              <w:rPr>
                <w:b/>
                <w:bCs/>
                <w:color w:val="000000"/>
                <w:sz w:val="16"/>
                <w:szCs w:val="16"/>
                <w:lang w:val="en-GB"/>
              </w:rPr>
              <w:t>.</w:t>
            </w:r>
            <w:r w:rsidRPr="00547151">
              <w:rPr>
                <w:color w:val="000000"/>
                <w:sz w:val="16"/>
                <w:szCs w:val="16"/>
                <w:lang w:val="en-GB"/>
              </w:rPr>
              <w:t xml:space="preserve"> Number of people (by gender and rural/urban) benefiting from</w:t>
            </w:r>
            <w:r w:rsidR="000D7025" w:rsidRPr="00547151">
              <w:rPr>
                <w:color w:val="000000"/>
                <w:sz w:val="16"/>
                <w:szCs w:val="16"/>
                <w:lang w:val="en-GB"/>
              </w:rPr>
              <w:t xml:space="preserve"> initiatives to protect and promote sustainable use and management of natural </w:t>
            </w:r>
            <w:r w:rsidR="00F40A44" w:rsidRPr="00547151">
              <w:rPr>
                <w:color w:val="000000"/>
                <w:sz w:val="16"/>
                <w:szCs w:val="16"/>
                <w:lang w:val="en-GB"/>
              </w:rPr>
              <w:t>resources</w:t>
            </w:r>
            <w:r w:rsidRPr="00547151">
              <w:rPr>
                <w:color w:val="000000"/>
                <w:sz w:val="16"/>
                <w:szCs w:val="16"/>
                <w:lang w:val="en-GB"/>
              </w:rPr>
              <w:t xml:space="preserve"> </w:t>
            </w:r>
          </w:p>
          <w:p w14:paraId="103BAA3B" w14:textId="65DD2E34" w:rsidR="00394AEB" w:rsidRPr="00547151" w:rsidRDefault="00394AEB" w:rsidP="00F31ED7">
            <w:pPr>
              <w:rPr>
                <w:color w:val="000000"/>
                <w:sz w:val="16"/>
                <w:szCs w:val="16"/>
                <w:lang w:val="en-GB"/>
              </w:rPr>
            </w:pPr>
            <w:r w:rsidRPr="00547151">
              <w:rPr>
                <w:color w:val="000000"/>
                <w:sz w:val="16"/>
                <w:szCs w:val="16"/>
                <w:lang w:val="en-GB"/>
              </w:rPr>
              <w:t>Baseline</w:t>
            </w:r>
            <w:r w:rsidR="00E22041" w:rsidRPr="00547151">
              <w:rPr>
                <w:color w:val="000000"/>
                <w:sz w:val="16"/>
                <w:szCs w:val="16"/>
                <w:lang w:val="en-GB"/>
              </w:rPr>
              <w:t>:</w:t>
            </w:r>
            <w:r w:rsidRPr="00547151">
              <w:rPr>
                <w:color w:val="000000"/>
                <w:sz w:val="16"/>
                <w:szCs w:val="16"/>
                <w:lang w:val="en-GB"/>
              </w:rPr>
              <w:t xml:space="preserve"> 10,000 (2021)</w:t>
            </w:r>
          </w:p>
          <w:p w14:paraId="5BFE63D6" w14:textId="63724D0A" w:rsidR="00394AEB" w:rsidRPr="00547151" w:rsidRDefault="00394AEB" w:rsidP="00F31ED7">
            <w:pPr>
              <w:rPr>
                <w:color w:val="000000"/>
                <w:sz w:val="16"/>
                <w:szCs w:val="16"/>
                <w:lang w:val="en-GB"/>
              </w:rPr>
            </w:pPr>
            <w:r w:rsidRPr="00547151">
              <w:rPr>
                <w:color w:val="000000"/>
                <w:sz w:val="16"/>
                <w:szCs w:val="16"/>
                <w:lang w:val="en-GB"/>
              </w:rPr>
              <w:t>Target</w:t>
            </w:r>
            <w:r w:rsidR="00E22041" w:rsidRPr="00547151">
              <w:rPr>
                <w:color w:val="000000"/>
                <w:sz w:val="16"/>
                <w:szCs w:val="16"/>
                <w:lang w:val="en-GB"/>
              </w:rPr>
              <w:t>:</w:t>
            </w:r>
            <w:r w:rsidRPr="00547151">
              <w:rPr>
                <w:color w:val="000000"/>
                <w:sz w:val="16"/>
                <w:szCs w:val="16"/>
                <w:lang w:val="en-GB"/>
              </w:rPr>
              <w:t xml:space="preserve"> 60,000 (2026)</w:t>
            </w:r>
          </w:p>
          <w:p w14:paraId="0E48875D" w14:textId="0033234F" w:rsidR="00394AEB" w:rsidRPr="00547151" w:rsidRDefault="00394AEB" w:rsidP="00F31ED7">
            <w:pPr>
              <w:rPr>
                <w:color w:val="000000"/>
                <w:sz w:val="16"/>
                <w:szCs w:val="16"/>
                <w:lang w:val="en-GB"/>
              </w:rPr>
            </w:pPr>
            <w:r w:rsidRPr="00547151">
              <w:rPr>
                <w:color w:val="000000"/>
                <w:sz w:val="16"/>
                <w:szCs w:val="16"/>
                <w:lang w:val="en-GB"/>
              </w:rPr>
              <w:t>Data source: K</w:t>
            </w:r>
            <w:r w:rsidR="00C679FB" w:rsidRPr="00547151">
              <w:rPr>
                <w:color w:val="000000"/>
                <w:sz w:val="16"/>
                <w:szCs w:val="16"/>
                <w:lang w:val="en-GB"/>
              </w:rPr>
              <w:t>FS</w:t>
            </w:r>
            <w:r w:rsidR="00AF44AF" w:rsidRPr="00547151">
              <w:rPr>
                <w:color w:val="000000"/>
                <w:sz w:val="16"/>
                <w:szCs w:val="16"/>
                <w:lang w:val="en-GB"/>
              </w:rPr>
              <w:t xml:space="preserve">; </w:t>
            </w:r>
            <w:r w:rsidRPr="00547151">
              <w:rPr>
                <w:color w:val="000000"/>
                <w:sz w:val="16"/>
                <w:szCs w:val="16"/>
                <w:lang w:val="en-GB"/>
              </w:rPr>
              <w:t>Frequency: Annual</w:t>
            </w:r>
          </w:p>
          <w:p w14:paraId="0F7DA233" w14:textId="77777777" w:rsidR="00394AEB" w:rsidRPr="00547151" w:rsidRDefault="00394AEB" w:rsidP="00F31ED7">
            <w:pPr>
              <w:rPr>
                <w:b/>
                <w:bCs/>
                <w:color w:val="000000"/>
                <w:sz w:val="16"/>
                <w:szCs w:val="16"/>
                <w:lang w:val="en-GB"/>
              </w:rPr>
            </w:pPr>
          </w:p>
          <w:p w14:paraId="61C446D5" w14:textId="44DE2F91" w:rsidR="00394AEB" w:rsidRPr="009E6278" w:rsidRDefault="00394AEB" w:rsidP="00F31ED7">
            <w:pPr>
              <w:rPr>
                <w:color w:val="000000"/>
                <w:sz w:val="16"/>
                <w:szCs w:val="16"/>
                <w:lang w:val="en-GB"/>
              </w:rPr>
            </w:pPr>
            <w:r w:rsidRPr="00547151">
              <w:rPr>
                <w:b/>
                <w:bCs/>
                <w:color w:val="000000"/>
                <w:sz w:val="16"/>
                <w:szCs w:val="16"/>
                <w:lang w:val="en-GB"/>
              </w:rPr>
              <w:t>Output 3.2</w:t>
            </w:r>
            <w:r w:rsidR="00AF44AF" w:rsidRPr="00547151">
              <w:rPr>
                <w:b/>
                <w:bCs/>
                <w:color w:val="000000"/>
                <w:sz w:val="16"/>
                <w:szCs w:val="16"/>
                <w:lang w:val="en-GB"/>
              </w:rPr>
              <w:t>.</w:t>
            </w:r>
            <w:r w:rsidRPr="00547151">
              <w:rPr>
                <w:color w:val="000000"/>
                <w:sz w:val="16"/>
                <w:szCs w:val="16"/>
                <w:lang w:val="en-GB"/>
              </w:rPr>
              <w:t xml:space="preserve"> </w:t>
            </w:r>
            <w:r w:rsidRPr="009E6278">
              <w:rPr>
                <w:color w:val="000000"/>
                <w:sz w:val="16"/>
                <w:szCs w:val="16"/>
                <w:lang w:val="en-GB"/>
              </w:rPr>
              <w:t>Capacities and resilience to disaster risks and climate impact across national and county levels enhanced</w:t>
            </w:r>
          </w:p>
          <w:p w14:paraId="41DE3E15" w14:textId="77777777" w:rsidR="00394AEB" w:rsidRPr="009E6278" w:rsidRDefault="00394AEB" w:rsidP="00F31ED7">
            <w:pPr>
              <w:rPr>
                <w:color w:val="000000"/>
                <w:sz w:val="16"/>
                <w:szCs w:val="16"/>
                <w:lang w:val="en-GB"/>
              </w:rPr>
            </w:pPr>
          </w:p>
          <w:p w14:paraId="06008A44" w14:textId="20A0F100" w:rsidR="00394AEB" w:rsidRPr="009E6278" w:rsidRDefault="00394AEB" w:rsidP="00F31ED7">
            <w:pPr>
              <w:rPr>
                <w:color w:val="000000"/>
                <w:sz w:val="16"/>
                <w:szCs w:val="16"/>
                <w:lang w:val="en-GB"/>
              </w:rPr>
            </w:pPr>
            <w:r w:rsidRPr="009E6278">
              <w:rPr>
                <w:b/>
                <w:bCs/>
                <w:color w:val="000000"/>
                <w:sz w:val="16"/>
                <w:szCs w:val="16"/>
                <w:lang w:val="en-GB"/>
              </w:rPr>
              <w:t>Indicator 3.2</w:t>
            </w:r>
            <w:r w:rsidRPr="009E6278">
              <w:rPr>
                <w:color w:val="000000"/>
                <w:sz w:val="16"/>
                <w:szCs w:val="16"/>
                <w:lang w:val="en-GB"/>
              </w:rPr>
              <w:t>.</w:t>
            </w:r>
            <w:r w:rsidRPr="009E6278">
              <w:rPr>
                <w:b/>
                <w:bCs/>
                <w:color w:val="000000"/>
                <w:sz w:val="16"/>
                <w:szCs w:val="16"/>
                <w:lang w:val="en-GB"/>
              </w:rPr>
              <w:t>1</w:t>
            </w:r>
            <w:r w:rsidR="00AF44AF" w:rsidRPr="00547151">
              <w:rPr>
                <w:b/>
                <w:bCs/>
                <w:color w:val="000000"/>
                <w:sz w:val="16"/>
                <w:szCs w:val="16"/>
                <w:lang w:val="en-GB"/>
              </w:rPr>
              <w:t>.</w:t>
            </w:r>
            <w:r w:rsidRPr="009E6278">
              <w:rPr>
                <w:color w:val="000000"/>
                <w:sz w:val="16"/>
                <w:szCs w:val="16"/>
                <w:lang w:val="en-GB"/>
              </w:rPr>
              <w:t xml:space="preserve"> N</w:t>
            </w:r>
            <w:r w:rsidR="00AF44AF" w:rsidRPr="00547151">
              <w:rPr>
                <w:color w:val="000000"/>
                <w:sz w:val="16"/>
                <w:szCs w:val="16"/>
                <w:lang w:val="en-GB"/>
              </w:rPr>
              <w:t>o.</w:t>
            </w:r>
            <w:r w:rsidRPr="009E6278">
              <w:rPr>
                <w:color w:val="000000"/>
                <w:sz w:val="16"/>
                <w:szCs w:val="16"/>
                <w:lang w:val="en-GB"/>
              </w:rPr>
              <w:t xml:space="preserve"> of counties with gender-responsive policies and legal framework for disaster risk reduction</w:t>
            </w:r>
          </w:p>
          <w:p w14:paraId="5DC515FD" w14:textId="13EE1396" w:rsidR="00394AEB" w:rsidRPr="009E6278" w:rsidRDefault="00394AEB">
            <w:pPr>
              <w:rPr>
                <w:color w:val="000000"/>
                <w:sz w:val="16"/>
                <w:szCs w:val="16"/>
                <w:lang w:val="en-GB"/>
              </w:rPr>
            </w:pPr>
            <w:r w:rsidRPr="009E6278">
              <w:rPr>
                <w:color w:val="000000"/>
                <w:sz w:val="16"/>
                <w:szCs w:val="16"/>
                <w:lang w:val="en-GB"/>
              </w:rPr>
              <w:t xml:space="preserve">Baseline: County 14, </w:t>
            </w:r>
            <w:r w:rsidR="00AF44AF" w:rsidRPr="00547151">
              <w:rPr>
                <w:color w:val="000000"/>
                <w:sz w:val="16"/>
                <w:szCs w:val="16"/>
                <w:lang w:val="en-GB"/>
              </w:rPr>
              <w:t>n</w:t>
            </w:r>
            <w:r w:rsidRPr="009E6278">
              <w:rPr>
                <w:color w:val="000000"/>
                <w:sz w:val="16"/>
                <w:szCs w:val="16"/>
                <w:lang w:val="en-GB"/>
              </w:rPr>
              <w:t>ational 0 (2021)</w:t>
            </w:r>
          </w:p>
          <w:p w14:paraId="6CE96918" w14:textId="52BDE4E4" w:rsidR="00394AEB" w:rsidRPr="009E6278" w:rsidRDefault="00394AEB">
            <w:pPr>
              <w:rPr>
                <w:color w:val="000000"/>
                <w:sz w:val="16"/>
                <w:szCs w:val="16"/>
                <w:lang w:val="en-GB"/>
              </w:rPr>
            </w:pPr>
            <w:r w:rsidRPr="009E6278">
              <w:rPr>
                <w:color w:val="000000"/>
                <w:sz w:val="16"/>
                <w:szCs w:val="16"/>
                <w:lang w:val="en-GB"/>
              </w:rPr>
              <w:t>Target: County 23</w:t>
            </w:r>
            <w:r w:rsidR="00330232" w:rsidRPr="00547151">
              <w:rPr>
                <w:color w:val="000000"/>
                <w:sz w:val="16"/>
                <w:szCs w:val="16"/>
                <w:lang w:val="en-GB"/>
              </w:rPr>
              <w:t>,</w:t>
            </w:r>
            <w:r w:rsidRPr="009E6278">
              <w:rPr>
                <w:color w:val="000000"/>
                <w:sz w:val="16"/>
                <w:szCs w:val="16"/>
                <w:lang w:val="en-GB"/>
              </w:rPr>
              <w:t xml:space="preserve"> </w:t>
            </w:r>
            <w:r w:rsidR="00AF44AF" w:rsidRPr="00547151">
              <w:rPr>
                <w:color w:val="000000"/>
                <w:sz w:val="16"/>
                <w:szCs w:val="16"/>
                <w:lang w:val="en-GB"/>
              </w:rPr>
              <w:t>n</w:t>
            </w:r>
            <w:r w:rsidRPr="009E6278">
              <w:rPr>
                <w:color w:val="000000"/>
                <w:sz w:val="16"/>
                <w:szCs w:val="16"/>
                <w:lang w:val="en-GB"/>
              </w:rPr>
              <w:t>ational 1</w:t>
            </w:r>
            <w:r w:rsidR="00AF44AF" w:rsidRPr="00547151">
              <w:rPr>
                <w:color w:val="000000"/>
                <w:sz w:val="16"/>
                <w:szCs w:val="16"/>
                <w:lang w:val="en-GB"/>
              </w:rPr>
              <w:t xml:space="preserve"> </w:t>
            </w:r>
            <w:r w:rsidRPr="009E6278">
              <w:rPr>
                <w:color w:val="000000"/>
                <w:sz w:val="16"/>
                <w:szCs w:val="16"/>
                <w:lang w:val="en-GB"/>
              </w:rPr>
              <w:t>(2026)</w:t>
            </w:r>
          </w:p>
          <w:p w14:paraId="5171A3EC" w14:textId="2514DA26" w:rsidR="00394AEB" w:rsidRPr="009E6278" w:rsidRDefault="00394AEB" w:rsidP="00F31ED7">
            <w:pPr>
              <w:rPr>
                <w:color w:val="000000"/>
                <w:sz w:val="16"/>
                <w:szCs w:val="16"/>
                <w:lang w:val="en-GB"/>
              </w:rPr>
            </w:pPr>
            <w:r w:rsidRPr="009E6278">
              <w:rPr>
                <w:color w:val="000000"/>
                <w:sz w:val="16"/>
                <w:szCs w:val="16"/>
                <w:lang w:val="en-GB"/>
              </w:rPr>
              <w:lastRenderedPageBreak/>
              <w:t>Data source: National Disaster Management Authority</w:t>
            </w:r>
            <w:r w:rsidR="00603B8F" w:rsidRPr="00547151">
              <w:rPr>
                <w:color w:val="000000"/>
                <w:sz w:val="16"/>
                <w:szCs w:val="16"/>
                <w:lang w:val="en-GB"/>
              </w:rPr>
              <w:t xml:space="preserve"> </w:t>
            </w:r>
            <w:r w:rsidRPr="009E6278">
              <w:rPr>
                <w:color w:val="000000"/>
                <w:sz w:val="16"/>
                <w:szCs w:val="16"/>
                <w:lang w:val="en-GB"/>
              </w:rPr>
              <w:t>(NDMA)</w:t>
            </w:r>
          </w:p>
          <w:p w14:paraId="0FAA6549" w14:textId="77777777" w:rsidR="00394AEB" w:rsidRPr="009E6278" w:rsidRDefault="00394AEB" w:rsidP="009E6278">
            <w:pPr>
              <w:spacing w:after="120"/>
              <w:rPr>
                <w:color w:val="000000"/>
                <w:sz w:val="16"/>
                <w:szCs w:val="16"/>
                <w:lang w:val="en-GB"/>
              </w:rPr>
            </w:pPr>
            <w:r w:rsidRPr="009E6278">
              <w:rPr>
                <w:color w:val="000000"/>
                <w:sz w:val="16"/>
                <w:szCs w:val="16"/>
                <w:lang w:val="en-GB"/>
              </w:rPr>
              <w:t>Frequency: Annual</w:t>
            </w:r>
          </w:p>
          <w:p w14:paraId="16FC5F1D" w14:textId="3054DB1B" w:rsidR="00394AEB" w:rsidRPr="009E6278" w:rsidRDefault="00394AEB" w:rsidP="00F31ED7">
            <w:pPr>
              <w:rPr>
                <w:color w:val="000000"/>
                <w:sz w:val="16"/>
                <w:szCs w:val="16"/>
                <w:lang w:val="en-GB"/>
              </w:rPr>
            </w:pPr>
            <w:r w:rsidRPr="009E6278">
              <w:rPr>
                <w:b/>
                <w:bCs/>
                <w:color w:val="000000"/>
                <w:sz w:val="16"/>
                <w:szCs w:val="16"/>
                <w:lang w:val="en-GB"/>
              </w:rPr>
              <w:t>Indicator 3.2.2</w:t>
            </w:r>
            <w:r w:rsidR="00AF44AF" w:rsidRPr="00547151">
              <w:rPr>
                <w:b/>
                <w:bCs/>
                <w:color w:val="000000"/>
                <w:sz w:val="16"/>
                <w:szCs w:val="16"/>
                <w:lang w:val="en-GB"/>
              </w:rPr>
              <w:t>.</w:t>
            </w:r>
            <w:r w:rsidRPr="009E6278">
              <w:rPr>
                <w:color w:val="000000"/>
                <w:sz w:val="16"/>
                <w:szCs w:val="16"/>
                <w:lang w:val="en-GB"/>
              </w:rPr>
              <w:t xml:space="preserve"> </w:t>
            </w:r>
            <w:r w:rsidR="00AF44AF" w:rsidRPr="009E6278">
              <w:rPr>
                <w:color w:val="000000"/>
                <w:sz w:val="16"/>
                <w:szCs w:val="16"/>
                <w:lang w:val="en-GB"/>
              </w:rPr>
              <w:t>N</w:t>
            </w:r>
            <w:r w:rsidR="00AF44AF" w:rsidRPr="00547151">
              <w:rPr>
                <w:color w:val="000000"/>
                <w:sz w:val="16"/>
                <w:szCs w:val="16"/>
                <w:lang w:val="en-GB"/>
              </w:rPr>
              <w:t>o.</w:t>
            </w:r>
            <w:r w:rsidR="00AF44AF" w:rsidRPr="009E6278">
              <w:rPr>
                <w:color w:val="000000"/>
                <w:sz w:val="16"/>
                <w:szCs w:val="16"/>
                <w:lang w:val="en-GB"/>
              </w:rPr>
              <w:t xml:space="preserve"> </w:t>
            </w:r>
            <w:r w:rsidRPr="009E6278">
              <w:rPr>
                <w:color w:val="000000"/>
                <w:sz w:val="16"/>
                <w:szCs w:val="16"/>
                <w:lang w:val="en-GB"/>
              </w:rPr>
              <w:t xml:space="preserve">of </w:t>
            </w:r>
            <w:r w:rsidR="00E507CD" w:rsidRPr="009E6278">
              <w:rPr>
                <w:color w:val="000000"/>
                <w:sz w:val="16"/>
                <w:szCs w:val="16"/>
                <w:lang w:val="en-GB"/>
              </w:rPr>
              <w:t xml:space="preserve">people (by gender) </w:t>
            </w:r>
            <w:r w:rsidRPr="009E6278">
              <w:rPr>
                <w:color w:val="000000"/>
                <w:sz w:val="16"/>
                <w:szCs w:val="16"/>
                <w:lang w:val="en-GB"/>
              </w:rPr>
              <w:t>benefiting from climate</w:t>
            </w:r>
            <w:r w:rsidR="00AF44AF" w:rsidRPr="00547151">
              <w:rPr>
                <w:color w:val="000000"/>
                <w:sz w:val="16"/>
                <w:szCs w:val="16"/>
                <w:lang w:val="en-GB"/>
              </w:rPr>
              <w:t>-</w:t>
            </w:r>
            <w:r w:rsidRPr="009E6278">
              <w:rPr>
                <w:color w:val="000000"/>
                <w:sz w:val="16"/>
                <w:szCs w:val="16"/>
                <w:lang w:val="en-GB"/>
              </w:rPr>
              <w:t xml:space="preserve">smart initiatives </w:t>
            </w:r>
          </w:p>
          <w:p w14:paraId="6AD99AD9" w14:textId="2475C17A" w:rsidR="00394AEB" w:rsidRPr="009E6278" w:rsidRDefault="00394AEB" w:rsidP="00F31ED7">
            <w:pPr>
              <w:rPr>
                <w:color w:val="000000"/>
                <w:sz w:val="16"/>
                <w:szCs w:val="16"/>
                <w:lang w:val="en-GB"/>
              </w:rPr>
            </w:pPr>
            <w:r w:rsidRPr="009E6278">
              <w:rPr>
                <w:color w:val="000000"/>
                <w:sz w:val="16"/>
                <w:szCs w:val="16"/>
                <w:lang w:val="en-GB"/>
              </w:rPr>
              <w:t xml:space="preserve">Baseline: </w:t>
            </w:r>
            <w:r w:rsidR="00E507CD" w:rsidRPr="009E6278">
              <w:rPr>
                <w:color w:val="000000"/>
                <w:sz w:val="16"/>
                <w:szCs w:val="16"/>
                <w:lang w:val="en-GB"/>
              </w:rPr>
              <w:t xml:space="preserve">5,876 female, 5,930 male </w:t>
            </w:r>
            <w:r w:rsidRPr="009E6278">
              <w:rPr>
                <w:color w:val="000000"/>
                <w:sz w:val="16"/>
                <w:szCs w:val="16"/>
                <w:lang w:val="en-GB"/>
              </w:rPr>
              <w:t>(2021)</w:t>
            </w:r>
          </w:p>
          <w:p w14:paraId="39166354" w14:textId="77777777" w:rsidR="00394AEB" w:rsidRPr="009E6278" w:rsidRDefault="00394AEB" w:rsidP="00F31ED7">
            <w:pPr>
              <w:rPr>
                <w:color w:val="000000"/>
                <w:sz w:val="16"/>
                <w:szCs w:val="16"/>
                <w:lang w:val="en-GB"/>
              </w:rPr>
            </w:pPr>
            <w:r w:rsidRPr="009E6278">
              <w:rPr>
                <w:color w:val="000000"/>
                <w:sz w:val="16"/>
                <w:szCs w:val="16"/>
                <w:lang w:val="en-GB"/>
              </w:rPr>
              <w:t>Target: 90,000 (2026)</w:t>
            </w:r>
          </w:p>
          <w:p w14:paraId="2AED67F5" w14:textId="77777777" w:rsidR="00394AEB" w:rsidRPr="009E6278" w:rsidRDefault="00394AEB" w:rsidP="00F31ED7">
            <w:pPr>
              <w:rPr>
                <w:color w:val="000000"/>
                <w:sz w:val="16"/>
                <w:szCs w:val="16"/>
                <w:lang w:val="en-GB"/>
              </w:rPr>
            </w:pPr>
            <w:r w:rsidRPr="009E6278">
              <w:rPr>
                <w:color w:val="000000"/>
                <w:sz w:val="16"/>
                <w:szCs w:val="16"/>
                <w:lang w:val="en-GB"/>
              </w:rPr>
              <w:t>Data source: NDMA</w:t>
            </w:r>
          </w:p>
          <w:p w14:paraId="70B9DEB1" w14:textId="77777777" w:rsidR="00394AEB" w:rsidRPr="009E6278" w:rsidRDefault="00394AEB" w:rsidP="009E6278">
            <w:pPr>
              <w:spacing w:after="120"/>
              <w:rPr>
                <w:color w:val="000000"/>
                <w:sz w:val="16"/>
                <w:szCs w:val="16"/>
                <w:lang w:val="en-GB"/>
              </w:rPr>
            </w:pPr>
            <w:r w:rsidRPr="009E6278">
              <w:rPr>
                <w:color w:val="000000"/>
                <w:sz w:val="16"/>
                <w:szCs w:val="16"/>
                <w:lang w:val="en-GB"/>
              </w:rPr>
              <w:t>Frequency: Annual</w:t>
            </w:r>
          </w:p>
          <w:p w14:paraId="33F2DA13" w14:textId="704DCDB2" w:rsidR="00394AEB" w:rsidRPr="009E6278" w:rsidRDefault="00394AEB" w:rsidP="00F31ED7">
            <w:pPr>
              <w:rPr>
                <w:color w:val="000000"/>
                <w:sz w:val="16"/>
                <w:szCs w:val="16"/>
                <w:lang w:val="en-GB"/>
              </w:rPr>
            </w:pPr>
            <w:r w:rsidRPr="00547151">
              <w:rPr>
                <w:b/>
                <w:bCs/>
                <w:color w:val="000000"/>
                <w:sz w:val="16"/>
                <w:szCs w:val="16"/>
                <w:lang w:val="en-GB"/>
              </w:rPr>
              <w:t>Output 3.3</w:t>
            </w:r>
            <w:r w:rsidR="00AF44AF" w:rsidRPr="00547151">
              <w:rPr>
                <w:b/>
                <w:bCs/>
                <w:color w:val="000000"/>
                <w:sz w:val="16"/>
                <w:szCs w:val="16"/>
                <w:lang w:val="en-GB"/>
              </w:rPr>
              <w:t>.</w:t>
            </w:r>
            <w:r w:rsidRPr="00547151">
              <w:rPr>
                <w:color w:val="000000"/>
                <w:sz w:val="16"/>
                <w:szCs w:val="16"/>
                <w:lang w:val="en-GB"/>
              </w:rPr>
              <w:t xml:space="preserve"> </w:t>
            </w:r>
            <w:r w:rsidRPr="009E6278">
              <w:rPr>
                <w:color w:val="000000"/>
                <w:sz w:val="16"/>
                <w:szCs w:val="16"/>
                <w:lang w:val="en-GB"/>
              </w:rPr>
              <w:t>Access to cost</w:t>
            </w:r>
            <w:r w:rsidR="00AF44AF" w:rsidRPr="00547151">
              <w:rPr>
                <w:color w:val="000000"/>
                <w:sz w:val="16"/>
                <w:szCs w:val="16"/>
                <w:lang w:val="en-GB"/>
              </w:rPr>
              <w:t>-</w:t>
            </w:r>
            <w:r w:rsidRPr="009E6278">
              <w:rPr>
                <w:color w:val="000000"/>
                <w:sz w:val="16"/>
                <w:szCs w:val="16"/>
                <w:lang w:val="en-GB"/>
              </w:rPr>
              <w:t xml:space="preserve">effective clean energy enhanced </w:t>
            </w:r>
          </w:p>
          <w:p w14:paraId="7F5DF964" w14:textId="73D92A36" w:rsidR="00394AEB" w:rsidRPr="00547151" w:rsidRDefault="00394AEB" w:rsidP="00F31ED7">
            <w:pPr>
              <w:rPr>
                <w:color w:val="000000"/>
                <w:sz w:val="16"/>
                <w:szCs w:val="16"/>
                <w:lang w:val="en-GB"/>
              </w:rPr>
            </w:pPr>
            <w:r w:rsidRPr="00547151">
              <w:rPr>
                <w:b/>
                <w:bCs/>
                <w:color w:val="000000"/>
                <w:sz w:val="16"/>
                <w:szCs w:val="16"/>
                <w:lang w:val="en-GB"/>
              </w:rPr>
              <w:t>Indicator 3.3.1</w:t>
            </w:r>
            <w:r w:rsidR="00AF44AF" w:rsidRPr="00547151">
              <w:rPr>
                <w:b/>
                <w:bCs/>
                <w:color w:val="000000"/>
                <w:sz w:val="16"/>
                <w:szCs w:val="16"/>
                <w:lang w:val="en-GB"/>
              </w:rPr>
              <w:t>.</w:t>
            </w:r>
            <w:r w:rsidRPr="00547151">
              <w:rPr>
                <w:color w:val="000000"/>
                <w:sz w:val="16"/>
                <w:szCs w:val="16"/>
                <w:lang w:val="en-GB"/>
              </w:rPr>
              <w:t xml:space="preserve"> No</w:t>
            </w:r>
            <w:r w:rsidR="00AF44AF" w:rsidRPr="00547151">
              <w:rPr>
                <w:color w:val="000000"/>
                <w:sz w:val="16"/>
                <w:szCs w:val="16"/>
                <w:lang w:val="en-GB"/>
              </w:rPr>
              <w:t>.</w:t>
            </w:r>
            <w:r w:rsidRPr="00547151">
              <w:rPr>
                <w:color w:val="000000"/>
                <w:sz w:val="16"/>
                <w:szCs w:val="16"/>
                <w:lang w:val="en-GB"/>
              </w:rPr>
              <w:t xml:space="preserve"> of technologies transferred to improved access to clean and affordable energy</w:t>
            </w:r>
          </w:p>
          <w:p w14:paraId="41ECFBC6" w14:textId="2EE10BC9" w:rsidR="00394AEB" w:rsidRPr="00547151" w:rsidRDefault="00394AEB" w:rsidP="00F31ED7">
            <w:pPr>
              <w:rPr>
                <w:color w:val="000000"/>
                <w:sz w:val="16"/>
                <w:szCs w:val="16"/>
                <w:lang w:val="en-GB"/>
              </w:rPr>
            </w:pPr>
            <w:r w:rsidRPr="00547151">
              <w:rPr>
                <w:color w:val="000000"/>
                <w:sz w:val="16"/>
                <w:szCs w:val="16"/>
                <w:lang w:val="en-GB"/>
              </w:rPr>
              <w:t>Baseline</w:t>
            </w:r>
            <w:r w:rsidR="00AF44AF" w:rsidRPr="00547151">
              <w:rPr>
                <w:color w:val="000000"/>
                <w:sz w:val="16"/>
                <w:szCs w:val="16"/>
                <w:lang w:val="en-GB"/>
              </w:rPr>
              <w:t>:</w:t>
            </w:r>
            <w:r w:rsidRPr="00547151">
              <w:rPr>
                <w:color w:val="000000"/>
                <w:sz w:val="16"/>
                <w:szCs w:val="16"/>
                <w:lang w:val="en-GB"/>
              </w:rPr>
              <w:t xml:space="preserve"> 12 (2021)</w:t>
            </w:r>
            <w:r w:rsidR="00AF44AF" w:rsidRPr="00547151">
              <w:rPr>
                <w:color w:val="000000"/>
                <w:sz w:val="16"/>
                <w:szCs w:val="16"/>
                <w:lang w:val="en-GB"/>
              </w:rPr>
              <w:t xml:space="preserve">; </w:t>
            </w:r>
            <w:r w:rsidRPr="00547151">
              <w:rPr>
                <w:color w:val="000000"/>
                <w:sz w:val="16"/>
                <w:szCs w:val="16"/>
                <w:lang w:val="en-GB"/>
              </w:rPr>
              <w:t>Target:</w:t>
            </w:r>
            <w:r w:rsidR="00AF44AF" w:rsidRPr="00547151">
              <w:rPr>
                <w:color w:val="000000"/>
                <w:sz w:val="16"/>
                <w:szCs w:val="16"/>
                <w:lang w:val="en-GB"/>
              </w:rPr>
              <w:t xml:space="preserve"> </w:t>
            </w:r>
            <w:r w:rsidRPr="00547151">
              <w:rPr>
                <w:color w:val="000000"/>
                <w:sz w:val="16"/>
                <w:szCs w:val="16"/>
                <w:lang w:val="en-GB"/>
              </w:rPr>
              <w:t>15 (2026)</w:t>
            </w:r>
          </w:p>
          <w:p w14:paraId="3B83BDB0" w14:textId="0A8DDE89" w:rsidR="00394AEB" w:rsidRPr="00547151" w:rsidRDefault="00394AEB" w:rsidP="00F31ED7">
            <w:pPr>
              <w:rPr>
                <w:color w:val="000000"/>
                <w:sz w:val="16"/>
                <w:szCs w:val="16"/>
                <w:lang w:val="en-GB"/>
              </w:rPr>
            </w:pPr>
            <w:r w:rsidRPr="00547151">
              <w:rPr>
                <w:color w:val="000000"/>
                <w:sz w:val="16"/>
                <w:szCs w:val="16"/>
                <w:lang w:val="en-GB"/>
              </w:rPr>
              <w:t>Data source</w:t>
            </w:r>
            <w:r w:rsidR="00AF44AF" w:rsidRPr="00547151">
              <w:rPr>
                <w:color w:val="000000"/>
                <w:sz w:val="16"/>
                <w:szCs w:val="16"/>
                <w:lang w:val="en-GB"/>
              </w:rPr>
              <w:t>:</w:t>
            </w:r>
            <w:r w:rsidRPr="00547151">
              <w:rPr>
                <w:color w:val="000000"/>
                <w:sz w:val="16"/>
                <w:szCs w:val="16"/>
                <w:lang w:val="en-GB"/>
              </w:rPr>
              <w:t xml:space="preserve"> Ministry of Energy</w:t>
            </w:r>
          </w:p>
          <w:p w14:paraId="4769258A" w14:textId="7F9EF04D" w:rsidR="00394AEB" w:rsidRPr="00547151" w:rsidRDefault="00394AEB" w:rsidP="009E6278">
            <w:pPr>
              <w:spacing w:after="120"/>
              <w:rPr>
                <w:color w:val="000000"/>
                <w:sz w:val="16"/>
                <w:szCs w:val="16"/>
                <w:lang w:val="en-GB"/>
              </w:rPr>
            </w:pPr>
            <w:r w:rsidRPr="00547151">
              <w:rPr>
                <w:color w:val="000000"/>
                <w:sz w:val="16"/>
                <w:szCs w:val="16"/>
                <w:lang w:val="en-GB"/>
              </w:rPr>
              <w:t>Frequency: Annual</w:t>
            </w:r>
          </w:p>
          <w:p w14:paraId="27D1F394" w14:textId="0F75C591" w:rsidR="00394AEB" w:rsidRPr="00547151" w:rsidRDefault="00394AEB" w:rsidP="00F31ED7">
            <w:pPr>
              <w:rPr>
                <w:color w:val="000000"/>
                <w:sz w:val="16"/>
                <w:szCs w:val="16"/>
                <w:lang w:val="en-GB"/>
              </w:rPr>
            </w:pPr>
            <w:r w:rsidRPr="00547151">
              <w:rPr>
                <w:b/>
                <w:bCs/>
                <w:color w:val="000000"/>
                <w:sz w:val="16"/>
                <w:szCs w:val="16"/>
                <w:lang w:val="en-GB"/>
              </w:rPr>
              <w:t>Indicator 3.3.2</w:t>
            </w:r>
            <w:r w:rsidR="00AF44AF" w:rsidRPr="00547151">
              <w:rPr>
                <w:b/>
                <w:bCs/>
                <w:color w:val="000000"/>
                <w:sz w:val="16"/>
                <w:szCs w:val="16"/>
                <w:lang w:val="en-GB"/>
              </w:rPr>
              <w:t>.</w:t>
            </w:r>
            <w:r w:rsidRPr="00547151">
              <w:rPr>
                <w:color w:val="000000"/>
                <w:sz w:val="16"/>
                <w:szCs w:val="16"/>
                <w:lang w:val="en-GB"/>
              </w:rPr>
              <w:t xml:space="preserve"> No</w:t>
            </w:r>
            <w:r w:rsidR="00AF44AF" w:rsidRPr="00547151">
              <w:rPr>
                <w:color w:val="000000"/>
                <w:sz w:val="16"/>
                <w:szCs w:val="16"/>
                <w:lang w:val="en-GB"/>
              </w:rPr>
              <w:t>.</w:t>
            </w:r>
            <w:r w:rsidRPr="00547151">
              <w:rPr>
                <w:color w:val="000000"/>
                <w:sz w:val="16"/>
                <w:szCs w:val="16"/>
                <w:lang w:val="en-GB"/>
              </w:rPr>
              <w:t xml:space="preserve"> of people </w:t>
            </w:r>
            <w:r w:rsidR="00E507CD" w:rsidRPr="00547151">
              <w:rPr>
                <w:color w:val="000000"/>
                <w:sz w:val="16"/>
                <w:szCs w:val="16"/>
                <w:lang w:val="en-GB"/>
              </w:rPr>
              <w:t xml:space="preserve">(by gender) </w:t>
            </w:r>
            <w:r w:rsidRPr="00547151">
              <w:rPr>
                <w:color w:val="000000"/>
                <w:sz w:val="16"/>
                <w:szCs w:val="16"/>
                <w:lang w:val="en-GB"/>
              </w:rPr>
              <w:t xml:space="preserve">benefiting from </w:t>
            </w:r>
            <w:r w:rsidR="00A12AEC" w:rsidRPr="00547151">
              <w:rPr>
                <w:color w:val="000000"/>
                <w:sz w:val="16"/>
                <w:szCs w:val="16"/>
                <w:lang w:val="en-GB"/>
              </w:rPr>
              <w:t>clean cooking solutions (</w:t>
            </w:r>
            <w:r w:rsidRPr="00547151">
              <w:rPr>
                <w:color w:val="000000"/>
                <w:sz w:val="16"/>
                <w:szCs w:val="16"/>
                <w:lang w:val="en-GB"/>
              </w:rPr>
              <w:t>clean energy</w:t>
            </w:r>
            <w:r w:rsidR="00A12AEC" w:rsidRPr="00547151">
              <w:rPr>
                <w:color w:val="000000"/>
                <w:sz w:val="16"/>
                <w:szCs w:val="16"/>
                <w:lang w:val="en-GB"/>
              </w:rPr>
              <w:t>)</w:t>
            </w:r>
          </w:p>
          <w:p w14:paraId="397A1540" w14:textId="6B07F0EA" w:rsidR="00394AEB" w:rsidRPr="00547151" w:rsidRDefault="00394AEB" w:rsidP="00F31ED7">
            <w:pPr>
              <w:rPr>
                <w:color w:val="000000"/>
                <w:sz w:val="16"/>
                <w:szCs w:val="16"/>
                <w:lang w:val="en-GB"/>
              </w:rPr>
            </w:pPr>
            <w:r w:rsidRPr="00547151">
              <w:rPr>
                <w:color w:val="000000"/>
                <w:sz w:val="16"/>
                <w:szCs w:val="16"/>
                <w:lang w:val="en-GB"/>
              </w:rPr>
              <w:t>Baseline</w:t>
            </w:r>
            <w:r w:rsidR="00AF44AF" w:rsidRPr="00547151">
              <w:rPr>
                <w:color w:val="000000"/>
                <w:sz w:val="16"/>
                <w:szCs w:val="16"/>
                <w:lang w:val="en-GB"/>
              </w:rPr>
              <w:t>:</w:t>
            </w:r>
            <w:r w:rsidRPr="00547151">
              <w:rPr>
                <w:color w:val="000000"/>
                <w:sz w:val="16"/>
                <w:szCs w:val="16"/>
                <w:lang w:val="en-GB"/>
              </w:rPr>
              <w:t xml:space="preserve"> </w:t>
            </w:r>
            <w:r w:rsidR="00E507CD" w:rsidRPr="00547151">
              <w:rPr>
                <w:color w:val="000000"/>
                <w:sz w:val="16"/>
                <w:szCs w:val="16"/>
                <w:lang w:val="en-GB"/>
              </w:rPr>
              <w:t>(4</w:t>
            </w:r>
            <w:r w:rsidR="00547151">
              <w:rPr>
                <w:color w:val="000000"/>
                <w:sz w:val="16"/>
                <w:szCs w:val="16"/>
                <w:lang w:val="en-GB"/>
              </w:rPr>
              <w:t>.</w:t>
            </w:r>
            <w:r w:rsidR="00E507CD" w:rsidRPr="00547151">
              <w:rPr>
                <w:color w:val="000000"/>
                <w:sz w:val="16"/>
                <w:szCs w:val="16"/>
                <w:lang w:val="en-GB"/>
              </w:rPr>
              <w:t>16m women and 4</w:t>
            </w:r>
            <w:r w:rsidR="00AF44AF" w:rsidRPr="00547151">
              <w:rPr>
                <w:color w:val="000000"/>
                <w:sz w:val="16"/>
                <w:szCs w:val="16"/>
                <w:lang w:val="en-GB"/>
              </w:rPr>
              <w:t>.</w:t>
            </w:r>
            <w:r w:rsidR="00E507CD" w:rsidRPr="00547151">
              <w:rPr>
                <w:color w:val="000000"/>
                <w:sz w:val="16"/>
                <w:szCs w:val="16"/>
                <w:lang w:val="en-GB"/>
              </w:rPr>
              <w:t xml:space="preserve">12m men) </w:t>
            </w:r>
            <w:r w:rsidRPr="00547151">
              <w:rPr>
                <w:color w:val="000000"/>
                <w:sz w:val="16"/>
                <w:szCs w:val="16"/>
                <w:lang w:val="en-GB"/>
              </w:rPr>
              <w:t>(2021)</w:t>
            </w:r>
            <w:r w:rsidR="00AF44AF" w:rsidRPr="00547151">
              <w:rPr>
                <w:color w:val="000000"/>
                <w:sz w:val="16"/>
                <w:szCs w:val="16"/>
                <w:lang w:val="en-GB"/>
              </w:rPr>
              <w:t>;</w:t>
            </w:r>
            <w:r w:rsidRPr="00547151">
              <w:rPr>
                <w:color w:val="000000"/>
                <w:sz w:val="16"/>
                <w:szCs w:val="16"/>
                <w:lang w:val="en-GB"/>
              </w:rPr>
              <w:t>Target</w:t>
            </w:r>
            <w:r w:rsidR="00B34ADB" w:rsidRPr="00547151">
              <w:rPr>
                <w:color w:val="000000"/>
                <w:sz w:val="16"/>
                <w:szCs w:val="16"/>
                <w:lang w:val="en-GB"/>
              </w:rPr>
              <w:t>:</w:t>
            </w:r>
            <w:r w:rsidR="00603B8F" w:rsidRPr="00547151">
              <w:rPr>
                <w:color w:val="000000"/>
                <w:sz w:val="16"/>
                <w:szCs w:val="16"/>
                <w:lang w:val="en-GB"/>
              </w:rPr>
              <w:t xml:space="preserve"> </w:t>
            </w:r>
            <w:r w:rsidR="0033245F" w:rsidRPr="00547151">
              <w:rPr>
                <w:color w:val="000000"/>
                <w:sz w:val="16"/>
                <w:szCs w:val="16"/>
                <w:lang w:val="en-GB"/>
              </w:rPr>
              <w:t>8.8</w:t>
            </w:r>
            <w:r w:rsidR="00B34ADB" w:rsidRPr="00547151">
              <w:rPr>
                <w:color w:val="000000"/>
                <w:sz w:val="16"/>
                <w:szCs w:val="16"/>
                <w:lang w:val="en-GB"/>
              </w:rPr>
              <w:t xml:space="preserve"> m</w:t>
            </w:r>
            <w:r w:rsidRPr="00547151">
              <w:rPr>
                <w:color w:val="000000"/>
                <w:sz w:val="16"/>
                <w:szCs w:val="16"/>
                <w:lang w:val="en-GB"/>
              </w:rPr>
              <w:t xml:space="preserve"> (2026)</w:t>
            </w:r>
          </w:p>
          <w:p w14:paraId="1B8E11DE" w14:textId="2AB242B6" w:rsidR="00394AEB" w:rsidRPr="00547151" w:rsidRDefault="00394AEB" w:rsidP="00F31ED7">
            <w:pPr>
              <w:rPr>
                <w:color w:val="000000"/>
                <w:sz w:val="16"/>
                <w:szCs w:val="16"/>
                <w:lang w:val="en-GB"/>
              </w:rPr>
            </w:pPr>
            <w:r w:rsidRPr="00547151">
              <w:rPr>
                <w:color w:val="000000"/>
                <w:sz w:val="16"/>
                <w:szCs w:val="16"/>
                <w:lang w:val="en-GB"/>
              </w:rPr>
              <w:t>Data source</w:t>
            </w:r>
            <w:r w:rsidR="00AF44AF" w:rsidRPr="00547151">
              <w:rPr>
                <w:color w:val="000000"/>
                <w:sz w:val="16"/>
                <w:szCs w:val="16"/>
                <w:lang w:val="en-GB"/>
              </w:rPr>
              <w:t>:</w:t>
            </w:r>
            <w:r w:rsidRPr="00547151">
              <w:rPr>
                <w:color w:val="000000"/>
                <w:sz w:val="16"/>
                <w:szCs w:val="16"/>
                <w:lang w:val="en-GB"/>
              </w:rPr>
              <w:t xml:space="preserve"> NDMA</w:t>
            </w:r>
          </w:p>
          <w:p w14:paraId="34502E6B" w14:textId="77777777" w:rsidR="00394AEB" w:rsidRPr="00547151" w:rsidRDefault="00394AEB" w:rsidP="009E6278">
            <w:pPr>
              <w:spacing w:after="120"/>
              <w:rPr>
                <w:b/>
                <w:bCs/>
                <w:color w:val="000000"/>
                <w:sz w:val="16"/>
                <w:szCs w:val="16"/>
                <w:lang w:val="en-GB"/>
              </w:rPr>
            </w:pPr>
            <w:r w:rsidRPr="00547151">
              <w:rPr>
                <w:color w:val="000000"/>
                <w:sz w:val="16"/>
                <w:szCs w:val="16"/>
                <w:lang w:val="en-GB"/>
              </w:rPr>
              <w:t>Frequency: Annual</w:t>
            </w:r>
          </w:p>
          <w:p w14:paraId="2B15CE5F" w14:textId="13B603C8" w:rsidR="00394AEB" w:rsidRPr="009E6278" w:rsidRDefault="00394AEB" w:rsidP="009E6278">
            <w:pPr>
              <w:spacing w:after="120"/>
              <w:rPr>
                <w:color w:val="000000"/>
                <w:sz w:val="16"/>
                <w:szCs w:val="16"/>
                <w:lang w:val="en-GB"/>
              </w:rPr>
            </w:pPr>
            <w:r w:rsidRPr="009E6278">
              <w:rPr>
                <w:b/>
                <w:bCs/>
                <w:color w:val="000000"/>
                <w:sz w:val="16"/>
                <w:szCs w:val="16"/>
                <w:lang w:val="en-GB"/>
              </w:rPr>
              <w:t>Output 3.4</w:t>
            </w:r>
            <w:r w:rsidR="00AF44AF" w:rsidRPr="00547151">
              <w:rPr>
                <w:b/>
                <w:bCs/>
                <w:color w:val="000000"/>
                <w:sz w:val="16"/>
                <w:szCs w:val="16"/>
                <w:lang w:val="en-GB"/>
              </w:rPr>
              <w:t>.</w:t>
            </w:r>
            <w:r w:rsidRPr="009E6278">
              <w:rPr>
                <w:b/>
                <w:bCs/>
                <w:color w:val="000000"/>
                <w:sz w:val="16"/>
                <w:szCs w:val="16"/>
                <w:lang w:val="en-GB"/>
              </w:rPr>
              <w:t xml:space="preserve"> </w:t>
            </w:r>
            <w:r w:rsidRPr="009E6278">
              <w:rPr>
                <w:color w:val="000000"/>
                <w:sz w:val="16"/>
                <w:szCs w:val="16"/>
                <w:lang w:val="en-GB"/>
              </w:rPr>
              <w:t>Capacities to deliver on nationally determined contributions enhanced – national/county level</w:t>
            </w:r>
          </w:p>
          <w:p w14:paraId="178CB454" w14:textId="48BBC3F5" w:rsidR="00394AEB" w:rsidRPr="009E6278" w:rsidRDefault="00394AEB" w:rsidP="00F31ED7">
            <w:pPr>
              <w:rPr>
                <w:color w:val="000000"/>
                <w:sz w:val="16"/>
                <w:szCs w:val="16"/>
                <w:lang w:val="en-GB"/>
              </w:rPr>
            </w:pPr>
            <w:r w:rsidRPr="009E6278">
              <w:rPr>
                <w:b/>
                <w:bCs/>
                <w:color w:val="000000"/>
                <w:sz w:val="16"/>
                <w:szCs w:val="16"/>
                <w:lang w:val="en-GB"/>
              </w:rPr>
              <w:t>Indicator 3.4.1</w:t>
            </w:r>
            <w:r w:rsidR="00AF44AF" w:rsidRPr="00547151">
              <w:rPr>
                <w:b/>
                <w:bCs/>
                <w:color w:val="000000"/>
                <w:sz w:val="16"/>
                <w:szCs w:val="16"/>
                <w:lang w:val="en-GB"/>
              </w:rPr>
              <w:t>.</w:t>
            </w:r>
            <w:r w:rsidRPr="009E6278">
              <w:rPr>
                <w:color w:val="000000"/>
                <w:sz w:val="16"/>
                <w:szCs w:val="16"/>
                <w:lang w:val="en-GB"/>
              </w:rPr>
              <w:t xml:space="preserve"> No</w:t>
            </w:r>
            <w:r w:rsidR="00AF44AF" w:rsidRPr="00547151">
              <w:rPr>
                <w:color w:val="000000"/>
                <w:sz w:val="16"/>
                <w:szCs w:val="16"/>
                <w:lang w:val="en-GB"/>
              </w:rPr>
              <w:t>.</w:t>
            </w:r>
            <w:r w:rsidRPr="009E6278">
              <w:rPr>
                <w:color w:val="000000"/>
                <w:sz w:val="16"/>
                <w:szCs w:val="16"/>
                <w:lang w:val="en-GB"/>
              </w:rPr>
              <w:t xml:space="preserve"> of Mt</w:t>
            </w:r>
            <w:r w:rsidR="00603B8F" w:rsidRPr="00547151">
              <w:rPr>
                <w:color w:val="000000"/>
                <w:sz w:val="16"/>
                <w:szCs w:val="16"/>
                <w:lang w:val="en-GB"/>
              </w:rPr>
              <w:t xml:space="preserve"> </w:t>
            </w:r>
            <w:r w:rsidRPr="009E6278">
              <w:rPr>
                <w:color w:val="000000"/>
                <w:sz w:val="16"/>
                <w:szCs w:val="16"/>
                <w:lang w:val="en-GB"/>
              </w:rPr>
              <w:t>CO2e reduced from climate mitigation initiatives implemented</w:t>
            </w:r>
          </w:p>
          <w:p w14:paraId="0BEEB809" w14:textId="54EFED00" w:rsidR="00394AEB" w:rsidRPr="00547151" w:rsidRDefault="00394AEB" w:rsidP="00F31ED7">
            <w:pPr>
              <w:rPr>
                <w:color w:val="000000"/>
                <w:sz w:val="16"/>
                <w:szCs w:val="16"/>
                <w:lang w:val="en-GB"/>
              </w:rPr>
            </w:pPr>
            <w:r w:rsidRPr="00547151">
              <w:rPr>
                <w:color w:val="000000"/>
                <w:sz w:val="16"/>
                <w:szCs w:val="16"/>
                <w:lang w:val="en-GB"/>
              </w:rPr>
              <w:t>Baseline</w:t>
            </w:r>
            <w:r w:rsidR="003C66E5" w:rsidRPr="00547151">
              <w:rPr>
                <w:color w:val="000000"/>
                <w:sz w:val="16"/>
                <w:szCs w:val="16"/>
                <w:lang w:val="en-GB"/>
              </w:rPr>
              <w:t>: 143Mt</w:t>
            </w:r>
            <w:r w:rsidR="00603B8F" w:rsidRPr="00547151">
              <w:rPr>
                <w:color w:val="000000"/>
                <w:sz w:val="16"/>
                <w:szCs w:val="16"/>
                <w:lang w:val="en-GB"/>
              </w:rPr>
              <w:t xml:space="preserve"> </w:t>
            </w:r>
            <w:r w:rsidR="003C66E5" w:rsidRPr="00547151">
              <w:rPr>
                <w:color w:val="000000"/>
                <w:sz w:val="16"/>
                <w:szCs w:val="16"/>
                <w:lang w:val="en-GB"/>
              </w:rPr>
              <w:t>CO2e</w:t>
            </w:r>
            <w:r w:rsidRPr="00547151">
              <w:rPr>
                <w:color w:val="000000"/>
                <w:sz w:val="16"/>
                <w:szCs w:val="16"/>
                <w:lang w:val="en-GB"/>
              </w:rPr>
              <w:t xml:space="preserve"> (2021)</w:t>
            </w:r>
          </w:p>
          <w:p w14:paraId="6016E99D" w14:textId="7B653F6A" w:rsidR="00394AEB" w:rsidRPr="00547151" w:rsidRDefault="00394AEB" w:rsidP="00F31ED7">
            <w:pPr>
              <w:rPr>
                <w:color w:val="000000"/>
                <w:sz w:val="16"/>
                <w:szCs w:val="16"/>
                <w:lang w:val="en-GB"/>
              </w:rPr>
            </w:pPr>
            <w:r w:rsidRPr="00547151">
              <w:rPr>
                <w:color w:val="000000"/>
                <w:sz w:val="16"/>
                <w:szCs w:val="16"/>
                <w:lang w:val="en-GB"/>
              </w:rPr>
              <w:t>Target</w:t>
            </w:r>
            <w:r w:rsidR="00AF44AF" w:rsidRPr="00547151">
              <w:rPr>
                <w:color w:val="000000"/>
                <w:sz w:val="16"/>
                <w:szCs w:val="16"/>
                <w:lang w:val="en-GB"/>
              </w:rPr>
              <w:t>:</w:t>
            </w:r>
            <w:r w:rsidRPr="00547151">
              <w:rPr>
                <w:color w:val="000000"/>
                <w:sz w:val="16"/>
                <w:szCs w:val="16"/>
                <w:lang w:val="en-GB"/>
              </w:rPr>
              <w:t xml:space="preserve"> </w:t>
            </w:r>
            <w:r w:rsidR="008F4B47" w:rsidRPr="00547151">
              <w:rPr>
                <w:color w:val="000000"/>
                <w:sz w:val="16"/>
                <w:szCs w:val="16"/>
                <w:lang w:val="en-GB"/>
              </w:rPr>
              <w:t>142Mt</w:t>
            </w:r>
            <w:r w:rsidR="00603B8F" w:rsidRPr="00547151">
              <w:rPr>
                <w:color w:val="000000"/>
                <w:sz w:val="16"/>
                <w:szCs w:val="16"/>
                <w:lang w:val="en-GB"/>
              </w:rPr>
              <w:t xml:space="preserve"> </w:t>
            </w:r>
            <w:r w:rsidRPr="00547151">
              <w:rPr>
                <w:color w:val="000000"/>
                <w:sz w:val="16"/>
                <w:szCs w:val="16"/>
                <w:lang w:val="en-GB"/>
              </w:rPr>
              <w:t>CO2e (2026)</w:t>
            </w:r>
          </w:p>
          <w:p w14:paraId="6A0D1CA6" w14:textId="0DACF342" w:rsidR="00394AEB" w:rsidRPr="00547151" w:rsidRDefault="00394AEB" w:rsidP="00F31ED7">
            <w:pPr>
              <w:rPr>
                <w:color w:val="000000"/>
                <w:sz w:val="16"/>
                <w:szCs w:val="16"/>
                <w:lang w:val="en-GB"/>
              </w:rPr>
            </w:pPr>
            <w:r w:rsidRPr="00547151">
              <w:rPr>
                <w:color w:val="000000"/>
                <w:sz w:val="16"/>
                <w:szCs w:val="16"/>
                <w:lang w:val="en-GB"/>
              </w:rPr>
              <w:t>Data source</w:t>
            </w:r>
            <w:r w:rsidR="00C679FB" w:rsidRPr="00547151">
              <w:rPr>
                <w:color w:val="000000"/>
                <w:sz w:val="16"/>
                <w:szCs w:val="16"/>
                <w:lang w:val="en-GB"/>
              </w:rPr>
              <w:t>:</w:t>
            </w:r>
            <w:r w:rsidRPr="00547151">
              <w:rPr>
                <w:color w:val="000000"/>
                <w:sz w:val="16"/>
                <w:szCs w:val="16"/>
                <w:lang w:val="en-GB"/>
              </w:rPr>
              <w:t xml:space="preserve"> Ministry of Energy</w:t>
            </w:r>
          </w:p>
          <w:p w14:paraId="5744969D" w14:textId="66595F99" w:rsidR="00394AEB" w:rsidRPr="009E6278" w:rsidRDefault="00394AEB" w:rsidP="009E6278">
            <w:pPr>
              <w:spacing w:after="120"/>
              <w:rPr>
                <w:b/>
                <w:bCs/>
                <w:color w:val="000000"/>
                <w:sz w:val="16"/>
                <w:szCs w:val="16"/>
                <w:lang w:val="en-GB"/>
              </w:rPr>
            </w:pPr>
            <w:r w:rsidRPr="00547151">
              <w:rPr>
                <w:color w:val="000000"/>
                <w:sz w:val="16"/>
                <w:szCs w:val="16"/>
                <w:lang w:val="en-GB"/>
              </w:rPr>
              <w:t>Frequency: Annual</w:t>
            </w:r>
          </w:p>
          <w:p w14:paraId="7D52FABE" w14:textId="0DB5695F" w:rsidR="00394AEB" w:rsidRPr="009E6278" w:rsidRDefault="00394AEB" w:rsidP="00F31ED7">
            <w:pPr>
              <w:rPr>
                <w:color w:val="000000"/>
                <w:sz w:val="16"/>
                <w:szCs w:val="16"/>
                <w:lang w:val="en-GB"/>
              </w:rPr>
            </w:pPr>
            <w:r w:rsidRPr="009E6278">
              <w:rPr>
                <w:b/>
                <w:bCs/>
                <w:color w:val="000000"/>
                <w:sz w:val="16"/>
                <w:szCs w:val="16"/>
                <w:lang w:val="en-GB"/>
              </w:rPr>
              <w:t>Indicator 3.4.2</w:t>
            </w:r>
            <w:r w:rsidR="00AF44AF" w:rsidRPr="00547151">
              <w:rPr>
                <w:b/>
                <w:bCs/>
                <w:color w:val="000000"/>
                <w:sz w:val="16"/>
                <w:szCs w:val="16"/>
                <w:lang w:val="en-GB"/>
              </w:rPr>
              <w:t>.</w:t>
            </w:r>
            <w:r w:rsidRPr="009E6278">
              <w:rPr>
                <w:color w:val="000000"/>
                <w:sz w:val="16"/>
                <w:szCs w:val="16"/>
                <w:lang w:val="en-GB"/>
              </w:rPr>
              <w:t xml:space="preserve"> No. of counties with gender-responsive policies and legal framework for climate change </w:t>
            </w:r>
          </w:p>
          <w:p w14:paraId="736A58EF" w14:textId="47BE4662" w:rsidR="00394AEB" w:rsidRPr="00547151" w:rsidRDefault="00394AEB" w:rsidP="00F31ED7">
            <w:pPr>
              <w:rPr>
                <w:color w:val="000000"/>
                <w:sz w:val="16"/>
                <w:szCs w:val="16"/>
                <w:lang w:val="en-GB"/>
              </w:rPr>
            </w:pPr>
            <w:r w:rsidRPr="00547151">
              <w:rPr>
                <w:color w:val="000000"/>
                <w:sz w:val="16"/>
                <w:szCs w:val="16"/>
                <w:lang w:val="en-GB"/>
              </w:rPr>
              <w:t>Baseline</w:t>
            </w:r>
            <w:r w:rsidR="005134DE" w:rsidRPr="00547151">
              <w:rPr>
                <w:color w:val="000000"/>
                <w:sz w:val="16"/>
                <w:szCs w:val="16"/>
                <w:lang w:val="en-GB"/>
              </w:rPr>
              <w:t xml:space="preserve">: 35 </w:t>
            </w:r>
            <w:r w:rsidRPr="00547151">
              <w:rPr>
                <w:color w:val="000000"/>
                <w:sz w:val="16"/>
                <w:szCs w:val="16"/>
                <w:lang w:val="en-GB"/>
              </w:rPr>
              <w:t>(2021)</w:t>
            </w:r>
          </w:p>
          <w:p w14:paraId="51E2CA3A" w14:textId="619BE3A6" w:rsidR="00394AEB" w:rsidRPr="00547151" w:rsidRDefault="00394AEB" w:rsidP="00F31ED7">
            <w:pPr>
              <w:rPr>
                <w:color w:val="000000"/>
                <w:sz w:val="16"/>
                <w:szCs w:val="16"/>
                <w:lang w:val="en-GB"/>
              </w:rPr>
            </w:pPr>
            <w:r w:rsidRPr="00547151">
              <w:rPr>
                <w:color w:val="000000"/>
                <w:sz w:val="16"/>
                <w:szCs w:val="16"/>
                <w:lang w:val="en-GB"/>
              </w:rPr>
              <w:t>Target</w:t>
            </w:r>
            <w:r w:rsidR="00C82BA3" w:rsidRPr="00547151">
              <w:rPr>
                <w:color w:val="000000"/>
                <w:sz w:val="16"/>
                <w:szCs w:val="16"/>
                <w:lang w:val="en-GB"/>
              </w:rPr>
              <w:t xml:space="preserve">: 47 </w:t>
            </w:r>
            <w:r w:rsidRPr="00547151">
              <w:rPr>
                <w:color w:val="000000"/>
                <w:sz w:val="16"/>
                <w:szCs w:val="16"/>
                <w:lang w:val="en-GB"/>
              </w:rPr>
              <w:t>(2026)</w:t>
            </w:r>
          </w:p>
          <w:p w14:paraId="0474E139" w14:textId="3EFCEBA4" w:rsidR="00394AEB" w:rsidRPr="00547151" w:rsidRDefault="00394AEB" w:rsidP="00F31ED7">
            <w:pPr>
              <w:rPr>
                <w:color w:val="000000"/>
                <w:sz w:val="16"/>
                <w:szCs w:val="16"/>
                <w:lang w:val="en-GB"/>
              </w:rPr>
            </w:pPr>
            <w:r w:rsidRPr="00547151">
              <w:rPr>
                <w:color w:val="000000"/>
                <w:sz w:val="16"/>
                <w:szCs w:val="16"/>
                <w:lang w:val="en-GB"/>
              </w:rPr>
              <w:t>Data source</w:t>
            </w:r>
            <w:r w:rsidR="0011258B" w:rsidRPr="00547151">
              <w:rPr>
                <w:color w:val="000000"/>
                <w:sz w:val="16"/>
                <w:szCs w:val="16"/>
                <w:lang w:val="en-GB"/>
              </w:rPr>
              <w:t>:</w:t>
            </w:r>
            <w:r w:rsidRPr="00547151">
              <w:rPr>
                <w:color w:val="000000"/>
                <w:sz w:val="16"/>
                <w:szCs w:val="16"/>
                <w:lang w:val="en-GB"/>
              </w:rPr>
              <w:t xml:space="preserve"> Ministry of Energy</w:t>
            </w:r>
          </w:p>
          <w:p w14:paraId="73160484" w14:textId="508F3C49" w:rsidR="00394AEB" w:rsidRPr="00547151" w:rsidRDefault="00394AEB" w:rsidP="00F31ED7">
            <w:pPr>
              <w:rPr>
                <w:color w:val="000000"/>
                <w:sz w:val="16"/>
                <w:szCs w:val="16"/>
                <w:lang w:val="en-GB"/>
              </w:rPr>
            </w:pPr>
            <w:r w:rsidRPr="00547151">
              <w:rPr>
                <w:color w:val="000000"/>
                <w:sz w:val="16"/>
                <w:szCs w:val="16"/>
                <w:lang w:val="en-GB"/>
              </w:rPr>
              <w:t>Frequency: Annual</w:t>
            </w:r>
          </w:p>
        </w:tc>
        <w:tc>
          <w:tcPr>
            <w:tcW w:w="675" w:type="pct"/>
            <w:vMerge w:val="restart"/>
            <w:tcBorders>
              <w:top w:val="single" w:sz="4" w:space="0" w:color="auto"/>
              <w:bottom w:val="single" w:sz="4" w:space="0" w:color="auto"/>
            </w:tcBorders>
          </w:tcPr>
          <w:p w14:paraId="39D68DB0" w14:textId="7B4A8C83" w:rsidR="00330232" w:rsidRPr="00547151" w:rsidRDefault="00394AEB" w:rsidP="00F31ED7">
            <w:pPr>
              <w:rPr>
                <w:color w:val="000000"/>
                <w:sz w:val="16"/>
                <w:szCs w:val="16"/>
                <w:lang w:val="en-GB"/>
              </w:rPr>
            </w:pPr>
            <w:r w:rsidRPr="00547151">
              <w:rPr>
                <w:color w:val="000000"/>
                <w:sz w:val="16"/>
                <w:szCs w:val="16"/>
                <w:lang w:val="en-GB"/>
              </w:rPr>
              <w:lastRenderedPageBreak/>
              <w:t>M</w:t>
            </w:r>
            <w:r w:rsidR="00233EC3" w:rsidRPr="00547151">
              <w:rPr>
                <w:color w:val="000000"/>
                <w:sz w:val="16"/>
                <w:szCs w:val="16"/>
                <w:lang w:val="en-GB"/>
              </w:rPr>
              <w:t>OEF</w:t>
            </w:r>
          </w:p>
          <w:p w14:paraId="4EDDFD69" w14:textId="1742F858" w:rsidR="00330232" w:rsidRPr="00547151" w:rsidRDefault="00394AEB" w:rsidP="00F31ED7">
            <w:pPr>
              <w:rPr>
                <w:color w:val="000000"/>
                <w:sz w:val="16"/>
                <w:szCs w:val="16"/>
                <w:lang w:val="en-GB"/>
              </w:rPr>
            </w:pPr>
            <w:r w:rsidRPr="00547151">
              <w:rPr>
                <w:color w:val="000000"/>
                <w:sz w:val="16"/>
                <w:szCs w:val="16"/>
                <w:lang w:val="en-GB"/>
              </w:rPr>
              <w:t>Ministry of Energy</w:t>
            </w:r>
          </w:p>
          <w:p w14:paraId="472BCB2F" w14:textId="07DE5659" w:rsidR="00330232" w:rsidRPr="00547151" w:rsidRDefault="00603B8F" w:rsidP="00F31ED7">
            <w:pPr>
              <w:rPr>
                <w:color w:val="000000"/>
                <w:sz w:val="16"/>
                <w:szCs w:val="16"/>
                <w:lang w:val="en-GB"/>
              </w:rPr>
            </w:pPr>
            <w:r w:rsidRPr="009E6278">
              <w:rPr>
                <w:color w:val="000000"/>
                <w:sz w:val="16"/>
                <w:szCs w:val="16"/>
                <w:lang w:val="en-GB"/>
              </w:rPr>
              <w:t xml:space="preserve">National Environment </w:t>
            </w:r>
            <w:r w:rsidRPr="00547151">
              <w:rPr>
                <w:color w:val="000000"/>
                <w:sz w:val="16"/>
                <w:szCs w:val="16"/>
                <w:lang w:val="en-GB"/>
              </w:rPr>
              <w:t xml:space="preserve">  </w:t>
            </w:r>
            <w:r w:rsidRPr="009E6278">
              <w:rPr>
                <w:color w:val="000000"/>
                <w:sz w:val="16"/>
                <w:szCs w:val="16"/>
                <w:lang w:val="en-GB"/>
              </w:rPr>
              <w:t>Management Authority</w:t>
            </w:r>
          </w:p>
          <w:p w14:paraId="0E9A6FAB" w14:textId="3C17C62E" w:rsidR="00330232" w:rsidRPr="00547151" w:rsidRDefault="00603B8F" w:rsidP="00F31ED7">
            <w:pPr>
              <w:rPr>
                <w:color w:val="000000"/>
                <w:sz w:val="16"/>
                <w:szCs w:val="16"/>
                <w:lang w:val="en-GB"/>
              </w:rPr>
            </w:pPr>
            <w:r w:rsidRPr="009E6278">
              <w:rPr>
                <w:color w:val="000000"/>
                <w:sz w:val="16"/>
                <w:szCs w:val="16"/>
                <w:lang w:val="en-GB"/>
              </w:rPr>
              <w:t>Nationally Appropriate Mitigation Action</w:t>
            </w:r>
          </w:p>
          <w:p w14:paraId="36F4D04F" w14:textId="4B1FBC5D" w:rsidR="00603B8F" w:rsidRPr="009E6278" w:rsidRDefault="00603B8F" w:rsidP="009E6278">
            <w:pPr>
              <w:rPr>
                <w:color w:val="000000"/>
                <w:sz w:val="16"/>
                <w:szCs w:val="16"/>
                <w:lang w:val="en-GB"/>
              </w:rPr>
            </w:pPr>
            <w:r w:rsidRPr="009E6278">
              <w:rPr>
                <w:color w:val="000000"/>
                <w:sz w:val="16"/>
                <w:szCs w:val="16"/>
                <w:lang w:val="en-GB"/>
              </w:rPr>
              <w:fldChar w:fldCharType="begin"/>
            </w:r>
            <w:r w:rsidRPr="009E6278">
              <w:rPr>
                <w:color w:val="000000"/>
                <w:sz w:val="16"/>
                <w:szCs w:val="16"/>
                <w:lang w:val="en-GB"/>
              </w:rPr>
              <w:instrText xml:space="preserve"> HYPERLINK "https://www.netfund.go.ke/" </w:instrText>
            </w:r>
            <w:r w:rsidRPr="009E6278">
              <w:rPr>
                <w:color w:val="000000"/>
                <w:sz w:val="16"/>
                <w:szCs w:val="16"/>
                <w:lang w:val="en-GB"/>
              </w:rPr>
              <w:fldChar w:fldCharType="separate"/>
            </w:r>
            <w:r w:rsidRPr="009E6278">
              <w:rPr>
                <w:color w:val="000000"/>
                <w:sz w:val="16"/>
                <w:szCs w:val="16"/>
                <w:lang w:val="en-GB"/>
              </w:rPr>
              <w:t>National Environment Trust Fund</w:t>
            </w:r>
          </w:p>
          <w:p w14:paraId="773D1E9D" w14:textId="56174264" w:rsidR="00330232" w:rsidRPr="00547151" w:rsidRDefault="00603B8F">
            <w:pPr>
              <w:rPr>
                <w:color w:val="000000"/>
                <w:sz w:val="16"/>
                <w:szCs w:val="16"/>
                <w:lang w:val="en-GB"/>
              </w:rPr>
            </w:pPr>
            <w:r w:rsidRPr="009E6278">
              <w:rPr>
                <w:color w:val="000000"/>
                <w:sz w:val="16"/>
                <w:szCs w:val="16"/>
                <w:lang w:val="en-GB"/>
              </w:rPr>
              <w:fldChar w:fldCharType="end"/>
            </w:r>
            <w:r w:rsidR="00394AEB" w:rsidRPr="00547151">
              <w:rPr>
                <w:color w:val="000000"/>
                <w:sz w:val="16"/>
                <w:szCs w:val="16"/>
                <w:lang w:val="en-GB"/>
              </w:rPr>
              <w:t>NDMA</w:t>
            </w:r>
          </w:p>
          <w:p w14:paraId="03E66A91" w14:textId="196F2218" w:rsidR="00330232" w:rsidRPr="00547151" w:rsidRDefault="00394AEB" w:rsidP="00F31ED7">
            <w:pPr>
              <w:rPr>
                <w:color w:val="000000"/>
                <w:sz w:val="16"/>
                <w:szCs w:val="16"/>
                <w:lang w:val="en-GB"/>
              </w:rPr>
            </w:pPr>
            <w:r w:rsidRPr="00547151">
              <w:rPr>
                <w:color w:val="000000"/>
                <w:sz w:val="16"/>
                <w:szCs w:val="16"/>
                <w:lang w:val="en-GB"/>
              </w:rPr>
              <w:t>NDOC</w:t>
            </w:r>
          </w:p>
          <w:p w14:paraId="57A33C5A" w14:textId="577BC118" w:rsidR="00330232" w:rsidRPr="00547151" w:rsidRDefault="00394AEB" w:rsidP="00F31ED7">
            <w:pPr>
              <w:rPr>
                <w:color w:val="000000"/>
                <w:sz w:val="16"/>
                <w:szCs w:val="16"/>
                <w:lang w:val="en-GB"/>
              </w:rPr>
            </w:pPr>
            <w:r w:rsidRPr="00547151">
              <w:rPr>
                <w:color w:val="000000"/>
                <w:sz w:val="16"/>
                <w:szCs w:val="16"/>
                <w:lang w:val="en-GB"/>
              </w:rPr>
              <w:t>U</w:t>
            </w:r>
            <w:r w:rsidR="00603B8F" w:rsidRPr="00547151">
              <w:rPr>
                <w:color w:val="000000"/>
                <w:sz w:val="16"/>
                <w:szCs w:val="16"/>
                <w:lang w:val="en-GB"/>
              </w:rPr>
              <w:t>nited Nations Environment Programme</w:t>
            </w:r>
          </w:p>
          <w:p w14:paraId="75C6D297" w14:textId="6DA972E1" w:rsidR="00330232" w:rsidRPr="00547151" w:rsidRDefault="00394AEB" w:rsidP="00F31ED7">
            <w:pPr>
              <w:rPr>
                <w:color w:val="000000"/>
                <w:sz w:val="16"/>
                <w:szCs w:val="16"/>
                <w:lang w:val="en-GB"/>
              </w:rPr>
            </w:pPr>
            <w:r w:rsidRPr="00547151">
              <w:rPr>
                <w:color w:val="000000"/>
                <w:sz w:val="16"/>
                <w:szCs w:val="16"/>
                <w:lang w:val="en-GB"/>
              </w:rPr>
              <w:t>W</w:t>
            </w:r>
            <w:r w:rsidR="00603B8F" w:rsidRPr="00547151">
              <w:rPr>
                <w:color w:val="000000"/>
                <w:sz w:val="16"/>
                <w:szCs w:val="16"/>
                <w:lang w:val="en-GB"/>
              </w:rPr>
              <w:t>orld Food Programme</w:t>
            </w:r>
          </w:p>
          <w:p w14:paraId="2F5683DB" w14:textId="18A9035F" w:rsidR="00330232" w:rsidRPr="00547151" w:rsidRDefault="00603B8F" w:rsidP="00F31ED7">
            <w:pPr>
              <w:rPr>
                <w:color w:val="000000"/>
                <w:sz w:val="16"/>
                <w:szCs w:val="16"/>
                <w:lang w:val="en-GB"/>
              </w:rPr>
            </w:pPr>
            <w:r w:rsidRPr="00547151">
              <w:rPr>
                <w:color w:val="000000"/>
                <w:sz w:val="16"/>
                <w:szCs w:val="16"/>
                <w:lang w:val="en-GB"/>
              </w:rPr>
              <w:t>Food and Agriculture Organization (</w:t>
            </w:r>
            <w:r w:rsidR="00394AEB" w:rsidRPr="00547151">
              <w:rPr>
                <w:color w:val="000000"/>
                <w:sz w:val="16"/>
                <w:szCs w:val="16"/>
                <w:lang w:val="en-GB"/>
              </w:rPr>
              <w:t>FAO</w:t>
            </w:r>
            <w:r w:rsidRPr="00547151">
              <w:rPr>
                <w:color w:val="000000"/>
                <w:sz w:val="16"/>
                <w:szCs w:val="16"/>
                <w:lang w:val="en-GB"/>
              </w:rPr>
              <w:t>)</w:t>
            </w:r>
          </w:p>
          <w:p w14:paraId="05D655F8" w14:textId="26F32110" w:rsidR="00330232" w:rsidRPr="00547151" w:rsidRDefault="00394AEB" w:rsidP="00F31ED7">
            <w:pPr>
              <w:rPr>
                <w:color w:val="000000"/>
                <w:sz w:val="16"/>
                <w:szCs w:val="16"/>
                <w:lang w:val="en-GB"/>
              </w:rPr>
            </w:pPr>
            <w:r w:rsidRPr="00547151">
              <w:rPr>
                <w:color w:val="000000"/>
                <w:sz w:val="16"/>
                <w:szCs w:val="16"/>
                <w:lang w:val="en-GB"/>
              </w:rPr>
              <w:t>KAM</w:t>
            </w:r>
          </w:p>
          <w:p w14:paraId="1DC4B37C" w14:textId="6648C478" w:rsidR="00330232" w:rsidRPr="00547151" w:rsidRDefault="0009093F" w:rsidP="00F31ED7">
            <w:pPr>
              <w:rPr>
                <w:color w:val="000000"/>
                <w:sz w:val="16"/>
                <w:szCs w:val="16"/>
                <w:lang w:val="en-GB"/>
              </w:rPr>
            </w:pPr>
            <w:r w:rsidRPr="00547151">
              <w:rPr>
                <w:color w:val="000000"/>
                <w:sz w:val="16"/>
                <w:szCs w:val="16"/>
                <w:lang w:val="en-GB"/>
              </w:rPr>
              <w:t>G</w:t>
            </w:r>
            <w:r w:rsidR="00603B8F" w:rsidRPr="00547151">
              <w:rPr>
                <w:color w:val="000000"/>
                <w:sz w:val="16"/>
                <w:szCs w:val="16"/>
                <w:lang w:val="en-GB"/>
              </w:rPr>
              <w:t>lobal Environment Facility</w:t>
            </w:r>
          </w:p>
          <w:p w14:paraId="40102A7B" w14:textId="10A60D1C" w:rsidR="00330232" w:rsidRPr="00547151" w:rsidRDefault="000A6E6D" w:rsidP="00F31ED7">
            <w:pPr>
              <w:rPr>
                <w:color w:val="000000"/>
                <w:sz w:val="16"/>
                <w:szCs w:val="16"/>
                <w:lang w:val="en-GB"/>
              </w:rPr>
            </w:pPr>
            <w:r w:rsidRPr="00547151">
              <w:rPr>
                <w:color w:val="000000"/>
                <w:sz w:val="16"/>
                <w:szCs w:val="16"/>
                <w:lang w:val="en-GB"/>
              </w:rPr>
              <w:t>Japan</w:t>
            </w:r>
          </w:p>
          <w:p w14:paraId="2EB83A5C" w14:textId="4D742CAB" w:rsidR="00394AEB" w:rsidRPr="00547151" w:rsidRDefault="00FA7ED2" w:rsidP="00F31ED7">
            <w:pPr>
              <w:rPr>
                <w:color w:val="000000"/>
                <w:sz w:val="16"/>
                <w:szCs w:val="16"/>
                <w:lang w:val="en-GB"/>
              </w:rPr>
            </w:pPr>
            <w:r w:rsidRPr="00547151">
              <w:rPr>
                <w:color w:val="000000"/>
                <w:sz w:val="16"/>
                <w:szCs w:val="16"/>
                <w:lang w:val="en-GB"/>
              </w:rPr>
              <w:t xml:space="preserve">Russia </w:t>
            </w:r>
          </w:p>
          <w:p w14:paraId="733BAAC4" w14:textId="77777777" w:rsidR="00394AEB" w:rsidRPr="00547151" w:rsidRDefault="00394AEB" w:rsidP="00423140">
            <w:pPr>
              <w:rPr>
                <w:color w:val="000000"/>
                <w:sz w:val="16"/>
                <w:szCs w:val="16"/>
                <w:lang w:val="en-GB"/>
              </w:rPr>
            </w:pPr>
          </w:p>
        </w:tc>
        <w:tc>
          <w:tcPr>
            <w:tcW w:w="958" w:type="pct"/>
            <w:gridSpan w:val="2"/>
            <w:tcBorders>
              <w:top w:val="single" w:sz="4" w:space="0" w:color="auto"/>
              <w:bottom w:val="single" w:sz="4" w:space="0" w:color="auto"/>
              <w:right w:val="single" w:sz="4" w:space="0" w:color="auto"/>
            </w:tcBorders>
            <w:tcMar>
              <w:top w:w="15" w:type="dxa"/>
              <w:left w:w="108" w:type="dxa"/>
              <w:bottom w:w="0" w:type="dxa"/>
              <w:right w:w="108" w:type="dxa"/>
            </w:tcMar>
          </w:tcPr>
          <w:p w14:paraId="53130C33" w14:textId="7CE27CB3" w:rsidR="00394AEB" w:rsidRPr="009E6278" w:rsidRDefault="00394AEB" w:rsidP="00F31ED7">
            <w:pPr>
              <w:rPr>
                <w:b/>
                <w:color w:val="000000"/>
                <w:sz w:val="16"/>
                <w:szCs w:val="16"/>
                <w:lang w:val="en-GB"/>
              </w:rPr>
            </w:pPr>
            <w:r w:rsidRPr="009E6278">
              <w:rPr>
                <w:b/>
                <w:color w:val="000000"/>
                <w:sz w:val="16"/>
                <w:szCs w:val="16"/>
                <w:lang w:val="en-GB"/>
              </w:rPr>
              <w:t>Regular</w:t>
            </w:r>
            <w:r w:rsidR="00603B8F" w:rsidRPr="00547151">
              <w:rPr>
                <w:b/>
                <w:color w:val="000000"/>
                <w:sz w:val="16"/>
                <w:szCs w:val="16"/>
                <w:lang w:val="en-GB"/>
              </w:rPr>
              <w:t>:</w:t>
            </w:r>
            <w:r w:rsidR="00423140" w:rsidRPr="009E6278">
              <w:rPr>
                <w:b/>
                <w:color w:val="000000"/>
                <w:sz w:val="16"/>
                <w:szCs w:val="16"/>
                <w:lang w:val="en-GB"/>
              </w:rPr>
              <w:t xml:space="preserve"> $</w:t>
            </w:r>
            <w:r w:rsidR="00712109" w:rsidRPr="009E6278">
              <w:rPr>
                <w:b/>
                <w:color w:val="000000"/>
                <w:sz w:val="16"/>
                <w:szCs w:val="16"/>
                <w:lang w:val="en-GB"/>
              </w:rPr>
              <w:t>1.4</w:t>
            </w:r>
            <w:r w:rsidR="00987768" w:rsidRPr="009E6278">
              <w:rPr>
                <w:b/>
                <w:color w:val="000000"/>
                <w:sz w:val="16"/>
                <w:szCs w:val="16"/>
                <w:lang w:val="en-GB"/>
              </w:rPr>
              <w:t xml:space="preserve"> million</w:t>
            </w:r>
          </w:p>
        </w:tc>
      </w:tr>
      <w:tr w:rsidR="00394AEB" w:rsidRPr="00547151" w14:paraId="794887CB" w14:textId="77777777" w:rsidTr="00F358B4">
        <w:tblPrEx>
          <w:tblBorders>
            <w:top w:val="none" w:sz="0" w:space="0" w:color="auto"/>
            <w:left w:val="none" w:sz="0" w:space="0" w:color="auto"/>
            <w:bottom w:val="none" w:sz="0" w:space="0" w:color="auto"/>
            <w:right w:val="none" w:sz="0" w:space="0" w:color="auto"/>
          </w:tblBorders>
        </w:tblPrEx>
        <w:tc>
          <w:tcPr>
            <w:tcW w:w="1097"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3C448079" w14:textId="77777777" w:rsidR="00394AEB" w:rsidRPr="00547151" w:rsidRDefault="00394AEB" w:rsidP="00F31ED7">
            <w:pPr>
              <w:rPr>
                <w:color w:val="000000"/>
                <w:sz w:val="16"/>
                <w:szCs w:val="16"/>
                <w:lang w:val="en-GB"/>
              </w:rPr>
            </w:pPr>
          </w:p>
        </w:tc>
        <w:tc>
          <w:tcPr>
            <w:tcW w:w="1178" w:type="pct"/>
            <w:vMerge/>
            <w:tcBorders>
              <w:top w:val="single" w:sz="4" w:space="0" w:color="auto"/>
              <w:bottom w:val="single" w:sz="4" w:space="0" w:color="auto"/>
            </w:tcBorders>
          </w:tcPr>
          <w:p w14:paraId="2B017940" w14:textId="77777777" w:rsidR="00394AEB" w:rsidRPr="00547151" w:rsidRDefault="00394AEB" w:rsidP="00F31ED7">
            <w:pPr>
              <w:rPr>
                <w:color w:val="000000"/>
                <w:sz w:val="16"/>
                <w:szCs w:val="16"/>
                <w:lang w:val="en-GB"/>
              </w:rPr>
            </w:pPr>
          </w:p>
        </w:tc>
        <w:tc>
          <w:tcPr>
            <w:tcW w:w="1092" w:type="pct"/>
            <w:vMerge/>
            <w:tcBorders>
              <w:top w:val="single" w:sz="4" w:space="0" w:color="auto"/>
              <w:bottom w:val="single" w:sz="4" w:space="0" w:color="auto"/>
            </w:tcBorders>
            <w:tcMar>
              <w:top w:w="72" w:type="dxa"/>
              <w:left w:w="144" w:type="dxa"/>
              <w:bottom w:w="72" w:type="dxa"/>
              <w:right w:w="144" w:type="dxa"/>
            </w:tcMar>
          </w:tcPr>
          <w:p w14:paraId="7295572D" w14:textId="77777777" w:rsidR="00394AEB" w:rsidRPr="00547151" w:rsidRDefault="00394AEB" w:rsidP="00F31ED7">
            <w:pPr>
              <w:rPr>
                <w:color w:val="000000"/>
                <w:sz w:val="16"/>
                <w:szCs w:val="16"/>
                <w:lang w:val="en-GB"/>
              </w:rPr>
            </w:pPr>
          </w:p>
        </w:tc>
        <w:tc>
          <w:tcPr>
            <w:tcW w:w="675" w:type="pct"/>
            <w:vMerge/>
            <w:tcBorders>
              <w:top w:val="single" w:sz="4" w:space="0" w:color="auto"/>
              <w:bottom w:val="single" w:sz="4" w:space="0" w:color="auto"/>
            </w:tcBorders>
          </w:tcPr>
          <w:p w14:paraId="663E4BC3" w14:textId="77777777" w:rsidR="00394AEB" w:rsidRPr="00547151" w:rsidRDefault="00394AEB" w:rsidP="00F31ED7">
            <w:pPr>
              <w:rPr>
                <w:color w:val="000000"/>
                <w:sz w:val="16"/>
                <w:szCs w:val="16"/>
                <w:lang w:val="en-GB"/>
              </w:rPr>
            </w:pPr>
          </w:p>
        </w:tc>
        <w:tc>
          <w:tcPr>
            <w:tcW w:w="958" w:type="pct"/>
            <w:gridSpan w:val="2"/>
            <w:tcBorders>
              <w:top w:val="single" w:sz="4" w:space="0" w:color="auto"/>
              <w:bottom w:val="single" w:sz="4" w:space="0" w:color="auto"/>
              <w:right w:val="single" w:sz="4" w:space="0" w:color="auto"/>
            </w:tcBorders>
            <w:tcMar>
              <w:top w:w="15" w:type="dxa"/>
              <w:left w:w="108" w:type="dxa"/>
              <w:bottom w:w="0" w:type="dxa"/>
              <w:right w:w="108" w:type="dxa"/>
            </w:tcMar>
          </w:tcPr>
          <w:p w14:paraId="7EED5FC3" w14:textId="17D6E467" w:rsidR="00394AEB" w:rsidRPr="009E6278" w:rsidRDefault="00394AEB" w:rsidP="00F31ED7">
            <w:pPr>
              <w:rPr>
                <w:b/>
                <w:color w:val="000000"/>
                <w:sz w:val="16"/>
                <w:szCs w:val="16"/>
                <w:lang w:val="en-GB"/>
              </w:rPr>
            </w:pPr>
            <w:r w:rsidRPr="009E6278">
              <w:rPr>
                <w:b/>
                <w:color w:val="000000"/>
                <w:sz w:val="16"/>
                <w:szCs w:val="16"/>
                <w:lang w:val="en-GB"/>
              </w:rPr>
              <w:t>Other</w:t>
            </w:r>
            <w:r w:rsidR="00603B8F" w:rsidRPr="00547151">
              <w:rPr>
                <w:b/>
                <w:color w:val="000000"/>
                <w:sz w:val="16"/>
                <w:szCs w:val="16"/>
                <w:lang w:val="en-GB"/>
              </w:rPr>
              <w:t>:</w:t>
            </w:r>
            <w:r w:rsidR="00987768" w:rsidRPr="009E6278">
              <w:rPr>
                <w:b/>
                <w:color w:val="000000"/>
                <w:sz w:val="16"/>
                <w:szCs w:val="16"/>
                <w:lang w:val="en-GB"/>
              </w:rPr>
              <w:t xml:space="preserve"> </w:t>
            </w:r>
            <w:r w:rsidR="00423140" w:rsidRPr="009E6278">
              <w:rPr>
                <w:b/>
                <w:color w:val="000000"/>
                <w:sz w:val="16"/>
                <w:szCs w:val="16"/>
                <w:lang w:val="en-GB"/>
              </w:rPr>
              <w:t>$</w:t>
            </w:r>
            <w:r w:rsidR="00987768" w:rsidRPr="009E6278">
              <w:rPr>
                <w:b/>
                <w:color w:val="000000"/>
                <w:sz w:val="16"/>
                <w:szCs w:val="16"/>
                <w:lang w:val="en-GB"/>
              </w:rPr>
              <w:t>48</w:t>
            </w:r>
            <w:r w:rsidR="005F6071" w:rsidRPr="009E6278">
              <w:rPr>
                <w:b/>
                <w:color w:val="000000"/>
                <w:sz w:val="16"/>
                <w:szCs w:val="16"/>
                <w:lang w:val="en-GB"/>
              </w:rPr>
              <w:t>.6</w:t>
            </w:r>
            <w:r w:rsidR="00987768" w:rsidRPr="009E6278">
              <w:rPr>
                <w:b/>
                <w:color w:val="000000"/>
                <w:sz w:val="16"/>
                <w:szCs w:val="16"/>
                <w:lang w:val="en-GB"/>
              </w:rPr>
              <w:t xml:space="preserve"> million</w:t>
            </w:r>
          </w:p>
          <w:p w14:paraId="535EDCC6" w14:textId="77777777" w:rsidR="00394AEB" w:rsidRPr="009E6278" w:rsidRDefault="00394AEB" w:rsidP="00423140">
            <w:pPr>
              <w:rPr>
                <w:b/>
                <w:color w:val="000000"/>
                <w:sz w:val="16"/>
                <w:szCs w:val="16"/>
                <w:lang w:val="en-GB"/>
              </w:rPr>
            </w:pPr>
          </w:p>
        </w:tc>
      </w:tr>
    </w:tbl>
    <w:p w14:paraId="5CEF53E9" w14:textId="77777777" w:rsidR="00394AEB" w:rsidRPr="009E6278" w:rsidRDefault="00394AEB" w:rsidP="00394AEB">
      <w:pPr>
        <w:rPr>
          <w:bCs/>
          <w:color w:val="000000"/>
          <w:lang w:val="en-GB"/>
        </w:rPr>
      </w:pPr>
    </w:p>
    <w:p w14:paraId="0A41B291" w14:textId="303C98FC" w:rsidR="00F732B4" w:rsidRPr="009E6278" w:rsidRDefault="00F358B4" w:rsidP="00F358B4">
      <w:pPr>
        <w:jc w:val="center"/>
        <w:rPr>
          <w:bCs/>
          <w:color w:val="000000"/>
          <w:lang w:val="en-GB"/>
        </w:rPr>
      </w:pPr>
      <w:r w:rsidRPr="009E6278">
        <w:rPr>
          <w:noProof/>
        </w:rPr>
        <w:drawing>
          <wp:inline distT="0" distB="0" distL="0" distR="0" wp14:anchorId="1FC5D623" wp14:editId="03B4C759">
            <wp:extent cx="9207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0750" cy="6350"/>
                    </a:xfrm>
                    <a:prstGeom prst="rect">
                      <a:avLst/>
                    </a:prstGeom>
                    <a:noFill/>
                  </pic:spPr>
                </pic:pic>
              </a:graphicData>
            </a:graphic>
          </wp:inline>
        </w:drawing>
      </w:r>
    </w:p>
    <w:sectPr w:rsidR="00F732B4" w:rsidRPr="009E6278" w:rsidSect="008F095B">
      <w:headerReference w:type="even" r:id="rId24"/>
      <w:headerReference w:type="default" r:id="rId25"/>
      <w:footerReference w:type="even" r:id="rId26"/>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3012" w14:textId="77777777" w:rsidR="00F073E5" w:rsidRDefault="00F073E5" w:rsidP="00441061">
      <w:r>
        <w:separator/>
      </w:r>
    </w:p>
  </w:endnote>
  <w:endnote w:type="continuationSeparator" w:id="0">
    <w:p w14:paraId="641137C7" w14:textId="77777777" w:rsidR="00F073E5" w:rsidRDefault="00F073E5" w:rsidP="00441061">
      <w:r>
        <w:continuationSeparator/>
      </w:r>
    </w:p>
  </w:endnote>
  <w:endnote w:type="continuationNotice" w:id="1">
    <w:p w14:paraId="21A39938" w14:textId="77777777" w:rsidR="00F073E5" w:rsidRDefault="00F07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4" w14:textId="77777777" w:rsidR="00F073E5" w:rsidRPr="005841A3" w:rsidRDefault="00F073E5">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5" w14:textId="77777777" w:rsidR="00F073E5" w:rsidRPr="005841A3" w:rsidRDefault="00F073E5">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p w14:paraId="2440D556" w14:textId="77777777" w:rsidR="00F073E5" w:rsidRDefault="00F073E5" w:rsidP="005841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71B4" w14:textId="6F6A6423" w:rsidR="00F073E5" w:rsidRPr="00E4347C" w:rsidRDefault="00F073E5" w:rsidP="00E4347C">
    <w:pPr>
      <w:pStyle w:val="Footer"/>
      <w:ind w:firstLine="630"/>
      <w:rPr>
        <w:b/>
        <w:bCs/>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87085"/>
      <w:docPartObj>
        <w:docPartGallery w:val="Page Numbers (Bottom of Page)"/>
        <w:docPartUnique/>
      </w:docPartObj>
    </w:sdtPr>
    <w:sdtEndPr>
      <w:rPr>
        <w:b/>
        <w:bCs/>
        <w:noProof/>
        <w:sz w:val="17"/>
        <w:szCs w:val="17"/>
      </w:rPr>
    </w:sdtEndPr>
    <w:sdtContent>
      <w:p w14:paraId="2440D567" w14:textId="4470587C" w:rsidR="00F073E5" w:rsidRPr="00462F10" w:rsidRDefault="00F073E5" w:rsidP="00462F10">
        <w:pPr>
          <w:pStyle w:val="Footer"/>
          <w:ind w:firstLine="540"/>
          <w:rPr>
            <w:b/>
            <w:bCs/>
            <w:sz w:val="17"/>
            <w:szCs w:val="17"/>
          </w:rPr>
        </w:pPr>
        <w:r w:rsidRPr="00462F10">
          <w:rPr>
            <w:b/>
            <w:bCs/>
            <w:sz w:val="17"/>
            <w:szCs w:val="17"/>
          </w:rPr>
          <w:fldChar w:fldCharType="begin"/>
        </w:r>
        <w:r w:rsidRPr="00462F10">
          <w:rPr>
            <w:b/>
            <w:bCs/>
            <w:sz w:val="17"/>
            <w:szCs w:val="17"/>
          </w:rPr>
          <w:instrText xml:space="preserve"> PAGE   \* MERGEFORMAT </w:instrText>
        </w:r>
        <w:r w:rsidRPr="00462F10">
          <w:rPr>
            <w:b/>
            <w:bCs/>
            <w:sz w:val="17"/>
            <w:szCs w:val="17"/>
          </w:rPr>
          <w:fldChar w:fldCharType="separate"/>
        </w:r>
        <w:r w:rsidR="00E05B34">
          <w:rPr>
            <w:b/>
            <w:bCs/>
            <w:noProof/>
            <w:sz w:val="17"/>
            <w:szCs w:val="17"/>
          </w:rPr>
          <w:t>8</w:t>
        </w:r>
        <w:r w:rsidRPr="00462F10">
          <w:rPr>
            <w:b/>
            <w:bCs/>
            <w:noProof/>
            <w:sz w:val="17"/>
            <w:szCs w:val="17"/>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875869"/>
      <w:docPartObj>
        <w:docPartGallery w:val="Page Numbers (Bottom of Page)"/>
        <w:docPartUnique/>
      </w:docPartObj>
    </w:sdtPr>
    <w:sdtEndPr>
      <w:rPr>
        <w:b/>
        <w:bCs/>
        <w:noProof/>
        <w:sz w:val="17"/>
        <w:szCs w:val="17"/>
      </w:rPr>
    </w:sdtEndPr>
    <w:sdtContent>
      <w:p w14:paraId="2440D569" w14:textId="48C57170" w:rsidR="00F073E5" w:rsidRPr="00462F10" w:rsidRDefault="00F073E5" w:rsidP="00462F10">
        <w:pPr>
          <w:pStyle w:val="Footer"/>
          <w:ind w:right="540"/>
          <w:jc w:val="right"/>
          <w:rPr>
            <w:b/>
            <w:bCs/>
            <w:sz w:val="17"/>
            <w:szCs w:val="17"/>
          </w:rPr>
        </w:pPr>
        <w:r w:rsidRPr="00462F10">
          <w:rPr>
            <w:b/>
            <w:bCs/>
            <w:sz w:val="17"/>
            <w:szCs w:val="17"/>
          </w:rPr>
          <w:fldChar w:fldCharType="begin"/>
        </w:r>
        <w:r w:rsidRPr="00462F10">
          <w:rPr>
            <w:b/>
            <w:bCs/>
            <w:sz w:val="17"/>
            <w:szCs w:val="17"/>
          </w:rPr>
          <w:instrText xml:space="preserve"> PAGE   \* MERGEFORMAT </w:instrText>
        </w:r>
        <w:r w:rsidRPr="00462F10">
          <w:rPr>
            <w:b/>
            <w:bCs/>
            <w:sz w:val="17"/>
            <w:szCs w:val="17"/>
          </w:rPr>
          <w:fldChar w:fldCharType="separate"/>
        </w:r>
        <w:r w:rsidR="00E05B34">
          <w:rPr>
            <w:b/>
            <w:bCs/>
            <w:noProof/>
            <w:sz w:val="17"/>
            <w:szCs w:val="17"/>
          </w:rPr>
          <w:t>1</w:t>
        </w:r>
        <w:r w:rsidR="00E05B34">
          <w:rPr>
            <w:b/>
            <w:bCs/>
            <w:noProof/>
            <w:sz w:val="17"/>
            <w:szCs w:val="17"/>
          </w:rPr>
          <w:t>3</w:t>
        </w:r>
        <w:r w:rsidRPr="00462F10">
          <w:rPr>
            <w:b/>
            <w:bCs/>
            <w:noProof/>
            <w:sz w:val="17"/>
            <w:szCs w:val="17"/>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49767"/>
      <w:docPartObj>
        <w:docPartGallery w:val="Page Numbers (Bottom of Page)"/>
        <w:docPartUnique/>
      </w:docPartObj>
    </w:sdtPr>
    <w:sdtEndPr>
      <w:rPr>
        <w:b/>
        <w:bCs/>
        <w:noProof/>
        <w:sz w:val="17"/>
        <w:szCs w:val="17"/>
      </w:rPr>
    </w:sdtEndPr>
    <w:sdtContent>
      <w:p w14:paraId="10E181C7" w14:textId="6CDC6A67" w:rsidR="00E4347C" w:rsidRPr="00E4347C" w:rsidRDefault="00E4347C" w:rsidP="00E4347C">
        <w:pPr>
          <w:pStyle w:val="Footer"/>
          <w:rPr>
            <w:b/>
            <w:bCs/>
            <w:sz w:val="17"/>
            <w:szCs w:val="17"/>
          </w:rPr>
        </w:pPr>
        <w:r w:rsidRPr="00E4347C">
          <w:rPr>
            <w:b/>
            <w:bCs/>
            <w:sz w:val="17"/>
            <w:szCs w:val="17"/>
          </w:rPr>
          <w:fldChar w:fldCharType="begin"/>
        </w:r>
        <w:r w:rsidRPr="00E4347C">
          <w:rPr>
            <w:b/>
            <w:bCs/>
            <w:sz w:val="17"/>
            <w:szCs w:val="17"/>
          </w:rPr>
          <w:instrText xml:space="preserve"> PAGE   \* MERGEFORMAT </w:instrText>
        </w:r>
        <w:r w:rsidRPr="00E4347C">
          <w:rPr>
            <w:b/>
            <w:bCs/>
            <w:sz w:val="17"/>
            <w:szCs w:val="17"/>
          </w:rPr>
          <w:fldChar w:fldCharType="separate"/>
        </w:r>
        <w:r w:rsidRPr="00E4347C">
          <w:rPr>
            <w:b/>
            <w:bCs/>
            <w:noProof/>
            <w:sz w:val="17"/>
            <w:szCs w:val="17"/>
          </w:rPr>
          <w:t>2</w:t>
        </w:r>
        <w:r w:rsidRPr="00E4347C">
          <w:rPr>
            <w:b/>
            <w:bCs/>
            <w:noProof/>
            <w:sz w:val="17"/>
            <w:szCs w:val="17"/>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00422"/>
      <w:docPartObj>
        <w:docPartGallery w:val="Page Numbers (Bottom of Page)"/>
        <w:docPartUnique/>
      </w:docPartObj>
    </w:sdtPr>
    <w:sdtEndPr>
      <w:rPr>
        <w:b/>
        <w:bCs/>
        <w:noProof/>
        <w:sz w:val="17"/>
        <w:szCs w:val="17"/>
      </w:rPr>
    </w:sdtEndPr>
    <w:sdtContent>
      <w:p w14:paraId="0559B8DE" w14:textId="77777777" w:rsidR="00F073E5" w:rsidRPr="00462F10" w:rsidRDefault="00F073E5" w:rsidP="00462F10">
        <w:pPr>
          <w:pStyle w:val="Footer"/>
          <w:ind w:firstLine="180"/>
          <w:rPr>
            <w:b/>
            <w:bCs/>
            <w:sz w:val="17"/>
            <w:szCs w:val="17"/>
          </w:rPr>
        </w:pPr>
        <w:r w:rsidRPr="00462F10">
          <w:rPr>
            <w:b/>
            <w:bCs/>
            <w:sz w:val="17"/>
            <w:szCs w:val="17"/>
          </w:rPr>
          <w:fldChar w:fldCharType="begin"/>
        </w:r>
        <w:r w:rsidRPr="00462F10">
          <w:rPr>
            <w:b/>
            <w:bCs/>
            <w:sz w:val="17"/>
            <w:szCs w:val="17"/>
          </w:rPr>
          <w:instrText xml:space="preserve"> PAGE   \* MERGEFORMAT </w:instrText>
        </w:r>
        <w:r w:rsidRPr="00462F10">
          <w:rPr>
            <w:b/>
            <w:bCs/>
            <w:sz w:val="17"/>
            <w:szCs w:val="17"/>
          </w:rPr>
          <w:fldChar w:fldCharType="separate"/>
        </w:r>
        <w:r w:rsidR="00E05B34">
          <w:rPr>
            <w:b/>
            <w:bCs/>
            <w:noProof/>
            <w:sz w:val="17"/>
            <w:szCs w:val="17"/>
          </w:rPr>
          <w:t>1</w:t>
        </w:r>
        <w:r w:rsidR="00E05B34">
          <w:rPr>
            <w:b/>
            <w:bCs/>
            <w:noProof/>
            <w:sz w:val="17"/>
            <w:szCs w:val="17"/>
          </w:rPr>
          <w:t>4</w:t>
        </w:r>
        <w:r w:rsidRPr="00462F10">
          <w:rPr>
            <w:b/>
            <w:bCs/>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8F60" w14:textId="77777777" w:rsidR="00F073E5" w:rsidRDefault="00F073E5" w:rsidP="00441061">
      <w:r>
        <w:separator/>
      </w:r>
    </w:p>
  </w:footnote>
  <w:footnote w:type="continuationSeparator" w:id="0">
    <w:p w14:paraId="73B33623" w14:textId="77777777" w:rsidR="00F073E5" w:rsidRDefault="00F073E5" w:rsidP="00441061">
      <w:r>
        <w:continuationSeparator/>
      </w:r>
    </w:p>
  </w:footnote>
  <w:footnote w:type="continuationNotice" w:id="1">
    <w:p w14:paraId="14EE8843" w14:textId="77777777" w:rsidR="00F073E5" w:rsidRDefault="00F073E5"/>
  </w:footnote>
  <w:footnote w:id="2">
    <w:p w14:paraId="2884DA81" w14:textId="0FFF2204" w:rsidR="00F073E5" w:rsidRPr="009E6278" w:rsidRDefault="00F073E5">
      <w:pPr>
        <w:pStyle w:val="FootnoteText"/>
        <w:rPr>
          <w:lang w:val="en-GB"/>
        </w:rPr>
      </w:pPr>
      <w:r w:rsidRPr="009E6278">
        <w:rPr>
          <w:rStyle w:val="FootnoteReference"/>
          <w:lang w:val="en-GB"/>
        </w:rPr>
        <w:footnoteRef/>
      </w:r>
      <w:r w:rsidRPr="009E6278">
        <w:rPr>
          <w:rFonts w:ascii="Times New Roman" w:hAnsi="Times New Roman"/>
          <w:sz w:val="18"/>
          <w:szCs w:val="18"/>
          <w:lang w:val="en-GB"/>
        </w:rPr>
        <w:t xml:space="preserve"> Africa SDG Index and Dashboards Report 2020</w:t>
      </w:r>
      <w:r w:rsidRPr="009E6278">
        <w:rPr>
          <w:lang w:val="en-GB"/>
        </w:rPr>
        <w:t xml:space="preserve"> </w:t>
      </w:r>
    </w:p>
  </w:footnote>
  <w:footnote w:id="3">
    <w:p w14:paraId="12E4AA2B" w14:textId="25F46CC6" w:rsidR="00F073E5" w:rsidRPr="009E6278" w:rsidRDefault="00F073E5">
      <w:pPr>
        <w:pStyle w:val="FootnoteText"/>
        <w:rPr>
          <w:sz w:val="18"/>
          <w:szCs w:val="18"/>
          <w:lang w:val="en-GB"/>
        </w:rPr>
      </w:pPr>
      <w:r w:rsidRPr="009E6278">
        <w:rPr>
          <w:rStyle w:val="FootnoteReference"/>
          <w:sz w:val="18"/>
          <w:szCs w:val="18"/>
          <w:lang w:val="en-GB"/>
        </w:rPr>
        <w:footnoteRef/>
      </w:r>
      <w:r w:rsidRPr="009E6278">
        <w:rPr>
          <w:rFonts w:ascii="Times New Roman" w:hAnsi="Times New Roman"/>
          <w:sz w:val="18"/>
          <w:szCs w:val="18"/>
          <w:lang w:val="en-GB"/>
        </w:rPr>
        <w:t xml:space="preserve"> Sustainable Development Goals 1, 3 , 5 , 7 , 8 and 9</w:t>
      </w:r>
    </w:p>
  </w:footnote>
  <w:footnote w:id="4">
    <w:p w14:paraId="2C468C0D" w14:textId="1A64BDC1" w:rsidR="00F073E5" w:rsidRPr="009E6278" w:rsidRDefault="00F073E5" w:rsidP="006268F7">
      <w:pPr>
        <w:pStyle w:val="FootnoteText"/>
        <w:rPr>
          <w:sz w:val="18"/>
          <w:szCs w:val="18"/>
          <w:lang w:val="en-GB"/>
        </w:rPr>
      </w:pPr>
      <w:r w:rsidRPr="009E6278">
        <w:rPr>
          <w:rFonts w:asciiTheme="minorHAnsi" w:eastAsiaTheme="minorHAnsi" w:hAnsiTheme="minorHAnsi" w:cstheme="minorBidi"/>
          <w:iCs/>
          <w:sz w:val="18"/>
          <w:szCs w:val="18"/>
          <w:vertAlign w:val="superscript"/>
          <w:lang w:val="en-GB"/>
        </w:rPr>
        <w:footnoteRef/>
      </w:r>
      <w:r w:rsidRPr="009E6278">
        <w:rPr>
          <w:rFonts w:ascii="Times" w:eastAsiaTheme="minorHAnsi" w:hAnsi="Times" w:cstheme="minorBidi"/>
          <w:iCs/>
          <w:sz w:val="18"/>
          <w:szCs w:val="18"/>
          <w:lang w:val="en-GB"/>
        </w:rPr>
        <w:t xml:space="preserve"> Groupe Spéciale Mobile Association, 2019 report</w:t>
      </w:r>
    </w:p>
  </w:footnote>
  <w:footnote w:id="5">
    <w:p w14:paraId="4CFD63AF" w14:textId="25D05AA6" w:rsidR="00F073E5" w:rsidRPr="009E6278" w:rsidRDefault="00F073E5" w:rsidP="0051226E">
      <w:pPr>
        <w:pStyle w:val="EndnoteText"/>
        <w:rPr>
          <w:sz w:val="18"/>
          <w:szCs w:val="18"/>
          <w:lang w:val="en-GB"/>
        </w:rPr>
      </w:pPr>
      <w:r w:rsidRPr="009E6278">
        <w:rPr>
          <w:rStyle w:val="FootnoteReference"/>
          <w:sz w:val="18"/>
          <w:szCs w:val="18"/>
          <w:lang w:val="en-GB"/>
        </w:rPr>
        <w:footnoteRef/>
      </w:r>
      <w:r w:rsidRPr="009B26B3">
        <w:rPr>
          <w:rStyle w:val="normaltextrun"/>
          <w:color w:val="0A0A0A"/>
          <w:sz w:val="18"/>
          <w:szCs w:val="18"/>
          <w:lang w:val="en-GB"/>
        </w:rPr>
        <w:t xml:space="preserve"> Business Daily, September 2021</w:t>
      </w:r>
    </w:p>
  </w:footnote>
  <w:footnote w:id="6">
    <w:p w14:paraId="6C45C81B" w14:textId="37E7B615" w:rsidR="00F073E5" w:rsidRPr="009E6278" w:rsidRDefault="00F073E5" w:rsidP="006268F7">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World Bank, 2020. </w:t>
      </w:r>
      <w:r w:rsidRPr="009E6278">
        <w:rPr>
          <w:rFonts w:ascii="Times New Roman" w:hAnsi="Times New Roman"/>
          <w:i/>
          <w:sz w:val="18"/>
          <w:szCs w:val="18"/>
          <w:lang w:val="en-GB"/>
        </w:rPr>
        <w:t>Systematic Country Diagnostic Kenya</w:t>
      </w:r>
    </w:p>
  </w:footnote>
  <w:footnote w:id="7">
    <w:p w14:paraId="4C1AA806" w14:textId="15CFB50C" w:rsidR="00F073E5" w:rsidRPr="009E6278" w:rsidRDefault="00F073E5" w:rsidP="006268F7">
      <w:pPr>
        <w:pStyle w:val="FootnoteText"/>
        <w:rPr>
          <w:rFonts w:ascii="Times New Roman" w:hAnsi="Times New Roman"/>
          <w:i/>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Ibid. </w:t>
      </w:r>
    </w:p>
  </w:footnote>
  <w:footnote w:id="8">
    <w:p w14:paraId="35ACBD88" w14:textId="105F12E8" w:rsidR="00F073E5" w:rsidRPr="009E6278" w:rsidRDefault="00F073E5" w:rsidP="00407D0D">
      <w:pPr>
        <w:pStyle w:val="FootnoteText"/>
        <w:rPr>
          <w:rFonts w:ascii="Times New Roman" w:hAnsi="Times New Roman"/>
          <w:iCs/>
          <w:sz w:val="18"/>
          <w:szCs w:val="18"/>
          <w:lang w:val="en-GB"/>
        </w:rPr>
      </w:pPr>
      <w:r w:rsidRPr="009E6278">
        <w:rPr>
          <w:rStyle w:val="FootnoteReference"/>
          <w:rFonts w:ascii="Times New Roman" w:hAnsi="Times New Roman"/>
          <w:sz w:val="18"/>
          <w:szCs w:val="18"/>
          <w:lang w:val="en-GB"/>
        </w:rPr>
        <w:footnoteRef/>
      </w:r>
      <w:r w:rsidRPr="009B26B3">
        <w:rPr>
          <w:rFonts w:asciiTheme="minorHAnsi" w:hAnsiTheme="minorHAnsi" w:cstheme="minorHAnsi"/>
          <w:sz w:val="18"/>
          <w:szCs w:val="18"/>
          <w:lang w:val="en-GB"/>
        </w:rPr>
        <w:t xml:space="preserve"> </w:t>
      </w:r>
      <w:r w:rsidRPr="009B26B3">
        <w:rPr>
          <w:rFonts w:ascii="Times New Roman" w:hAnsi="Times New Roman"/>
          <w:i/>
          <w:sz w:val="18"/>
          <w:szCs w:val="18"/>
          <w:lang w:val="en-GB"/>
        </w:rPr>
        <w:t xml:space="preserve">Comprehensive Poverty Report </w:t>
      </w:r>
      <w:r w:rsidRPr="009E6278">
        <w:rPr>
          <w:rFonts w:ascii="Times New Roman" w:hAnsi="Times New Roman"/>
          <w:i/>
          <w:iCs/>
          <w:sz w:val="18"/>
          <w:szCs w:val="18"/>
          <w:lang w:val="en-GB"/>
        </w:rPr>
        <w:t>2020</w:t>
      </w:r>
      <w:r w:rsidRPr="009B26B3">
        <w:rPr>
          <w:rFonts w:ascii="Times New Roman" w:hAnsi="Times New Roman"/>
          <w:iCs/>
          <w:sz w:val="18"/>
          <w:szCs w:val="18"/>
          <w:lang w:val="en-GB"/>
        </w:rPr>
        <w:t xml:space="preserve">, </w:t>
      </w:r>
      <w:r w:rsidRPr="009E6278">
        <w:rPr>
          <w:rFonts w:ascii="Times New Roman" w:hAnsi="Times New Roman"/>
          <w:sz w:val="18"/>
          <w:szCs w:val="18"/>
          <w:lang w:val="en-GB"/>
        </w:rPr>
        <w:t>Kenya National Bureau of Statistics</w:t>
      </w:r>
    </w:p>
  </w:footnote>
  <w:footnote w:id="9">
    <w:p w14:paraId="59F8D2A1" w14:textId="5F182CE8" w:rsidR="00F073E5" w:rsidRPr="009E6278" w:rsidRDefault="00F073E5" w:rsidP="00407D0D">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Building Bridges to a United Kenya: from a nation of blood ties to a nation of ideals, 2019, Presidential Task Force on Building Bridges to Unity Advisory and </w:t>
      </w:r>
      <w:r w:rsidRPr="009E6278">
        <w:rPr>
          <w:rStyle w:val="Strong"/>
          <w:rFonts w:ascii="Times New Roman" w:hAnsi="Times New Roman"/>
          <w:b w:val="0"/>
          <w:bCs w:val="0"/>
          <w:spacing w:val="5"/>
          <w:sz w:val="18"/>
          <w:szCs w:val="18"/>
          <w:bdr w:val="none" w:sz="0" w:space="0" w:color="auto" w:frame="1"/>
          <w:shd w:val="clear" w:color="auto" w:fill="FFFFFF"/>
          <w:lang w:val="en-GB"/>
        </w:rPr>
        <w:t xml:space="preserve">Kenya @ 10; A Decade After: The State Of Human Rights Post the 2010 Promulgation of the Constitution: A Human Rights Scorecard, 2020, Kenya National Commission on Human Rights </w:t>
      </w:r>
    </w:p>
  </w:footnote>
  <w:footnote w:id="10">
    <w:p w14:paraId="7CB6FB97" w14:textId="77777777" w:rsidR="00F073E5" w:rsidRPr="009E6278" w:rsidRDefault="00F073E5" w:rsidP="00407D0D">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Economist Intelligence Unit Democracy Index 2020</w:t>
      </w:r>
    </w:p>
  </w:footnote>
  <w:footnote w:id="11">
    <w:p w14:paraId="156B4B46" w14:textId="3D7FABA7" w:rsidR="00F073E5" w:rsidRPr="009E6278" w:rsidRDefault="00F073E5" w:rsidP="00407D0D">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Global report on internal displacement, 2020 </w:t>
      </w:r>
    </w:p>
  </w:footnote>
  <w:footnote w:id="12">
    <w:p w14:paraId="78E80A1E" w14:textId="65E90AAB" w:rsidR="00F073E5" w:rsidRPr="009B26B3" w:rsidRDefault="00F073E5" w:rsidP="00407D0D">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What do Kenyans Know About Devolution? Survey evidence on political knowledge and public opinion, Ken Ochieng’ Opalo, Georgetown University, June 2020 </w:t>
      </w:r>
    </w:p>
  </w:footnote>
  <w:footnote w:id="13">
    <w:p w14:paraId="2F87D2D8" w14:textId="372A93FB" w:rsidR="00F073E5" w:rsidRPr="009E6278" w:rsidRDefault="00F073E5">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w:t>
      </w:r>
      <w:bookmarkStart w:id="1" w:name="_Hlk96768659"/>
      <w:r w:rsidRPr="009E6278">
        <w:rPr>
          <w:rFonts w:ascii="Times New Roman" w:hAnsi="Times New Roman"/>
          <w:sz w:val="18"/>
          <w:szCs w:val="18"/>
          <w:lang w:val="en-GB"/>
        </w:rPr>
        <w:t xml:space="preserve">Kenya State of Environment Report, 2019-2021 </w:t>
      </w:r>
    </w:p>
    <w:bookmarkEnd w:id="1"/>
  </w:footnote>
  <w:footnote w:id="14">
    <w:p w14:paraId="1D42231E" w14:textId="384B3CA1" w:rsidR="00F073E5" w:rsidRPr="009E6278" w:rsidRDefault="00F073E5" w:rsidP="00BE3641">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B26B3">
        <w:rPr>
          <w:rFonts w:ascii="Times New Roman" w:hAnsi="Times New Roman"/>
          <w:sz w:val="18"/>
          <w:szCs w:val="18"/>
          <w:lang w:val="en-GB"/>
        </w:rPr>
        <w:t xml:space="preserve"> The Seventh and Final Annual Devolution Conference, November 2021</w:t>
      </w:r>
    </w:p>
  </w:footnote>
  <w:footnote w:id="15">
    <w:p w14:paraId="5A7D7AFA" w14:textId="5FBCB92C" w:rsidR="00F073E5" w:rsidRPr="009E6278" w:rsidRDefault="00F073E5" w:rsidP="006268F7">
      <w:pPr>
        <w:pStyle w:val="EndnoteText"/>
        <w:rPr>
          <w:sz w:val="18"/>
          <w:szCs w:val="18"/>
          <w:lang w:val="en-GB"/>
        </w:rPr>
      </w:pPr>
      <w:r w:rsidRPr="009E6278">
        <w:rPr>
          <w:rStyle w:val="FootnoteReference"/>
          <w:sz w:val="18"/>
          <w:szCs w:val="18"/>
          <w:lang w:val="en-GB"/>
        </w:rPr>
        <w:footnoteRef/>
      </w:r>
      <w:r w:rsidRPr="009E6278">
        <w:rPr>
          <w:sz w:val="18"/>
          <w:szCs w:val="18"/>
          <w:lang w:val="en-GB"/>
        </w:rPr>
        <w:t xml:space="preserve"> Diwakar and Shepherd, (2018); </w:t>
      </w:r>
      <w:r w:rsidRPr="00F921BF">
        <w:rPr>
          <w:sz w:val="18"/>
          <w:szCs w:val="18"/>
          <w:lang w:val="en-GB"/>
        </w:rPr>
        <w:t>Overseas Development I</w:t>
      </w:r>
      <w:r>
        <w:rPr>
          <w:sz w:val="18"/>
          <w:szCs w:val="18"/>
          <w:lang w:val="en-GB"/>
        </w:rPr>
        <w:t>nstitute</w:t>
      </w:r>
      <w:r w:rsidRPr="009E6278">
        <w:rPr>
          <w:sz w:val="18"/>
          <w:szCs w:val="18"/>
          <w:lang w:val="en-GB"/>
        </w:rPr>
        <w:t xml:space="preserve">, (2020). </w:t>
      </w:r>
    </w:p>
  </w:footnote>
  <w:footnote w:id="16">
    <w:p w14:paraId="1AE3B625" w14:textId="1E55701C" w:rsidR="00F073E5" w:rsidRPr="009E6278" w:rsidRDefault="00F073E5" w:rsidP="006268F7">
      <w:pPr>
        <w:pStyle w:val="EndnoteText"/>
        <w:rPr>
          <w:sz w:val="18"/>
          <w:szCs w:val="18"/>
          <w:lang w:val="en-GB"/>
        </w:rPr>
      </w:pPr>
      <w:r w:rsidRPr="009E6278">
        <w:rPr>
          <w:rStyle w:val="FootnoteReference"/>
          <w:sz w:val="18"/>
          <w:szCs w:val="18"/>
          <w:lang w:val="en-GB"/>
        </w:rPr>
        <w:footnoteRef/>
      </w:r>
      <w:r w:rsidRPr="009E6278">
        <w:rPr>
          <w:sz w:val="18"/>
          <w:szCs w:val="18"/>
          <w:lang w:val="en-GB"/>
        </w:rPr>
        <w:t xml:space="preserve"> Sustainable Energy for All, 2016 </w:t>
      </w:r>
    </w:p>
  </w:footnote>
  <w:footnote w:id="17">
    <w:p w14:paraId="3339B7CC" w14:textId="3961C5A7" w:rsidR="00F073E5" w:rsidRPr="009E6278" w:rsidRDefault="00F073E5">
      <w:pPr>
        <w:pStyle w:val="FootnoteText"/>
        <w:rPr>
          <w:sz w:val="18"/>
          <w:szCs w:val="18"/>
          <w:lang w:val="en-GB"/>
        </w:rPr>
      </w:pPr>
      <w:r w:rsidRPr="009E6278">
        <w:rPr>
          <w:rStyle w:val="FootnoteReference"/>
          <w:sz w:val="18"/>
          <w:szCs w:val="18"/>
          <w:lang w:val="en-GB"/>
        </w:rPr>
        <w:footnoteRef/>
      </w:r>
      <w:r w:rsidRPr="009E6278">
        <w:rPr>
          <w:rFonts w:ascii="Times New Roman" w:hAnsi="Times New Roman"/>
          <w:sz w:val="18"/>
          <w:szCs w:val="18"/>
          <w:lang w:val="en-GB"/>
        </w:rPr>
        <w:t xml:space="preserve"> Kenya National Bureau of Statistics and Federation of Kenyan Employers, 2020</w:t>
      </w:r>
    </w:p>
  </w:footnote>
  <w:footnote w:id="18">
    <w:p w14:paraId="4D447260" w14:textId="4F378FCF" w:rsidR="00F073E5" w:rsidRPr="009E6278" w:rsidRDefault="00F073E5">
      <w:pPr>
        <w:pStyle w:val="FootnoteText"/>
        <w:rPr>
          <w:rFonts w:ascii="Times New Roman" w:hAnsi="Times New Roman"/>
          <w:sz w:val="18"/>
          <w:szCs w:val="18"/>
          <w:lang w:val="en-GB"/>
        </w:rPr>
      </w:pPr>
      <w:r w:rsidRPr="009E6278">
        <w:rPr>
          <w:rStyle w:val="FootnoteReference"/>
          <w:sz w:val="18"/>
          <w:szCs w:val="18"/>
          <w:lang w:val="en-GB"/>
        </w:rPr>
        <w:footnoteRef/>
      </w:r>
      <w:r w:rsidRPr="009E6278">
        <w:rPr>
          <w:rFonts w:ascii="Times New Roman" w:hAnsi="Times New Roman"/>
          <w:sz w:val="18"/>
          <w:szCs w:val="18"/>
          <w:lang w:val="en-GB"/>
        </w:rPr>
        <w:t xml:space="preserve"> Kenya integrated household budgetary survey, 2018</w:t>
      </w:r>
    </w:p>
  </w:footnote>
  <w:footnote w:id="19">
    <w:p w14:paraId="6A1F9D41" w14:textId="5CA881AD" w:rsidR="00F073E5" w:rsidRPr="009E6278" w:rsidRDefault="00F073E5">
      <w:pPr>
        <w:pStyle w:val="FootnoteText"/>
        <w:rPr>
          <w:rFonts w:ascii="Times New Roman" w:hAnsi="Times New Roman"/>
          <w:sz w:val="18"/>
          <w:szCs w:val="18"/>
          <w:lang w:val="en-GB"/>
        </w:rPr>
      </w:pPr>
      <w:r w:rsidRPr="009E6278">
        <w:rPr>
          <w:rStyle w:val="FootnoteReference"/>
          <w:sz w:val="18"/>
          <w:szCs w:val="18"/>
          <w:lang w:val="en-GB"/>
        </w:rPr>
        <w:footnoteRef/>
      </w:r>
      <w:r w:rsidRPr="009E6278">
        <w:rPr>
          <w:rFonts w:ascii="Times New Roman" w:hAnsi="Times New Roman"/>
          <w:sz w:val="18"/>
          <w:szCs w:val="18"/>
          <w:lang w:val="en-GB"/>
        </w:rPr>
        <w:t xml:space="preserve"> Kenya population and housing census, 2019</w:t>
      </w:r>
    </w:p>
  </w:footnote>
  <w:footnote w:id="20">
    <w:p w14:paraId="2CCF5D71" w14:textId="2194E96B" w:rsidR="00F073E5" w:rsidRPr="009E6278" w:rsidRDefault="00F073E5" w:rsidP="006268F7">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Kenya demographic and health survey, 2014</w:t>
      </w:r>
    </w:p>
  </w:footnote>
  <w:footnote w:id="21">
    <w:p w14:paraId="761EF328" w14:textId="68CB72F4" w:rsidR="00F073E5" w:rsidRPr="009E6278" w:rsidRDefault="00F073E5" w:rsidP="006F3539">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Independent country programme evaluation, 2021U</w:t>
      </w:r>
    </w:p>
  </w:footnote>
  <w:footnote w:id="22">
    <w:p w14:paraId="29DCC3B6" w14:textId="47CF4B12" w:rsidR="00F073E5" w:rsidRPr="009E6278" w:rsidRDefault="00F073E5">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Style w:val="FootnoteReference"/>
        </w:rPr>
        <w:t xml:space="preserve"> </w:t>
      </w:r>
      <w:r w:rsidRPr="009E6278">
        <w:rPr>
          <w:rFonts w:ascii="Times New Roman" w:hAnsi="Times New Roman"/>
          <w:sz w:val="18"/>
          <w:szCs w:val="18"/>
          <w:lang w:val="en-GB"/>
        </w:rPr>
        <w:t>United Nations Volunteers are supporting devolution, peace and security, the COVID-19 response, and coordination of United Nations programming.</w:t>
      </w:r>
    </w:p>
  </w:footnote>
  <w:footnote w:id="23">
    <w:p w14:paraId="5E2E9E2C" w14:textId="767FDB69" w:rsidR="00F073E5" w:rsidRPr="009E6278" w:rsidRDefault="00F073E5" w:rsidP="00986806">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Consultations held with Government, civil society, private sector, academia and the UNDP Youth Sounding Board</w:t>
      </w:r>
    </w:p>
  </w:footnote>
  <w:footnote w:id="24">
    <w:p w14:paraId="636A6854" w14:textId="020893A7" w:rsidR="00F073E5" w:rsidRPr="009E6278" w:rsidRDefault="00F073E5">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The three development settings are: (a) structural transformation accelerated – green, inclusive and digital transitions; (b) no one left behind, </w:t>
      </w:r>
      <w:r>
        <w:rPr>
          <w:rFonts w:ascii="Times New Roman" w:hAnsi="Times New Roman"/>
          <w:sz w:val="18"/>
          <w:szCs w:val="18"/>
          <w:lang w:val="en-GB"/>
        </w:rPr>
        <w:t>centred</w:t>
      </w:r>
      <w:r w:rsidRPr="009E6278">
        <w:rPr>
          <w:rFonts w:ascii="Times New Roman" w:hAnsi="Times New Roman"/>
          <w:sz w:val="18"/>
          <w:szCs w:val="18"/>
          <w:lang w:val="en-GB"/>
        </w:rPr>
        <w:t xml:space="preserve"> on equitable access to opportunities and a rights</w:t>
      </w:r>
      <w:r>
        <w:rPr>
          <w:rFonts w:ascii="Times New Roman" w:hAnsi="Times New Roman"/>
          <w:sz w:val="18"/>
          <w:szCs w:val="18"/>
          <w:lang w:val="en-GB"/>
        </w:rPr>
        <w:t>-</w:t>
      </w:r>
      <w:r w:rsidRPr="009E6278">
        <w:rPr>
          <w:rFonts w:ascii="Times New Roman" w:hAnsi="Times New Roman"/>
          <w:sz w:val="18"/>
          <w:szCs w:val="18"/>
          <w:lang w:val="en-GB"/>
        </w:rPr>
        <w:t>based approach</w:t>
      </w:r>
      <w:r>
        <w:rPr>
          <w:rFonts w:ascii="Times New Roman" w:hAnsi="Times New Roman"/>
          <w:sz w:val="18"/>
          <w:szCs w:val="18"/>
          <w:lang w:val="en-GB"/>
        </w:rPr>
        <w:t>;</w:t>
      </w:r>
      <w:r w:rsidRPr="009E6278">
        <w:rPr>
          <w:rFonts w:ascii="Times New Roman" w:hAnsi="Times New Roman"/>
          <w:sz w:val="18"/>
          <w:szCs w:val="18"/>
          <w:lang w:val="en-GB"/>
        </w:rPr>
        <w:t xml:space="preserve"> and </w:t>
      </w:r>
      <w:r>
        <w:rPr>
          <w:rFonts w:ascii="Times New Roman" w:hAnsi="Times New Roman"/>
          <w:sz w:val="18"/>
          <w:szCs w:val="18"/>
          <w:lang w:val="en-GB"/>
        </w:rPr>
        <w:t>(c</w:t>
      </w:r>
      <w:r w:rsidRPr="009E6278">
        <w:rPr>
          <w:rFonts w:ascii="Times New Roman" w:hAnsi="Times New Roman"/>
          <w:sz w:val="18"/>
          <w:szCs w:val="18"/>
          <w:lang w:val="en-GB"/>
        </w:rPr>
        <w:t>) resilience built to respond to systemic uncertainty and risk</w:t>
      </w:r>
      <w:r>
        <w:rPr>
          <w:rFonts w:ascii="Times New Roman" w:hAnsi="Times New Roman"/>
          <w:sz w:val="18"/>
          <w:szCs w:val="18"/>
          <w:lang w:val="en-GB"/>
        </w:rPr>
        <w:t>,</w:t>
      </w:r>
      <w:r w:rsidRPr="009E6278">
        <w:rPr>
          <w:rFonts w:ascii="Times New Roman" w:hAnsi="Times New Roman"/>
          <w:sz w:val="18"/>
          <w:szCs w:val="18"/>
          <w:lang w:val="en-GB"/>
        </w:rPr>
        <w:t xml:space="preserve"> integrating the six </w:t>
      </w:r>
      <w:r>
        <w:rPr>
          <w:rFonts w:ascii="Times New Roman" w:hAnsi="Times New Roman"/>
          <w:sz w:val="18"/>
          <w:szCs w:val="18"/>
          <w:lang w:val="en-GB"/>
        </w:rPr>
        <w:t>‘</w:t>
      </w:r>
      <w:r w:rsidRPr="009E6278">
        <w:rPr>
          <w:rFonts w:ascii="Times New Roman" w:hAnsi="Times New Roman"/>
          <w:sz w:val="18"/>
          <w:szCs w:val="18"/>
          <w:lang w:val="en-GB"/>
        </w:rPr>
        <w:t>signature solutions</w:t>
      </w:r>
      <w:r>
        <w:rPr>
          <w:rFonts w:ascii="Times New Roman" w:hAnsi="Times New Roman"/>
          <w:sz w:val="18"/>
          <w:szCs w:val="18"/>
          <w:lang w:val="en-GB"/>
        </w:rPr>
        <w:t>’.</w:t>
      </w:r>
    </w:p>
  </w:footnote>
  <w:footnote w:id="25">
    <w:p w14:paraId="5328C949" w14:textId="2D93C3DF" w:rsidR="00F073E5" w:rsidRPr="009E6278" w:rsidRDefault="00F073E5">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Fonts w:ascii="Times New Roman" w:hAnsi="Times New Roman"/>
          <w:sz w:val="18"/>
          <w:szCs w:val="18"/>
          <w:lang w:val="en-GB"/>
        </w:rPr>
        <w:t xml:space="preserve"> </w:t>
      </w:r>
      <w:r w:rsidRPr="009E6278">
        <w:rPr>
          <w:rFonts w:ascii="Times New Roman" w:hAnsi="Times New Roman"/>
          <w:color w:val="0A0A0A"/>
          <w:spacing w:val="4"/>
          <w:sz w:val="18"/>
          <w:szCs w:val="18"/>
          <w:shd w:val="clear" w:color="auto" w:fill="FEFEFE"/>
          <w:lang w:val="en-GB"/>
        </w:rPr>
        <w:t>Borderlands are the territorial margins of nation-states – regions where border contact is a central feature of economic, social and political life</w:t>
      </w:r>
      <w:r>
        <w:rPr>
          <w:rFonts w:ascii="Times New Roman" w:hAnsi="Times New Roman"/>
          <w:color w:val="0A0A0A"/>
          <w:spacing w:val="4"/>
          <w:sz w:val="18"/>
          <w:szCs w:val="18"/>
          <w:shd w:val="clear" w:color="auto" w:fill="FEFEFE"/>
          <w:lang w:val="en-GB"/>
        </w:rPr>
        <w:t>,</w:t>
      </w:r>
      <w:r w:rsidRPr="009E6278">
        <w:rPr>
          <w:rFonts w:ascii="Times New Roman" w:hAnsi="Times New Roman"/>
          <w:color w:val="0A0A0A"/>
          <w:spacing w:val="4"/>
          <w:sz w:val="18"/>
          <w:szCs w:val="18"/>
          <w:shd w:val="clear" w:color="auto" w:fill="FEFEFE"/>
          <w:lang w:val="en-GB"/>
        </w:rPr>
        <w:t xml:space="preserve"> creating opportunities for acceleration of implementation of the </w:t>
      </w:r>
      <w:r>
        <w:rPr>
          <w:rFonts w:ascii="Times New Roman" w:hAnsi="Times New Roman"/>
          <w:color w:val="0A0A0A"/>
          <w:spacing w:val="4"/>
          <w:sz w:val="18"/>
          <w:szCs w:val="18"/>
          <w:shd w:val="clear" w:color="auto" w:fill="FEFEFE"/>
          <w:lang w:val="en-GB"/>
        </w:rPr>
        <w:t>Sustainable Development Goal</w:t>
      </w:r>
      <w:r w:rsidRPr="009E6278">
        <w:rPr>
          <w:rFonts w:ascii="Times New Roman" w:hAnsi="Times New Roman"/>
          <w:color w:val="0A0A0A"/>
          <w:spacing w:val="4"/>
          <w:sz w:val="18"/>
          <w:szCs w:val="18"/>
          <w:shd w:val="clear" w:color="auto" w:fill="FEFEFE"/>
          <w:lang w:val="en-GB"/>
        </w:rPr>
        <w:t xml:space="preserve">s. </w:t>
      </w:r>
    </w:p>
  </w:footnote>
  <w:footnote w:id="26">
    <w:p w14:paraId="434FC909" w14:textId="1FDDB5B6" w:rsidR="00F073E5" w:rsidRPr="009E6278" w:rsidRDefault="00F073E5">
      <w:pPr>
        <w:pStyle w:val="FootnoteText"/>
        <w:rPr>
          <w:rFonts w:ascii="Times New Roman" w:hAnsi="Times New Roman"/>
          <w:sz w:val="16"/>
          <w:szCs w:val="16"/>
          <w:lang w:val="en-GB"/>
        </w:rPr>
      </w:pPr>
      <w:r w:rsidRPr="009E6278">
        <w:rPr>
          <w:rStyle w:val="FootnoteReference"/>
          <w:rFonts w:ascii="Times New Roman" w:hAnsi="Times New Roman"/>
          <w:lang w:val="en-GB"/>
        </w:rPr>
        <w:footnoteRef/>
      </w:r>
      <w:r w:rsidRPr="009E6278">
        <w:rPr>
          <w:rFonts w:ascii="Times New Roman" w:hAnsi="Times New Roman"/>
          <w:sz w:val="18"/>
          <w:szCs w:val="18"/>
          <w:lang w:val="en-GB"/>
        </w:rPr>
        <w:t xml:space="preserve"> Elaborated in the country programme document resource mobilization table</w:t>
      </w:r>
    </w:p>
  </w:footnote>
  <w:footnote w:id="27">
    <w:p w14:paraId="3A514217" w14:textId="1790BB7F" w:rsidR="00F073E5" w:rsidRPr="009E6278" w:rsidRDefault="00F073E5" w:rsidP="00791DE0">
      <w:pPr>
        <w:rPr>
          <w:sz w:val="18"/>
          <w:szCs w:val="18"/>
          <w:lang w:val="en-GB"/>
        </w:rPr>
      </w:pPr>
      <w:r w:rsidRPr="009E6278">
        <w:rPr>
          <w:rStyle w:val="FootnoteReference"/>
          <w:lang w:val="en-GB"/>
        </w:rPr>
        <w:footnoteRef/>
      </w:r>
      <w:r w:rsidRPr="009E6278">
        <w:rPr>
          <w:sz w:val="18"/>
          <w:szCs w:val="18"/>
          <w:lang w:val="en-GB"/>
        </w:rPr>
        <w:t xml:space="preserve"> </w:t>
      </w:r>
      <w:r w:rsidRPr="009E6278">
        <w:rPr>
          <w:rStyle w:val="Strong"/>
          <w:b w:val="0"/>
          <w:bCs w:val="0"/>
          <w:spacing w:val="5"/>
          <w:sz w:val="18"/>
          <w:szCs w:val="18"/>
          <w:bdr w:val="none" w:sz="0" w:space="0" w:color="auto" w:frame="1"/>
          <w:shd w:val="clear" w:color="auto" w:fill="FFFFFF"/>
          <w:lang w:val="en-GB"/>
        </w:rPr>
        <w:t>Kenya National Commission on Human Rights</w:t>
      </w:r>
      <w:r w:rsidRPr="009E6278">
        <w:rPr>
          <w:sz w:val="18"/>
          <w:szCs w:val="18"/>
          <w:lang w:val="en-GB"/>
        </w:rPr>
        <w:t>; Ethics and Anticorruption Commission; National Gender and Equality Commission; Office of the Auditor General; Commission on Administrative Justice; Commission on Revenue Allocation; Office of the Controller of Budget</w:t>
      </w:r>
    </w:p>
  </w:footnote>
  <w:footnote w:id="28">
    <w:p w14:paraId="58E2E5D7" w14:textId="70A36300" w:rsidR="00F073E5" w:rsidRPr="009E6278" w:rsidRDefault="00F073E5">
      <w:pPr>
        <w:pStyle w:val="FootnoteText"/>
        <w:rPr>
          <w:rFonts w:ascii="Times New Roman" w:hAnsi="Times New Roman"/>
          <w:sz w:val="18"/>
          <w:szCs w:val="18"/>
          <w:lang w:val="en-GB"/>
        </w:rPr>
      </w:pPr>
      <w:r w:rsidRPr="009E6278">
        <w:rPr>
          <w:rStyle w:val="FootnoteReference"/>
          <w:rFonts w:ascii="Times New Roman" w:hAnsi="Times New Roman"/>
          <w:lang w:val="en-GB"/>
        </w:rPr>
        <w:footnoteRef/>
      </w:r>
      <w:r>
        <w:rPr>
          <w:rFonts w:ascii="Times New Roman" w:hAnsi="Times New Roman"/>
          <w:sz w:val="18"/>
          <w:szCs w:val="18"/>
          <w:lang w:val="en-GB"/>
        </w:rPr>
        <w:t xml:space="preserve"> </w:t>
      </w:r>
      <w:r w:rsidRPr="009E6278">
        <w:rPr>
          <w:rFonts w:ascii="Times New Roman" w:hAnsi="Times New Roman"/>
          <w:sz w:val="18"/>
          <w:szCs w:val="18"/>
          <w:lang w:val="en-GB"/>
        </w:rPr>
        <w:t>Global AIDS Strategy</w:t>
      </w:r>
      <w:r>
        <w:rPr>
          <w:rFonts w:ascii="Times New Roman" w:hAnsi="Times New Roman"/>
          <w:sz w:val="18"/>
          <w:szCs w:val="18"/>
          <w:lang w:val="en-GB"/>
        </w:rPr>
        <w:t>,</w:t>
      </w:r>
      <w:r w:rsidRPr="009E6278">
        <w:rPr>
          <w:rFonts w:ascii="Times New Roman" w:hAnsi="Times New Roman"/>
          <w:sz w:val="18"/>
          <w:szCs w:val="18"/>
          <w:lang w:val="en-GB"/>
        </w:rPr>
        <w:t xml:space="preserve"> 2021-2026</w:t>
      </w:r>
      <w:r>
        <w:rPr>
          <w:rFonts w:ascii="Times New Roman" w:hAnsi="Times New Roman"/>
          <w:sz w:val="18"/>
          <w:szCs w:val="18"/>
          <w:lang w:val="en-GB"/>
        </w:rPr>
        <w:t>,</w:t>
      </w:r>
      <w:r w:rsidRPr="009E6278">
        <w:rPr>
          <w:rFonts w:ascii="Times New Roman" w:hAnsi="Times New Roman"/>
          <w:sz w:val="18"/>
          <w:szCs w:val="18"/>
          <w:lang w:val="en-GB"/>
        </w:rPr>
        <w:t xml:space="preserve"> and UNDP HIV and </w:t>
      </w:r>
      <w:r>
        <w:rPr>
          <w:rFonts w:ascii="Times New Roman" w:hAnsi="Times New Roman"/>
          <w:sz w:val="18"/>
          <w:szCs w:val="18"/>
          <w:lang w:val="en-GB"/>
        </w:rPr>
        <w:t>h</w:t>
      </w:r>
      <w:r w:rsidRPr="009E6278">
        <w:rPr>
          <w:rFonts w:ascii="Times New Roman" w:hAnsi="Times New Roman"/>
          <w:sz w:val="18"/>
          <w:szCs w:val="18"/>
          <w:lang w:val="en-GB"/>
        </w:rPr>
        <w:t xml:space="preserve">ealth </w:t>
      </w:r>
      <w:r>
        <w:rPr>
          <w:rFonts w:ascii="Times New Roman" w:hAnsi="Times New Roman"/>
          <w:sz w:val="18"/>
          <w:szCs w:val="18"/>
          <w:lang w:val="en-GB"/>
        </w:rPr>
        <w:t>s</w:t>
      </w:r>
      <w:r w:rsidRPr="009E6278">
        <w:rPr>
          <w:rFonts w:ascii="Times New Roman" w:hAnsi="Times New Roman"/>
          <w:sz w:val="18"/>
          <w:szCs w:val="18"/>
          <w:lang w:val="en-GB"/>
        </w:rPr>
        <w:t xml:space="preserve">trategy 2022-2025 </w:t>
      </w:r>
    </w:p>
  </w:footnote>
  <w:footnote w:id="29">
    <w:p w14:paraId="1D10CB6F" w14:textId="4719E538" w:rsidR="00F073E5" w:rsidRPr="009E6278" w:rsidRDefault="00F073E5">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Pr>
          <w:rFonts w:ascii="Times New Roman" w:hAnsi="Times New Roman"/>
          <w:color w:val="000000"/>
          <w:sz w:val="18"/>
          <w:szCs w:val="18"/>
          <w:lang w:val="en-GB"/>
        </w:rPr>
        <w:t xml:space="preserve"> </w:t>
      </w:r>
      <w:r w:rsidRPr="009E6278">
        <w:rPr>
          <w:rFonts w:ascii="Times New Roman" w:hAnsi="Times New Roman"/>
          <w:color w:val="000000"/>
          <w:sz w:val="18"/>
          <w:szCs w:val="18"/>
          <w:lang w:val="en-GB"/>
        </w:rPr>
        <w:t xml:space="preserve">Tourism, forestry, agroforestry, manufacturing, </w:t>
      </w:r>
      <w:r>
        <w:rPr>
          <w:rFonts w:ascii="Times New Roman" w:hAnsi="Times New Roman"/>
          <w:color w:val="000000"/>
          <w:sz w:val="18"/>
          <w:szCs w:val="18"/>
          <w:lang w:val="en-GB"/>
        </w:rPr>
        <w:t>information and communication technologies</w:t>
      </w:r>
    </w:p>
  </w:footnote>
  <w:footnote w:id="30">
    <w:p w14:paraId="565EA0C3" w14:textId="0966E8D9" w:rsidR="00F073E5" w:rsidRPr="009E6278" w:rsidRDefault="00F073E5">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Pr>
          <w:rFonts w:ascii="Times New Roman" w:hAnsi="Times New Roman"/>
          <w:sz w:val="18"/>
          <w:szCs w:val="18"/>
          <w:lang w:val="en-GB"/>
        </w:rPr>
        <w:t xml:space="preserve"> </w:t>
      </w:r>
      <w:r w:rsidRPr="009E6278">
        <w:rPr>
          <w:rFonts w:ascii="Times New Roman" w:hAnsi="Times New Roman"/>
          <w:sz w:val="18"/>
          <w:szCs w:val="18"/>
          <w:lang w:val="en-GB"/>
        </w:rPr>
        <w:t>UNDP</w:t>
      </w:r>
      <w:r>
        <w:rPr>
          <w:rFonts w:ascii="Times New Roman" w:hAnsi="Times New Roman"/>
          <w:sz w:val="18"/>
          <w:szCs w:val="18"/>
          <w:lang w:val="en-GB"/>
        </w:rPr>
        <w:t>,</w:t>
      </w:r>
      <w:r w:rsidRPr="009E6278">
        <w:rPr>
          <w:rFonts w:ascii="Times New Roman" w:hAnsi="Times New Roman"/>
          <w:sz w:val="18"/>
          <w:szCs w:val="18"/>
          <w:lang w:val="en-GB"/>
        </w:rPr>
        <w:t xml:space="preserve"> in consultation with Government departments</w:t>
      </w:r>
      <w:r>
        <w:rPr>
          <w:rFonts w:ascii="Times New Roman" w:hAnsi="Times New Roman"/>
          <w:sz w:val="18"/>
          <w:szCs w:val="18"/>
          <w:lang w:val="en-GB"/>
        </w:rPr>
        <w:t>,</w:t>
      </w:r>
      <w:r w:rsidRPr="009E6278">
        <w:rPr>
          <w:rFonts w:ascii="Times New Roman" w:hAnsi="Times New Roman"/>
          <w:sz w:val="18"/>
          <w:szCs w:val="18"/>
          <w:lang w:val="en-GB"/>
        </w:rPr>
        <w:t xml:space="preserve"> will strengthen networks and knowledge exchanges, peer learning on </w:t>
      </w:r>
      <w:r>
        <w:rPr>
          <w:rFonts w:ascii="Times New Roman" w:hAnsi="Times New Roman"/>
          <w:sz w:val="18"/>
          <w:szCs w:val="18"/>
          <w:lang w:val="en-GB"/>
        </w:rPr>
        <w:t>middle-income countries,</w:t>
      </w:r>
      <w:r w:rsidRPr="009E6278">
        <w:rPr>
          <w:rFonts w:ascii="Times New Roman" w:hAnsi="Times New Roman"/>
          <w:sz w:val="18"/>
          <w:szCs w:val="18"/>
          <w:lang w:val="en-GB"/>
        </w:rPr>
        <w:t xml:space="preserve"> and coordination through South</w:t>
      </w:r>
      <w:r>
        <w:rPr>
          <w:rFonts w:ascii="Times New Roman" w:hAnsi="Times New Roman"/>
          <w:sz w:val="18"/>
          <w:szCs w:val="18"/>
          <w:lang w:val="en-GB"/>
        </w:rPr>
        <w:t>-</w:t>
      </w:r>
      <w:r w:rsidRPr="009E6278">
        <w:rPr>
          <w:rFonts w:ascii="Times New Roman" w:hAnsi="Times New Roman"/>
          <w:sz w:val="18"/>
          <w:szCs w:val="18"/>
          <w:lang w:val="en-GB"/>
        </w:rPr>
        <w:t xml:space="preserve">South </w:t>
      </w:r>
      <w:r>
        <w:rPr>
          <w:rFonts w:ascii="Times New Roman" w:hAnsi="Times New Roman"/>
          <w:sz w:val="18"/>
          <w:szCs w:val="18"/>
          <w:lang w:val="en-GB"/>
        </w:rPr>
        <w:t>c</w:t>
      </w:r>
      <w:r w:rsidRPr="009E6278">
        <w:rPr>
          <w:rFonts w:ascii="Times New Roman" w:hAnsi="Times New Roman"/>
          <w:sz w:val="18"/>
          <w:szCs w:val="18"/>
          <w:lang w:val="en-GB"/>
        </w:rPr>
        <w:t>ooperation</w:t>
      </w:r>
      <w:r>
        <w:rPr>
          <w:rFonts w:ascii="Times New Roman" w:hAnsi="Times New Roman"/>
          <w:sz w:val="18"/>
          <w:szCs w:val="18"/>
          <w:lang w:val="en-GB"/>
        </w:rPr>
        <w:t>.</w:t>
      </w:r>
    </w:p>
  </w:footnote>
  <w:footnote w:id="31">
    <w:p w14:paraId="564678E8" w14:textId="792C8A28" w:rsidR="00F073E5" w:rsidRPr="009E6278" w:rsidRDefault="00F073E5" w:rsidP="007B7FA7">
      <w:pPr>
        <w:pStyle w:val="FootnoteText"/>
        <w:rPr>
          <w:lang w:val="en-GB"/>
        </w:rPr>
      </w:pPr>
      <w:r w:rsidRPr="009E6278">
        <w:rPr>
          <w:rStyle w:val="FootnoteReference"/>
          <w:rFonts w:ascii="Times New Roman" w:hAnsi="Times New Roman"/>
          <w:sz w:val="18"/>
          <w:szCs w:val="18"/>
          <w:lang w:val="en-GB"/>
        </w:rPr>
        <w:footnoteRef/>
      </w:r>
      <w:r w:rsidRPr="009E6278">
        <w:rPr>
          <w:rStyle w:val="FootnoteReference"/>
          <w:rFonts w:ascii="Times New Roman" w:hAnsi="Times New Roman"/>
          <w:sz w:val="18"/>
          <w:szCs w:val="18"/>
        </w:rPr>
        <w:t xml:space="preserve"> </w:t>
      </w:r>
      <w:r w:rsidRPr="009B26B3">
        <w:rPr>
          <w:rFonts w:ascii="Times New Roman" w:hAnsi="Times New Roman"/>
          <w:iCs/>
          <w:sz w:val="18"/>
          <w:szCs w:val="18"/>
          <w:lang w:val="en-GB"/>
        </w:rPr>
        <w:t>Magda Moner-Girona, Katalin Bódis, James Morrissey, Ioannis Kougias, Mark Hankins, Thomas Huld, Sándor Szabó,</w:t>
      </w:r>
      <w:r w:rsidRPr="009B26B3">
        <w:rPr>
          <w:rFonts w:ascii="Times New Roman" w:hAnsi="Times New Roman"/>
          <w:i/>
          <w:sz w:val="18"/>
          <w:szCs w:val="18"/>
          <w:lang w:val="en-GB"/>
        </w:rPr>
        <w:t xml:space="preserve"> Decentralized rural electrification in Kenya: Speeding up universal energy access, </w:t>
      </w:r>
      <w:r w:rsidRPr="009B26B3">
        <w:rPr>
          <w:rFonts w:ascii="Times New Roman" w:hAnsi="Times New Roman"/>
          <w:iCs/>
          <w:sz w:val="18"/>
          <w:szCs w:val="18"/>
          <w:lang w:val="en-GB"/>
        </w:rPr>
        <w:t>Energy for Sustainable Development, Volume</w:t>
      </w:r>
      <w:r>
        <w:rPr>
          <w:rFonts w:ascii="Times New Roman" w:hAnsi="Times New Roman"/>
          <w:iCs/>
          <w:sz w:val="18"/>
          <w:szCs w:val="18"/>
          <w:lang w:val="en-GB"/>
        </w:rPr>
        <w:t> </w:t>
      </w:r>
      <w:r w:rsidRPr="009B26B3">
        <w:rPr>
          <w:rFonts w:ascii="Times New Roman" w:hAnsi="Times New Roman"/>
          <w:iCs/>
          <w:sz w:val="18"/>
          <w:szCs w:val="18"/>
          <w:lang w:val="en-GB"/>
        </w:rPr>
        <w:t>52, 2019,</w:t>
      </w:r>
      <w:r w:rsidRPr="00252376">
        <w:rPr>
          <w:rFonts w:ascii="Times New Roman" w:hAnsi="Times New Roman"/>
          <w:iCs/>
          <w:sz w:val="18"/>
          <w:szCs w:val="18"/>
          <w:lang w:val="en-GB"/>
        </w:rPr>
        <w:t xml:space="preserve"> </w:t>
      </w:r>
      <w:r>
        <w:rPr>
          <w:rFonts w:ascii="Times New Roman" w:hAnsi="Times New Roman"/>
          <w:iCs/>
          <w:sz w:val="18"/>
          <w:szCs w:val="18"/>
          <w:lang w:val="en-GB"/>
        </w:rPr>
        <w:t>pp</w:t>
      </w:r>
      <w:r w:rsidRPr="00C00B55">
        <w:rPr>
          <w:rFonts w:ascii="Times New Roman" w:hAnsi="Times New Roman"/>
          <w:iCs/>
          <w:sz w:val="18"/>
          <w:szCs w:val="18"/>
          <w:lang w:val="en-GB"/>
        </w:rPr>
        <w:t xml:space="preserve"> 128-146</w:t>
      </w:r>
      <w:r w:rsidRPr="00C00B55">
        <w:rPr>
          <w:rFonts w:ascii="Times New Roman" w:hAnsi="Times New Roman"/>
          <w:i/>
          <w:sz w:val="18"/>
          <w:szCs w:val="18"/>
          <w:lang w:val="en-GB"/>
        </w:rPr>
        <w:t xml:space="preserve"> </w:t>
      </w:r>
    </w:p>
  </w:footnote>
  <w:footnote w:id="32">
    <w:p w14:paraId="21C373D6" w14:textId="651EFCA2" w:rsidR="00F073E5" w:rsidRPr="009E6278" w:rsidRDefault="00F073E5">
      <w:pPr>
        <w:pStyle w:val="FootnoteText"/>
        <w:rPr>
          <w:rFonts w:ascii="Times New Roman" w:hAnsi="Times New Roman"/>
          <w:lang w:val="en-GB"/>
        </w:rPr>
      </w:pPr>
      <w:r w:rsidRPr="009E6278">
        <w:rPr>
          <w:rStyle w:val="FootnoteReference"/>
          <w:rFonts w:ascii="Times New Roman" w:hAnsi="Times New Roman"/>
          <w:sz w:val="18"/>
          <w:szCs w:val="18"/>
          <w:lang w:val="en-GB"/>
        </w:rPr>
        <w:footnoteRef/>
      </w:r>
      <w:r w:rsidRPr="009E6278">
        <w:rPr>
          <w:rStyle w:val="FootnoteReference"/>
          <w:rFonts w:ascii="Times New Roman" w:hAnsi="Times New Roman"/>
          <w:sz w:val="18"/>
          <w:szCs w:val="18"/>
        </w:rPr>
        <w:t xml:space="preserve"> </w:t>
      </w:r>
      <w:r w:rsidRPr="00A23105">
        <w:rPr>
          <w:rFonts w:ascii="Times New Roman" w:hAnsi="Times New Roman"/>
          <w:sz w:val="18"/>
          <w:szCs w:val="18"/>
          <w:lang w:val="en-GB"/>
        </w:rPr>
        <w:t>N</w:t>
      </w:r>
      <w:r w:rsidRPr="009E6278">
        <w:rPr>
          <w:rFonts w:ascii="Times New Roman" w:hAnsi="Times New Roman"/>
          <w:sz w:val="18"/>
          <w:szCs w:val="18"/>
          <w:lang w:val="en-GB"/>
        </w:rPr>
        <w:t>ational Treasury and Planning</w:t>
      </w:r>
      <w:r>
        <w:rPr>
          <w:rFonts w:ascii="Times New Roman" w:hAnsi="Times New Roman"/>
          <w:sz w:val="18"/>
          <w:szCs w:val="18"/>
          <w:lang w:val="en-GB"/>
        </w:rPr>
        <w:t>,</w:t>
      </w:r>
      <w:r w:rsidRPr="009E6278">
        <w:rPr>
          <w:rFonts w:ascii="Times New Roman" w:hAnsi="Times New Roman"/>
          <w:sz w:val="18"/>
          <w:szCs w:val="18"/>
          <w:lang w:val="en-GB"/>
        </w:rPr>
        <w:t xml:space="preserve"> National Drought Management Authority</w:t>
      </w:r>
      <w:r>
        <w:rPr>
          <w:rFonts w:ascii="Times New Roman" w:hAnsi="Times New Roman"/>
          <w:sz w:val="18"/>
          <w:szCs w:val="18"/>
          <w:lang w:val="en-GB"/>
        </w:rPr>
        <w:t>,</w:t>
      </w:r>
      <w:r w:rsidRPr="009E6278">
        <w:rPr>
          <w:rFonts w:ascii="Times New Roman" w:hAnsi="Times New Roman"/>
          <w:sz w:val="18"/>
          <w:szCs w:val="18"/>
          <w:lang w:val="en-GB"/>
        </w:rPr>
        <w:t xml:space="preserve"> and National Disaster Operation Centre</w:t>
      </w:r>
    </w:p>
  </w:footnote>
  <w:footnote w:id="33">
    <w:p w14:paraId="2FF68F37" w14:textId="70CED00E" w:rsidR="00F073E5" w:rsidRPr="009E6278" w:rsidRDefault="00F073E5">
      <w:pPr>
        <w:pStyle w:val="FootnoteText"/>
        <w:rPr>
          <w:rFonts w:ascii="Times New Roman" w:hAnsi="Times New Roman"/>
          <w:sz w:val="18"/>
          <w:szCs w:val="18"/>
          <w:lang w:val="en-GB"/>
        </w:rPr>
      </w:pPr>
      <w:r w:rsidRPr="009E6278">
        <w:rPr>
          <w:rStyle w:val="FootnoteReference"/>
          <w:rFonts w:ascii="Times New Roman" w:hAnsi="Times New Roman"/>
          <w:sz w:val="18"/>
          <w:szCs w:val="18"/>
          <w:lang w:val="en-GB"/>
        </w:rPr>
        <w:footnoteRef/>
      </w:r>
      <w:r w:rsidRPr="009E6278">
        <w:rPr>
          <w:rStyle w:val="FootnoteReference"/>
          <w:rFonts w:ascii="Times New Roman" w:hAnsi="Times New Roman"/>
          <w:sz w:val="18"/>
          <w:szCs w:val="18"/>
        </w:rPr>
        <w:t xml:space="preserve"> </w:t>
      </w:r>
      <w:r w:rsidRPr="009E6278">
        <w:rPr>
          <w:rFonts w:ascii="Times New Roman" w:hAnsi="Times New Roman"/>
          <w:sz w:val="18"/>
          <w:szCs w:val="18"/>
          <w:lang w:val="en-GB"/>
        </w:rPr>
        <w:t>Office of Audit and Investigations</w:t>
      </w:r>
      <w:r>
        <w:rPr>
          <w:rFonts w:ascii="Times New Roman" w:hAnsi="Times New Roman"/>
          <w:sz w:val="18"/>
          <w:szCs w:val="18"/>
          <w:lang w:val="en-GB"/>
        </w:rPr>
        <w:t>,</w:t>
      </w:r>
      <w:r w:rsidRPr="009E6278">
        <w:rPr>
          <w:rFonts w:ascii="Times New Roman" w:hAnsi="Times New Roman"/>
          <w:sz w:val="18"/>
          <w:szCs w:val="18"/>
          <w:lang w:val="en-GB"/>
        </w:rPr>
        <w:t xml:space="preserve"> 2021</w:t>
      </w:r>
    </w:p>
  </w:footnote>
  <w:footnote w:id="34">
    <w:p w14:paraId="7050D04E" w14:textId="1BB4E8A1" w:rsidR="00F073E5" w:rsidRPr="009E6278" w:rsidRDefault="00F073E5">
      <w:pPr>
        <w:pStyle w:val="FootnoteText"/>
        <w:rPr>
          <w:lang w:val="en-GB"/>
        </w:rPr>
      </w:pPr>
      <w:r w:rsidRPr="009E6278">
        <w:rPr>
          <w:rStyle w:val="FootnoteReference"/>
          <w:rFonts w:ascii="Times New Roman" w:hAnsi="Times New Roman"/>
          <w:sz w:val="18"/>
          <w:szCs w:val="18"/>
          <w:lang w:val="en-GB"/>
        </w:rPr>
        <w:footnoteRef/>
      </w:r>
      <w:r w:rsidRPr="009E6278">
        <w:rPr>
          <w:rStyle w:val="FootnoteReference"/>
          <w:rFonts w:ascii="Times New Roman" w:hAnsi="Times New Roman"/>
          <w:sz w:val="18"/>
          <w:szCs w:val="18"/>
        </w:rPr>
        <w:t xml:space="preserve"> </w:t>
      </w:r>
      <w:r>
        <w:rPr>
          <w:rFonts w:ascii="Times New Roman" w:hAnsi="Times New Roman"/>
          <w:sz w:val="18"/>
          <w:szCs w:val="18"/>
        </w:rPr>
        <w:t xml:space="preserve">The </w:t>
      </w:r>
      <w:r w:rsidRPr="009E6278">
        <w:rPr>
          <w:rFonts w:ascii="Times New Roman" w:eastAsia="Cambria" w:hAnsi="Times New Roman"/>
          <w:bCs/>
          <w:sz w:val="18"/>
          <w:lang w:val="en-GB" w:eastAsia="ja-JP"/>
        </w:rPr>
        <w:t>CO-RESET</w:t>
      </w:r>
      <w:r w:rsidRPr="009B26B3">
        <w:rPr>
          <w:rFonts w:ascii="Times New Roman" w:eastAsia="Cambria" w:hAnsi="Times New Roman"/>
          <w:sz w:val="18"/>
          <w:lang w:val="en-GB" w:eastAsia="ja-JP"/>
        </w:rPr>
        <w:t xml:space="preserve"> (</w:t>
      </w:r>
      <w:r w:rsidRPr="009B26B3">
        <w:rPr>
          <w:rFonts w:ascii="Times New Roman" w:eastAsia="Cambria" w:hAnsi="Times New Roman"/>
          <w:b/>
          <w:bCs/>
          <w:sz w:val="18"/>
          <w:lang w:val="en-GB" w:eastAsia="ja-JP"/>
        </w:rPr>
        <w:t>C</w:t>
      </w:r>
      <w:r w:rsidRPr="009B26B3">
        <w:rPr>
          <w:rFonts w:ascii="Times New Roman" w:eastAsia="Cambria" w:hAnsi="Times New Roman"/>
          <w:sz w:val="18"/>
          <w:lang w:val="en-GB" w:eastAsia="ja-JP"/>
        </w:rPr>
        <w:t xml:space="preserve">PD </w:t>
      </w:r>
      <w:r>
        <w:rPr>
          <w:rFonts w:ascii="Times New Roman" w:eastAsia="Cambria" w:hAnsi="Times New Roman"/>
          <w:sz w:val="18"/>
          <w:lang w:val="en-GB" w:eastAsia="ja-JP"/>
        </w:rPr>
        <w:t>r</w:t>
      </w:r>
      <w:r w:rsidRPr="009B26B3">
        <w:rPr>
          <w:rFonts w:ascii="Times New Roman" w:eastAsia="Cambria" w:hAnsi="Times New Roman"/>
          <w:sz w:val="18"/>
          <w:lang w:val="en-GB" w:eastAsia="ja-JP"/>
        </w:rPr>
        <w:t>oll</w:t>
      </w:r>
      <w:r>
        <w:rPr>
          <w:rFonts w:ascii="Times New Roman" w:eastAsia="Cambria" w:hAnsi="Times New Roman"/>
          <w:sz w:val="18"/>
          <w:lang w:val="en-GB" w:eastAsia="ja-JP"/>
        </w:rPr>
        <w:t>-</w:t>
      </w:r>
      <w:r w:rsidRPr="009B26B3">
        <w:rPr>
          <w:rFonts w:ascii="Times New Roman" w:eastAsia="Cambria" w:hAnsi="Times New Roman"/>
          <w:sz w:val="18"/>
          <w:lang w:val="en-GB" w:eastAsia="ja-JP"/>
        </w:rPr>
        <w:t xml:space="preserve">out; </w:t>
      </w:r>
      <w:r w:rsidRPr="009B26B3">
        <w:rPr>
          <w:rFonts w:ascii="Times New Roman" w:eastAsia="Cambria" w:hAnsi="Times New Roman"/>
          <w:b/>
          <w:bCs/>
          <w:sz w:val="18"/>
          <w:lang w:val="en-GB" w:eastAsia="ja-JP"/>
        </w:rPr>
        <w:t>O</w:t>
      </w:r>
      <w:r w:rsidRPr="009B26B3">
        <w:rPr>
          <w:rFonts w:ascii="Times New Roman" w:eastAsia="Cambria" w:hAnsi="Times New Roman"/>
          <w:sz w:val="18"/>
          <w:lang w:val="en-GB" w:eastAsia="ja-JP"/>
        </w:rPr>
        <w:t xml:space="preserve">rganizational </w:t>
      </w:r>
      <w:r>
        <w:rPr>
          <w:rFonts w:ascii="Times New Roman" w:eastAsia="Cambria" w:hAnsi="Times New Roman"/>
          <w:sz w:val="18"/>
          <w:lang w:val="en-GB" w:eastAsia="ja-JP"/>
        </w:rPr>
        <w:t>e</w:t>
      </w:r>
      <w:r w:rsidRPr="009B26B3">
        <w:rPr>
          <w:rFonts w:ascii="Times New Roman" w:eastAsia="Cambria" w:hAnsi="Times New Roman"/>
          <w:sz w:val="18"/>
          <w:lang w:val="en-GB" w:eastAsia="ja-JP"/>
        </w:rPr>
        <w:t xml:space="preserve">xcellence; </w:t>
      </w:r>
      <w:r w:rsidRPr="009B26B3">
        <w:rPr>
          <w:rFonts w:ascii="Times New Roman" w:eastAsia="Cambria" w:hAnsi="Times New Roman"/>
          <w:b/>
          <w:bCs/>
          <w:sz w:val="18"/>
          <w:lang w:val="en-GB" w:eastAsia="ja-JP"/>
        </w:rPr>
        <w:t>R</w:t>
      </w:r>
      <w:r w:rsidRPr="009B26B3">
        <w:rPr>
          <w:rFonts w:ascii="Times New Roman" w:eastAsia="Cambria" w:hAnsi="Times New Roman"/>
          <w:sz w:val="18"/>
          <w:lang w:val="en-GB" w:eastAsia="ja-JP"/>
        </w:rPr>
        <w:t xml:space="preserve">esource </w:t>
      </w:r>
      <w:r>
        <w:rPr>
          <w:rFonts w:ascii="Times New Roman" w:eastAsia="Cambria" w:hAnsi="Times New Roman"/>
          <w:sz w:val="18"/>
          <w:lang w:val="en-GB" w:eastAsia="ja-JP"/>
        </w:rPr>
        <w:t>m</w:t>
      </w:r>
      <w:r w:rsidRPr="009B26B3">
        <w:rPr>
          <w:rFonts w:ascii="Times New Roman" w:eastAsia="Cambria" w:hAnsi="Times New Roman"/>
          <w:sz w:val="18"/>
          <w:lang w:val="en-GB" w:eastAsia="ja-JP"/>
        </w:rPr>
        <w:t xml:space="preserve">obilization; </w:t>
      </w:r>
      <w:r w:rsidRPr="00252376">
        <w:rPr>
          <w:rFonts w:ascii="Times New Roman" w:eastAsia="Cambria" w:hAnsi="Times New Roman"/>
          <w:b/>
          <w:bCs/>
          <w:sz w:val="18"/>
          <w:lang w:val="en-GB" w:eastAsia="ja-JP"/>
        </w:rPr>
        <w:t>E</w:t>
      </w:r>
      <w:r w:rsidRPr="00C00B55">
        <w:rPr>
          <w:rFonts w:ascii="Times New Roman" w:eastAsia="Cambria" w:hAnsi="Times New Roman"/>
          <w:sz w:val="18"/>
          <w:lang w:val="en-GB" w:eastAsia="ja-JP"/>
        </w:rPr>
        <w:t xml:space="preserve">fficiency in </w:t>
      </w:r>
      <w:r>
        <w:rPr>
          <w:rFonts w:ascii="Times New Roman" w:eastAsia="Cambria" w:hAnsi="Times New Roman"/>
          <w:sz w:val="18"/>
          <w:lang w:val="en-GB" w:eastAsia="ja-JP"/>
        </w:rPr>
        <w:t>b</w:t>
      </w:r>
      <w:r w:rsidRPr="00267C39">
        <w:rPr>
          <w:rFonts w:ascii="Times New Roman" w:eastAsia="Cambria" w:hAnsi="Times New Roman"/>
          <w:sz w:val="18"/>
          <w:lang w:val="en-GB" w:eastAsia="ja-JP"/>
        </w:rPr>
        <w:t xml:space="preserve">usiness </w:t>
      </w:r>
      <w:r>
        <w:rPr>
          <w:rFonts w:ascii="Times New Roman" w:eastAsia="Cambria" w:hAnsi="Times New Roman"/>
          <w:sz w:val="18"/>
          <w:lang w:val="en-GB" w:eastAsia="ja-JP"/>
        </w:rPr>
        <w:t>p</w:t>
      </w:r>
      <w:r w:rsidRPr="00267C39">
        <w:rPr>
          <w:rFonts w:ascii="Times New Roman" w:eastAsia="Cambria" w:hAnsi="Times New Roman"/>
          <w:sz w:val="18"/>
          <w:lang w:val="en-GB" w:eastAsia="ja-JP"/>
        </w:rPr>
        <w:t xml:space="preserve">rocesses; </w:t>
      </w:r>
      <w:r w:rsidRPr="00B72466">
        <w:rPr>
          <w:rFonts w:ascii="Times New Roman" w:eastAsia="Cambria" w:hAnsi="Times New Roman"/>
          <w:b/>
          <w:bCs/>
          <w:sz w:val="18"/>
          <w:lang w:val="en-GB" w:eastAsia="ja-JP"/>
        </w:rPr>
        <w:t>S</w:t>
      </w:r>
      <w:r w:rsidRPr="00B7090E">
        <w:rPr>
          <w:rFonts w:ascii="Times New Roman" w:eastAsia="Cambria" w:hAnsi="Times New Roman"/>
          <w:sz w:val="18"/>
          <w:lang w:val="en-GB" w:eastAsia="ja-JP"/>
        </w:rPr>
        <w:t xml:space="preserve">taff </w:t>
      </w:r>
      <w:r>
        <w:rPr>
          <w:rFonts w:ascii="Times New Roman" w:eastAsia="Cambria" w:hAnsi="Times New Roman"/>
          <w:sz w:val="18"/>
          <w:lang w:val="en-GB" w:eastAsia="ja-JP"/>
        </w:rPr>
        <w:t>w</w:t>
      </w:r>
      <w:r w:rsidRPr="00B7090E">
        <w:rPr>
          <w:rFonts w:ascii="Times New Roman" w:eastAsia="Cambria" w:hAnsi="Times New Roman"/>
          <w:sz w:val="18"/>
          <w:lang w:val="en-GB" w:eastAsia="ja-JP"/>
        </w:rPr>
        <w:t>ell-</w:t>
      </w:r>
      <w:r>
        <w:rPr>
          <w:rFonts w:ascii="Times New Roman" w:eastAsia="Cambria" w:hAnsi="Times New Roman"/>
          <w:sz w:val="18"/>
          <w:lang w:val="en-GB" w:eastAsia="ja-JP"/>
        </w:rPr>
        <w:t>b</w:t>
      </w:r>
      <w:r w:rsidRPr="00B7090E">
        <w:rPr>
          <w:rFonts w:ascii="Times New Roman" w:eastAsia="Cambria" w:hAnsi="Times New Roman"/>
          <w:sz w:val="18"/>
          <w:lang w:val="en-GB" w:eastAsia="ja-JP"/>
        </w:rPr>
        <w:t xml:space="preserve">eing; </w:t>
      </w:r>
      <w:r w:rsidRPr="00B65F38">
        <w:rPr>
          <w:rFonts w:ascii="Times New Roman" w:eastAsia="Cambria" w:hAnsi="Times New Roman"/>
          <w:b/>
          <w:bCs/>
          <w:sz w:val="18"/>
          <w:lang w:val="en-GB" w:eastAsia="ja-JP"/>
        </w:rPr>
        <w:t>E</w:t>
      </w:r>
      <w:r w:rsidRPr="00B65F38">
        <w:rPr>
          <w:rFonts w:ascii="Times New Roman" w:eastAsia="Cambria" w:hAnsi="Times New Roman"/>
          <w:sz w:val="18"/>
          <w:lang w:val="en-GB" w:eastAsia="ja-JP"/>
        </w:rPr>
        <w:t xml:space="preserve">ngagement; and </w:t>
      </w:r>
      <w:r w:rsidRPr="00726CDE">
        <w:rPr>
          <w:rFonts w:ascii="Times New Roman" w:eastAsia="Cambria" w:hAnsi="Times New Roman"/>
          <w:b/>
          <w:bCs/>
          <w:sz w:val="18"/>
          <w:lang w:val="en-GB" w:eastAsia="ja-JP"/>
        </w:rPr>
        <w:t>T</w:t>
      </w:r>
      <w:r w:rsidRPr="00726CDE">
        <w:rPr>
          <w:rFonts w:ascii="Times New Roman" w:eastAsia="Cambria" w:hAnsi="Times New Roman"/>
          <w:sz w:val="18"/>
          <w:lang w:val="en-GB" w:eastAsia="ja-JP"/>
        </w:rPr>
        <w:t xml:space="preserve">alent </w:t>
      </w:r>
      <w:r>
        <w:rPr>
          <w:rFonts w:ascii="Times New Roman" w:eastAsia="Cambria" w:hAnsi="Times New Roman"/>
          <w:sz w:val="18"/>
          <w:lang w:val="en-GB" w:eastAsia="ja-JP"/>
        </w:rPr>
        <w:t>m</w:t>
      </w:r>
      <w:r w:rsidRPr="00726CDE">
        <w:rPr>
          <w:rFonts w:ascii="Times New Roman" w:eastAsia="Cambria" w:hAnsi="Times New Roman"/>
          <w:sz w:val="18"/>
          <w:lang w:val="en-GB" w:eastAsia="ja-JP"/>
        </w:rPr>
        <w:t>anagement) framework is</w:t>
      </w:r>
      <w:r w:rsidRPr="00E773F8">
        <w:rPr>
          <w:rFonts w:ascii="Times New Roman" w:eastAsia="Cambria" w:hAnsi="Times New Roman"/>
          <w:sz w:val="18"/>
          <w:lang w:val="en-GB" w:eastAsia="ja-JP"/>
        </w:rPr>
        <w:t xml:space="preserve"> a home</w:t>
      </w:r>
      <w:r>
        <w:rPr>
          <w:rFonts w:ascii="Times New Roman" w:eastAsia="Cambria" w:hAnsi="Times New Roman"/>
          <w:sz w:val="18"/>
          <w:lang w:val="en-GB" w:eastAsia="ja-JP"/>
        </w:rPr>
        <w:t>-</w:t>
      </w:r>
      <w:r w:rsidRPr="00E773F8">
        <w:rPr>
          <w:rFonts w:ascii="Times New Roman" w:eastAsia="Cambria" w:hAnsi="Times New Roman"/>
          <w:sz w:val="18"/>
          <w:lang w:val="en-GB" w:eastAsia="ja-JP"/>
        </w:rPr>
        <w:t>grown performance and accountability mechanism for more effective systems and structures to improve UNDP positioning.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90" w:type="dxa"/>
      <w:tblBorders>
        <w:bottom w:val="single" w:sz="2" w:space="0" w:color="000000"/>
      </w:tblBorders>
      <w:tblLayout w:type="fixed"/>
      <w:tblCellMar>
        <w:left w:w="0" w:type="dxa"/>
        <w:right w:w="0" w:type="dxa"/>
      </w:tblCellMar>
      <w:tblLook w:val="0000" w:firstRow="0" w:lastRow="0" w:firstColumn="0" w:lastColumn="0" w:noHBand="0" w:noVBand="0"/>
    </w:tblPr>
    <w:tblGrid>
      <w:gridCol w:w="4748"/>
      <w:gridCol w:w="4522"/>
    </w:tblGrid>
    <w:tr w:rsidR="00F073E5" w:rsidRPr="00657A41" w14:paraId="7EF720A4" w14:textId="77777777" w:rsidTr="00234E84">
      <w:trPr>
        <w:trHeight w:hRule="exact" w:val="864"/>
      </w:trPr>
      <w:tc>
        <w:tcPr>
          <w:tcW w:w="4748" w:type="dxa"/>
          <w:shd w:val="clear" w:color="auto" w:fill="auto"/>
          <w:vAlign w:val="bottom"/>
        </w:tcPr>
        <w:p w14:paraId="715A3CEA" w14:textId="77777777" w:rsidR="00F073E5" w:rsidRPr="00657A41" w:rsidRDefault="00F073E5" w:rsidP="00462F10">
          <w:pPr>
            <w:tabs>
              <w:tab w:val="center" w:pos="4320"/>
              <w:tab w:val="right" w:pos="8640"/>
            </w:tabs>
            <w:spacing w:after="80"/>
            <w:rPr>
              <w:b/>
              <w:noProof/>
              <w:sz w:val="17"/>
            </w:rPr>
          </w:pPr>
          <w:r w:rsidRPr="00657A41">
            <w:rPr>
              <w:b/>
              <w:noProof/>
              <w:sz w:val="17"/>
            </w:rPr>
            <w:t>DP/DCP/</w:t>
          </w:r>
          <w:r>
            <w:rPr>
              <w:b/>
              <w:noProof/>
              <w:sz w:val="17"/>
            </w:rPr>
            <w:t>KEN</w:t>
          </w:r>
          <w:r w:rsidRPr="00657A41">
            <w:rPr>
              <w:b/>
              <w:noProof/>
              <w:sz w:val="17"/>
            </w:rPr>
            <w:t>/</w:t>
          </w:r>
          <w:r>
            <w:rPr>
              <w:b/>
              <w:noProof/>
              <w:sz w:val="17"/>
            </w:rPr>
            <w:t>4</w:t>
          </w:r>
        </w:p>
      </w:tc>
      <w:tc>
        <w:tcPr>
          <w:tcW w:w="4522" w:type="dxa"/>
          <w:shd w:val="clear" w:color="auto" w:fill="auto"/>
          <w:vAlign w:val="bottom"/>
        </w:tcPr>
        <w:p w14:paraId="2DDFD4E5" w14:textId="77777777" w:rsidR="00F073E5" w:rsidRPr="00657A41" w:rsidRDefault="00F073E5" w:rsidP="00462F10">
          <w:pPr>
            <w:tabs>
              <w:tab w:val="center" w:pos="4320"/>
              <w:tab w:val="right" w:pos="8640"/>
            </w:tabs>
            <w:jc w:val="right"/>
            <w:rPr>
              <w:b/>
              <w:noProof/>
              <w:sz w:val="17"/>
            </w:rPr>
          </w:pPr>
        </w:p>
      </w:tc>
    </w:tr>
  </w:tbl>
  <w:p w14:paraId="683BA547" w14:textId="77777777" w:rsidR="00F073E5" w:rsidRPr="00462F10" w:rsidRDefault="00F073E5">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0" w:type="dxa"/>
      <w:tblInd w:w="-1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782"/>
    </w:tblGrid>
    <w:tr w:rsidR="00F073E5" w:rsidRPr="00617935" w14:paraId="686D9A78" w14:textId="77777777" w:rsidTr="00234E84">
      <w:trPr>
        <w:trHeight w:hRule="exact" w:val="864"/>
      </w:trPr>
      <w:tc>
        <w:tcPr>
          <w:tcW w:w="4838" w:type="dxa"/>
          <w:shd w:val="clear" w:color="auto" w:fill="auto"/>
          <w:vAlign w:val="bottom"/>
        </w:tcPr>
        <w:p w14:paraId="31EB0906" w14:textId="77777777" w:rsidR="00F073E5" w:rsidRPr="00617935" w:rsidRDefault="00F073E5" w:rsidP="00462F10">
          <w:pPr>
            <w:tabs>
              <w:tab w:val="center" w:pos="4320"/>
              <w:tab w:val="right" w:pos="8640"/>
            </w:tabs>
            <w:spacing w:after="80"/>
            <w:rPr>
              <w:b/>
              <w:noProof/>
              <w:sz w:val="17"/>
            </w:rPr>
          </w:pPr>
        </w:p>
      </w:tc>
      <w:tc>
        <w:tcPr>
          <w:tcW w:w="4782" w:type="dxa"/>
          <w:shd w:val="clear" w:color="auto" w:fill="auto"/>
          <w:vAlign w:val="bottom"/>
        </w:tcPr>
        <w:p w14:paraId="20C609AB" w14:textId="074BCDBF" w:rsidR="00F073E5" w:rsidRPr="00617935" w:rsidRDefault="00F073E5" w:rsidP="00462F10">
          <w:pPr>
            <w:tabs>
              <w:tab w:val="center" w:pos="4320"/>
              <w:tab w:val="right" w:pos="8640"/>
            </w:tabs>
            <w:jc w:val="right"/>
            <w:rPr>
              <w:b/>
              <w:noProof/>
              <w:sz w:val="17"/>
            </w:rPr>
          </w:pPr>
          <w:r w:rsidRPr="00617935">
            <w:rPr>
              <w:b/>
              <w:noProof/>
              <w:sz w:val="17"/>
            </w:rPr>
            <w:t>DP/DCP/</w:t>
          </w:r>
          <w:r>
            <w:rPr>
              <w:b/>
              <w:noProof/>
              <w:sz w:val="17"/>
            </w:rPr>
            <w:t>KEN</w:t>
          </w:r>
          <w:r w:rsidRPr="00617935">
            <w:rPr>
              <w:b/>
              <w:noProof/>
              <w:sz w:val="17"/>
            </w:rPr>
            <w:t>/</w:t>
          </w:r>
          <w:r>
            <w:rPr>
              <w:b/>
              <w:noProof/>
              <w:sz w:val="17"/>
            </w:rPr>
            <w:t>4</w:t>
          </w:r>
        </w:p>
      </w:tc>
    </w:tr>
  </w:tbl>
  <w:p w14:paraId="6F05934A" w14:textId="77777777" w:rsidR="00F073E5" w:rsidRPr="00462F10" w:rsidRDefault="00F073E5">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F073E5" w14:paraId="5A82C474" w14:textId="77777777" w:rsidTr="00234E84">
      <w:trPr>
        <w:trHeight w:hRule="exact" w:val="864"/>
      </w:trPr>
      <w:tc>
        <w:tcPr>
          <w:tcW w:w="1267" w:type="dxa"/>
          <w:tcBorders>
            <w:top w:val="nil"/>
            <w:left w:val="nil"/>
            <w:bottom w:val="nil"/>
            <w:right w:val="nil"/>
          </w:tcBorders>
          <w:vAlign w:val="bottom"/>
        </w:tcPr>
        <w:p w14:paraId="641C0661" w14:textId="77777777" w:rsidR="00F073E5" w:rsidRPr="007C6F85" w:rsidRDefault="00F073E5" w:rsidP="00C84543">
          <w:pPr>
            <w:pStyle w:val="Header"/>
            <w:spacing w:after="120"/>
            <w:rPr>
              <w:lang w:val="en-US" w:eastAsia="en-US"/>
            </w:rPr>
          </w:pPr>
        </w:p>
      </w:tc>
      <w:tc>
        <w:tcPr>
          <w:tcW w:w="1872" w:type="dxa"/>
          <w:tcBorders>
            <w:top w:val="nil"/>
            <w:left w:val="nil"/>
            <w:bottom w:val="nil"/>
            <w:right w:val="nil"/>
          </w:tcBorders>
          <w:vAlign w:val="bottom"/>
        </w:tcPr>
        <w:p w14:paraId="222D9846" w14:textId="77777777" w:rsidR="00F073E5" w:rsidRDefault="00F073E5" w:rsidP="00C84543">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4A377186" w14:textId="77777777" w:rsidR="00F073E5" w:rsidRPr="007C6F85" w:rsidRDefault="00F073E5" w:rsidP="00C84543">
          <w:pPr>
            <w:pStyle w:val="Header"/>
            <w:spacing w:after="120"/>
            <w:rPr>
              <w:lang w:val="en-US" w:eastAsia="en-US"/>
            </w:rPr>
          </w:pPr>
        </w:p>
      </w:tc>
      <w:tc>
        <w:tcPr>
          <w:tcW w:w="6876" w:type="dxa"/>
          <w:gridSpan w:val="3"/>
          <w:tcBorders>
            <w:top w:val="nil"/>
            <w:left w:val="nil"/>
            <w:bottom w:val="nil"/>
            <w:right w:val="nil"/>
          </w:tcBorders>
          <w:vAlign w:val="bottom"/>
        </w:tcPr>
        <w:p w14:paraId="4C0AEF15" w14:textId="77777777" w:rsidR="00F073E5" w:rsidRDefault="00F073E5" w:rsidP="009E6278">
          <w:pPr>
            <w:spacing w:after="80"/>
            <w:jc w:val="right"/>
            <w:rPr>
              <w:position w:val="-4"/>
            </w:rPr>
          </w:pPr>
          <w:r>
            <w:rPr>
              <w:position w:val="-4"/>
              <w:sz w:val="40"/>
            </w:rPr>
            <w:t xml:space="preserve">                         DP</w:t>
          </w:r>
          <w:r>
            <w:rPr>
              <w:position w:val="-4"/>
            </w:rPr>
            <w:t>/DCP/KEN/4</w:t>
          </w:r>
        </w:p>
      </w:tc>
    </w:tr>
    <w:tr w:rsidR="00F073E5" w14:paraId="788FFC5D" w14:textId="77777777" w:rsidTr="009E6278">
      <w:trPr>
        <w:trHeight w:hRule="exact" w:val="2301"/>
      </w:trPr>
      <w:tc>
        <w:tcPr>
          <w:tcW w:w="1267" w:type="dxa"/>
          <w:tcBorders>
            <w:top w:val="single" w:sz="4" w:space="0" w:color="auto"/>
            <w:left w:val="nil"/>
            <w:bottom w:val="single" w:sz="12" w:space="0" w:color="auto"/>
            <w:right w:val="nil"/>
          </w:tcBorders>
        </w:tcPr>
        <w:p w14:paraId="65B78F73" w14:textId="77777777" w:rsidR="00F073E5" w:rsidRPr="007C6F85" w:rsidRDefault="00F073E5" w:rsidP="00C84543">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46D181E8" wp14:editId="6E718083">
                <wp:extent cx="716280" cy="586740"/>
                <wp:effectExtent l="0" t="0" r="7620" b="381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4E070B8A" w14:textId="77777777" w:rsidR="00F073E5" w:rsidRPr="007C6F85" w:rsidRDefault="00F073E5" w:rsidP="00C84543">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7F528206" w14:textId="58C0011A" w:rsidR="00F073E5" w:rsidRDefault="00F073E5" w:rsidP="00C84543">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1B5318AB" w14:textId="77777777" w:rsidR="00F073E5" w:rsidRPr="007C6F85" w:rsidRDefault="00F073E5" w:rsidP="00C84543">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5DE60E98" w14:textId="77777777" w:rsidR="00F073E5" w:rsidRPr="006172E3" w:rsidRDefault="00F073E5" w:rsidP="00C84543">
          <w:pPr>
            <w:spacing w:before="240"/>
          </w:pPr>
          <w:r w:rsidRPr="006172E3">
            <w:t>Distr.: General</w:t>
          </w:r>
        </w:p>
        <w:p w14:paraId="5DCAB914" w14:textId="5BD0FC23" w:rsidR="00F073E5" w:rsidRDefault="00E4347C" w:rsidP="00C84543">
          <w:r>
            <w:t>14</w:t>
          </w:r>
          <w:r w:rsidR="00F073E5">
            <w:t xml:space="preserve"> March 2022</w:t>
          </w:r>
        </w:p>
        <w:p w14:paraId="452B28A1" w14:textId="77777777" w:rsidR="00F073E5" w:rsidRDefault="00F073E5" w:rsidP="00C84543"/>
        <w:p w14:paraId="23C285B3" w14:textId="77777777" w:rsidR="00F073E5" w:rsidRDefault="00F073E5" w:rsidP="00C84543">
          <w:r>
            <w:t>Original: English</w:t>
          </w:r>
        </w:p>
      </w:tc>
    </w:tr>
  </w:tbl>
  <w:p w14:paraId="2440D565" w14:textId="77777777" w:rsidR="00F073E5" w:rsidRPr="009E6278" w:rsidRDefault="00F073E5" w:rsidP="00D44FD7">
    <w:pPr>
      <w:pStyle w:val="Header"/>
      <w:rPr>
        <w:sz w:val="6"/>
        <w:szCs w:val="6"/>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90" w:type="dxa"/>
      <w:tblBorders>
        <w:bottom w:val="single" w:sz="2" w:space="0" w:color="000000"/>
      </w:tblBorders>
      <w:tblLayout w:type="fixed"/>
      <w:tblCellMar>
        <w:left w:w="0" w:type="dxa"/>
        <w:right w:w="0" w:type="dxa"/>
      </w:tblCellMar>
      <w:tblLook w:val="0000" w:firstRow="0" w:lastRow="0" w:firstColumn="0" w:lastColumn="0" w:noHBand="0" w:noVBand="0"/>
    </w:tblPr>
    <w:tblGrid>
      <w:gridCol w:w="4748"/>
      <w:gridCol w:w="4522"/>
    </w:tblGrid>
    <w:tr w:rsidR="00F073E5" w:rsidRPr="00657A41" w14:paraId="6ACE64E7" w14:textId="77777777" w:rsidTr="00234E84">
      <w:trPr>
        <w:trHeight w:hRule="exact" w:val="864"/>
      </w:trPr>
      <w:tc>
        <w:tcPr>
          <w:tcW w:w="4748" w:type="dxa"/>
          <w:shd w:val="clear" w:color="auto" w:fill="auto"/>
          <w:vAlign w:val="bottom"/>
        </w:tcPr>
        <w:p w14:paraId="221D0A98" w14:textId="29ABCC34" w:rsidR="00F073E5" w:rsidRPr="00657A41" w:rsidRDefault="00F073E5" w:rsidP="00C84543">
          <w:pPr>
            <w:tabs>
              <w:tab w:val="center" w:pos="4320"/>
              <w:tab w:val="right" w:pos="8640"/>
            </w:tabs>
            <w:spacing w:after="80"/>
            <w:rPr>
              <w:b/>
              <w:noProof/>
              <w:sz w:val="17"/>
            </w:rPr>
          </w:pPr>
          <w:bookmarkStart w:id="3" w:name="_Hlk72161445"/>
          <w:r w:rsidRPr="00657A41">
            <w:rPr>
              <w:b/>
              <w:noProof/>
              <w:sz w:val="17"/>
            </w:rPr>
            <w:t>DP/DCP/</w:t>
          </w:r>
          <w:r>
            <w:rPr>
              <w:b/>
              <w:noProof/>
              <w:sz w:val="17"/>
            </w:rPr>
            <w:t>KEN</w:t>
          </w:r>
          <w:r w:rsidRPr="00657A41">
            <w:rPr>
              <w:b/>
              <w:noProof/>
              <w:sz w:val="17"/>
            </w:rPr>
            <w:t>/</w:t>
          </w:r>
          <w:r>
            <w:rPr>
              <w:b/>
              <w:noProof/>
              <w:sz w:val="17"/>
            </w:rPr>
            <w:t>4</w:t>
          </w:r>
        </w:p>
      </w:tc>
      <w:tc>
        <w:tcPr>
          <w:tcW w:w="4522" w:type="dxa"/>
          <w:shd w:val="clear" w:color="auto" w:fill="auto"/>
          <w:vAlign w:val="bottom"/>
        </w:tcPr>
        <w:p w14:paraId="4F2C1FD7" w14:textId="77777777" w:rsidR="00F073E5" w:rsidRPr="00657A41" w:rsidRDefault="00F073E5" w:rsidP="00C84543">
          <w:pPr>
            <w:tabs>
              <w:tab w:val="center" w:pos="4320"/>
              <w:tab w:val="right" w:pos="8640"/>
            </w:tabs>
            <w:jc w:val="right"/>
            <w:rPr>
              <w:b/>
              <w:noProof/>
              <w:sz w:val="17"/>
            </w:rPr>
          </w:pPr>
        </w:p>
      </w:tc>
    </w:tr>
    <w:bookmarkEnd w:id="3"/>
  </w:tbl>
  <w:p w14:paraId="7CA368B9" w14:textId="77777777" w:rsidR="00F073E5" w:rsidRPr="00C84543" w:rsidRDefault="00F073E5" w:rsidP="00C84543">
    <w:pPr>
      <w:pStyle w:val="Header"/>
      <w:rPr>
        <w:sz w:val="6"/>
        <w:szCs w:val="6"/>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A" w14:textId="0A5B4F74" w:rsidR="00F073E5" w:rsidRDefault="00F073E5">
    <w:pPr>
      <w:pStyle w:val="Header"/>
    </w:pPr>
    <w:r>
      <w:rPr>
        <w:noProof/>
        <w:lang w:val="en-US" w:eastAsia="en-US"/>
      </w:rPr>
      <mc:AlternateContent>
        <mc:Choice Requires="wps">
          <w:drawing>
            <wp:anchor distT="0" distB="0" distL="114300" distR="114300" simplePos="0" relativeHeight="251658240" behindDoc="0" locked="0" layoutInCell="0" allowOverlap="1" wp14:anchorId="2440D56D" wp14:editId="21DA5256">
              <wp:simplePos x="0" y="0"/>
              <wp:positionH relativeFrom="margin">
                <wp:align>left</wp:align>
              </wp:positionH>
              <wp:positionV relativeFrom="paragraph">
                <wp:posOffset>-302895</wp:posOffset>
              </wp:positionV>
              <wp:extent cx="8293100" cy="6400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F073E5" w:rsidRPr="005841A3" w14:paraId="2440D571" w14:textId="77777777">
                            <w:trPr>
                              <w:trHeight w:hRule="exact" w:val="864"/>
                            </w:trPr>
                            <w:tc>
                              <w:tcPr>
                                <w:tcW w:w="4838" w:type="dxa"/>
                                <w:tcBorders>
                                  <w:bottom w:val="single" w:sz="4" w:space="0" w:color="auto"/>
                                </w:tcBorders>
                                <w:vAlign w:val="bottom"/>
                              </w:tcPr>
                              <w:p w14:paraId="2440D56F" w14:textId="74F737F5" w:rsidR="00F073E5" w:rsidRPr="007C6F85" w:rsidRDefault="00F073E5"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KEN/4</w:t>
                                </w:r>
                              </w:p>
                            </w:tc>
                            <w:tc>
                              <w:tcPr>
                                <w:tcW w:w="8276" w:type="dxa"/>
                                <w:tcBorders>
                                  <w:bottom w:val="single" w:sz="4" w:space="0" w:color="auto"/>
                                </w:tcBorders>
                                <w:vAlign w:val="bottom"/>
                              </w:tcPr>
                              <w:p w14:paraId="2440D570" w14:textId="77777777" w:rsidR="00F073E5" w:rsidRPr="007C6F85" w:rsidRDefault="00F073E5">
                                <w:pPr>
                                  <w:pStyle w:val="Header"/>
                                  <w:rPr>
                                    <w:rFonts w:ascii="Times New Roman" w:hAnsi="Times New Roman"/>
                                    <w:sz w:val="17"/>
                                    <w:szCs w:val="17"/>
                                    <w:lang w:val="en-US" w:eastAsia="en-US"/>
                                  </w:rPr>
                                </w:pPr>
                              </w:p>
                            </w:tc>
                          </w:tr>
                        </w:tbl>
                        <w:p w14:paraId="2440D572" w14:textId="77777777" w:rsidR="00F073E5" w:rsidRDefault="00F073E5"/>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0;margin-top:-23.85pt;width:653pt;height:50.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F073E5" w:rsidRPr="005841A3" w14:paraId="2440D571" w14:textId="77777777">
                      <w:trPr>
                        <w:trHeight w:hRule="exact" w:val="864"/>
                      </w:trPr>
                      <w:tc>
                        <w:tcPr>
                          <w:tcW w:w="4838" w:type="dxa"/>
                          <w:tcBorders>
                            <w:bottom w:val="single" w:sz="4" w:space="0" w:color="auto"/>
                          </w:tcBorders>
                          <w:vAlign w:val="bottom"/>
                        </w:tcPr>
                        <w:p w14:paraId="2440D56F" w14:textId="74F737F5" w:rsidR="00F073E5" w:rsidRPr="007C6F85" w:rsidRDefault="00F073E5"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KEN/4</w:t>
                          </w:r>
                        </w:p>
                      </w:tc>
                      <w:tc>
                        <w:tcPr>
                          <w:tcW w:w="8276" w:type="dxa"/>
                          <w:tcBorders>
                            <w:bottom w:val="single" w:sz="4" w:space="0" w:color="auto"/>
                          </w:tcBorders>
                          <w:vAlign w:val="bottom"/>
                        </w:tcPr>
                        <w:p w14:paraId="2440D570" w14:textId="77777777" w:rsidR="00F073E5" w:rsidRPr="007C6F85" w:rsidRDefault="00F073E5">
                          <w:pPr>
                            <w:pStyle w:val="Header"/>
                            <w:rPr>
                              <w:rFonts w:ascii="Times New Roman" w:hAnsi="Times New Roman"/>
                              <w:sz w:val="17"/>
                              <w:szCs w:val="17"/>
                              <w:lang w:val="en-US" w:eastAsia="en-US"/>
                            </w:rPr>
                          </w:pPr>
                        </w:p>
                      </w:tc>
                    </w:tr>
                  </w:tbl>
                  <w:p w14:paraId="2440D572" w14:textId="77777777" w:rsidR="00F073E5" w:rsidRDefault="00F073E5"/>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928"/>
      <w:gridCol w:w="8122"/>
    </w:tblGrid>
    <w:tr w:rsidR="00F073E5" w:rsidRPr="00617935" w14:paraId="4E138E5F" w14:textId="77777777" w:rsidTr="00C25B15">
      <w:trPr>
        <w:trHeight w:hRule="exact" w:val="864"/>
      </w:trPr>
      <w:tc>
        <w:tcPr>
          <w:tcW w:w="4928" w:type="dxa"/>
          <w:shd w:val="clear" w:color="auto" w:fill="auto"/>
          <w:vAlign w:val="bottom"/>
        </w:tcPr>
        <w:p w14:paraId="6A80335F" w14:textId="77777777" w:rsidR="00F073E5" w:rsidRPr="00617935" w:rsidRDefault="00F073E5" w:rsidP="00462F10">
          <w:pPr>
            <w:tabs>
              <w:tab w:val="center" w:pos="4320"/>
              <w:tab w:val="right" w:pos="8640"/>
            </w:tabs>
            <w:spacing w:after="80"/>
            <w:rPr>
              <w:b/>
              <w:noProof/>
              <w:sz w:val="17"/>
            </w:rPr>
          </w:pPr>
        </w:p>
      </w:tc>
      <w:tc>
        <w:tcPr>
          <w:tcW w:w="8122" w:type="dxa"/>
          <w:shd w:val="clear" w:color="auto" w:fill="auto"/>
          <w:vAlign w:val="bottom"/>
        </w:tcPr>
        <w:p w14:paraId="533FB51A" w14:textId="77777777" w:rsidR="00F073E5" w:rsidRPr="00617935" w:rsidRDefault="00F073E5" w:rsidP="00462F10">
          <w:pPr>
            <w:tabs>
              <w:tab w:val="center" w:pos="4320"/>
              <w:tab w:val="right" w:pos="8640"/>
            </w:tabs>
            <w:jc w:val="right"/>
            <w:rPr>
              <w:b/>
              <w:noProof/>
              <w:sz w:val="17"/>
            </w:rPr>
          </w:pPr>
          <w:r w:rsidRPr="00617935">
            <w:rPr>
              <w:b/>
              <w:noProof/>
              <w:sz w:val="17"/>
            </w:rPr>
            <w:t>DP/DCP/</w:t>
          </w:r>
          <w:r>
            <w:rPr>
              <w:b/>
              <w:noProof/>
              <w:sz w:val="17"/>
            </w:rPr>
            <w:t>KEN</w:t>
          </w:r>
          <w:r w:rsidRPr="00617935">
            <w:rPr>
              <w:b/>
              <w:noProof/>
              <w:sz w:val="17"/>
            </w:rPr>
            <w:t>/</w:t>
          </w:r>
          <w:r>
            <w:rPr>
              <w:b/>
              <w:noProof/>
              <w:sz w:val="17"/>
            </w:rPr>
            <w:t>4</w:t>
          </w:r>
        </w:p>
      </w:tc>
    </w:tr>
  </w:tbl>
  <w:p w14:paraId="5F49A9E0" w14:textId="77777777" w:rsidR="00F073E5" w:rsidRPr="00462F10" w:rsidRDefault="00F073E5">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D19"/>
    <w:multiLevelType w:val="hybridMultilevel"/>
    <w:tmpl w:val="2CD2C268"/>
    <w:lvl w:ilvl="0" w:tplc="04090001">
      <w:start w:val="1"/>
      <w:numFmt w:val="bullet"/>
      <w:lvlText w:val=""/>
      <w:lvlJc w:val="left"/>
      <w:pPr>
        <w:ind w:left="4043" w:hanging="360"/>
      </w:pPr>
      <w:rPr>
        <w:rFonts w:ascii="Symbol" w:hAnsi="Symbol" w:hint="default"/>
      </w:rPr>
    </w:lvl>
    <w:lvl w:ilvl="1" w:tplc="04090003" w:tentative="1">
      <w:start w:val="1"/>
      <w:numFmt w:val="bullet"/>
      <w:lvlText w:val="o"/>
      <w:lvlJc w:val="left"/>
      <w:pPr>
        <w:ind w:left="4763" w:hanging="360"/>
      </w:pPr>
      <w:rPr>
        <w:rFonts w:ascii="Courier New" w:hAnsi="Courier New" w:cs="Courier New" w:hint="default"/>
      </w:rPr>
    </w:lvl>
    <w:lvl w:ilvl="2" w:tplc="04090005" w:tentative="1">
      <w:start w:val="1"/>
      <w:numFmt w:val="bullet"/>
      <w:lvlText w:val=""/>
      <w:lvlJc w:val="left"/>
      <w:pPr>
        <w:ind w:left="5483" w:hanging="360"/>
      </w:pPr>
      <w:rPr>
        <w:rFonts w:ascii="Wingdings" w:hAnsi="Wingdings" w:hint="default"/>
      </w:rPr>
    </w:lvl>
    <w:lvl w:ilvl="3" w:tplc="04090001" w:tentative="1">
      <w:start w:val="1"/>
      <w:numFmt w:val="bullet"/>
      <w:lvlText w:val=""/>
      <w:lvlJc w:val="left"/>
      <w:pPr>
        <w:ind w:left="6203" w:hanging="360"/>
      </w:pPr>
      <w:rPr>
        <w:rFonts w:ascii="Symbol" w:hAnsi="Symbol" w:hint="default"/>
      </w:rPr>
    </w:lvl>
    <w:lvl w:ilvl="4" w:tplc="04090003" w:tentative="1">
      <w:start w:val="1"/>
      <w:numFmt w:val="bullet"/>
      <w:lvlText w:val="o"/>
      <w:lvlJc w:val="left"/>
      <w:pPr>
        <w:ind w:left="6923" w:hanging="360"/>
      </w:pPr>
      <w:rPr>
        <w:rFonts w:ascii="Courier New" w:hAnsi="Courier New" w:cs="Courier New" w:hint="default"/>
      </w:rPr>
    </w:lvl>
    <w:lvl w:ilvl="5" w:tplc="04090005" w:tentative="1">
      <w:start w:val="1"/>
      <w:numFmt w:val="bullet"/>
      <w:lvlText w:val=""/>
      <w:lvlJc w:val="left"/>
      <w:pPr>
        <w:ind w:left="7643" w:hanging="360"/>
      </w:pPr>
      <w:rPr>
        <w:rFonts w:ascii="Wingdings" w:hAnsi="Wingdings" w:hint="default"/>
      </w:rPr>
    </w:lvl>
    <w:lvl w:ilvl="6" w:tplc="04090001" w:tentative="1">
      <w:start w:val="1"/>
      <w:numFmt w:val="bullet"/>
      <w:lvlText w:val=""/>
      <w:lvlJc w:val="left"/>
      <w:pPr>
        <w:ind w:left="8363" w:hanging="360"/>
      </w:pPr>
      <w:rPr>
        <w:rFonts w:ascii="Symbol" w:hAnsi="Symbol" w:hint="default"/>
      </w:rPr>
    </w:lvl>
    <w:lvl w:ilvl="7" w:tplc="04090003" w:tentative="1">
      <w:start w:val="1"/>
      <w:numFmt w:val="bullet"/>
      <w:lvlText w:val="o"/>
      <w:lvlJc w:val="left"/>
      <w:pPr>
        <w:ind w:left="9083" w:hanging="360"/>
      </w:pPr>
      <w:rPr>
        <w:rFonts w:ascii="Courier New" w:hAnsi="Courier New" w:cs="Courier New" w:hint="default"/>
      </w:rPr>
    </w:lvl>
    <w:lvl w:ilvl="8" w:tplc="04090005" w:tentative="1">
      <w:start w:val="1"/>
      <w:numFmt w:val="bullet"/>
      <w:lvlText w:val=""/>
      <w:lvlJc w:val="left"/>
      <w:pPr>
        <w:ind w:left="9803" w:hanging="360"/>
      </w:pPr>
      <w:rPr>
        <w:rFonts w:ascii="Wingdings" w:hAnsi="Wingdings" w:hint="default"/>
      </w:rPr>
    </w:lvl>
  </w:abstractNum>
  <w:abstractNum w:abstractNumId="1" w15:restartNumberingAfterBreak="0">
    <w:nsid w:val="16666E1C"/>
    <w:multiLevelType w:val="hybridMultilevel"/>
    <w:tmpl w:val="F41C789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FE31F8"/>
    <w:multiLevelType w:val="hybridMultilevel"/>
    <w:tmpl w:val="00D64EB6"/>
    <w:lvl w:ilvl="0" w:tplc="EF10E6E6">
      <w:start w:val="1"/>
      <w:numFmt w:val="decimal"/>
      <w:lvlText w:val="%1."/>
      <w:lvlJc w:val="left"/>
      <w:pPr>
        <w:ind w:left="1987" w:hanging="360"/>
      </w:pPr>
      <w:rPr>
        <w:rFonts w:hint="default"/>
        <w:b w:val="0"/>
        <w:bCs/>
        <w:i w:val="0"/>
        <w:iCs/>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 w15:restartNumberingAfterBreak="0">
    <w:nsid w:val="1A2247C4"/>
    <w:multiLevelType w:val="hybridMultilevel"/>
    <w:tmpl w:val="EA66E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C72CE"/>
    <w:multiLevelType w:val="multilevel"/>
    <w:tmpl w:val="4DF0508E"/>
    <w:lvl w:ilvl="0">
      <w:start w:val="4"/>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2552D25"/>
    <w:multiLevelType w:val="hybridMultilevel"/>
    <w:tmpl w:val="47C26BE2"/>
    <w:lvl w:ilvl="0" w:tplc="77961BD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8E022E7"/>
    <w:multiLevelType w:val="hybridMultilevel"/>
    <w:tmpl w:val="B1CEDA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1E514E"/>
    <w:multiLevelType w:val="hybridMultilevel"/>
    <w:tmpl w:val="C824961E"/>
    <w:lvl w:ilvl="0" w:tplc="A1A6F918">
      <w:start w:val="36"/>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8" w15:restartNumberingAfterBreak="0">
    <w:nsid w:val="40443AF9"/>
    <w:multiLevelType w:val="hybridMultilevel"/>
    <w:tmpl w:val="48207D18"/>
    <w:lvl w:ilvl="0" w:tplc="0409000F">
      <w:start w:val="23"/>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9" w15:restartNumberingAfterBreak="0">
    <w:nsid w:val="414402BA"/>
    <w:multiLevelType w:val="hybridMultilevel"/>
    <w:tmpl w:val="2D86E7C8"/>
    <w:lvl w:ilvl="0" w:tplc="B4827A3E">
      <w:start w:val="24"/>
      <w:numFmt w:val="decimal"/>
      <w:lvlText w:val="%1."/>
      <w:lvlJc w:val="left"/>
      <w:pPr>
        <w:ind w:left="1987" w:hanging="360"/>
      </w:pPr>
      <w:rPr>
        <w:rFonts w:eastAsia="Times New Roman" w:hint="default"/>
        <w:color w:val="auto"/>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0" w15:restartNumberingAfterBreak="0">
    <w:nsid w:val="42271D9B"/>
    <w:multiLevelType w:val="hybridMultilevel"/>
    <w:tmpl w:val="D056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375E0F"/>
    <w:multiLevelType w:val="multilevel"/>
    <w:tmpl w:val="8620EF4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C242F"/>
    <w:multiLevelType w:val="hybridMultilevel"/>
    <w:tmpl w:val="96A0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81CBB"/>
    <w:multiLevelType w:val="hybridMultilevel"/>
    <w:tmpl w:val="00D64EB6"/>
    <w:lvl w:ilvl="0" w:tplc="EF10E6E6">
      <w:start w:val="1"/>
      <w:numFmt w:val="decimal"/>
      <w:lvlText w:val="%1."/>
      <w:lvlJc w:val="left"/>
      <w:pPr>
        <w:ind w:left="1987" w:hanging="360"/>
      </w:pPr>
      <w:rPr>
        <w:rFonts w:hint="default"/>
        <w:b w:val="0"/>
        <w:bCs/>
        <w:i w:val="0"/>
        <w:iCs/>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3"/>
  </w:num>
  <w:num w:numId="4">
    <w:abstractNumId w:val="6"/>
  </w:num>
  <w:num w:numId="5">
    <w:abstractNumId w:val="0"/>
  </w:num>
  <w:num w:numId="6">
    <w:abstractNumId w:val="1"/>
  </w:num>
  <w:num w:numId="7">
    <w:abstractNumId w:val="10"/>
  </w:num>
  <w:num w:numId="8">
    <w:abstractNumId w:val="2"/>
  </w:num>
  <w:num w:numId="9">
    <w:abstractNumId w:val="7"/>
  </w:num>
  <w:num w:numId="10">
    <w:abstractNumId w:val="15"/>
  </w:num>
  <w:num w:numId="11">
    <w:abstractNumId w:val="5"/>
  </w:num>
  <w:num w:numId="12">
    <w:abstractNumId w:val="8"/>
  </w:num>
  <w:num w:numId="13">
    <w:abstractNumId w:val="9"/>
  </w:num>
  <w:num w:numId="14">
    <w:abstractNumId w:val="3"/>
  </w:num>
  <w:num w:numId="15">
    <w:abstractNumId w:val="14"/>
  </w:num>
  <w:num w:numId="16">
    <w:abstractNumId w:val="11"/>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18433"/>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0F4D"/>
    <w:rsid w:val="0000102F"/>
    <w:rsid w:val="000010B5"/>
    <w:rsid w:val="0000205C"/>
    <w:rsid w:val="0000222D"/>
    <w:rsid w:val="000025B1"/>
    <w:rsid w:val="000027D2"/>
    <w:rsid w:val="0000312F"/>
    <w:rsid w:val="00003E8B"/>
    <w:rsid w:val="00005E26"/>
    <w:rsid w:val="00005E6A"/>
    <w:rsid w:val="0000682C"/>
    <w:rsid w:val="00006AA2"/>
    <w:rsid w:val="00006B1C"/>
    <w:rsid w:val="00006E59"/>
    <w:rsid w:val="000072C7"/>
    <w:rsid w:val="000121C7"/>
    <w:rsid w:val="00012BD9"/>
    <w:rsid w:val="00012FE9"/>
    <w:rsid w:val="0001309E"/>
    <w:rsid w:val="000135F9"/>
    <w:rsid w:val="000153EB"/>
    <w:rsid w:val="00015FDE"/>
    <w:rsid w:val="00016217"/>
    <w:rsid w:val="00016861"/>
    <w:rsid w:val="00017D05"/>
    <w:rsid w:val="000200CF"/>
    <w:rsid w:val="000205F1"/>
    <w:rsid w:val="00020D90"/>
    <w:rsid w:val="00022047"/>
    <w:rsid w:val="00023AEE"/>
    <w:rsid w:val="00027234"/>
    <w:rsid w:val="000274B9"/>
    <w:rsid w:val="0002758B"/>
    <w:rsid w:val="000276A0"/>
    <w:rsid w:val="00030A9D"/>
    <w:rsid w:val="00031607"/>
    <w:rsid w:val="0003257C"/>
    <w:rsid w:val="00032D35"/>
    <w:rsid w:val="000330DB"/>
    <w:rsid w:val="0003429F"/>
    <w:rsid w:val="0003562A"/>
    <w:rsid w:val="00036095"/>
    <w:rsid w:val="000367E0"/>
    <w:rsid w:val="000368DA"/>
    <w:rsid w:val="00036AF4"/>
    <w:rsid w:val="00037289"/>
    <w:rsid w:val="00041C10"/>
    <w:rsid w:val="00043575"/>
    <w:rsid w:val="00043804"/>
    <w:rsid w:val="000441A1"/>
    <w:rsid w:val="00044B72"/>
    <w:rsid w:val="00050869"/>
    <w:rsid w:val="00051E3C"/>
    <w:rsid w:val="0005511E"/>
    <w:rsid w:val="00055596"/>
    <w:rsid w:val="00055904"/>
    <w:rsid w:val="00056014"/>
    <w:rsid w:val="00056142"/>
    <w:rsid w:val="000561C1"/>
    <w:rsid w:val="00056204"/>
    <w:rsid w:val="00056363"/>
    <w:rsid w:val="000570D1"/>
    <w:rsid w:val="000571A9"/>
    <w:rsid w:val="000601AF"/>
    <w:rsid w:val="00060290"/>
    <w:rsid w:val="000611AB"/>
    <w:rsid w:val="00061F2E"/>
    <w:rsid w:val="00062312"/>
    <w:rsid w:val="00063E24"/>
    <w:rsid w:val="0006501E"/>
    <w:rsid w:val="00065537"/>
    <w:rsid w:val="00067646"/>
    <w:rsid w:val="00070B12"/>
    <w:rsid w:val="00071E47"/>
    <w:rsid w:val="00072229"/>
    <w:rsid w:val="00072434"/>
    <w:rsid w:val="000728F8"/>
    <w:rsid w:val="00072EE8"/>
    <w:rsid w:val="00073CF1"/>
    <w:rsid w:val="00074432"/>
    <w:rsid w:val="00074436"/>
    <w:rsid w:val="00074457"/>
    <w:rsid w:val="0007466E"/>
    <w:rsid w:val="00074BD0"/>
    <w:rsid w:val="00074D9A"/>
    <w:rsid w:val="00074DB9"/>
    <w:rsid w:val="000752CF"/>
    <w:rsid w:val="000752E9"/>
    <w:rsid w:val="000753C4"/>
    <w:rsid w:val="00075DF0"/>
    <w:rsid w:val="000762CA"/>
    <w:rsid w:val="000768C2"/>
    <w:rsid w:val="00077BBC"/>
    <w:rsid w:val="00077D91"/>
    <w:rsid w:val="000803A4"/>
    <w:rsid w:val="00080474"/>
    <w:rsid w:val="000806E3"/>
    <w:rsid w:val="00080776"/>
    <w:rsid w:val="0008339E"/>
    <w:rsid w:val="000839CD"/>
    <w:rsid w:val="00083DD8"/>
    <w:rsid w:val="000860FF"/>
    <w:rsid w:val="0009083B"/>
    <w:rsid w:val="0009093F"/>
    <w:rsid w:val="00090AD1"/>
    <w:rsid w:val="00090F4F"/>
    <w:rsid w:val="00091476"/>
    <w:rsid w:val="00091484"/>
    <w:rsid w:val="00091984"/>
    <w:rsid w:val="00092879"/>
    <w:rsid w:val="00093964"/>
    <w:rsid w:val="00094E87"/>
    <w:rsid w:val="00095CD9"/>
    <w:rsid w:val="00097FB2"/>
    <w:rsid w:val="000A151D"/>
    <w:rsid w:val="000A1E3E"/>
    <w:rsid w:val="000A24C5"/>
    <w:rsid w:val="000A271E"/>
    <w:rsid w:val="000A30A1"/>
    <w:rsid w:val="000A3708"/>
    <w:rsid w:val="000A3A38"/>
    <w:rsid w:val="000A3F7F"/>
    <w:rsid w:val="000A47FD"/>
    <w:rsid w:val="000A6E6D"/>
    <w:rsid w:val="000A7192"/>
    <w:rsid w:val="000B014E"/>
    <w:rsid w:val="000B0228"/>
    <w:rsid w:val="000B045C"/>
    <w:rsid w:val="000B2E16"/>
    <w:rsid w:val="000B3850"/>
    <w:rsid w:val="000B3A13"/>
    <w:rsid w:val="000B46FC"/>
    <w:rsid w:val="000B4BB2"/>
    <w:rsid w:val="000B6379"/>
    <w:rsid w:val="000B6B17"/>
    <w:rsid w:val="000B6B45"/>
    <w:rsid w:val="000C1962"/>
    <w:rsid w:val="000C2253"/>
    <w:rsid w:val="000C33D6"/>
    <w:rsid w:val="000C4E54"/>
    <w:rsid w:val="000C5B06"/>
    <w:rsid w:val="000C7115"/>
    <w:rsid w:val="000C76B0"/>
    <w:rsid w:val="000C7BBE"/>
    <w:rsid w:val="000D0B08"/>
    <w:rsid w:val="000D15F8"/>
    <w:rsid w:val="000D2475"/>
    <w:rsid w:val="000D2496"/>
    <w:rsid w:val="000D442C"/>
    <w:rsid w:val="000D4DC4"/>
    <w:rsid w:val="000D66B7"/>
    <w:rsid w:val="000D7025"/>
    <w:rsid w:val="000E0557"/>
    <w:rsid w:val="000E1959"/>
    <w:rsid w:val="000E1EDC"/>
    <w:rsid w:val="000E264B"/>
    <w:rsid w:val="000E47C3"/>
    <w:rsid w:val="000E48C0"/>
    <w:rsid w:val="000E4D75"/>
    <w:rsid w:val="000E55D6"/>
    <w:rsid w:val="000E5C8C"/>
    <w:rsid w:val="000E612D"/>
    <w:rsid w:val="000E6AB1"/>
    <w:rsid w:val="000E745A"/>
    <w:rsid w:val="000E7D52"/>
    <w:rsid w:val="000E7E9E"/>
    <w:rsid w:val="000F0044"/>
    <w:rsid w:val="000F0EFD"/>
    <w:rsid w:val="000F1173"/>
    <w:rsid w:val="000F3DF1"/>
    <w:rsid w:val="000F487C"/>
    <w:rsid w:val="000F5541"/>
    <w:rsid w:val="000F5637"/>
    <w:rsid w:val="000F6377"/>
    <w:rsid w:val="000F6863"/>
    <w:rsid w:val="000F6BDA"/>
    <w:rsid w:val="000F703B"/>
    <w:rsid w:val="000F72ED"/>
    <w:rsid w:val="000F735E"/>
    <w:rsid w:val="000F7A4C"/>
    <w:rsid w:val="00100EC4"/>
    <w:rsid w:val="001010D6"/>
    <w:rsid w:val="00101D5D"/>
    <w:rsid w:val="00103698"/>
    <w:rsid w:val="00104C9B"/>
    <w:rsid w:val="00104D62"/>
    <w:rsid w:val="00105571"/>
    <w:rsid w:val="00106EF8"/>
    <w:rsid w:val="001079CD"/>
    <w:rsid w:val="001101A2"/>
    <w:rsid w:val="00111489"/>
    <w:rsid w:val="00111792"/>
    <w:rsid w:val="00111797"/>
    <w:rsid w:val="00111B19"/>
    <w:rsid w:val="0011258B"/>
    <w:rsid w:val="001138A6"/>
    <w:rsid w:val="00114A64"/>
    <w:rsid w:val="00114D96"/>
    <w:rsid w:val="0011593C"/>
    <w:rsid w:val="00115F59"/>
    <w:rsid w:val="00116C1A"/>
    <w:rsid w:val="00117ABA"/>
    <w:rsid w:val="00121554"/>
    <w:rsid w:val="00121F3E"/>
    <w:rsid w:val="0012229E"/>
    <w:rsid w:val="00123651"/>
    <w:rsid w:val="00123849"/>
    <w:rsid w:val="00123A5E"/>
    <w:rsid w:val="00124C91"/>
    <w:rsid w:val="00125010"/>
    <w:rsid w:val="001251C8"/>
    <w:rsid w:val="00125266"/>
    <w:rsid w:val="00125B82"/>
    <w:rsid w:val="0012718E"/>
    <w:rsid w:val="00127CA4"/>
    <w:rsid w:val="001305CC"/>
    <w:rsid w:val="001305E6"/>
    <w:rsid w:val="00131054"/>
    <w:rsid w:val="001315CD"/>
    <w:rsid w:val="0013239A"/>
    <w:rsid w:val="00132C5E"/>
    <w:rsid w:val="00132D93"/>
    <w:rsid w:val="001334D3"/>
    <w:rsid w:val="00136410"/>
    <w:rsid w:val="00136F99"/>
    <w:rsid w:val="0013761A"/>
    <w:rsid w:val="00140970"/>
    <w:rsid w:val="00141462"/>
    <w:rsid w:val="0014222F"/>
    <w:rsid w:val="00142ADC"/>
    <w:rsid w:val="00143015"/>
    <w:rsid w:val="001439AD"/>
    <w:rsid w:val="00143D31"/>
    <w:rsid w:val="0014423A"/>
    <w:rsid w:val="00145E29"/>
    <w:rsid w:val="00146123"/>
    <w:rsid w:val="00147042"/>
    <w:rsid w:val="001471A7"/>
    <w:rsid w:val="001506F6"/>
    <w:rsid w:val="001508E6"/>
    <w:rsid w:val="00151445"/>
    <w:rsid w:val="0015250E"/>
    <w:rsid w:val="00154032"/>
    <w:rsid w:val="00154034"/>
    <w:rsid w:val="001544A3"/>
    <w:rsid w:val="001547D3"/>
    <w:rsid w:val="0015529D"/>
    <w:rsid w:val="001559BD"/>
    <w:rsid w:val="00155F41"/>
    <w:rsid w:val="00157154"/>
    <w:rsid w:val="00157599"/>
    <w:rsid w:val="00157F09"/>
    <w:rsid w:val="00157F79"/>
    <w:rsid w:val="001610C9"/>
    <w:rsid w:val="00161FC1"/>
    <w:rsid w:val="00162B87"/>
    <w:rsid w:val="0016360E"/>
    <w:rsid w:val="0016373D"/>
    <w:rsid w:val="00163E84"/>
    <w:rsid w:val="00165A12"/>
    <w:rsid w:val="00165D92"/>
    <w:rsid w:val="001661AD"/>
    <w:rsid w:val="001668AA"/>
    <w:rsid w:val="00166C98"/>
    <w:rsid w:val="00166E40"/>
    <w:rsid w:val="001675B1"/>
    <w:rsid w:val="001675E8"/>
    <w:rsid w:val="0016789D"/>
    <w:rsid w:val="00167A09"/>
    <w:rsid w:val="00167C87"/>
    <w:rsid w:val="00171322"/>
    <w:rsid w:val="00171782"/>
    <w:rsid w:val="00171F01"/>
    <w:rsid w:val="00172EE3"/>
    <w:rsid w:val="00173CAD"/>
    <w:rsid w:val="00174F19"/>
    <w:rsid w:val="0017598D"/>
    <w:rsid w:val="0017665D"/>
    <w:rsid w:val="00177E7E"/>
    <w:rsid w:val="00180BB5"/>
    <w:rsid w:val="0018233D"/>
    <w:rsid w:val="001834EF"/>
    <w:rsid w:val="0018356F"/>
    <w:rsid w:val="001845D7"/>
    <w:rsid w:val="00184B89"/>
    <w:rsid w:val="001858E3"/>
    <w:rsid w:val="00186222"/>
    <w:rsid w:val="00186A87"/>
    <w:rsid w:val="00186B3B"/>
    <w:rsid w:val="001874A7"/>
    <w:rsid w:val="001876C5"/>
    <w:rsid w:val="00187D68"/>
    <w:rsid w:val="00190155"/>
    <w:rsid w:val="001906B5"/>
    <w:rsid w:val="001913A7"/>
    <w:rsid w:val="001913C1"/>
    <w:rsid w:val="00191D4E"/>
    <w:rsid w:val="00192198"/>
    <w:rsid w:val="00192255"/>
    <w:rsid w:val="0019308C"/>
    <w:rsid w:val="00194163"/>
    <w:rsid w:val="00194359"/>
    <w:rsid w:val="00194FEB"/>
    <w:rsid w:val="00195C52"/>
    <w:rsid w:val="00196682"/>
    <w:rsid w:val="00196CB5"/>
    <w:rsid w:val="001970A4"/>
    <w:rsid w:val="001970EE"/>
    <w:rsid w:val="00197AD1"/>
    <w:rsid w:val="001A0358"/>
    <w:rsid w:val="001A11D9"/>
    <w:rsid w:val="001A17DA"/>
    <w:rsid w:val="001A1CBE"/>
    <w:rsid w:val="001A51A1"/>
    <w:rsid w:val="001A51BA"/>
    <w:rsid w:val="001A5D12"/>
    <w:rsid w:val="001A7443"/>
    <w:rsid w:val="001A7D7F"/>
    <w:rsid w:val="001B0020"/>
    <w:rsid w:val="001B2259"/>
    <w:rsid w:val="001B2E40"/>
    <w:rsid w:val="001B35A1"/>
    <w:rsid w:val="001B3F87"/>
    <w:rsid w:val="001B3FA7"/>
    <w:rsid w:val="001B4026"/>
    <w:rsid w:val="001B598C"/>
    <w:rsid w:val="001B5DD2"/>
    <w:rsid w:val="001B6419"/>
    <w:rsid w:val="001B671E"/>
    <w:rsid w:val="001B76A6"/>
    <w:rsid w:val="001B7E36"/>
    <w:rsid w:val="001C0655"/>
    <w:rsid w:val="001C07F8"/>
    <w:rsid w:val="001C1147"/>
    <w:rsid w:val="001C2CA9"/>
    <w:rsid w:val="001C2D7D"/>
    <w:rsid w:val="001C2F59"/>
    <w:rsid w:val="001C5456"/>
    <w:rsid w:val="001C6C08"/>
    <w:rsid w:val="001D04F8"/>
    <w:rsid w:val="001D0646"/>
    <w:rsid w:val="001D0D4C"/>
    <w:rsid w:val="001D1B55"/>
    <w:rsid w:val="001D2056"/>
    <w:rsid w:val="001D220F"/>
    <w:rsid w:val="001D4136"/>
    <w:rsid w:val="001D42D1"/>
    <w:rsid w:val="001D4811"/>
    <w:rsid w:val="001D53D6"/>
    <w:rsid w:val="001D547F"/>
    <w:rsid w:val="001D5F99"/>
    <w:rsid w:val="001D64E5"/>
    <w:rsid w:val="001D6EB8"/>
    <w:rsid w:val="001E05EC"/>
    <w:rsid w:val="001E2165"/>
    <w:rsid w:val="001E3A7D"/>
    <w:rsid w:val="001E4809"/>
    <w:rsid w:val="001E4F4F"/>
    <w:rsid w:val="001E5206"/>
    <w:rsid w:val="001E57CA"/>
    <w:rsid w:val="001E5955"/>
    <w:rsid w:val="001E5F56"/>
    <w:rsid w:val="001E714A"/>
    <w:rsid w:val="001E7240"/>
    <w:rsid w:val="001E7AA0"/>
    <w:rsid w:val="001F0B7E"/>
    <w:rsid w:val="001F1D6D"/>
    <w:rsid w:val="001F270F"/>
    <w:rsid w:val="001F27F4"/>
    <w:rsid w:val="001F3AED"/>
    <w:rsid w:val="001F3DC0"/>
    <w:rsid w:val="001F4C5A"/>
    <w:rsid w:val="001F4EA9"/>
    <w:rsid w:val="001F4F73"/>
    <w:rsid w:val="001F5ED1"/>
    <w:rsid w:val="001F6425"/>
    <w:rsid w:val="001F6772"/>
    <w:rsid w:val="001F6C9F"/>
    <w:rsid w:val="001F7421"/>
    <w:rsid w:val="001F76C0"/>
    <w:rsid w:val="00200195"/>
    <w:rsid w:val="00200B5F"/>
    <w:rsid w:val="00201EEF"/>
    <w:rsid w:val="00202476"/>
    <w:rsid w:val="00202B58"/>
    <w:rsid w:val="00204169"/>
    <w:rsid w:val="002047C8"/>
    <w:rsid w:val="00205238"/>
    <w:rsid w:val="002052B3"/>
    <w:rsid w:val="00205453"/>
    <w:rsid w:val="002058F9"/>
    <w:rsid w:val="0020650A"/>
    <w:rsid w:val="00206795"/>
    <w:rsid w:val="00207F32"/>
    <w:rsid w:val="00210DF5"/>
    <w:rsid w:val="0021179C"/>
    <w:rsid w:val="002119DB"/>
    <w:rsid w:val="00212131"/>
    <w:rsid w:val="00212B1F"/>
    <w:rsid w:val="00213340"/>
    <w:rsid w:val="00213D7C"/>
    <w:rsid w:val="00214513"/>
    <w:rsid w:val="002151BB"/>
    <w:rsid w:val="002155B7"/>
    <w:rsid w:val="002155B9"/>
    <w:rsid w:val="00216988"/>
    <w:rsid w:val="0021738A"/>
    <w:rsid w:val="0021766A"/>
    <w:rsid w:val="00217823"/>
    <w:rsid w:val="00220232"/>
    <w:rsid w:val="00220C88"/>
    <w:rsid w:val="002225D3"/>
    <w:rsid w:val="00222A35"/>
    <w:rsid w:val="0022301D"/>
    <w:rsid w:val="002236F0"/>
    <w:rsid w:val="00224B2C"/>
    <w:rsid w:val="00226BB8"/>
    <w:rsid w:val="00226F3A"/>
    <w:rsid w:val="00227069"/>
    <w:rsid w:val="002272E2"/>
    <w:rsid w:val="00227E55"/>
    <w:rsid w:val="002305E5"/>
    <w:rsid w:val="00232AA0"/>
    <w:rsid w:val="00233656"/>
    <w:rsid w:val="00233EC3"/>
    <w:rsid w:val="002344F1"/>
    <w:rsid w:val="002349CE"/>
    <w:rsid w:val="00234BDB"/>
    <w:rsid w:val="00234CDF"/>
    <w:rsid w:val="00234E84"/>
    <w:rsid w:val="00235D1E"/>
    <w:rsid w:val="002368F9"/>
    <w:rsid w:val="00236B91"/>
    <w:rsid w:val="00236BF6"/>
    <w:rsid w:val="00241467"/>
    <w:rsid w:val="002424C0"/>
    <w:rsid w:val="00242617"/>
    <w:rsid w:val="00242CAA"/>
    <w:rsid w:val="00243358"/>
    <w:rsid w:val="00243699"/>
    <w:rsid w:val="0024503B"/>
    <w:rsid w:val="0024573D"/>
    <w:rsid w:val="00245D74"/>
    <w:rsid w:val="00246599"/>
    <w:rsid w:val="00246D03"/>
    <w:rsid w:val="00246DDF"/>
    <w:rsid w:val="0025091C"/>
    <w:rsid w:val="00250C3F"/>
    <w:rsid w:val="002516A1"/>
    <w:rsid w:val="00252376"/>
    <w:rsid w:val="002573CC"/>
    <w:rsid w:val="00257C3F"/>
    <w:rsid w:val="00260FAA"/>
    <w:rsid w:val="002617CC"/>
    <w:rsid w:val="00262133"/>
    <w:rsid w:val="00262338"/>
    <w:rsid w:val="00263694"/>
    <w:rsid w:val="00263938"/>
    <w:rsid w:val="0026416E"/>
    <w:rsid w:val="0026426C"/>
    <w:rsid w:val="002646D7"/>
    <w:rsid w:val="00264817"/>
    <w:rsid w:val="00264990"/>
    <w:rsid w:val="0026512A"/>
    <w:rsid w:val="002671D7"/>
    <w:rsid w:val="00267C39"/>
    <w:rsid w:val="00270D2A"/>
    <w:rsid w:val="0027177C"/>
    <w:rsid w:val="0027259C"/>
    <w:rsid w:val="00272BDF"/>
    <w:rsid w:val="00272CBE"/>
    <w:rsid w:val="00273543"/>
    <w:rsid w:val="00274C82"/>
    <w:rsid w:val="0027654D"/>
    <w:rsid w:val="002770A0"/>
    <w:rsid w:val="00280DEB"/>
    <w:rsid w:val="002810DF"/>
    <w:rsid w:val="002812AB"/>
    <w:rsid w:val="002816D8"/>
    <w:rsid w:val="00281C4F"/>
    <w:rsid w:val="00281F8F"/>
    <w:rsid w:val="00282A8C"/>
    <w:rsid w:val="0028392C"/>
    <w:rsid w:val="00284CC6"/>
    <w:rsid w:val="002850F1"/>
    <w:rsid w:val="002854EE"/>
    <w:rsid w:val="0028565C"/>
    <w:rsid w:val="00285D86"/>
    <w:rsid w:val="002875DE"/>
    <w:rsid w:val="00287E07"/>
    <w:rsid w:val="00290CF1"/>
    <w:rsid w:val="00290EB3"/>
    <w:rsid w:val="002912BD"/>
    <w:rsid w:val="00292619"/>
    <w:rsid w:val="00292846"/>
    <w:rsid w:val="00292A90"/>
    <w:rsid w:val="0029543F"/>
    <w:rsid w:val="00296EF7"/>
    <w:rsid w:val="002971D6"/>
    <w:rsid w:val="00297CE7"/>
    <w:rsid w:val="002A0FE1"/>
    <w:rsid w:val="002A1394"/>
    <w:rsid w:val="002A14C2"/>
    <w:rsid w:val="002A2D0F"/>
    <w:rsid w:val="002A2F08"/>
    <w:rsid w:val="002A3641"/>
    <w:rsid w:val="002A495F"/>
    <w:rsid w:val="002A4CE1"/>
    <w:rsid w:val="002A706F"/>
    <w:rsid w:val="002A70EA"/>
    <w:rsid w:val="002A7266"/>
    <w:rsid w:val="002A7363"/>
    <w:rsid w:val="002A7F43"/>
    <w:rsid w:val="002B0B60"/>
    <w:rsid w:val="002B0EC1"/>
    <w:rsid w:val="002B0F1E"/>
    <w:rsid w:val="002B1804"/>
    <w:rsid w:val="002B182B"/>
    <w:rsid w:val="002B187B"/>
    <w:rsid w:val="002B2060"/>
    <w:rsid w:val="002B3543"/>
    <w:rsid w:val="002B365E"/>
    <w:rsid w:val="002B3E6C"/>
    <w:rsid w:val="002B431F"/>
    <w:rsid w:val="002B4602"/>
    <w:rsid w:val="002B489A"/>
    <w:rsid w:val="002B51B3"/>
    <w:rsid w:val="002B6341"/>
    <w:rsid w:val="002B7B40"/>
    <w:rsid w:val="002C031A"/>
    <w:rsid w:val="002C0526"/>
    <w:rsid w:val="002C1EFE"/>
    <w:rsid w:val="002C2068"/>
    <w:rsid w:val="002C27A8"/>
    <w:rsid w:val="002C32DB"/>
    <w:rsid w:val="002C333E"/>
    <w:rsid w:val="002C36C8"/>
    <w:rsid w:val="002C51A0"/>
    <w:rsid w:val="002C57E0"/>
    <w:rsid w:val="002C5E58"/>
    <w:rsid w:val="002C7971"/>
    <w:rsid w:val="002C7AEE"/>
    <w:rsid w:val="002D0584"/>
    <w:rsid w:val="002D0C37"/>
    <w:rsid w:val="002D14BE"/>
    <w:rsid w:val="002D1F2C"/>
    <w:rsid w:val="002D2E2A"/>
    <w:rsid w:val="002D3A0D"/>
    <w:rsid w:val="002D4274"/>
    <w:rsid w:val="002D4F19"/>
    <w:rsid w:val="002D5295"/>
    <w:rsid w:val="002D52BF"/>
    <w:rsid w:val="002D6630"/>
    <w:rsid w:val="002D68FA"/>
    <w:rsid w:val="002D6F7A"/>
    <w:rsid w:val="002D7ECA"/>
    <w:rsid w:val="002E0141"/>
    <w:rsid w:val="002E05E5"/>
    <w:rsid w:val="002E0B5D"/>
    <w:rsid w:val="002E0B76"/>
    <w:rsid w:val="002E109D"/>
    <w:rsid w:val="002E1495"/>
    <w:rsid w:val="002E176C"/>
    <w:rsid w:val="002E1A5E"/>
    <w:rsid w:val="002E2466"/>
    <w:rsid w:val="002E2900"/>
    <w:rsid w:val="002E2C11"/>
    <w:rsid w:val="002E3C0D"/>
    <w:rsid w:val="002E41AD"/>
    <w:rsid w:val="002E43EC"/>
    <w:rsid w:val="002E4788"/>
    <w:rsid w:val="002E4883"/>
    <w:rsid w:val="002E48EF"/>
    <w:rsid w:val="002E51FB"/>
    <w:rsid w:val="002E5B3C"/>
    <w:rsid w:val="002E7A79"/>
    <w:rsid w:val="002F1D9E"/>
    <w:rsid w:val="002F2C6E"/>
    <w:rsid w:val="002F3C88"/>
    <w:rsid w:val="002F4067"/>
    <w:rsid w:val="002F47EB"/>
    <w:rsid w:val="002F6620"/>
    <w:rsid w:val="002F7339"/>
    <w:rsid w:val="002F73B0"/>
    <w:rsid w:val="002F7461"/>
    <w:rsid w:val="002F79B5"/>
    <w:rsid w:val="002F79CE"/>
    <w:rsid w:val="003025E2"/>
    <w:rsid w:val="00302D0F"/>
    <w:rsid w:val="003035A9"/>
    <w:rsid w:val="00303CB0"/>
    <w:rsid w:val="003053EF"/>
    <w:rsid w:val="0030586E"/>
    <w:rsid w:val="00306D24"/>
    <w:rsid w:val="003075FA"/>
    <w:rsid w:val="00307712"/>
    <w:rsid w:val="003109B9"/>
    <w:rsid w:val="00310C64"/>
    <w:rsid w:val="00310EF5"/>
    <w:rsid w:val="0031328C"/>
    <w:rsid w:val="00313A29"/>
    <w:rsid w:val="0031404A"/>
    <w:rsid w:val="00314B7C"/>
    <w:rsid w:val="00314E49"/>
    <w:rsid w:val="00315445"/>
    <w:rsid w:val="003167E9"/>
    <w:rsid w:val="00317183"/>
    <w:rsid w:val="003204AE"/>
    <w:rsid w:val="003208EF"/>
    <w:rsid w:val="00321A43"/>
    <w:rsid w:val="00322814"/>
    <w:rsid w:val="00323C35"/>
    <w:rsid w:val="00323D35"/>
    <w:rsid w:val="00324846"/>
    <w:rsid w:val="00324ABD"/>
    <w:rsid w:val="00324D9B"/>
    <w:rsid w:val="003272A6"/>
    <w:rsid w:val="003273CB"/>
    <w:rsid w:val="00330232"/>
    <w:rsid w:val="0033085F"/>
    <w:rsid w:val="0033125E"/>
    <w:rsid w:val="0033172B"/>
    <w:rsid w:val="0033245F"/>
    <w:rsid w:val="00332ED2"/>
    <w:rsid w:val="00332F96"/>
    <w:rsid w:val="003330BE"/>
    <w:rsid w:val="0033325E"/>
    <w:rsid w:val="00333ECF"/>
    <w:rsid w:val="00333FF8"/>
    <w:rsid w:val="0033424D"/>
    <w:rsid w:val="00335B52"/>
    <w:rsid w:val="00335C99"/>
    <w:rsid w:val="00336913"/>
    <w:rsid w:val="00336D07"/>
    <w:rsid w:val="0033718C"/>
    <w:rsid w:val="00337407"/>
    <w:rsid w:val="00337BB8"/>
    <w:rsid w:val="00340467"/>
    <w:rsid w:val="00340E02"/>
    <w:rsid w:val="00341CC7"/>
    <w:rsid w:val="00341F33"/>
    <w:rsid w:val="00342C25"/>
    <w:rsid w:val="00342E94"/>
    <w:rsid w:val="0034366B"/>
    <w:rsid w:val="00343B72"/>
    <w:rsid w:val="00343E6E"/>
    <w:rsid w:val="00343E9A"/>
    <w:rsid w:val="003450C8"/>
    <w:rsid w:val="003457D6"/>
    <w:rsid w:val="00345BA7"/>
    <w:rsid w:val="00346AAE"/>
    <w:rsid w:val="003470A3"/>
    <w:rsid w:val="00347332"/>
    <w:rsid w:val="0034782B"/>
    <w:rsid w:val="00351B91"/>
    <w:rsid w:val="00351E5C"/>
    <w:rsid w:val="00351F5A"/>
    <w:rsid w:val="003538F7"/>
    <w:rsid w:val="003541B4"/>
    <w:rsid w:val="0035580F"/>
    <w:rsid w:val="00355954"/>
    <w:rsid w:val="00355FA3"/>
    <w:rsid w:val="00356662"/>
    <w:rsid w:val="00357468"/>
    <w:rsid w:val="00357B07"/>
    <w:rsid w:val="00357CB4"/>
    <w:rsid w:val="003604EE"/>
    <w:rsid w:val="003625E9"/>
    <w:rsid w:val="0036286B"/>
    <w:rsid w:val="00362F3D"/>
    <w:rsid w:val="00363371"/>
    <w:rsid w:val="0036353F"/>
    <w:rsid w:val="00363EED"/>
    <w:rsid w:val="003643EF"/>
    <w:rsid w:val="00364989"/>
    <w:rsid w:val="003652B1"/>
    <w:rsid w:val="003662DB"/>
    <w:rsid w:val="003664C0"/>
    <w:rsid w:val="00366769"/>
    <w:rsid w:val="00366FC5"/>
    <w:rsid w:val="003674A8"/>
    <w:rsid w:val="00367A28"/>
    <w:rsid w:val="00367D98"/>
    <w:rsid w:val="00367E04"/>
    <w:rsid w:val="003714D6"/>
    <w:rsid w:val="00373252"/>
    <w:rsid w:val="00375327"/>
    <w:rsid w:val="003761F2"/>
    <w:rsid w:val="00376A05"/>
    <w:rsid w:val="003774FE"/>
    <w:rsid w:val="0038001E"/>
    <w:rsid w:val="003809CD"/>
    <w:rsid w:val="003834F7"/>
    <w:rsid w:val="003841C9"/>
    <w:rsid w:val="0038554B"/>
    <w:rsid w:val="00385C4A"/>
    <w:rsid w:val="00386BAE"/>
    <w:rsid w:val="00386E2A"/>
    <w:rsid w:val="0038765F"/>
    <w:rsid w:val="00390B44"/>
    <w:rsid w:val="00390E30"/>
    <w:rsid w:val="0039221C"/>
    <w:rsid w:val="00392823"/>
    <w:rsid w:val="003938AC"/>
    <w:rsid w:val="00393ABE"/>
    <w:rsid w:val="0039458D"/>
    <w:rsid w:val="00394AEB"/>
    <w:rsid w:val="00394D61"/>
    <w:rsid w:val="00395125"/>
    <w:rsid w:val="00395201"/>
    <w:rsid w:val="00395908"/>
    <w:rsid w:val="003959F7"/>
    <w:rsid w:val="0039634F"/>
    <w:rsid w:val="003969EE"/>
    <w:rsid w:val="003978C3"/>
    <w:rsid w:val="003A05FC"/>
    <w:rsid w:val="003A1549"/>
    <w:rsid w:val="003A1F5A"/>
    <w:rsid w:val="003A20C4"/>
    <w:rsid w:val="003A2ECE"/>
    <w:rsid w:val="003A3958"/>
    <w:rsid w:val="003A3D9B"/>
    <w:rsid w:val="003A4252"/>
    <w:rsid w:val="003A43D6"/>
    <w:rsid w:val="003A539A"/>
    <w:rsid w:val="003A5426"/>
    <w:rsid w:val="003A62A4"/>
    <w:rsid w:val="003A7476"/>
    <w:rsid w:val="003A7D86"/>
    <w:rsid w:val="003B0AA1"/>
    <w:rsid w:val="003B0AD1"/>
    <w:rsid w:val="003B243D"/>
    <w:rsid w:val="003B262F"/>
    <w:rsid w:val="003B304F"/>
    <w:rsid w:val="003B37C6"/>
    <w:rsid w:val="003B4A24"/>
    <w:rsid w:val="003B53F6"/>
    <w:rsid w:val="003B5D18"/>
    <w:rsid w:val="003B795D"/>
    <w:rsid w:val="003C1939"/>
    <w:rsid w:val="003C23EC"/>
    <w:rsid w:val="003C26A6"/>
    <w:rsid w:val="003C26C1"/>
    <w:rsid w:val="003C34B2"/>
    <w:rsid w:val="003C4292"/>
    <w:rsid w:val="003C5C11"/>
    <w:rsid w:val="003C66E5"/>
    <w:rsid w:val="003C6A5A"/>
    <w:rsid w:val="003C6AAD"/>
    <w:rsid w:val="003C76E4"/>
    <w:rsid w:val="003C775E"/>
    <w:rsid w:val="003D08E5"/>
    <w:rsid w:val="003D15CF"/>
    <w:rsid w:val="003D1C68"/>
    <w:rsid w:val="003D1D4D"/>
    <w:rsid w:val="003D2D68"/>
    <w:rsid w:val="003D3682"/>
    <w:rsid w:val="003D37DD"/>
    <w:rsid w:val="003D45DF"/>
    <w:rsid w:val="003D47C6"/>
    <w:rsid w:val="003D7E38"/>
    <w:rsid w:val="003D7EAC"/>
    <w:rsid w:val="003D7F72"/>
    <w:rsid w:val="003E1AFA"/>
    <w:rsid w:val="003E31E2"/>
    <w:rsid w:val="003E375F"/>
    <w:rsid w:val="003E379A"/>
    <w:rsid w:val="003E52B0"/>
    <w:rsid w:val="003E64DC"/>
    <w:rsid w:val="003E6771"/>
    <w:rsid w:val="003E7A43"/>
    <w:rsid w:val="003F014A"/>
    <w:rsid w:val="003F0B0E"/>
    <w:rsid w:val="003F0B58"/>
    <w:rsid w:val="003F0D40"/>
    <w:rsid w:val="003F2236"/>
    <w:rsid w:val="003F230A"/>
    <w:rsid w:val="003F27B7"/>
    <w:rsid w:val="003F388A"/>
    <w:rsid w:val="003F3DCA"/>
    <w:rsid w:val="003F4051"/>
    <w:rsid w:val="003F52CE"/>
    <w:rsid w:val="003F5812"/>
    <w:rsid w:val="003F5878"/>
    <w:rsid w:val="003F5C6C"/>
    <w:rsid w:val="003F625A"/>
    <w:rsid w:val="003F6AA4"/>
    <w:rsid w:val="003F6EA1"/>
    <w:rsid w:val="003F794F"/>
    <w:rsid w:val="00400E4A"/>
    <w:rsid w:val="00401E73"/>
    <w:rsid w:val="00401E74"/>
    <w:rsid w:val="004028E7"/>
    <w:rsid w:val="00402E3E"/>
    <w:rsid w:val="00402E9A"/>
    <w:rsid w:val="00403FA8"/>
    <w:rsid w:val="00404040"/>
    <w:rsid w:val="00404213"/>
    <w:rsid w:val="004048AC"/>
    <w:rsid w:val="004049C2"/>
    <w:rsid w:val="00404B8E"/>
    <w:rsid w:val="004063AE"/>
    <w:rsid w:val="004063F3"/>
    <w:rsid w:val="004068C2"/>
    <w:rsid w:val="00406E61"/>
    <w:rsid w:val="00407997"/>
    <w:rsid w:val="00407D0D"/>
    <w:rsid w:val="00407DD6"/>
    <w:rsid w:val="0041120F"/>
    <w:rsid w:val="00411FC1"/>
    <w:rsid w:val="00412559"/>
    <w:rsid w:val="00412D5A"/>
    <w:rsid w:val="00412E5E"/>
    <w:rsid w:val="004134D9"/>
    <w:rsid w:val="00413885"/>
    <w:rsid w:val="00413BA3"/>
    <w:rsid w:val="004145F0"/>
    <w:rsid w:val="00415620"/>
    <w:rsid w:val="00415E7F"/>
    <w:rsid w:val="00416FB0"/>
    <w:rsid w:val="004171C8"/>
    <w:rsid w:val="00417C2F"/>
    <w:rsid w:val="00420222"/>
    <w:rsid w:val="00420288"/>
    <w:rsid w:val="004207FE"/>
    <w:rsid w:val="0042096E"/>
    <w:rsid w:val="00421C78"/>
    <w:rsid w:val="004224CE"/>
    <w:rsid w:val="00422775"/>
    <w:rsid w:val="00423140"/>
    <w:rsid w:val="00423D5E"/>
    <w:rsid w:val="00424A78"/>
    <w:rsid w:val="004254DB"/>
    <w:rsid w:val="0042638D"/>
    <w:rsid w:val="00427EEA"/>
    <w:rsid w:val="004310B6"/>
    <w:rsid w:val="00431836"/>
    <w:rsid w:val="004321E6"/>
    <w:rsid w:val="004324F7"/>
    <w:rsid w:val="0043278E"/>
    <w:rsid w:val="00432913"/>
    <w:rsid w:val="004332A4"/>
    <w:rsid w:val="00434186"/>
    <w:rsid w:val="00434F9C"/>
    <w:rsid w:val="004360AC"/>
    <w:rsid w:val="00436B83"/>
    <w:rsid w:val="0043734D"/>
    <w:rsid w:val="00437C6D"/>
    <w:rsid w:val="004404A4"/>
    <w:rsid w:val="004407D2"/>
    <w:rsid w:val="00441061"/>
    <w:rsid w:val="00441EAB"/>
    <w:rsid w:val="00442C65"/>
    <w:rsid w:val="00443CE1"/>
    <w:rsid w:val="0044411E"/>
    <w:rsid w:val="00444DC5"/>
    <w:rsid w:val="0044560C"/>
    <w:rsid w:val="00446166"/>
    <w:rsid w:val="00446FAD"/>
    <w:rsid w:val="00447306"/>
    <w:rsid w:val="00447522"/>
    <w:rsid w:val="00447D6A"/>
    <w:rsid w:val="004501C9"/>
    <w:rsid w:val="00450B54"/>
    <w:rsid w:val="00450C70"/>
    <w:rsid w:val="00450E5C"/>
    <w:rsid w:val="00451802"/>
    <w:rsid w:val="00451B01"/>
    <w:rsid w:val="00452206"/>
    <w:rsid w:val="0045271D"/>
    <w:rsid w:val="00453344"/>
    <w:rsid w:val="004536BC"/>
    <w:rsid w:val="004543D4"/>
    <w:rsid w:val="004545A8"/>
    <w:rsid w:val="00454E76"/>
    <w:rsid w:val="00454EB4"/>
    <w:rsid w:val="00457080"/>
    <w:rsid w:val="00460891"/>
    <w:rsid w:val="00460FE1"/>
    <w:rsid w:val="00462F10"/>
    <w:rsid w:val="004639D0"/>
    <w:rsid w:val="00464FB2"/>
    <w:rsid w:val="004662A8"/>
    <w:rsid w:val="00466518"/>
    <w:rsid w:val="00466CDC"/>
    <w:rsid w:val="0046745E"/>
    <w:rsid w:val="004721EF"/>
    <w:rsid w:val="004725ED"/>
    <w:rsid w:val="00473451"/>
    <w:rsid w:val="004736BE"/>
    <w:rsid w:val="004737EF"/>
    <w:rsid w:val="00473DE5"/>
    <w:rsid w:val="0047547C"/>
    <w:rsid w:val="0047556D"/>
    <w:rsid w:val="00475789"/>
    <w:rsid w:val="00476170"/>
    <w:rsid w:val="00477622"/>
    <w:rsid w:val="004801D4"/>
    <w:rsid w:val="00480284"/>
    <w:rsid w:val="00481BF3"/>
    <w:rsid w:val="004820B0"/>
    <w:rsid w:val="00482117"/>
    <w:rsid w:val="00482174"/>
    <w:rsid w:val="00482BC8"/>
    <w:rsid w:val="00482C32"/>
    <w:rsid w:val="00482E2F"/>
    <w:rsid w:val="00483AA4"/>
    <w:rsid w:val="00484BE0"/>
    <w:rsid w:val="004859B4"/>
    <w:rsid w:val="00486ACD"/>
    <w:rsid w:val="00486CB4"/>
    <w:rsid w:val="00486D93"/>
    <w:rsid w:val="00490B8D"/>
    <w:rsid w:val="004913E0"/>
    <w:rsid w:val="0049255A"/>
    <w:rsid w:val="00492C65"/>
    <w:rsid w:val="00493ECC"/>
    <w:rsid w:val="0049403F"/>
    <w:rsid w:val="00494323"/>
    <w:rsid w:val="00494349"/>
    <w:rsid w:val="00494485"/>
    <w:rsid w:val="0049682B"/>
    <w:rsid w:val="00497249"/>
    <w:rsid w:val="0049762B"/>
    <w:rsid w:val="004A0F27"/>
    <w:rsid w:val="004A0F37"/>
    <w:rsid w:val="004A0F68"/>
    <w:rsid w:val="004A2E80"/>
    <w:rsid w:val="004A3608"/>
    <w:rsid w:val="004A4FBD"/>
    <w:rsid w:val="004A6F90"/>
    <w:rsid w:val="004A7190"/>
    <w:rsid w:val="004A76FF"/>
    <w:rsid w:val="004A7810"/>
    <w:rsid w:val="004A7E93"/>
    <w:rsid w:val="004B021E"/>
    <w:rsid w:val="004B11F9"/>
    <w:rsid w:val="004B18A9"/>
    <w:rsid w:val="004B1928"/>
    <w:rsid w:val="004B2378"/>
    <w:rsid w:val="004B3147"/>
    <w:rsid w:val="004B3CFB"/>
    <w:rsid w:val="004B494C"/>
    <w:rsid w:val="004B5D6B"/>
    <w:rsid w:val="004B734C"/>
    <w:rsid w:val="004B76F8"/>
    <w:rsid w:val="004B7FA6"/>
    <w:rsid w:val="004C034E"/>
    <w:rsid w:val="004C03C5"/>
    <w:rsid w:val="004C1FA6"/>
    <w:rsid w:val="004C2869"/>
    <w:rsid w:val="004C352B"/>
    <w:rsid w:val="004C5CFD"/>
    <w:rsid w:val="004C6530"/>
    <w:rsid w:val="004C7008"/>
    <w:rsid w:val="004C70DC"/>
    <w:rsid w:val="004C7F10"/>
    <w:rsid w:val="004D12C0"/>
    <w:rsid w:val="004D18EA"/>
    <w:rsid w:val="004D2B29"/>
    <w:rsid w:val="004D3713"/>
    <w:rsid w:val="004D4975"/>
    <w:rsid w:val="004D6254"/>
    <w:rsid w:val="004D70FD"/>
    <w:rsid w:val="004D72B9"/>
    <w:rsid w:val="004D7A2E"/>
    <w:rsid w:val="004D7E99"/>
    <w:rsid w:val="004E00CE"/>
    <w:rsid w:val="004E1062"/>
    <w:rsid w:val="004E1300"/>
    <w:rsid w:val="004E1D9B"/>
    <w:rsid w:val="004E2BDB"/>
    <w:rsid w:val="004E2C61"/>
    <w:rsid w:val="004E307B"/>
    <w:rsid w:val="004E32EA"/>
    <w:rsid w:val="004E3440"/>
    <w:rsid w:val="004E3F98"/>
    <w:rsid w:val="004E56A8"/>
    <w:rsid w:val="004E593F"/>
    <w:rsid w:val="004E6551"/>
    <w:rsid w:val="004F0966"/>
    <w:rsid w:val="004F1DB3"/>
    <w:rsid w:val="004F1F69"/>
    <w:rsid w:val="004F26F6"/>
    <w:rsid w:val="004F50AF"/>
    <w:rsid w:val="004F681D"/>
    <w:rsid w:val="004F6E14"/>
    <w:rsid w:val="005002A2"/>
    <w:rsid w:val="00500EAA"/>
    <w:rsid w:val="005013D8"/>
    <w:rsid w:val="0050228C"/>
    <w:rsid w:val="0050283E"/>
    <w:rsid w:val="00502857"/>
    <w:rsid w:val="005044A9"/>
    <w:rsid w:val="00504DD4"/>
    <w:rsid w:val="00504F68"/>
    <w:rsid w:val="005054DC"/>
    <w:rsid w:val="00505994"/>
    <w:rsid w:val="00505FD4"/>
    <w:rsid w:val="005062F0"/>
    <w:rsid w:val="00506E25"/>
    <w:rsid w:val="00507545"/>
    <w:rsid w:val="00507A41"/>
    <w:rsid w:val="0051132C"/>
    <w:rsid w:val="005119D0"/>
    <w:rsid w:val="00511ACE"/>
    <w:rsid w:val="0051226E"/>
    <w:rsid w:val="005124BE"/>
    <w:rsid w:val="00512DB1"/>
    <w:rsid w:val="00513468"/>
    <w:rsid w:val="00513483"/>
    <w:rsid w:val="005134DE"/>
    <w:rsid w:val="00514A55"/>
    <w:rsid w:val="00514EF5"/>
    <w:rsid w:val="0051615C"/>
    <w:rsid w:val="00516458"/>
    <w:rsid w:val="0051782D"/>
    <w:rsid w:val="00517C6A"/>
    <w:rsid w:val="005200EC"/>
    <w:rsid w:val="00520446"/>
    <w:rsid w:val="0052087E"/>
    <w:rsid w:val="005225FE"/>
    <w:rsid w:val="0052315E"/>
    <w:rsid w:val="005238EF"/>
    <w:rsid w:val="00523B73"/>
    <w:rsid w:val="005245D6"/>
    <w:rsid w:val="005275D1"/>
    <w:rsid w:val="00527FE7"/>
    <w:rsid w:val="00530ED3"/>
    <w:rsid w:val="00532B9C"/>
    <w:rsid w:val="00533D2D"/>
    <w:rsid w:val="00533E50"/>
    <w:rsid w:val="0053438E"/>
    <w:rsid w:val="005343E5"/>
    <w:rsid w:val="005346B7"/>
    <w:rsid w:val="005355EE"/>
    <w:rsid w:val="005356E0"/>
    <w:rsid w:val="00535B16"/>
    <w:rsid w:val="00535D09"/>
    <w:rsid w:val="005366D0"/>
    <w:rsid w:val="005375AE"/>
    <w:rsid w:val="00537E27"/>
    <w:rsid w:val="00540825"/>
    <w:rsid w:val="00540B4D"/>
    <w:rsid w:val="00540FDA"/>
    <w:rsid w:val="00540FFA"/>
    <w:rsid w:val="00541C5B"/>
    <w:rsid w:val="00542239"/>
    <w:rsid w:val="00542930"/>
    <w:rsid w:val="005435B3"/>
    <w:rsid w:val="00544C44"/>
    <w:rsid w:val="00545568"/>
    <w:rsid w:val="00546308"/>
    <w:rsid w:val="00547151"/>
    <w:rsid w:val="00547755"/>
    <w:rsid w:val="00550849"/>
    <w:rsid w:val="00550866"/>
    <w:rsid w:val="00551FDB"/>
    <w:rsid w:val="00553D5F"/>
    <w:rsid w:val="00554BF3"/>
    <w:rsid w:val="0055608D"/>
    <w:rsid w:val="0055655F"/>
    <w:rsid w:val="0055657D"/>
    <w:rsid w:val="005574A5"/>
    <w:rsid w:val="005579B9"/>
    <w:rsid w:val="00557C30"/>
    <w:rsid w:val="00560D0D"/>
    <w:rsid w:val="005618E4"/>
    <w:rsid w:val="005632F1"/>
    <w:rsid w:val="005644AD"/>
    <w:rsid w:val="00564E8E"/>
    <w:rsid w:val="00565FB1"/>
    <w:rsid w:val="005662FB"/>
    <w:rsid w:val="0056749B"/>
    <w:rsid w:val="00567781"/>
    <w:rsid w:val="00567ECC"/>
    <w:rsid w:val="0057019C"/>
    <w:rsid w:val="005713B1"/>
    <w:rsid w:val="00571A86"/>
    <w:rsid w:val="00573257"/>
    <w:rsid w:val="0057363E"/>
    <w:rsid w:val="00573848"/>
    <w:rsid w:val="005743FA"/>
    <w:rsid w:val="00574539"/>
    <w:rsid w:val="005746DF"/>
    <w:rsid w:val="00575FD0"/>
    <w:rsid w:val="0057624B"/>
    <w:rsid w:val="0057644D"/>
    <w:rsid w:val="0057649A"/>
    <w:rsid w:val="005801A5"/>
    <w:rsid w:val="00581261"/>
    <w:rsid w:val="005820B9"/>
    <w:rsid w:val="00583090"/>
    <w:rsid w:val="005835F4"/>
    <w:rsid w:val="00583EFE"/>
    <w:rsid w:val="00584076"/>
    <w:rsid w:val="005841A3"/>
    <w:rsid w:val="00585D81"/>
    <w:rsid w:val="00586D9A"/>
    <w:rsid w:val="005872EE"/>
    <w:rsid w:val="005902C5"/>
    <w:rsid w:val="00590EAE"/>
    <w:rsid w:val="0059112A"/>
    <w:rsid w:val="0059116B"/>
    <w:rsid w:val="00591B65"/>
    <w:rsid w:val="005925EC"/>
    <w:rsid w:val="00592A14"/>
    <w:rsid w:val="00593216"/>
    <w:rsid w:val="00594BC3"/>
    <w:rsid w:val="00595048"/>
    <w:rsid w:val="00595D35"/>
    <w:rsid w:val="00595F48"/>
    <w:rsid w:val="00596CA7"/>
    <w:rsid w:val="00596DC8"/>
    <w:rsid w:val="00596E16"/>
    <w:rsid w:val="00596F53"/>
    <w:rsid w:val="00597284"/>
    <w:rsid w:val="00597A78"/>
    <w:rsid w:val="00597DC7"/>
    <w:rsid w:val="005A16A3"/>
    <w:rsid w:val="005A1C48"/>
    <w:rsid w:val="005A253A"/>
    <w:rsid w:val="005A2AD8"/>
    <w:rsid w:val="005A3152"/>
    <w:rsid w:val="005A40AF"/>
    <w:rsid w:val="005A4438"/>
    <w:rsid w:val="005A5FEA"/>
    <w:rsid w:val="005A64BF"/>
    <w:rsid w:val="005A69CB"/>
    <w:rsid w:val="005A6BD0"/>
    <w:rsid w:val="005A76B7"/>
    <w:rsid w:val="005B01A6"/>
    <w:rsid w:val="005B047D"/>
    <w:rsid w:val="005B0565"/>
    <w:rsid w:val="005B178A"/>
    <w:rsid w:val="005B1EB2"/>
    <w:rsid w:val="005B2F35"/>
    <w:rsid w:val="005B4421"/>
    <w:rsid w:val="005B513F"/>
    <w:rsid w:val="005B6606"/>
    <w:rsid w:val="005B7483"/>
    <w:rsid w:val="005B7929"/>
    <w:rsid w:val="005C0643"/>
    <w:rsid w:val="005C1101"/>
    <w:rsid w:val="005C1FCC"/>
    <w:rsid w:val="005C23AF"/>
    <w:rsid w:val="005C25D1"/>
    <w:rsid w:val="005C35A9"/>
    <w:rsid w:val="005C464B"/>
    <w:rsid w:val="005C4E5F"/>
    <w:rsid w:val="005C74A0"/>
    <w:rsid w:val="005C75EF"/>
    <w:rsid w:val="005D052C"/>
    <w:rsid w:val="005D16FE"/>
    <w:rsid w:val="005D188E"/>
    <w:rsid w:val="005D1EEA"/>
    <w:rsid w:val="005D399A"/>
    <w:rsid w:val="005D4019"/>
    <w:rsid w:val="005D4084"/>
    <w:rsid w:val="005D4777"/>
    <w:rsid w:val="005D4C2B"/>
    <w:rsid w:val="005D5784"/>
    <w:rsid w:val="005D5DB4"/>
    <w:rsid w:val="005E0904"/>
    <w:rsid w:val="005E22CD"/>
    <w:rsid w:val="005E3601"/>
    <w:rsid w:val="005E4761"/>
    <w:rsid w:val="005E6A66"/>
    <w:rsid w:val="005E6B93"/>
    <w:rsid w:val="005E7953"/>
    <w:rsid w:val="005E7E82"/>
    <w:rsid w:val="005F04D4"/>
    <w:rsid w:val="005F05AF"/>
    <w:rsid w:val="005F2A5B"/>
    <w:rsid w:val="005F2C42"/>
    <w:rsid w:val="005F2D8F"/>
    <w:rsid w:val="005F4368"/>
    <w:rsid w:val="005F6071"/>
    <w:rsid w:val="005F6BAB"/>
    <w:rsid w:val="005F6C28"/>
    <w:rsid w:val="005F769A"/>
    <w:rsid w:val="005F7AB6"/>
    <w:rsid w:val="005F7E3C"/>
    <w:rsid w:val="00600224"/>
    <w:rsid w:val="00600FA8"/>
    <w:rsid w:val="00601C2E"/>
    <w:rsid w:val="00603B8F"/>
    <w:rsid w:val="006063DA"/>
    <w:rsid w:val="0060688F"/>
    <w:rsid w:val="00606C59"/>
    <w:rsid w:val="00606CD0"/>
    <w:rsid w:val="00606CE3"/>
    <w:rsid w:val="00607BA4"/>
    <w:rsid w:val="00610141"/>
    <w:rsid w:val="00611DD3"/>
    <w:rsid w:val="00611EF0"/>
    <w:rsid w:val="00612219"/>
    <w:rsid w:val="00612E04"/>
    <w:rsid w:val="00614C43"/>
    <w:rsid w:val="006158C5"/>
    <w:rsid w:val="0061706D"/>
    <w:rsid w:val="006172E3"/>
    <w:rsid w:val="006173A4"/>
    <w:rsid w:val="006173AE"/>
    <w:rsid w:val="0061792A"/>
    <w:rsid w:val="00617C44"/>
    <w:rsid w:val="00620086"/>
    <w:rsid w:val="00621CC5"/>
    <w:rsid w:val="00622074"/>
    <w:rsid w:val="0062221D"/>
    <w:rsid w:val="00622CE4"/>
    <w:rsid w:val="00622D79"/>
    <w:rsid w:val="006234A7"/>
    <w:rsid w:val="00623C76"/>
    <w:rsid w:val="00623F8E"/>
    <w:rsid w:val="00625917"/>
    <w:rsid w:val="00625998"/>
    <w:rsid w:val="00625C67"/>
    <w:rsid w:val="00625ECC"/>
    <w:rsid w:val="006268F7"/>
    <w:rsid w:val="0062789F"/>
    <w:rsid w:val="006301BE"/>
    <w:rsid w:val="0063096E"/>
    <w:rsid w:val="00630C5B"/>
    <w:rsid w:val="00631B0C"/>
    <w:rsid w:val="00632DB2"/>
    <w:rsid w:val="00633349"/>
    <w:rsid w:val="006337DD"/>
    <w:rsid w:val="00633D61"/>
    <w:rsid w:val="0063402B"/>
    <w:rsid w:val="00636570"/>
    <w:rsid w:val="00637859"/>
    <w:rsid w:val="00637901"/>
    <w:rsid w:val="00637E1B"/>
    <w:rsid w:val="006402DF"/>
    <w:rsid w:val="0064164B"/>
    <w:rsid w:val="006422A9"/>
    <w:rsid w:val="0064416A"/>
    <w:rsid w:val="00644468"/>
    <w:rsid w:val="00645F5E"/>
    <w:rsid w:val="00647B1E"/>
    <w:rsid w:val="00647C55"/>
    <w:rsid w:val="0065008B"/>
    <w:rsid w:val="006509F5"/>
    <w:rsid w:val="00650AA6"/>
    <w:rsid w:val="00653651"/>
    <w:rsid w:val="00653721"/>
    <w:rsid w:val="00653A3B"/>
    <w:rsid w:val="00653FD9"/>
    <w:rsid w:val="006541E2"/>
    <w:rsid w:val="006543A2"/>
    <w:rsid w:val="00654D42"/>
    <w:rsid w:val="0065524A"/>
    <w:rsid w:val="00656328"/>
    <w:rsid w:val="00656FA7"/>
    <w:rsid w:val="00660279"/>
    <w:rsid w:val="00660A94"/>
    <w:rsid w:val="006622B9"/>
    <w:rsid w:val="00662E1E"/>
    <w:rsid w:val="0066371E"/>
    <w:rsid w:val="00663ED1"/>
    <w:rsid w:val="0066455B"/>
    <w:rsid w:val="006652F7"/>
    <w:rsid w:val="00667AB0"/>
    <w:rsid w:val="00667F51"/>
    <w:rsid w:val="00670948"/>
    <w:rsid w:val="00670BC4"/>
    <w:rsid w:val="00670EA9"/>
    <w:rsid w:val="00671151"/>
    <w:rsid w:val="006718ED"/>
    <w:rsid w:val="006724AD"/>
    <w:rsid w:val="00672BAB"/>
    <w:rsid w:val="0067314A"/>
    <w:rsid w:val="00673D1E"/>
    <w:rsid w:val="00673F77"/>
    <w:rsid w:val="0067557E"/>
    <w:rsid w:val="0067570A"/>
    <w:rsid w:val="006759F0"/>
    <w:rsid w:val="00675E9D"/>
    <w:rsid w:val="006768E3"/>
    <w:rsid w:val="006779CF"/>
    <w:rsid w:val="00677A0C"/>
    <w:rsid w:val="00677A8F"/>
    <w:rsid w:val="00677D63"/>
    <w:rsid w:val="00677F8A"/>
    <w:rsid w:val="006821E3"/>
    <w:rsid w:val="0068261F"/>
    <w:rsid w:val="006829EB"/>
    <w:rsid w:val="00683AD6"/>
    <w:rsid w:val="00683BEE"/>
    <w:rsid w:val="006842AE"/>
    <w:rsid w:val="006875BA"/>
    <w:rsid w:val="0069097D"/>
    <w:rsid w:val="00690A61"/>
    <w:rsid w:val="00692A78"/>
    <w:rsid w:val="00692C2C"/>
    <w:rsid w:val="006939B9"/>
    <w:rsid w:val="00693B4F"/>
    <w:rsid w:val="00693C7A"/>
    <w:rsid w:val="00693FEA"/>
    <w:rsid w:val="006940BC"/>
    <w:rsid w:val="00694C68"/>
    <w:rsid w:val="006952BC"/>
    <w:rsid w:val="00695D5A"/>
    <w:rsid w:val="006A0BA3"/>
    <w:rsid w:val="006A1418"/>
    <w:rsid w:val="006A1478"/>
    <w:rsid w:val="006A1A41"/>
    <w:rsid w:val="006A1FD9"/>
    <w:rsid w:val="006A5773"/>
    <w:rsid w:val="006A5784"/>
    <w:rsid w:val="006A5804"/>
    <w:rsid w:val="006A58F0"/>
    <w:rsid w:val="006A6262"/>
    <w:rsid w:val="006B0372"/>
    <w:rsid w:val="006B0764"/>
    <w:rsid w:val="006B081C"/>
    <w:rsid w:val="006B29E1"/>
    <w:rsid w:val="006B2F3A"/>
    <w:rsid w:val="006B316E"/>
    <w:rsid w:val="006B39A0"/>
    <w:rsid w:val="006B4467"/>
    <w:rsid w:val="006B4A94"/>
    <w:rsid w:val="006B6C46"/>
    <w:rsid w:val="006B6E78"/>
    <w:rsid w:val="006B6FEA"/>
    <w:rsid w:val="006B7970"/>
    <w:rsid w:val="006C0039"/>
    <w:rsid w:val="006C14ED"/>
    <w:rsid w:val="006C1927"/>
    <w:rsid w:val="006C1D8A"/>
    <w:rsid w:val="006C2585"/>
    <w:rsid w:val="006C2699"/>
    <w:rsid w:val="006C34F6"/>
    <w:rsid w:val="006C4008"/>
    <w:rsid w:val="006C4E2C"/>
    <w:rsid w:val="006C5931"/>
    <w:rsid w:val="006C704F"/>
    <w:rsid w:val="006C73EF"/>
    <w:rsid w:val="006C760C"/>
    <w:rsid w:val="006D1255"/>
    <w:rsid w:val="006D1723"/>
    <w:rsid w:val="006D2972"/>
    <w:rsid w:val="006D3078"/>
    <w:rsid w:val="006D40C6"/>
    <w:rsid w:val="006D5B6C"/>
    <w:rsid w:val="006D5D3F"/>
    <w:rsid w:val="006D606D"/>
    <w:rsid w:val="006D60ED"/>
    <w:rsid w:val="006D6263"/>
    <w:rsid w:val="006D6B55"/>
    <w:rsid w:val="006E1166"/>
    <w:rsid w:val="006E24D9"/>
    <w:rsid w:val="006E25BA"/>
    <w:rsid w:val="006E2648"/>
    <w:rsid w:val="006E596E"/>
    <w:rsid w:val="006E65E0"/>
    <w:rsid w:val="006E6F0A"/>
    <w:rsid w:val="006E7465"/>
    <w:rsid w:val="006E7933"/>
    <w:rsid w:val="006F033F"/>
    <w:rsid w:val="006F0FF1"/>
    <w:rsid w:val="006F1B3B"/>
    <w:rsid w:val="006F1C8E"/>
    <w:rsid w:val="006F1CB1"/>
    <w:rsid w:val="006F2152"/>
    <w:rsid w:val="006F24D8"/>
    <w:rsid w:val="006F2B73"/>
    <w:rsid w:val="006F2E1F"/>
    <w:rsid w:val="006F313F"/>
    <w:rsid w:val="006F33B8"/>
    <w:rsid w:val="006F3539"/>
    <w:rsid w:val="006F4578"/>
    <w:rsid w:val="006F4C62"/>
    <w:rsid w:val="006F4C9C"/>
    <w:rsid w:val="006F4FA2"/>
    <w:rsid w:val="006F640F"/>
    <w:rsid w:val="006F762A"/>
    <w:rsid w:val="00700662"/>
    <w:rsid w:val="00700D65"/>
    <w:rsid w:val="00701B6B"/>
    <w:rsid w:val="007026CB"/>
    <w:rsid w:val="00702D07"/>
    <w:rsid w:val="007033BD"/>
    <w:rsid w:val="0070384F"/>
    <w:rsid w:val="00703A9E"/>
    <w:rsid w:val="00703D6D"/>
    <w:rsid w:val="00703F49"/>
    <w:rsid w:val="00704095"/>
    <w:rsid w:val="00704152"/>
    <w:rsid w:val="00704FB5"/>
    <w:rsid w:val="00705759"/>
    <w:rsid w:val="0070576A"/>
    <w:rsid w:val="00706B71"/>
    <w:rsid w:val="0071022A"/>
    <w:rsid w:val="00711AEE"/>
    <w:rsid w:val="00711E24"/>
    <w:rsid w:val="00712109"/>
    <w:rsid w:val="0071277A"/>
    <w:rsid w:val="00712EE5"/>
    <w:rsid w:val="00713493"/>
    <w:rsid w:val="00713494"/>
    <w:rsid w:val="00713EA7"/>
    <w:rsid w:val="00714031"/>
    <w:rsid w:val="0071466E"/>
    <w:rsid w:val="00714799"/>
    <w:rsid w:val="00714A6C"/>
    <w:rsid w:val="00714CD3"/>
    <w:rsid w:val="007153DB"/>
    <w:rsid w:val="0071582C"/>
    <w:rsid w:val="007158ED"/>
    <w:rsid w:val="00715AE6"/>
    <w:rsid w:val="00715D85"/>
    <w:rsid w:val="00716174"/>
    <w:rsid w:val="00716B28"/>
    <w:rsid w:val="00717339"/>
    <w:rsid w:val="0071769C"/>
    <w:rsid w:val="00720154"/>
    <w:rsid w:val="007203D8"/>
    <w:rsid w:val="007206A8"/>
    <w:rsid w:val="00720DAD"/>
    <w:rsid w:val="0072116D"/>
    <w:rsid w:val="0072198E"/>
    <w:rsid w:val="0072226F"/>
    <w:rsid w:val="00722A1C"/>
    <w:rsid w:val="00722F5D"/>
    <w:rsid w:val="007230A9"/>
    <w:rsid w:val="0072378E"/>
    <w:rsid w:val="0072596C"/>
    <w:rsid w:val="00725B78"/>
    <w:rsid w:val="00726CDE"/>
    <w:rsid w:val="0072704D"/>
    <w:rsid w:val="00727082"/>
    <w:rsid w:val="0072719D"/>
    <w:rsid w:val="0073122A"/>
    <w:rsid w:val="0073233C"/>
    <w:rsid w:val="00732D0C"/>
    <w:rsid w:val="00733A4E"/>
    <w:rsid w:val="00733EAD"/>
    <w:rsid w:val="00733F1A"/>
    <w:rsid w:val="00734F54"/>
    <w:rsid w:val="00736D93"/>
    <w:rsid w:val="00737C04"/>
    <w:rsid w:val="00737F64"/>
    <w:rsid w:val="00741A36"/>
    <w:rsid w:val="00741CA1"/>
    <w:rsid w:val="007422C9"/>
    <w:rsid w:val="00744110"/>
    <w:rsid w:val="00744595"/>
    <w:rsid w:val="00745D77"/>
    <w:rsid w:val="0074695A"/>
    <w:rsid w:val="0074706E"/>
    <w:rsid w:val="00747A52"/>
    <w:rsid w:val="00747BCA"/>
    <w:rsid w:val="00750F1E"/>
    <w:rsid w:val="0075159C"/>
    <w:rsid w:val="0075198E"/>
    <w:rsid w:val="00751C12"/>
    <w:rsid w:val="00752691"/>
    <w:rsid w:val="007528F2"/>
    <w:rsid w:val="00752D91"/>
    <w:rsid w:val="007551D5"/>
    <w:rsid w:val="007575C4"/>
    <w:rsid w:val="00757C1B"/>
    <w:rsid w:val="00757D3B"/>
    <w:rsid w:val="00757D63"/>
    <w:rsid w:val="0076176A"/>
    <w:rsid w:val="00761A41"/>
    <w:rsid w:val="00761F74"/>
    <w:rsid w:val="00762A1B"/>
    <w:rsid w:val="00762D6D"/>
    <w:rsid w:val="007633C1"/>
    <w:rsid w:val="00763700"/>
    <w:rsid w:val="0076427C"/>
    <w:rsid w:val="00764E5D"/>
    <w:rsid w:val="00765217"/>
    <w:rsid w:val="007652E7"/>
    <w:rsid w:val="007659AA"/>
    <w:rsid w:val="00766334"/>
    <w:rsid w:val="00766CDF"/>
    <w:rsid w:val="0077266C"/>
    <w:rsid w:val="00772802"/>
    <w:rsid w:val="00772AD8"/>
    <w:rsid w:val="00772D71"/>
    <w:rsid w:val="00773469"/>
    <w:rsid w:val="00774BBB"/>
    <w:rsid w:val="00774DBF"/>
    <w:rsid w:val="00775066"/>
    <w:rsid w:val="007751BF"/>
    <w:rsid w:val="007762C5"/>
    <w:rsid w:val="00776406"/>
    <w:rsid w:val="0077798B"/>
    <w:rsid w:val="00777B8B"/>
    <w:rsid w:val="0078005A"/>
    <w:rsid w:val="0078064E"/>
    <w:rsid w:val="00780A00"/>
    <w:rsid w:val="00781B6F"/>
    <w:rsid w:val="00781F9C"/>
    <w:rsid w:val="007820ED"/>
    <w:rsid w:val="00782DFD"/>
    <w:rsid w:val="00783E69"/>
    <w:rsid w:val="00784424"/>
    <w:rsid w:val="00785474"/>
    <w:rsid w:val="00786756"/>
    <w:rsid w:val="00786A81"/>
    <w:rsid w:val="00786AE9"/>
    <w:rsid w:val="007875A0"/>
    <w:rsid w:val="0078772C"/>
    <w:rsid w:val="00787B99"/>
    <w:rsid w:val="007907C8"/>
    <w:rsid w:val="00790C39"/>
    <w:rsid w:val="00790F10"/>
    <w:rsid w:val="00791DE0"/>
    <w:rsid w:val="007925B6"/>
    <w:rsid w:val="00793158"/>
    <w:rsid w:val="007934F5"/>
    <w:rsid w:val="0079421C"/>
    <w:rsid w:val="0079526D"/>
    <w:rsid w:val="00795A2C"/>
    <w:rsid w:val="0079658B"/>
    <w:rsid w:val="007972FD"/>
    <w:rsid w:val="00797309"/>
    <w:rsid w:val="00797390"/>
    <w:rsid w:val="007977E3"/>
    <w:rsid w:val="00797FF5"/>
    <w:rsid w:val="007A05B6"/>
    <w:rsid w:val="007A1885"/>
    <w:rsid w:val="007A1B27"/>
    <w:rsid w:val="007A1C0A"/>
    <w:rsid w:val="007A1C59"/>
    <w:rsid w:val="007A4397"/>
    <w:rsid w:val="007A4A92"/>
    <w:rsid w:val="007A5877"/>
    <w:rsid w:val="007A5B41"/>
    <w:rsid w:val="007B002C"/>
    <w:rsid w:val="007B31F4"/>
    <w:rsid w:val="007B3A76"/>
    <w:rsid w:val="007B5792"/>
    <w:rsid w:val="007B57B8"/>
    <w:rsid w:val="007B640D"/>
    <w:rsid w:val="007B7FA7"/>
    <w:rsid w:val="007C0F47"/>
    <w:rsid w:val="007C1AB9"/>
    <w:rsid w:val="007C21D4"/>
    <w:rsid w:val="007C2934"/>
    <w:rsid w:val="007C2BC6"/>
    <w:rsid w:val="007C31E2"/>
    <w:rsid w:val="007C48DD"/>
    <w:rsid w:val="007C5A28"/>
    <w:rsid w:val="007C5CE1"/>
    <w:rsid w:val="007C6B38"/>
    <w:rsid w:val="007C6F85"/>
    <w:rsid w:val="007D0569"/>
    <w:rsid w:val="007D06FD"/>
    <w:rsid w:val="007D08E4"/>
    <w:rsid w:val="007D13CE"/>
    <w:rsid w:val="007D16B1"/>
    <w:rsid w:val="007D19E4"/>
    <w:rsid w:val="007D2001"/>
    <w:rsid w:val="007D25B4"/>
    <w:rsid w:val="007D3F94"/>
    <w:rsid w:val="007D4212"/>
    <w:rsid w:val="007D4EE3"/>
    <w:rsid w:val="007D7400"/>
    <w:rsid w:val="007D7761"/>
    <w:rsid w:val="007D79FF"/>
    <w:rsid w:val="007E02A7"/>
    <w:rsid w:val="007E0C0A"/>
    <w:rsid w:val="007E0EFC"/>
    <w:rsid w:val="007E32B8"/>
    <w:rsid w:val="007E4356"/>
    <w:rsid w:val="007E468A"/>
    <w:rsid w:val="007E51A5"/>
    <w:rsid w:val="007E5629"/>
    <w:rsid w:val="007E6A45"/>
    <w:rsid w:val="007E7F4C"/>
    <w:rsid w:val="007F2E32"/>
    <w:rsid w:val="007F2EC6"/>
    <w:rsid w:val="007F3018"/>
    <w:rsid w:val="007F30B7"/>
    <w:rsid w:val="007F333F"/>
    <w:rsid w:val="007F4EC2"/>
    <w:rsid w:val="007F6862"/>
    <w:rsid w:val="007F6C24"/>
    <w:rsid w:val="008013FC"/>
    <w:rsid w:val="008015C2"/>
    <w:rsid w:val="00804242"/>
    <w:rsid w:val="008042AA"/>
    <w:rsid w:val="008049A5"/>
    <w:rsid w:val="008060C3"/>
    <w:rsid w:val="008063A1"/>
    <w:rsid w:val="00807F00"/>
    <w:rsid w:val="008112FD"/>
    <w:rsid w:val="00812095"/>
    <w:rsid w:val="008128BA"/>
    <w:rsid w:val="00812F57"/>
    <w:rsid w:val="008134BD"/>
    <w:rsid w:val="008139A5"/>
    <w:rsid w:val="00814656"/>
    <w:rsid w:val="00814A4C"/>
    <w:rsid w:val="008159CB"/>
    <w:rsid w:val="008169CA"/>
    <w:rsid w:val="00817D84"/>
    <w:rsid w:val="00820E45"/>
    <w:rsid w:val="00821E2C"/>
    <w:rsid w:val="00822125"/>
    <w:rsid w:val="00822835"/>
    <w:rsid w:val="0082459B"/>
    <w:rsid w:val="00826758"/>
    <w:rsid w:val="00827002"/>
    <w:rsid w:val="00827342"/>
    <w:rsid w:val="00827E7D"/>
    <w:rsid w:val="00830107"/>
    <w:rsid w:val="008302E8"/>
    <w:rsid w:val="008313D1"/>
    <w:rsid w:val="00831718"/>
    <w:rsid w:val="00832ECC"/>
    <w:rsid w:val="00832EF4"/>
    <w:rsid w:val="00833261"/>
    <w:rsid w:val="00834BE5"/>
    <w:rsid w:val="00834BFB"/>
    <w:rsid w:val="008353E0"/>
    <w:rsid w:val="008365F0"/>
    <w:rsid w:val="008373FB"/>
    <w:rsid w:val="008374F9"/>
    <w:rsid w:val="0084043C"/>
    <w:rsid w:val="00841534"/>
    <w:rsid w:val="00841CAF"/>
    <w:rsid w:val="008420B0"/>
    <w:rsid w:val="008422CF"/>
    <w:rsid w:val="008447B5"/>
    <w:rsid w:val="008447E9"/>
    <w:rsid w:val="008450A0"/>
    <w:rsid w:val="008462F1"/>
    <w:rsid w:val="00846930"/>
    <w:rsid w:val="00846AE7"/>
    <w:rsid w:val="0084739D"/>
    <w:rsid w:val="00850FDE"/>
    <w:rsid w:val="00851395"/>
    <w:rsid w:val="00851565"/>
    <w:rsid w:val="00852876"/>
    <w:rsid w:val="00854293"/>
    <w:rsid w:val="008543F5"/>
    <w:rsid w:val="00854B3E"/>
    <w:rsid w:val="00854EE4"/>
    <w:rsid w:val="00855004"/>
    <w:rsid w:val="00857152"/>
    <w:rsid w:val="008572C4"/>
    <w:rsid w:val="0085733E"/>
    <w:rsid w:val="0085765A"/>
    <w:rsid w:val="00857F7F"/>
    <w:rsid w:val="008604A8"/>
    <w:rsid w:val="00860E64"/>
    <w:rsid w:val="008616F7"/>
    <w:rsid w:val="00861AFA"/>
    <w:rsid w:val="008637C0"/>
    <w:rsid w:val="00863C61"/>
    <w:rsid w:val="00863D15"/>
    <w:rsid w:val="00864C18"/>
    <w:rsid w:val="00865076"/>
    <w:rsid w:val="0086548E"/>
    <w:rsid w:val="00865522"/>
    <w:rsid w:val="00865A6A"/>
    <w:rsid w:val="00865ADF"/>
    <w:rsid w:val="0086644C"/>
    <w:rsid w:val="008666B5"/>
    <w:rsid w:val="00866917"/>
    <w:rsid w:val="00867201"/>
    <w:rsid w:val="00870186"/>
    <w:rsid w:val="008703B3"/>
    <w:rsid w:val="008712DA"/>
    <w:rsid w:val="00871F13"/>
    <w:rsid w:val="00875695"/>
    <w:rsid w:val="00876985"/>
    <w:rsid w:val="008771AF"/>
    <w:rsid w:val="008808E6"/>
    <w:rsid w:val="008811B9"/>
    <w:rsid w:val="00881300"/>
    <w:rsid w:val="008830AF"/>
    <w:rsid w:val="008834FE"/>
    <w:rsid w:val="008836E6"/>
    <w:rsid w:val="00883780"/>
    <w:rsid w:val="00883B99"/>
    <w:rsid w:val="0088406A"/>
    <w:rsid w:val="00885066"/>
    <w:rsid w:val="00885C22"/>
    <w:rsid w:val="00885F85"/>
    <w:rsid w:val="0088665E"/>
    <w:rsid w:val="00886D64"/>
    <w:rsid w:val="00887F48"/>
    <w:rsid w:val="008902F8"/>
    <w:rsid w:val="00890821"/>
    <w:rsid w:val="008923C8"/>
    <w:rsid w:val="008924B5"/>
    <w:rsid w:val="008927A9"/>
    <w:rsid w:val="0089297F"/>
    <w:rsid w:val="008929BC"/>
    <w:rsid w:val="00893260"/>
    <w:rsid w:val="008932A8"/>
    <w:rsid w:val="00893756"/>
    <w:rsid w:val="00894A9E"/>
    <w:rsid w:val="008950F6"/>
    <w:rsid w:val="008955C0"/>
    <w:rsid w:val="00895FAC"/>
    <w:rsid w:val="00896815"/>
    <w:rsid w:val="00897A07"/>
    <w:rsid w:val="008A0744"/>
    <w:rsid w:val="008A0A6E"/>
    <w:rsid w:val="008A0AA0"/>
    <w:rsid w:val="008A0D0F"/>
    <w:rsid w:val="008A1979"/>
    <w:rsid w:val="008A2FB3"/>
    <w:rsid w:val="008A398B"/>
    <w:rsid w:val="008A4942"/>
    <w:rsid w:val="008A5601"/>
    <w:rsid w:val="008A59AD"/>
    <w:rsid w:val="008A6E44"/>
    <w:rsid w:val="008B09A2"/>
    <w:rsid w:val="008B0EEB"/>
    <w:rsid w:val="008B410B"/>
    <w:rsid w:val="008B431D"/>
    <w:rsid w:val="008B4506"/>
    <w:rsid w:val="008B51FD"/>
    <w:rsid w:val="008B6269"/>
    <w:rsid w:val="008B6766"/>
    <w:rsid w:val="008B70F5"/>
    <w:rsid w:val="008B7186"/>
    <w:rsid w:val="008B7192"/>
    <w:rsid w:val="008C1263"/>
    <w:rsid w:val="008C1939"/>
    <w:rsid w:val="008C3396"/>
    <w:rsid w:val="008C3CBB"/>
    <w:rsid w:val="008C621C"/>
    <w:rsid w:val="008C697C"/>
    <w:rsid w:val="008C6F21"/>
    <w:rsid w:val="008C7448"/>
    <w:rsid w:val="008C75ED"/>
    <w:rsid w:val="008C7649"/>
    <w:rsid w:val="008D1B53"/>
    <w:rsid w:val="008D705E"/>
    <w:rsid w:val="008D7485"/>
    <w:rsid w:val="008E03B0"/>
    <w:rsid w:val="008E0991"/>
    <w:rsid w:val="008E1920"/>
    <w:rsid w:val="008E1F47"/>
    <w:rsid w:val="008E22DA"/>
    <w:rsid w:val="008E2DE7"/>
    <w:rsid w:val="008E338E"/>
    <w:rsid w:val="008E409C"/>
    <w:rsid w:val="008E4F0B"/>
    <w:rsid w:val="008E501D"/>
    <w:rsid w:val="008E57FE"/>
    <w:rsid w:val="008E5ED8"/>
    <w:rsid w:val="008E655B"/>
    <w:rsid w:val="008E75A9"/>
    <w:rsid w:val="008E7862"/>
    <w:rsid w:val="008F095B"/>
    <w:rsid w:val="008F1818"/>
    <w:rsid w:val="008F1BB4"/>
    <w:rsid w:val="008F2281"/>
    <w:rsid w:val="008F2665"/>
    <w:rsid w:val="008F4B47"/>
    <w:rsid w:val="008F507E"/>
    <w:rsid w:val="008F5251"/>
    <w:rsid w:val="008F6376"/>
    <w:rsid w:val="008F6383"/>
    <w:rsid w:val="008F7671"/>
    <w:rsid w:val="00900521"/>
    <w:rsid w:val="00900CC2"/>
    <w:rsid w:val="00901506"/>
    <w:rsid w:val="00901770"/>
    <w:rsid w:val="009017BD"/>
    <w:rsid w:val="009019FB"/>
    <w:rsid w:val="00902AA5"/>
    <w:rsid w:val="009052B7"/>
    <w:rsid w:val="00905B05"/>
    <w:rsid w:val="00906464"/>
    <w:rsid w:val="0090753C"/>
    <w:rsid w:val="0090759D"/>
    <w:rsid w:val="0091156F"/>
    <w:rsid w:val="00911B66"/>
    <w:rsid w:val="00911BBF"/>
    <w:rsid w:val="00911F3E"/>
    <w:rsid w:val="00912A7E"/>
    <w:rsid w:val="009150A5"/>
    <w:rsid w:val="00915330"/>
    <w:rsid w:val="009164DB"/>
    <w:rsid w:val="00916E69"/>
    <w:rsid w:val="00917525"/>
    <w:rsid w:val="0091777D"/>
    <w:rsid w:val="00917C39"/>
    <w:rsid w:val="0092057D"/>
    <w:rsid w:val="00920E3A"/>
    <w:rsid w:val="0092113B"/>
    <w:rsid w:val="009218DE"/>
    <w:rsid w:val="00922D00"/>
    <w:rsid w:val="009233CC"/>
    <w:rsid w:val="009234A9"/>
    <w:rsid w:val="00923F17"/>
    <w:rsid w:val="00925564"/>
    <w:rsid w:val="00925743"/>
    <w:rsid w:val="0092576D"/>
    <w:rsid w:val="00925EBC"/>
    <w:rsid w:val="009266DA"/>
    <w:rsid w:val="00927BAA"/>
    <w:rsid w:val="00927DF5"/>
    <w:rsid w:val="00927F35"/>
    <w:rsid w:val="00930DE8"/>
    <w:rsid w:val="009318DD"/>
    <w:rsid w:val="00931D53"/>
    <w:rsid w:val="0093279B"/>
    <w:rsid w:val="00935282"/>
    <w:rsid w:val="009352C3"/>
    <w:rsid w:val="00935413"/>
    <w:rsid w:val="00935F5D"/>
    <w:rsid w:val="0093669F"/>
    <w:rsid w:val="009368E0"/>
    <w:rsid w:val="00937476"/>
    <w:rsid w:val="009378F1"/>
    <w:rsid w:val="00940179"/>
    <w:rsid w:val="009402D4"/>
    <w:rsid w:val="009419BE"/>
    <w:rsid w:val="0094260B"/>
    <w:rsid w:val="00942661"/>
    <w:rsid w:val="00942842"/>
    <w:rsid w:val="0094318A"/>
    <w:rsid w:val="0094415C"/>
    <w:rsid w:val="00945307"/>
    <w:rsid w:val="0094558D"/>
    <w:rsid w:val="00946262"/>
    <w:rsid w:val="0094697C"/>
    <w:rsid w:val="00946FCE"/>
    <w:rsid w:val="0095083C"/>
    <w:rsid w:val="00950F3B"/>
    <w:rsid w:val="009515BC"/>
    <w:rsid w:val="0095193D"/>
    <w:rsid w:val="0095349A"/>
    <w:rsid w:val="00953782"/>
    <w:rsid w:val="00953B5B"/>
    <w:rsid w:val="00953E1A"/>
    <w:rsid w:val="00953ED0"/>
    <w:rsid w:val="009540D9"/>
    <w:rsid w:val="00954112"/>
    <w:rsid w:val="0095492E"/>
    <w:rsid w:val="00954D28"/>
    <w:rsid w:val="00955282"/>
    <w:rsid w:val="009553E2"/>
    <w:rsid w:val="00955F7D"/>
    <w:rsid w:val="0095699C"/>
    <w:rsid w:val="009576C6"/>
    <w:rsid w:val="0096242F"/>
    <w:rsid w:val="00962B0D"/>
    <w:rsid w:val="00962E3B"/>
    <w:rsid w:val="00962FF5"/>
    <w:rsid w:val="00964117"/>
    <w:rsid w:val="00964953"/>
    <w:rsid w:val="00964A4E"/>
    <w:rsid w:val="00965B02"/>
    <w:rsid w:val="00965C07"/>
    <w:rsid w:val="00965D2D"/>
    <w:rsid w:val="009669FF"/>
    <w:rsid w:val="00970139"/>
    <w:rsid w:val="00970A16"/>
    <w:rsid w:val="00971735"/>
    <w:rsid w:val="00971847"/>
    <w:rsid w:val="00972964"/>
    <w:rsid w:val="00972ECD"/>
    <w:rsid w:val="009739C6"/>
    <w:rsid w:val="00976301"/>
    <w:rsid w:val="00977532"/>
    <w:rsid w:val="00977593"/>
    <w:rsid w:val="0097762F"/>
    <w:rsid w:val="00977C0A"/>
    <w:rsid w:val="00977C91"/>
    <w:rsid w:val="0098030C"/>
    <w:rsid w:val="009816B8"/>
    <w:rsid w:val="0098383F"/>
    <w:rsid w:val="00983B45"/>
    <w:rsid w:val="00983B5C"/>
    <w:rsid w:val="00985DE3"/>
    <w:rsid w:val="00986806"/>
    <w:rsid w:val="0098766F"/>
    <w:rsid w:val="00987768"/>
    <w:rsid w:val="0098782D"/>
    <w:rsid w:val="00987B67"/>
    <w:rsid w:val="00993912"/>
    <w:rsid w:val="00993AC1"/>
    <w:rsid w:val="00994050"/>
    <w:rsid w:val="00995C56"/>
    <w:rsid w:val="009962CF"/>
    <w:rsid w:val="009965BC"/>
    <w:rsid w:val="009969D6"/>
    <w:rsid w:val="0099703A"/>
    <w:rsid w:val="00997377"/>
    <w:rsid w:val="009A2A52"/>
    <w:rsid w:val="009A4543"/>
    <w:rsid w:val="009A4719"/>
    <w:rsid w:val="009A4992"/>
    <w:rsid w:val="009A49BE"/>
    <w:rsid w:val="009A59F4"/>
    <w:rsid w:val="009A5DB1"/>
    <w:rsid w:val="009A6BB2"/>
    <w:rsid w:val="009A7AE5"/>
    <w:rsid w:val="009A7C5A"/>
    <w:rsid w:val="009A7E51"/>
    <w:rsid w:val="009B16B2"/>
    <w:rsid w:val="009B1B6E"/>
    <w:rsid w:val="009B21B9"/>
    <w:rsid w:val="009B26B3"/>
    <w:rsid w:val="009B2FAD"/>
    <w:rsid w:val="009B3EED"/>
    <w:rsid w:val="009B4CD0"/>
    <w:rsid w:val="009B4DA7"/>
    <w:rsid w:val="009B5765"/>
    <w:rsid w:val="009B5D46"/>
    <w:rsid w:val="009B78CC"/>
    <w:rsid w:val="009B7EA3"/>
    <w:rsid w:val="009C21C6"/>
    <w:rsid w:val="009C383B"/>
    <w:rsid w:val="009C3A80"/>
    <w:rsid w:val="009C41EC"/>
    <w:rsid w:val="009C435F"/>
    <w:rsid w:val="009C5238"/>
    <w:rsid w:val="009C6817"/>
    <w:rsid w:val="009D0814"/>
    <w:rsid w:val="009D12B4"/>
    <w:rsid w:val="009D1E70"/>
    <w:rsid w:val="009D2135"/>
    <w:rsid w:val="009D2FA7"/>
    <w:rsid w:val="009D3673"/>
    <w:rsid w:val="009D3857"/>
    <w:rsid w:val="009D3DDF"/>
    <w:rsid w:val="009D4166"/>
    <w:rsid w:val="009D4725"/>
    <w:rsid w:val="009D4746"/>
    <w:rsid w:val="009D4CAE"/>
    <w:rsid w:val="009D55F9"/>
    <w:rsid w:val="009D574E"/>
    <w:rsid w:val="009D5837"/>
    <w:rsid w:val="009D5A11"/>
    <w:rsid w:val="009D765F"/>
    <w:rsid w:val="009D7760"/>
    <w:rsid w:val="009E16E6"/>
    <w:rsid w:val="009E1C0D"/>
    <w:rsid w:val="009E1E62"/>
    <w:rsid w:val="009E1FB1"/>
    <w:rsid w:val="009E2953"/>
    <w:rsid w:val="009E30CE"/>
    <w:rsid w:val="009E4BA2"/>
    <w:rsid w:val="009E4CDF"/>
    <w:rsid w:val="009E6278"/>
    <w:rsid w:val="009F04C3"/>
    <w:rsid w:val="009F0760"/>
    <w:rsid w:val="009F366C"/>
    <w:rsid w:val="009F3B29"/>
    <w:rsid w:val="009F3F25"/>
    <w:rsid w:val="009F4425"/>
    <w:rsid w:val="009F4860"/>
    <w:rsid w:val="009F54DA"/>
    <w:rsid w:val="009F6AA7"/>
    <w:rsid w:val="00A00057"/>
    <w:rsid w:val="00A00485"/>
    <w:rsid w:val="00A011F2"/>
    <w:rsid w:val="00A01A5F"/>
    <w:rsid w:val="00A021B2"/>
    <w:rsid w:val="00A025AC"/>
    <w:rsid w:val="00A02C96"/>
    <w:rsid w:val="00A02E65"/>
    <w:rsid w:val="00A0340A"/>
    <w:rsid w:val="00A03BA5"/>
    <w:rsid w:val="00A0440C"/>
    <w:rsid w:val="00A047AE"/>
    <w:rsid w:val="00A04C82"/>
    <w:rsid w:val="00A0585F"/>
    <w:rsid w:val="00A05DF7"/>
    <w:rsid w:val="00A0677C"/>
    <w:rsid w:val="00A0692B"/>
    <w:rsid w:val="00A0694A"/>
    <w:rsid w:val="00A077AC"/>
    <w:rsid w:val="00A07A33"/>
    <w:rsid w:val="00A101A1"/>
    <w:rsid w:val="00A10A30"/>
    <w:rsid w:val="00A10C7E"/>
    <w:rsid w:val="00A1137C"/>
    <w:rsid w:val="00A113D7"/>
    <w:rsid w:val="00A119E5"/>
    <w:rsid w:val="00A11F0F"/>
    <w:rsid w:val="00A12456"/>
    <w:rsid w:val="00A12AEC"/>
    <w:rsid w:val="00A12C73"/>
    <w:rsid w:val="00A146C8"/>
    <w:rsid w:val="00A15608"/>
    <w:rsid w:val="00A16126"/>
    <w:rsid w:val="00A165DB"/>
    <w:rsid w:val="00A16700"/>
    <w:rsid w:val="00A17ADB"/>
    <w:rsid w:val="00A20043"/>
    <w:rsid w:val="00A2083D"/>
    <w:rsid w:val="00A21C6C"/>
    <w:rsid w:val="00A22B47"/>
    <w:rsid w:val="00A2365A"/>
    <w:rsid w:val="00A24133"/>
    <w:rsid w:val="00A24816"/>
    <w:rsid w:val="00A24B81"/>
    <w:rsid w:val="00A24CAF"/>
    <w:rsid w:val="00A262BF"/>
    <w:rsid w:val="00A2676D"/>
    <w:rsid w:val="00A27809"/>
    <w:rsid w:val="00A30533"/>
    <w:rsid w:val="00A307F1"/>
    <w:rsid w:val="00A30DDE"/>
    <w:rsid w:val="00A31170"/>
    <w:rsid w:val="00A313CE"/>
    <w:rsid w:val="00A317B0"/>
    <w:rsid w:val="00A31BF6"/>
    <w:rsid w:val="00A34591"/>
    <w:rsid w:val="00A34E44"/>
    <w:rsid w:val="00A35B8F"/>
    <w:rsid w:val="00A3640F"/>
    <w:rsid w:val="00A3724F"/>
    <w:rsid w:val="00A37ECF"/>
    <w:rsid w:val="00A40CE2"/>
    <w:rsid w:val="00A413D6"/>
    <w:rsid w:val="00A41D0F"/>
    <w:rsid w:val="00A41E33"/>
    <w:rsid w:val="00A4284D"/>
    <w:rsid w:val="00A42E58"/>
    <w:rsid w:val="00A42FAE"/>
    <w:rsid w:val="00A43553"/>
    <w:rsid w:val="00A446E3"/>
    <w:rsid w:val="00A448FE"/>
    <w:rsid w:val="00A45311"/>
    <w:rsid w:val="00A4551D"/>
    <w:rsid w:val="00A4588F"/>
    <w:rsid w:val="00A45A8C"/>
    <w:rsid w:val="00A47176"/>
    <w:rsid w:val="00A475C5"/>
    <w:rsid w:val="00A4768C"/>
    <w:rsid w:val="00A500ED"/>
    <w:rsid w:val="00A50A68"/>
    <w:rsid w:val="00A50D3B"/>
    <w:rsid w:val="00A50E38"/>
    <w:rsid w:val="00A510C6"/>
    <w:rsid w:val="00A518AA"/>
    <w:rsid w:val="00A51FDF"/>
    <w:rsid w:val="00A525E7"/>
    <w:rsid w:val="00A52F9E"/>
    <w:rsid w:val="00A539ED"/>
    <w:rsid w:val="00A557D8"/>
    <w:rsid w:val="00A55E11"/>
    <w:rsid w:val="00A56348"/>
    <w:rsid w:val="00A5703F"/>
    <w:rsid w:val="00A570B1"/>
    <w:rsid w:val="00A57C3E"/>
    <w:rsid w:val="00A57D39"/>
    <w:rsid w:val="00A57D77"/>
    <w:rsid w:val="00A602C4"/>
    <w:rsid w:val="00A60330"/>
    <w:rsid w:val="00A61825"/>
    <w:rsid w:val="00A6316B"/>
    <w:rsid w:val="00A63480"/>
    <w:rsid w:val="00A63ABD"/>
    <w:rsid w:val="00A65316"/>
    <w:rsid w:val="00A674FF"/>
    <w:rsid w:val="00A70F69"/>
    <w:rsid w:val="00A716D4"/>
    <w:rsid w:val="00A72611"/>
    <w:rsid w:val="00A73ABB"/>
    <w:rsid w:val="00A75077"/>
    <w:rsid w:val="00A751A1"/>
    <w:rsid w:val="00A75891"/>
    <w:rsid w:val="00A76D2C"/>
    <w:rsid w:val="00A77746"/>
    <w:rsid w:val="00A806AA"/>
    <w:rsid w:val="00A830E0"/>
    <w:rsid w:val="00A83BF6"/>
    <w:rsid w:val="00A83F75"/>
    <w:rsid w:val="00A84551"/>
    <w:rsid w:val="00A84BAC"/>
    <w:rsid w:val="00A87B04"/>
    <w:rsid w:val="00A87B4F"/>
    <w:rsid w:val="00A87F31"/>
    <w:rsid w:val="00A904FF"/>
    <w:rsid w:val="00A90D27"/>
    <w:rsid w:val="00A9103B"/>
    <w:rsid w:val="00A91284"/>
    <w:rsid w:val="00A918A7"/>
    <w:rsid w:val="00A92871"/>
    <w:rsid w:val="00A92C40"/>
    <w:rsid w:val="00A93636"/>
    <w:rsid w:val="00A955EB"/>
    <w:rsid w:val="00A9591E"/>
    <w:rsid w:val="00AA0354"/>
    <w:rsid w:val="00AA0424"/>
    <w:rsid w:val="00AA0B6C"/>
    <w:rsid w:val="00AA1F49"/>
    <w:rsid w:val="00AA1F95"/>
    <w:rsid w:val="00AA3A2E"/>
    <w:rsid w:val="00AA3BB3"/>
    <w:rsid w:val="00AA4099"/>
    <w:rsid w:val="00AA4D5A"/>
    <w:rsid w:val="00AA6913"/>
    <w:rsid w:val="00AA7C89"/>
    <w:rsid w:val="00AB0004"/>
    <w:rsid w:val="00AB1ABD"/>
    <w:rsid w:val="00AB1EAB"/>
    <w:rsid w:val="00AB2190"/>
    <w:rsid w:val="00AB39EB"/>
    <w:rsid w:val="00AB3EA7"/>
    <w:rsid w:val="00AB3F27"/>
    <w:rsid w:val="00AB3FD9"/>
    <w:rsid w:val="00AB4FCD"/>
    <w:rsid w:val="00AB6071"/>
    <w:rsid w:val="00AB65F2"/>
    <w:rsid w:val="00AB7DE7"/>
    <w:rsid w:val="00AC01D4"/>
    <w:rsid w:val="00AC03AB"/>
    <w:rsid w:val="00AC04F5"/>
    <w:rsid w:val="00AC0650"/>
    <w:rsid w:val="00AC0864"/>
    <w:rsid w:val="00AC0AD8"/>
    <w:rsid w:val="00AC1BE7"/>
    <w:rsid w:val="00AC275F"/>
    <w:rsid w:val="00AC3445"/>
    <w:rsid w:val="00AC3EE4"/>
    <w:rsid w:val="00AC50A4"/>
    <w:rsid w:val="00AC5A95"/>
    <w:rsid w:val="00AC6074"/>
    <w:rsid w:val="00AC635B"/>
    <w:rsid w:val="00AC6471"/>
    <w:rsid w:val="00AD0207"/>
    <w:rsid w:val="00AD0683"/>
    <w:rsid w:val="00AD15B6"/>
    <w:rsid w:val="00AD1751"/>
    <w:rsid w:val="00AD232F"/>
    <w:rsid w:val="00AD2B6E"/>
    <w:rsid w:val="00AD340D"/>
    <w:rsid w:val="00AD3443"/>
    <w:rsid w:val="00AD3E9B"/>
    <w:rsid w:val="00AD4447"/>
    <w:rsid w:val="00AD4B3C"/>
    <w:rsid w:val="00AD5588"/>
    <w:rsid w:val="00AD59CF"/>
    <w:rsid w:val="00AD66C0"/>
    <w:rsid w:val="00AD68A5"/>
    <w:rsid w:val="00AD7C55"/>
    <w:rsid w:val="00AE185D"/>
    <w:rsid w:val="00AE1BFE"/>
    <w:rsid w:val="00AE22F5"/>
    <w:rsid w:val="00AE3842"/>
    <w:rsid w:val="00AE3B47"/>
    <w:rsid w:val="00AE3D83"/>
    <w:rsid w:val="00AE4207"/>
    <w:rsid w:val="00AE4242"/>
    <w:rsid w:val="00AE4374"/>
    <w:rsid w:val="00AE466A"/>
    <w:rsid w:val="00AE47E9"/>
    <w:rsid w:val="00AE485C"/>
    <w:rsid w:val="00AE6F21"/>
    <w:rsid w:val="00AE7D4F"/>
    <w:rsid w:val="00AE7FE4"/>
    <w:rsid w:val="00AF0117"/>
    <w:rsid w:val="00AF1277"/>
    <w:rsid w:val="00AF134F"/>
    <w:rsid w:val="00AF17D3"/>
    <w:rsid w:val="00AF1D77"/>
    <w:rsid w:val="00AF1E50"/>
    <w:rsid w:val="00AF38BA"/>
    <w:rsid w:val="00AF44AF"/>
    <w:rsid w:val="00AF497E"/>
    <w:rsid w:val="00AF4F67"/>
    <w:rsid w:val="00AF5481"/>
    <w:rsid w:val="00AF5811"/>
    <w:rsid w:val="00AF6056"/>
    <w:rsid w:val="00AF6509"/>
    <w:rsid w:val="00B004EE"/>
    <w:rsid w:val="00B00BBE"/>
    <w:rsid w:val="00B018AF"/>
    <w:rsid w:val="00B0196E"/>
    <w:rsid w:val="00B0456E"/>
    <w:rsid w:val="00B063DA"/>
    <w:rsid w:val="00B06451"/>
    <w:rsid w:val="00B064C1"/>
    <w:rsid w:val="00B06A05"/>
    <w:rsid w:val="00B06BF6"/>
    <w:rsid w:val="00B06F7F"/>
    <w:rsid w:val="00B100F0"/>
    <w:rsid w:val="00B11AA9"/>
    <w:rsid w:val="00B12E5F"/>
    <w:rsid w:val="00B1402E"/>
    <w:rsid w:val="00B142FD"/>
    <w:rsid w:val="00B14865"/>
    <w:rsid w:val="00B151CA"/>
    <w:rsid w:val="00B1611D"/>
    <w:rsid w:val="00B20B8B"/>
    <w:rsid w:val="00B219BC"/>
    <w:rsid w:val="00B21A6C"/>
    <w:rsid w:val="00B21D50"/>
    <w:rsid w:val="00B229BE"/>
    <w:rsid w:val="00B22F9B"/>
    <w:rsid w:val="00B23747"/>
    <w:rsid w:val="00B23E0A"/>
    <w:rsid w:val="00B24090"/>
    <w:rsid w:val="00B257E3"/>
    <w:rsid w:val="00B260AB"/>
    <w:rsid w:val="00B260C7"/>
    <w:rsid w:val="00B26DA4"/>
    <w:rsid w:val="00B27494"/>
    <w:rsid w:val="00B279B9"/>
    <w:rsid w:val="00B27BFD"/>
    <w:rsid w:val="00B307CA"/>
    <w:rsid w:val="00B307E4"/>
    <w:rsid w:val="00B30FD0"/>
    <w:rsid w:val="00B32E86"/>
    <w:rsid w:val="00B34ADB"/>
    <w:rsid w:val="00B34F48"/>
    <w:rsid w:val="00B35E30"/>
    <w:rsid w:val="00B36AAA"/>
    <w:rsid w:val="00B36CB3"/>
    <w:rsid w:val="00B43CB6"/>
    <w:rsid w:val="00B45DF2"/>
    <w:rsid w:val="00B47E15"/>
    <w:rsid w:val="00B47E28"/>
    <w:rsid w:val="00B50C13"/>
    <w:rsid w:val="00B51BA0"/>
    <w:rsid w:val="00B5208C"/>
    <w:rsid w:val="00B535BD"/>
    <w:rsid w:val="00B53701"/>
    <w:rsid w:val="00B54311"/>
    <w:rsid w:val="00B5509D"/>
    <w:rsid w:val="00B55556"/>
    <w:rsid w:val="00B564F0"/>
    <w:rsid w:val="00B56A26"/>
    <w:rsid w:val="00B573E6"/>
    <w:rsid w:val="00B6110A"/>
    <w:rsid w:val="00B611FA"/>
    <w:rsid w:val="00B6176A"/>
    <w:rsid w:val="00B6301A"/>
    <w:rsid w:val="00B63B75"/>
    <w:rsid w:val="00B63EBF"/>
    <w:rsid w:val="00B6477D"/>
    <w:rsid w:val="00B64799"/>
    <w:rsid w:val="00B64CAD"/>
    <w:rsid w:val="00B651FA"/>
    <w:rsid w:val="00B657E4"/>
    <w:rsid w:val="00B65A1D"/>
    <w:rsid w:val="00B65F38"/>
    <w:rsid w:val="00B66751"/>
    <w:rsid w:val="00B66B7C"/>
    <w:rsid w:val="00B66CD7"/>
    <w:rsid w:val="00B6730C"/>
    <w:rsid w:val="00B67AA6"/>
    <w:rsid w:val="00B704AB"/>
    <w:rsid w:val="00B7066C"/>
    <w:rsid w:val="00B7090E"/>
    <w:rsid w:val="00B717D8"/>
    <w:rsid w:val="00B718E0"/>
    <w:rsid w:val="00B72466"/>
    <w:rsid w:val="00B72ABB"/>
    <w:rsid w:val="00B72C12"/>
    <w:rsid w:val="00B72DF3"/>
    <w:rsid w:val="00B74146"/>
    <w:rsid w:val="00B74283"/>
    <w:rsid w:val="00B747A3"/>
    <w:rsid w:val="00B75A27"/>
    <w:rsid w:val="00B75E52"/>
    <w:rsid w:val="00B76398"/>
    <w:rsid w:val="00B76F6C"/>
    <w:rsid w:val="00B8080B"/>
    <w:rsid w:val="00B80FBE"/>
    <w:rsid w:val="00B811EF"/>
    <w:rsid w:val="00B81568"/>
    <w:rsid w:val="00B81E90"/>
    <w:rsid w:val="00B822BC"/>
    <w:rsid w:val="00B82F50"/>
    <w:rsid w:val="00B8310D"/>
    <w:rsid w:val="00B831B9"/>
    <w:rsid w:val="00B8369B"/>
    <w:rsid w:val="00B840FB"/>
    <w:rsid w:val="00B85562"/>
    <w:rsid w:val="00B85C99"/>
    <w:rsid w:val="00B866AA"/>
    <w:rsid w:val="00B86EB0"/>
    <w:rsid w:val="00B86EF1"/>
    <w:rsid w:val="00B90244"/>
    <w:rsid w:val="00B90674"/>
    <w:rsid w:val="00B90AF1"/>
    <w:rsid w:val="00B91FFF"/>
    <w:rsid w:val="00B934E3"/>
    <w:rsid w:val="00B93F29"/>
    <w:rsid w:val="00B94323"/>
    <w:rsid w:val="00B9436D"/>
    <w:rsid w:val="00B94444"/>
    <w:rsid w:val="00B9566B"/>
    <w:rsid w:val="00B95F92"/>
    <w:rsid w:val="00B961B7"/>
    <w:rsid w:val="00B963D4"/>
    <w:rsid w:val="00B968D7"/>
    <w:rsid w:val="00B9716E"/>
    <w:rsid w:val="00B9772B"/>
    <w:rsid w:val="00BA23FA"/>
    <w:rsid w:val="00BA2DEF"/>
    <w:rsid w:val="00BA32A0"/>
    <w:rsid w:val="00BA35F2"/>
    <w:rsid w:val="00BA3A94"/>
    <w:rsid w:val="00BA42FB"/>
    <w:rsid w:val="00BA4768"/>
    <w:rsid w:val="00BA4861"/>
    <w:rsid w:val="00BA4A92"/>
    <w:rsid w:val="00BA516F"/>
    <w:rsid w:val="00BA628C"/>
    <w:rsid w:val="00BA68F9"/>
    <w:rsid w:val="00BA6C5C"/>
    <w:rsid w:val="00BA7059"/>
    <w:rsid w:val="00BB0051"/>
    <w:rsid w:val="00BB02C6"/>
    <w:rsid w:val="00BB0EA7"/>
    <w:rsid w:val="00BB1082"/>
    <w:rsid w:val="00BB2127"/>
    <w:rsid w:val="00BB3805"/>
    <w:rsid w:val="00BB4589"/>
    <w:rsid w:val="00BB52A5"/>
    <w:rsid w:val="00BB56D6"/>
    <w:rsid w:val="00BB5893"/>
    <w:rsid w:val="00BB58B9"/>
    <w:rsid w:val="00BB5E8C"/>
    <w:rsid w:val="00BB6740"/>
    <w:rsid w:val="00BB7EA1"/>
    <w:rsid w:val="00BB7F81"/>
    <w:rsid w:val="00BC0A69"/>
    <w:rsid w:val="00BC1704"/>
    <w:rsid w:val="00BC269B"/>
    <w:rsid w:val="00BC26E1"/>
    <w:rsid w:val="00BC27D2"/>
    <w:rsid w:val="00BC299D"/>
    <w:rsid w:val="00BC5EAB"/>
    <w:rsid w:val="00BC6D0F"/>
    <w:rsid w:val="00BC72BF"/>
    <w:rsid w:val="00BD0EB0"/>
    <w:rsid w:val="00BD1551"/>
    <w:rsid w:val="00BD35E1"/>
    <w:rsid w:val="00BD3A56"/>
    <w:rsid w:val="00BD3BE0"/>
    <w:rsid w:val="00BD3C95"/>
    <w:rsid w:val="00BD43CA"/>
    <w:rsid w:val="00BD4427"/>
    <w:rsid w:val="00BD498E"/>
    <w:rsid w:val="00BD54FC"/>
    <w:rsid w:val="00BD5EF1"/>
    <w:rsid w:val="00BD63C3"/>
    <w:rsid w:val="00BD67CE"/>
    <w:rsid w:val="00BD7070"/>
    <w:rsid w:val="00BD76A4"/>
    <w:rsid w:val="00BE0186"/>
    <w:rsid w:val="00BE14A0"/>
    <w:rsid w:val="00BE1C8A"/>
    <w:rsid w:val="00BE2B75"/>
    <w:rsid w:val="00BE3641"/>
    <w:rsid w:val="00BE3D9C"/>
    <w:rsid w:val="00BE4857"/>
    <w:rsid w:val="00BE50A2"/>
    <w:rsid w:val="00BE5847"/>
    <w:rsid w:val="00BE5BE0"/>
    <w:rsid w:val="00BE5D1D"/>
    <w:rsid w:val="00BE697B"/>
    <w:rsid w:val="00BE6C7B"/>
    <w:rsid w:val="00BE70E8"/>
    <w:rsid w:val="00BF025E"/>
    <w:rsid w:val="00BF0E76"/>
    <w:rsid w:val="00BF19DC"/>
    <w:rsid w:val="00BF2B3E"/>
    <w:rsid w:val="00BF2DAF"/>
    <w:rsid w:val="00BF4E1B"/>
    <w:rsid w:val="00BF5AB9"/>
    <w:rsid w:val="00C00B55"/>
    <w:rsid w:val="00C00BFF"/>
    <w:rsid w:val="00C00E35"/>
    <w:rsid w:val="00C01083"/>
    <w:rsid w:val="00C0304E"/>
    <w:rsid w:val="00C034AB"/>
    <w:rsid w:val="00C03B97"/>
    <w:rsid w:val="00C0480F"/>
    <w:rsid w:val="00C04C9A"/>
    <w:rsid w:val="00C04FAB"/>
    <w:rsid w:val="00C052FF"/>
    <w:rsid w:val="00C05D8E"/>
    <w:rsid w:val="00C10008"/>
    <w:rsid w:val="00C1043C"/>
    <w:rsid w:val="00C105B2"/>
    <w:rsid w:val="00C106CF"/>
    <w:rsid w:val="00C10D90"/>
    <w:rsid w:val="00C11052"/>
    <w:rsid w:val="00C11D1B"/>
    <w:rsid w:val="00C12328"/>
    <w:rsid w:val="00C12A51"/>
    <w:rsid w:val="00C12C65"/>
    <w:rsid w:val="00C12CD1"/>
    <w:rsid w:val="00C13986"/>
    <w:rsid w:val="00C13C32"/>
    <w:rsid w:val="00C143BB"/>
    <w:rsid w:val="00C15494"/>
    <w:rsid w:val="00C1591E"/>
    <w:rsid w:val="00C15EE8"/>
    <w:rsid w:val="00C164F8"/>
    <w:rsid w:val="00C173EE"/>
    <w:rsid w:val="00C17C2E"/>
    <w:rsid w:val="00C20D36"/>
    <w:rsid w:val="00C20D91"/>
    <w:rsid w:val="00C21038"/>
    <w:rsid w:val="00C21DD4"/>
    <w:rsid w:val="00C220D6"/>
    <w:rsid w:val="00C2286B"/>
    <w:rsid w:val="00C2396B"/>
    <w:rsid w:val="00C242E4"/>
    <w:rsid w:val="00C25B15"/>
    <w:rsid w:val="00C26865"/>
    <w:rsid w:val="00C26E53"/>
    <w:rsid w:val="00C2785F"/>
    <w:rsid w:val="00C30BA6"/>
    <w:rsid w:val="00C31467"/>
    <w:rsid w:val="00C31B3A"/>
    <w:rsid w:val="00C33AA2"/>
    <w:rsid w:val="00C33F0C"/>
    <w:rsid w:val="00C34CCB"/>
    <w:rsid w:val="00C34D57"/>
    <w:rsid w:val="00C35515"/>
    <w:rsid w:val="00C35807"/>
    <w:rsid w:val="00C35A13"/>
    <w:rsid w:val="00C35A4B"/>
    <w:rsid w:val="00C35B52"/>
    <w:rsid w:val="00C35E79"/>
    <w:rsid w:val="00C36696"/>
    <w:rsid w:val="00C36720"/>
    <w:rsid w:val="00C36777"/>
    <w:rsid w:val="00C37518"/>
    <w:rsid w:val="00C37F00"/>
    <w:rsid w:val="00C40027"/>
    <w:rsid w:val="00C402C4"/>
    <w:rsid w:val="00C40FCB"/>
    <w:rsid w:val="00C412A5"/>
    <w:rsid w:val="00C414E4"/>
    <w:rsid w:val="00C421C9"/>
    <w:rsid w:val="00C42A3A"/>
    <w:rsid w:val="00C437C6"/>
    <w:rsid w:val="00C4517F"/>
    <w:rsid w:val="00C45232"/>
    <w:rsid w:val="00C46C39"/>
    <w:rsid w:val="00C46E94"/>
    <w:rsid w:val="00C4713F"/>
    <w:rsid w:val="00C51115"/>
    <w:rsid w:val="00C51509"/>
    <w:rsid w:val="00C5190B"/>
    <w:rsid w:val="00C52097"/>
    <w:rsid w:val="00C52BA5"/>
    <w:rsid w:val="00C52F47"/>
    <w:rsid w:val="00C53323"/>
    <w:rsid w:val="00C53F77"/>
    <w:rsid w:val="00C54B1C"/>
    <w:rsid w:val="00C54D8C"/>
    <w:rsid w:val="00C5560E"/>
    <w:rsid w:val="00C57493"/>
    <w:rsid w:val="00C601A5"/>
    <w:rsid w:val="00C601DE"/>
    <w:rsid w:val="00C60334"/>
    <w:rsid w:val="00C605E6"/>
    <w:rsid w:val="00C60A3A"/>
    <w:rsid w:val="00C61360"/>
    <w:rsid w:val="00C62A2B"/>
    <w:rsid w:val="00C64387"/>
    <w:rsid w:val="00C64603"/>
    <w:rsid w:val="00C64C88"/>
    <w:rsid w:val="00C64D07"/>
    <w:rsid w:val="00C651B0"/>
    <w:rsid w:val="00C66CEF"/>
    <w:rsid w:val="00C670FE"/>
    <w:rsid w:val="00C679FB"/>
    <w:rsid w:val="00C70C96"/>
    <w:rsid w:val="00C71087"/>
    <w:rsid w:val="00C71278"/>
    <w:rsid w:val="00C71E3C"/>
    <w:rsid w:val="00C73077"/>
    <w:rsid w:val="00C73C17"/>
    <w:rsid w:val="00C75492"/>
    <w:rsid w:val="00C7664E"/>
    <w:rsid w:val="00C77C78"/>
    <w:rsid w:val="00C807E5"/>
    <w:rsid w:val="00C8146C"/>
    <w:rsid w:val="00C81FC3"/>
    <w:rsid w:val="00C8231E"/>
    <w:rsid w:val="00C82BA3"/>
    <w:rsid w:val="00C84543"/>
    <w:rsid w:val="00C846DD"/>
    <w:rsid w:val="00C85C7A"/>
    <w:rsid w:val="00C85CA6"/>
    <w:rsid w:val="00C85FC2"/>
    <w:rsid w:val="00C873DA"/>
    <w:rsid w:val="00C90A7F"/>
    <w:rsid w:val="00C9147E"/>
    <w:rsid w:val="00C91816"/>
    <w:rsid w:val="00C925ED"/>
    <w:rsid w:val="00C92603"/>
    <w:rsid w:val="00C9339F"/>
    <w:rsid w:val="00C953E6"/>
    <w:rsid w:val="00C96596"/>
    <w:rsid w:val="00C96618"/>
    <w:rsid w:val="00C96937"/>
    <w:rsid w:val="00C96A10"/>
    <w:rsid w:val="00C9753B"/>
    <w:rsid w:val="00CA0C87"/>
    <w:rsid w:val="00CA1144"/>
    <w:rsid w:val="00CA117C"/>
    <w:rsid w:val="00CA13E3"/>
    <w:rsid w:val="00CA19CD"/>
    <w:rsid w:val="00CA1F28"/>
    <w:rsid w:val="00CA20F3"/>
    <w:rsid w:val="00CA2747"/>
    <w:rsid w:val="00CA4A62"/>
    <w:rsid w:val="00CA5405"/>
    <w:rsid w:val="00CA561E"/>
    <w:rsid w:val="00CA5B58"/>
    <w:rsid w:val="00CA659E"/>
    <w:rsid w:val="00CA6A39"/>
    <w:rsid w:val="00CA7DAD"/>
    <w:rsid w:val="00CB04CD"/>
    <w:rsid w:val="00CB0F31"/>
    <w:rsid w:val="00CB23DD"/>
    <w:rsid w:val="00CB2757"/>
    <w:rsid w:val="00CB2FE7"/>
    <w:rsid w:val="00CB3B57"/>
    <w:rsid w:val="00CB42AE"/>
    <w:rsid w:val="00CB5100"/>
    <w:rsid w:val="00CB5D7A"/>
    <w:rsid w:val="00CB6768"/>
    <w:rsid w:val="00CB6EE6"/>
    <w:rsid w:val="00CB6F07"/>
    <w:rsid w:val="00CB768F"/>
    <w:rsid w:val="00CB7D55"/>
    <w:rsid w:val="00CC0178"/>
    <w:rsid w:val="00CC0848"/>
    <w:rsid w:val="00CC17DB"/>
    <w:rsid w:val="00CC2307"/>
    <w:rsid w:val="00CC25FD"/>
    <w:rsid w:val="00CC2F01"/>
    <w:rsid w:val="00CC497F"/>
    <w:rsid w:val="00CC510B"/>
    <w:rsid w:val="00CC586C"/>
    <w:rsid w:val="00CC6453"/>
    <w:rsid w:val="00CC68C1"/>
    <w:rsid w:val="00CC6BFE"/>
    <w:rsid w:val="00CC70D6"/>
    <w:rsid w:val="00CC736D"/>
    <w:rsid w:val="00CD080F"/>
    <w:rsid w:val="00CD1CF0"/>
    <w:rsid w:val="00CD27F4"/>
    <w:rsid w:val="00CD2B9D"/>
    <w:rsid w:val="00CD2D8A"/>
    <w:rsid w:val="00CD31EA"/>
    <w:rsid w:val="00CD3E1E"/>
    <w:rsid w:val="00CD4865"/>
    <w:rsid w:val="00CD4B6F"/>
    <w:rsid w:val="00CD6174"/>
    <w:rsid w:val="00CD692F"/>
    <w:rsid w:val="00CE0392"/>
    <w:rsid w:val="00CE0790"/>
    <w:rsid w:val="00CE2303"/>
    <w:rsid w:val="00CE49C3"/>
    <w:rsid w:val="00CE4F26"/>
    <w:rsid w:val="00CE5225"/>
    <w:rsid w:val="00CE5481"/>
    <w:rsid w:val="00CE5866"/>
    <w:rsid w:val="00CE6D78"/>
    <w:rsid w:val="00CF003F"/>
    <w:rsid w:val="00CF0045"/>
    <w:rsid w:val="00CF018A"/>
    <w:rsid w:val="00CF0E9B"/>
    <w:rsid w:val="00CF145E"/>
    <w:rsid w:val="00CF17B5"/>
    <w:rsid w:val="00CF2278"/>
    <w:rsid w:val="00CF29A5"/>
    <w:rsid w:val="00CF3EE2"/>
    <w:rsid w:val="00CF5301"/>
    <w:rsid w:val="00CF7194"/>
    <w:rsid w:val="00CF74AE"/>
    <w:rsid w:val="00CF7519"/>
    <w:rsid w:val="00CF7C90"/>
    <w:rsid w:val="00CF7EA0"/>
    <w:rsid w:val="00D000E5"/>
    <w:rsid w:val="00D00600"/>
    <w:rsid w:val="00D00A29"/>
    <w:rsid w:val="00D00BCC"/>
    <w:rsid w:val="00D02612"/>
    <w:rsid w:val="00D0329F"/>
    <w:rsid w:val="00D03B55"/>
    <w:rsid w:val="00D04372"/>
    <w:rsid w:val="00D04F9C"/>
    <w:rsid w:val="00D05DB1"/>
    <w:rsid w:val="00D0606C"/>
    <w:rsid w:val="00D06299"/>
    <w:rsid w:val="00D07847"/>
    <w:rsid w:val="00D07C20"/>
    <w:rsid w:val="00D1045D"/>
    <w:rsid w:val="00D1160C"/>
    <w:rsid w:val="00D133AA"/>
    <w:rsid w:val="00D13B0B"/>
    <w:rsid w:val="00D13CCF"/>
    <w:rsid w:val="00D14CF7"/>
    <w:rsid w:val="00D1576E"/>
    <w:rsid w:val="00D15BBC"/>
    <w:rsid w:val="00D15E67"/>
    <w:rsid w:val="00D16950"/>
    <w:rsid w:val="00D169E3"/>
    <w:rsid w:val="00D17649"/>
    <w:rsid w:val="00D2080D"/>
    <w:rsid w:val="00D20ABB"/>
    <w:rsid w:val="00D2132D"/>
    <w:rsid w:val="00D2398A"/>
    <w:rsid w:val="00D24801"/>
    <w:rsid w:val="00D24AD7"/>
    <w:rsid w:val="00D24AEE"/>
    <w:rsid w:val="00D25315"/>
    <w:rsid w:val="00D2563F"/>
    <w:rsid w:val="00D262CF"/>
    <w:rsid w:val="00D26A33"/>
    <w:rsid w:val="00D300C8"/>
    <w:rsid w:val="00D3073E"/>
    <w:rsid w:val="00D31676"/>
    <w:rsid w:val="00D316C8"/>
    <w:rsid w:val="00D31974"/>
    <w:rsid w:val="00D32B7D"/>
    <w:rsid w:val="00D32D84"/>
    <w:rsid w:val="00D337D5"/>
    <w:rsid w:val="00D33FB9"/>
    <w:rsid w:val="00D34817"/>
    <w:rsid w:val="00D365BB"/>
    <w:rsid w:val="00D36B41"/>
    <w:rsid w:val="00D373C9"/>
    <w:rsid w:val="00D3795A"/>
    <w:rsid w:val="00D37AB5"/>
    <w:rsid w:val="00D400A3"/>
    <w:rsid w:val="00D40699"/>
    <w:rsid w:val="00D40C74"/>
    <w:rsid w:val="00D43282"/>
    <w:rsid w:val="00D43CA0"/>
    <w:rsid w:val="00D43EA4"/>
    <w:rsid w:val="00D44375"/>
    <w:rsid w:val="00D44508"/>
    <w:rsid w:val="00D44C9E"/>
    <w:rsid w:val="00D44FD7"/>
    <w:rsid w:val="00D458EF"/>
    <w:rsid w:val="00D462A9"/>
    <w:rsid w:val="00D47810"/>
    <w:rsid w:val="00D509BF"/>
    <w:rsid w:val="00D5128E"/>
    <w:rsid w:val="00D52FD0"/>
    <w:rsid w:val="00D5321E"/>
    <w:rsid w:val="00D537BD"/>
    <w:rsid w:val="00D54385"/>
    <w:rsid w:val="00D55C22"/>
    <w:rsid w:val="00D56B2F"/>
    <w:rsid w:val="00D579F2"/>
    <w:rsid w:val="00D606D9"/>
    <w:rsid w:val="00D6108C"/>
    <w:rsid w:val="00D6259C"/>
    <w:rsid w:val="00D63477"/>
    <w:rsid w:val="00D63B91"/>
    <w:rsid w:val="00D6400B"/>
    <w:rsid w:val="00D64A4A"/>
    <w:rsid w:val="00D65526"/>
    <w:rsid w:val="00D6679C"/>
    <w:rsid w:val="00D66D8C"/>
    <w:rsid w:val="00D70595"/>
    <w:rsid w:val="00D712F5"/>
    <w:rsid w:val="00D7255B"/>
    <w:rsid w:val="00D72F5D"/>
    <w:rsid w:val="00D7370C"/>
    <w:rsid w:val="00D73EE6"/>
    <w:rsid w:val="00D73EF1"/>
    <w:rsid w:val="00D74185"/>
    <w:rsid w:val="00D742D2"/>
    <w:rsid w:val="00D744DC"/>
    <w:rsid w:val="00D74556"/>
    <w:rsid w:val="00D75CF7"/>
    <w:rsid w:val="00D75F59"/>
    <w:rsid w:val="00D776C3"/>
    <w:rsid w:val="00D80074"/>
    <w:rsid w:val="00D80153"/>
    <w:rsid w:val="00D8142F"/>
    <w:rsid w:val="00D814BC"/>
    <w:rsid w:val="00D81AC7"/>
    <w:rsid w:val="00D83A92"/>
    <w:rsid w:val="00D83E45"/>
    <w:rsid w:val="00D83F32"/>
    <w:rsid w:val="00D842CD"/>
    <w:rsid w:val="00D8495C"/>
    <w:rsid w:val="00D86737"/>
    <w:rsid w:val="00D8696A"/>
    <w:rsid w:val="00D86A0B"/>
    <w:rsid w:val="00D87BB8"/>
    <w:rsid w:val="00D90419"/>
    <w:rsid w:val="00D90551"/>
    <w:rsid w:val="00D90F5A"/>
    <w:rsid w:val="00D9153B"/>
    <w:rsid w:val="00D9160A"/>
    <w:rsid w:val="00D929D8"/>
    <w:rsid w:val="00D9354A"/>
    <w:rsid w:val="00D942EF"/>
    <w:rsid w:val="00D943E6"/>
    <w:rsid w:val="00D94864"/>
    <w:rsid w:val="00D94FB8"/>
    <w:rsid w:val="00D95903"/>
    <w:rsid w:val="00D95A39"/>
    <w:rsid w:val="00D95D78"/>
    <w:rsid w:val="00D95DBF"/>
    <w:rsid w:val="00D96011"/>
    <w:rsid w:val="00D9750B"/>
    <w:rsid w:val="00DA0809"/>
    <w:rsid w:val="00DA0810"/>
    <w:rsid w:val="00DA3247"/>
    <w:rsid w:val="00DA3FCE"/>
    <w:rsid w:val="00DA4B42"/>
    <w:rsid w:val="00DA4ED9"/>
    <w:rsid w:val="00DA5725"/>
    <w:rsid w:val="00DA7119"/>
    <w:rsid w:val="00DA71CB"/>
    <w:rsid w:val="00DA7A0C"/>
    <w:rsid w:val="00DA7D9A"/>
    <w:rsid w:val="00DB091B"/>
    <w:rsid w:val="00DB125F"/>
    <w:rsid w:val="00DB1C46"/>
    <w:rsid w:val="00DB242A"/>
    <w:rsid w:val="00DB2BE7"/>
    <w:rsid w:val="00DB4203"/>
    <w:rsid w:val="00DB52DC"/>
    <w:rsid w:val="00DB643C"/>
    <w:rsid w:val="00DB65AD"/>
    <w:rsid w:val="00DB6B88"/>
    <w:rsid w:val="00DB7CA1"/>
    <w:rsid w:val="00DC094F"/>
    <w:rsid w:val="00DC24B5"/>
    <w:rsid w:val="00DC25DA"/>
    <w:rsid w:val="00DC336C"/>
    <w:rsid w:val="00DC338F"/>
    <w:rsid w:val="00DC3B22"/>
    <w:rsid w:val="00DC4325"/>
    <w:rsid w:val="00DC4915"/>
    <w:rsid w:val="00DC4C59"/>
    <w:rsid w:val="00DC4EC3"/>
    <w:rsid w:val="00DC5149"/>
    <w:rsid w:val="00DC5461"/>
    <w:rsid w:val="00DC559E"/>
    <w:rsid w:val="00DC5B77"/>
    <w:rsid w:val="00DC628D"/>
    <w:rsid w:val="00DC63C8"/>
    <w:rsid w:val="00DC68E1"/>
    <w:rsid w:val="00DC7244"/>
    <w:rsid w:val="00DC7764"/>
    <w:rsid w:val="00DC7FCE"/>
    <w:rsid w:val="00DD0452"/>
    <w:rsid w:val="00DD04C5"/>
    <w:rsid w:val="00DD1B88"/>
    <w:rsid w:val="00DD334C"/>
    <w:rsid w:val="00DD3C08"/>
    <w:rsid w:val="00DD58B9"/>
    <w:rsid w:val="00DD6C44"/>
    <w:rsid w:val="00DE0018"/>
    <w:rsid w:val="00DE0476"/>
    <w:rsid w:val="00DE0EE8"/>
    <w:rsid w:val="00DE1B2F"/>
    <w:rsid w:val="00DE1C5A"/>
    <w:rsid w:val="00DE1E3B"/>
    <w:rsid w:val="00DE2AAC"/>
    <w:rsid w:val="00DE2EAE"/>
    <w:rsid w:val="00DE412B"/>
    <w:rsid w:val="00DE5371"/>
    <w:rsid w:val="00DE5653"/>
    <w:rsid w:val="00DE5E04"/>
    <w:rsid w:val="00DE6634"/>
    <w:rsid w:val="00DE6F8C"/>
    <w:rsid w:val="00DE76A0"/>
    <w:rsid w:val="00DF0F25"/>
    <w:rsid w:val="00DF1125"/>
    <w:rsid w:val="00DF22E5"/>
    <w:rsid w:val="00DF27AC"/>
    <w:rsid w:val="00DF28E7"/>
    <w:rsid w:val="00DF29A5"/>
    <w:rsid w:val="00DF2FD1"/>
    <w:rsid w:val="00DF399A"/>
    <w:rsid w:val="00DF43F8"/>
    <w:rsid w:val="00DF447B"/>
    <w:rsid w:val="00DF4D30"/>
    <w:rsid w:val="00DF4DCA"/>
    <w:rsid w:val="00DF513D"/>
    <w:rsid w:val="00DF56F6"/>
    <w:rsid w:val="00DF60C7"/>
    <w:rsid w:val="00DF6280"/>
    <w:rsid w:val="00DF749E"/>
    <w:rsid w:val="00DF7B14"/>
    <w:rsid w:val="00DF7B16"/>
    <w:rsid w:val="00E00009"/>
    <w:rsid w:val="00E01EF4"/>
    <w:rsid w:val="00E0256E"/>
    <w:rsid w:val="00E02CF2"/>
    <w:rsid w:val="00E0308D"/>
    <w:rsid w:val="00E04947"/>
    <w:rsid w:val="00E05B34"/>
    <w:rsid w:val="00E069F7"/>
    <w:rsid w:val="00E06C35"/>
    <w:rsid w:val="00E0710D"/>
    <w:rsid w:val="00E07F71"/>
    <w:rsid w:val="00E101C6"/>
    <w:rsid w:val="00E106AF"/>
    <w:rsid w:val="00E11115"/>
    <w:rsid w:val="00E114D8"/>
    <w:rsid w:val="00E12397"/>
    <w:rsid w:val="00E1256E"/>
    <w:rsid w:val="00E1347F"/>
    <w:rsid w:val="00E1621B"/>
    <w:rsid w:val="00E16688"/>
    <w:rsid w:val="00E168A7"/>
    <w:rsid w:val="00E16DA2"/>
    <w:rsid w:val="00E21114"/>
    <w:rsid w:val="00E22041"/>
    <w:rsid w:val="00E22435"/>
    <w:rsid w:val="00E22B84"/>
    <w:rsid w:val="00E2396E"/>
    <w:rsid w:val="00E24008"/>
    <w:rsid w:val="00E244BA"/>
    <w:rsid w:val="00E25E8A"/>
    <w:rsid w:val="00E26045"/>
    <w:rsid w:val="00E26BDB"/>
    <w:rsid w:val="00E27304"/>
    <w:rsid w:val="00E304D5"/>
    <w:rsid w:val="00E319AE"/>
    <w:rsid w:val="00E31E4C"/>
    <w:rsid w:val="00E3208D"/>
    <w:rsid w:val="00E3234C"/>
    <w:rsid w:val="00E33084"/>
    <w:rsid w:val="00E337F5"/>
    <w:rsid w:val="00E339E4"/>
    <w:rsid w:val="00E3487D"/>
    <w:rsid w:val="00E34EBC"/>
    <w:rsid w:val="00E3529F"/>
    <w:rsid w:val="00E352D0"/>
    <w:rsid w:val="00E35DFA"/>
    <w:rsid w:val="00E3645F"/>
    <w:rsid w:val="00E37211"/>
    <w:rsid w:val="00E3748A"/>
    <w:rsid w:val="00E37848"/>
    <w:rsid w:val="00E402F1"/>
    <w:rsid w:val="00E4034D"/>
    <w:rsid w:val="00E404B3"/>
    <w:rsid w:val="00E413A0"/>
    <w:rsid w:val="00E41EE7"/>
    <w:rsid w:val="00E42084"/>
    <w:rsid w:val="00E426E4"/>
    <w:rsid w:val="00E4347C"/>
    <w:rsid w:val="00E44854"/>
    <w:rsid w:val="00E448D4"/>
    <w:rsid w:val="00E4540D"/>
    <w:rsid w:val="00E458BC"/>
    <w:rsid w:val="00E461A0"/>
    <w:rsid w:val="00E46947"/>
    <w:rsid w:val="00E46ECB"/>
    <w:rsid w:val="00E50781"/>
    <w:rsid w:val="00E507CD"/>
    <w:rsid w:val="00E50B82"/>
    <w:rsid w:val="00E51630"/>
    <w:rsid w:val="00E51AE8"/>
    <w:rsid w:val="00E52A3E"/>
    <w:rsid w:val="00E54E63"/>
    <w:rsid w:val="00E552CC"/>
    <w:rsid w:val="00E556F0"/>
    <w:rsid w:val="00E55808"/>
    <w:rsid w:val="00E559EA"/>
    <w:rsid w:val="00E5641D"/>
    <w:rsid w:val="00E5696D"/>
    <w:rsid w:val="00E56E45"/>
    <w:rsid w:val="00E574B6"/>
    <w:rsid w:val="00E57776"/>
    <w:rsid w:val="00E6161C"/>
    <w:rsid w:val="00E61D60"/>
    <w:rsid w:val="00E62201"/>
    <w:rsid w:val="00E62DEC"/>
    <w:rsid w:val="00E63233"/>
    <w:rsid w:val="00E63FE6"/>
    <w:rsid w:val="00E650C0"/>
    <w:rsid w:val="00E65159"/>
    <w:rsid w:val="00E65960"/>
    <w:rsid w:val="00E65B30"/>
    <w:rsid w:val="00E65F8A"/>
    <w:rsid w:val="00E66ECB"/>
    <w:rsid w:val="00E67486"/>
    <w:rsid w:val="00E6772F"/>
    <w:rsid w:val="00E67E1C"/>
    <w:rsid w:val="00E67EED"/>
    <w:rsid w:val="00E7095D"/>
    <w:rsid w:val="00E72301"/>
    <w:rsid w:val="00E727CE"/>
    <w:rsid w:val="00E73D84"/>
    <w:rsid w:val="00E749E1"/>
    <w:rsid w:val="00E75869"/>
    <w:rsid w:val="00E773F8"/>
    <w:rsid w:val="00E778EE"/>
    <w:rsid w:val="00E77DDA"/>
    <w:rsid w:val="00E8007A"/>
    <w:rsid w:val="00E80578"/>
    <w:rsid w:val="00E80B43"/>
    <w:rsid w:val="00E80CE3"/>
    <w:rsid w:val="00E81066"/>
    <w:rsid w:val="00E82244"/>
    <w:rsid w:val="00E830EC"/>
    <w:rsid w:val="00E833CB"/>
    <w:rsid w:val="00E838CE"/>
    <w:rsid w:val="00E8391E"/>
    <w:rsid w:val="00E83995"/>
    <w:rsid w:val="00E83CBA"/>
    <w:rsid w:val="00E83D2E"/>
    <w:rsid w:val="00E83FB2"/>
    <w:rsid w:val="00E84211"/>
    <w:rsid w:val="00E844D4"/>
    <w:rsid w:val="00E8454F"/>
    <w:rsid w:val="00E85D5A"/>
    <w:rsid w:val="00E864BC"/>
    <w:rsid w:val="00E90082"/>
    <w:rsid w:val="00E90615"/>
    <w:rsid w:val="00E91915"/>
    <w:rsid w:val="00E91FE0"/>
    <w:rsid w:val="00E9229B"/>
    <w:rsid w:val="00E92488"/>
    <w:rsid w:val="00E92CD1"/>
    <w:rsid w:val="00E93188"/>
    <w:rsid w:val="00E95AC2"/>
    <w:rsid w:val="00E95BB4"/>
    <w:rsid w:val="00E96E7D"/>
    <w:rsid w:val="00E97025"/>
    <w:rsid w:val="00E97167"/>
    <w:rsid w:val="00E97185"/>
    <w:rsid w:val="00E97787"/>
    <w:rsid w:val="00E979E7"/>
    <w:rsid w:val="00E97DBB"/>
    <w:rsid w:val="00EA0169"/>
    <w:rsid w:val="00EA0842"/>
    <w:rsid w:val="00EA093A"/>
    <w:rsid w:val="00EA1674"/>
    <w:rsid w:val="00EA1CDA"/>
    <w:rsid w:val="00EA2C07"/>
    <w:rsid w:val="00EA3781"/>
    <w:rsid w:val="00EA3DAC"/>
    <w:rsid w:val="00EA5023"/>
    <w:rsid w:val="00EA7061"/>
    <w:rsid w:val="00EA7C5B"/>
    <w:rsid w:val="00EB02FB"/>
    <w:rsid w:val="00EB13FE"/>
    <w:rsid w:val="00EB1F7B"/>
    <w:rsid w:val="00EB254B"/>
    <w:rsid w:val="00EB30FD"/>
    <w:rsid w:val="00EB39F1"/>
    <w:rsid w:val="00EB460F"/>
    <w:rsid w:val="00EB472E"/>
    <w:rsid w:val="00EB477E"/>
    <w:rsid w:val="00EB5434"/>
    <w:rsid w:val="00EB5A51"/>
    <w:rsid w:val="00EB5D6C"/>
    <w:rsid w:val="00EB6A9B"/>
    <w:rsid w:val="00EB6E56"/>
    <w:rsid w:val="00EB76D6"/>
    <w:rsid w:val="00EC0178"/>
    <w:rsid w:val="00EC049F"/>
    <w:rsid w:val="00EC11E3"/>
    <w:rsid w:val="00EC2196"/>
    <w:rsid w:val="00EC2CA6"/>
    <w:rsid w:val="00EC3872"/>
    <w:rsid w:val="00EC4EF2"/>
    <w:rsid w:val="00EC74F8"/>
    <w:rsid w:val="00ED024E"/>
    <w:rsid w:val="00ED194C"/>
    <w:rsid w:val="00ED21EB"/>
    <w:rsid w:val="00ED2C26"/>
    <w:rsid w:val="00ED2F02"/>
    <w:rsid w:val="00ED3898"/>
    <w:rsid w:val="00ED38BF"/>
    <w:rsid w:val="00ED48CC"/>
    <w:rsid w:val="00ED5BED"/>
    <w:rsid w:val="00ED5DB2"/>
    <w:rsid w:val="00ED5EC2"/>
    <w:rsid w:val="00ED7E86"/>
    <w:rsid w:val="00EE0151"/>
    <w:rsid w:val="00EE0B84"/>
    <w:rsid w:val="00EE0DF2"/>
    <w:rsid w:val="00EE1062"/>
    <w:rsid w:val="00EE1124"/>
    <w:rsid w:val="00EE1FB6"/>
    <w:rsid w:val="00EE21DD"/>
    <w:rsid w:val="00EE4135"/>
    <w:rsid w:val="00EE4FCD"/>
    <w:rsid w:val="00EE54A4"/>
    <w:rsid w:val="00EE56DF"/>
    <w:rsid w:val="00EE587F"/>
    <w:rsid w:val="00EE5ED7"/>
    <w:rsid w:val="00EE619F"/>
    <w:rsid w:val="00EE64CC"/>
    <w:rsid w:val="00EE6D6B"/>
    <w:rsid w:val="00EF1A24"/>
    <w:rsid w:val="00EF1BF1"/>
    <w:rsid w:val="00EF1E4D"/>
    <w:rsid w:val="00EF3BCC"/>
    <w:rsid w:val="00EF54F5"/>
    <w:rsid w:val="00EF5716"/>
    <w:rsid w:val="00EF5BF6"/>
    <w:rsid w:val="00EF71E1"/>
    <w:rsid w:val="00F003B9"/>
    <w:rsid w:val="00F009E9"/>
    <w:rsid w:val="00F01BD5"/>
    <w:rsid w:val="00F024E3"/>
    <w:rsid w:val="00F0264E"/>
    <w:rsid w:val="00F02815"/>
    <w:rsid w:val="00F041B2"/>
    <w:rsid w:val="00F0505F"/>
    <w:rsid w:val="00F0570F"/>
    <w:rsid w:val="00F05EAF"/>
    <w:rsid w:val="00F06D7C"/>
    <w:rsid w:val="00F06F67"/>
    <w:rsid w:val="00F073E5"/>
    <w:rsid w:val="00F07800"/>
    <w:rsid w:val="00F1021E"/>
    <w:rsid w:val="00F1049D"/>
    <w:rsid w:val="00F119F0"/>
    <w:rsid w:val="00F12CEA"/>
    <w:rsid w:val="00F13B27"/>
    <w:rsid w:val="00F147FD"/>
    <w:rsid w:val="00F15884"/>
    <w:rsid w:val="00F15FC1"/>
    <w:rsid w:val="00F166CE"/>
    <w:rsid w:val="00F1676B"/>
    <w:rsid w:val="00F17762"/>
    <w:rsid w:val="00F17A4E"/>
    <w:rsid w:val="00F23C5A"/>
    <w:rsid w:val="00F23E91"/>
    <w:rsid w:val="00F24DEB"/>
    <w:rsid w:val="00F24E49"/>
    <w:rsid w:val="00F261BC"/>
    <w:rsid w:val="00F269AD"/>
    <w:rsid w:val="00F277D4"/>
    <w:rsid w:val="00F306B7"/>
    <w:rsid w:val="00F30A70"/>
    <w:rsid w:val="00F31104"/>
    <w:rsid w:val="00F31ED7"/>
    <w:rsid w:val="00F325F0"/>
    <w:rsid w:val="00F32BEA"/>
    <w:rsid w:val="00F33C34"/>
    <w:rsid w:val="00F33E65"/>
    <w:rsid w:val="00F34912"/>
    <w:rsid w:val="00F34B38"/>
    <w:rsid w:val="00F34E93"/>
    <w:rsid w:val="00F35082"/>
    <w:rsid w:val="00F358B4"/>
    <w:rsid w:val="00F40110"/>
    <w:rsid w:val="00F40A44"/>
    <w:rsid w:val="00F411A9"/>
    <w:rsid w:val="00F414B7"/>
    <w:rsid w:val="00F42F2C"/>
    <w:rsid w:val="00F43F5A"/>
    <w:rsid w:val="00F44511"/>
    <w:rsid w:val="00F4474B"/>
    <w:rsid w:val="00F459EC"/>
    <w:rsid w:val="00F5097D"/>
    <w:rsid w:val="00F513E5"/>
    <w:rsid w:val="00F5219B"/>
    <w:rsid w:val="00F527A6"/>
    <w:rsid w:val="00F53138"/>
    <w:rsid w:val="00F534C0"/>
    <w:rsid w:val="00F53610"/>
    <w:rsid w:val="00F54930"/>
    <w:rsid w:val="00F5523B"/>
    <w:rsid w:val="00F5786C"/>
    <w:rsid w:val="00F60AAB"/>
    <w:rsid w:val="00F60B4E"/>
    <w:rsid w:val="00F60D27"/>
    <w:rsid w:val="00F623B6"/>
    <w:rsid w:val="00F6280F"/>
    <w:rsid w:val="00F62819"/>
    <w:rsid w:val="00F6394B"/>
    <w:rsid w:val="00F64724"/>
    <w:rsid w:val="00F65CC4"/>
    <w:rsid w:val="00F66440"/>
    <w:rsid w:val="00F6653B"/>
    <w:rsid w:val="00F66DE4"/>
    <w:rsid w:val="00F708D9"/>
    <w:rsid w:val="00F720FB"/>
    <w:rsid w:val="00F721C2"/>
    <w:rsid w:val="00F732B4"/>
    <w:rsid w:val="00F735A9"/>
    <w:rsid w:val="00F7373C"/>
    <w:rsid w:val="00F7483D"/>
    <w:rsid w:val="00F74F87"/>
    <w:rsid w:val="00F751B6"/>
    <w:rsid w:val="00F75B62"/>
    <w:rsid w:val="00F75E47"/>
    <w:rsid w:val="00F76A28"/>
    <w:rsid w:val="00F80591"/>
    <w:rsid w:val="00F80602"/>
    <w:rsid w:val="00F81376"/>
    <w:rsid w:val="00F814DF"/>
    <w:rsid w:val="00F81E48"/>
    <w:rsid w:val="00F822AF"/>
    <w:rsid w:val="00F842F3"/>
    <w:rsid w:val="00F84C20"/>
    <w:rsid w:val="00F84E40"/>
    <w:rsid w:val="00F85CB4"/>
    <w:rsid w:val="00F86D62"/>
    <w:rsid w:val="00F87614"/>
    <w:rsid w:val="00F9043D"/>
    <w:rsid w:val="00F91241"/>
    <w:rsid w:val="00F92112"/>
    <w:rsid w:val="00F921BF"/>
    <w:rsid w:val="00F9230A"/>
    <w:rsid w:val="00F92366"/>
    <w:rsid w:val="00F92380"/>
    <w:rsid w:val="00F92753"/>
    <w:rsid w:val="00F92BC3"/>
    <w:rsid w:val="00F9598E"/>
    <w:rsid w:val="00F95E52"/>
    <w:rsid w:val="00F95E91"/>
    <w:rsid w:val="00F9604F"/>
    <w:rsid w:val="00F96B32"/>
    <w:rsid w:val="00F96DA5"/>
    <w:rsid w:val="00F96FB9"/>
    <w:rsid w:val="00F9707F"/>
    <w:rsid w:val="00F9735A"/>
    <w:rsid w:val="00F97AC6"/>
    <w:rsid w:val="00FA1408"/>
    <w:rsid w:val="00FA16B6"/>
    <w:rsid w:val="00FA2DF4"/>
    <w:rsid w:val="00FA3161"/>
    <w:rsid w:val="00FA42F4"/>
    <w:rsid w:val="00FA4C78"/>
    <w:rsid w:val="00FA6502"/>
    <w:rsid w:val="00FA7B72"/>
    <w:rsid w:val="00FA7ED2"/>
    <w:rsid w:val="00FB0730"/>
    <w:rsid w:val="00FB0BC1"/>
    <w:rsid w:val="00FB1308"/>
    <w:rsid w:val="00FB14A0"/>
    <w:rsid w:val="00FB34A3"/>
    <w:rsid w:val="00FB34EB"/>
    <w:rsid w:val="00FB3AB1"/>
    <w:rsid w:val="00FB3F39"/>
    <w:rsid w:val="00FB458D"/>
    <w:rsid w:val="00FB4E4A"/>
    <w:rsid w:val="00FB5254"/>
    <w:rsid w:val="00FB59BF"/>
    <w:rsid w:val="00FB5A73"/>
    <w:rsid w:val="00FB6BBE"/>
    <w:rsid w:val="00FB6C21"/>
    <w:rsid w:val="00FB6D3A"/>
    <w:rsid w:val="00FB760E"/>
    <w:rsid w:val="00FB7924"/>
    <w:rsid w:val="00FB7F35"/>
    <w:rsid w:val="00FC113B"/>
    <w:rsid w:val="00FC11D6"/>
    <w:rsid w:val="00FC175F"/>
    <w:rsid w:val="00FC25C1"/>
    <w:rsid w:val="00FC26E5"/>
    <w:rsid w:val="00FC2C7E"/>
    <w:rsid w:val="00FC3C66"/>
    <w:rsid w:val="00FC487F"/>
    <w:rsid w:val="00FC48DD"/>
    <w:rsid w:val="00FC5079"/>
    <w:rsid w:val="00FC52C0"/>
    <w:rsid w:val="00FC569E"/>
    <w:rsid w:val="00FC67E5"/>
    <w:rsid w:val="00FC6BFF"/>
    <w:rsid w:val="00FC7B5F"/>
    <w:rsid w:val="00FC7D41"/>
    <w:rsid w:val="00FD04EB"/>
    <w:rsid w:val="00FD068A"/>
    <w:rsid w:val="00FD1036"/>
    <w:rsid w:val="00FD1062"/>
    <w:rsid w:val="00FD131D"/>
    <w:rsid w:val="00FD3049"/>
    <w:rsid w:val="00FD4D36"/>
    <w:rsid w:val="00FD5177"/>
    <w:rsid w:val="00FD5398"/>
    <w:rsid w:val="00FD567C"/>
    <w:rsid w:val="00FD6081"/>
    <w:rsid w:val="00FD713A"/>
    <w:rsid w:val="00FD79EB"/>
    <w:rsid w:val="00FD7E26"/>
    <w:rsid w:val="00FE35A3"/>
    <w:rsid w:val="00FE35E1"/>
    <w:rsid w:val="00FE3AFC"/>
    <w:rsid w:val="00FE41A5"/>
    <w:rsid w:val="00FE4B48"/>
    <w:rsid w:val="00FE6D86"/>
    <w:rsid w:val="00FE755E"/>
    <w:rsid w:val="00FE77ED"/>
    <w:rsid w:val="00FE7FB0"/>
    <w:rsid w:val="00FF0DA7"/>
    <w:rsid w:val="00FF2B1F"/>
    <w:rsid w:val="00FF301F"/>
    <w:rsid w:val="00FF3276"/>
    <w:rsid w:val="00FF4397"/>
    <w:rsid w:val="00FF4825"/>
    <w:rsid w:val="00FF5283"/>
    <w:rsid w:val="00FF5B26"/>
    <w:rsid w:val="00FF69A3"/>
    <w:rsid w:val="00FF69CB"/>
    <w:rsid w:val="00FF6A3B"/>
    <w:rsid w:val="00FF7D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440D39D"/>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802"/>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3">
    <w:name w:val="heading 3"/>
    <w:basedOn w:val="Normal"/>
    <w:next w:val="Normal"/>
    <w:link w:val="Heading3Char"/>
    <w:semiHidden/>
    <w:unhideWhenUsed/>
    <w:qFormat/>
    <w:locked/>
    <w:rsid w:val="00603B8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single space,Texto nota pie Car Car Car,FOOTNOTES,fn,Footnote Text Char Char Char,Footnote Text1 Char,Footnote Text2,Footnote Text Char Char Char1 Char,Footnote Text Char Char Char1,ft,ADB,Fodnotetekst Tegn,footnote text Char,f,Text,A"/>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ootnote Reference1,Footnotes refss,ftref,16 Point,Superscript 6 Point,Ref,de nota al pie,Footnote Reference Number,Car Car Char Car Char Car Car Char Car Char Char,BVI fnr,SUPERS,BVI f,R,fr,Footnote,Ref. de nota al pie.,Char Char,FO"/>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References,Paragraphe de liste1,List Paragraph1,List Paragraph11,Bullets,references,NEW INDENT,List bullet,Heading II,Lapis Bulleted List,Dot pt,F5 List Paragraph,No Spacing1,List Paragraph Char Char Char,lp1"/>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qFormat/>
    <w:rsid w:val="00D6679C"/>
    <w:rPr>
      <w:rFonts w:ascii="Courier" w:hAnsi="Courier"/>
      <w:lang w:val="en-US" w:eastAsia="en-US"/>
    </w:rPr>
  </w:style>
  <w:style w:type="character" w:customStyle="1" w:styleId="ListParagraphChar">
    <w:name w:val="List Paragraph Char"/>
    <w:aliases w:val="List Paragraph (numbered (a)) Char,References Char,Paragraphe de liste1 Char,List Paragraph1 Char,List Paragraph11 Char,Bullets Char,references Char,NEW INDENT Char,List bullet Char,Heading II Char,Lapis Bulleted List Char,lp1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UnresolvedMention1">
    <w:name w:val="Unresolved Mention1"/>
    <w:basedOn w:val="DefaultParagraphFont"/>
    <w:uiPriority w:val="99"/>
    <w:semiHidden/>
    <w:unhideWhenUsed/>
    <w:rsid w:val="00523B73"/>
    <w:rPr>
      <w:color w:val="605E5C"/>
      <w:shd w:val="clear" w:color="auto" w:fill="E1DFDD"/>
    </w:rPr>
  </w:style>
  <w:style w:type="character" w:styleId="HTMLCite">
    <w:name w:val="HTML Cite"/>
    <w:basedOn w:val="DefaultParagraphFont"/>
    <w:uiPriority w:val="99"/>
    <w:semiHidden/>
    <w:unhideWhenUsed/>
    <w:rsid w:val="008169CA"/>
    <w:rPr>
      <w:i/>
      <w:iCs/>
    </w:rPr>
  </w:style>
  <w:style w:type="paragraph" w:styleId="EndnoteText">
    <w:name w:val="endnote text"/>
    <w:basedOn w:val="Normal"/>
    <w:link w:val="EndnoteTextChar"/>
    <w:uiPriority w:val="99"/>
    <w:unhideWhenUsed/>
    <w:rsid w:val="008169CA"/>
  </w:style>
  <w:style w:type="character" w:customStyle="1" w:styleId="EndnoteTextChar">
    <w:name w:val="Endnote Text Char"/>
    <w:basedOn w:val="DefaultParagraphFont"/>
    <w:link w:val="EndnoteText"/>
    <w:uiPriority w:val="99"/>
    <w:rsid w:val="008169CA"/>
    <w:rPr>
      <w:lang w:val="en-US" w:eastAsia="en-US"/>
    </w:rPr>
  </w:style>
  <w:style w:type="character" w:styleId="EndnoteReference">
    <w:name w:val="endnote reference"/>
    <w:basedOn w:val="DefaultParagraphFont"/>
    <w:uiPriority w:val="99"/>
    <w:semiHidden/>
    <w:unhideWhenUsed/>
    <w:rsid w:val="008169CA"/>
    <w:rPr>
      <w:vertAlign w:val="superscript"/>
    </w:rPr>
  </w:style>
  <w:style w:type="paragraph" w:customStyle="1" w:styleId="Default">
    <w:name w:val="Default"/>
    <w:rsid w:val="0014222F"/>
    <w:pPr>
      <w:autoSpaceDE w:val="0"/>
      <w:autoSpaceDN w:val="0"/>
      <w:adjustRightInd w:val="0"/>
    </w:pPr>
    <w:rPr>
      <w:rFonts w:eastAsiaTheme="minorHAnsi"/>
      <w:color w:val="000000"/>
      <w:sz w:val="24"/>
      <w:szCs w:val="24"/>
      <w:lang w:val="en-US" w:eastAsia="en-US"/>
    </w:rPr>
  </w:style>
  <w:style w:type="paragraph" w:customStyle="1" w:styleId="Char2">
    <w:name w:val="Char2"/>
    <w:basedOn w:val="Normal"/>
    <w:link w:val="FootnoteReference"/>
    <w:uiPriority w:val="99"/>
    <w:rsid w:val="00E426E4"/>
    <w:pPr>
      <w:spacing w:line="240" w:lineRule="exact"/>
      <w:jc w:val="both"/>
    </w:pPr>
    <w:rPr>
      <w:vertAlign w:val="superscript"/>
      <w:lang w:val="en-GB" w:eastAsia="en-GB"/>
    </w:rPr>
  </w:style>
  <w:style w:type="character" w:customStyle="1" w:styleId="normaltextrun">
    <w:name w:val="normaltextrun"/>
    <w:basedOn w:val="DefaultParagraphFont"/>
    <w:rsid w:val="008112FD"/>
  </w:style>
  <w:style w:type="character" w:customStyle="1" w:styleId="apple-converted-space">
    <w:name w:val="apple-converted-space"/>
    <w:rsid w:val="006A1A41"/>
  </w:style>
  <w:style w:type="paragraph" w:customStyle="1" w:styleId="paragraph">
    <w:name w:val="paragraph"/>
    <w:basedOn w:val="Normal"/>
    <w:rsid w:val="006268F7"/>
    <w:pPr>
      <w:spacing w:before="100" w:beforeAutospacing="1" w:after="100" w:afterAutospacing="1"/>
    </w:pPr>
    <w:rPr>
      <w:sz w:val="24"/>
      <w:szCs w:val="24"/>
      <w:lang w:val="it-IT" w:eastAsia="it-IT"/>
    </w:rPr>
  </w:style>
  <w:style w:type="character" w:customStyle="1" w:styleId="eop">
    <w:name w:val="eop"/>
    <w:basedOn w:val="DefaultParagraphFont"/>
    <w:rsid w:val="006268F7"/>
  </w:style>
  <w:style w:type="character" w:customStyle="1" w:styleId="UnresolvedMention2">
    <w:name w:val="Unresolved Mention2"/>
    <w:basedOn w:val="DefaultParagraphFont"/>
    <w:uiPriority w:val="99"/>
    <w:semiHidden/>
    <w:unhideWhenUsed/>
    <w:rsid w:val="00E402F1"/>
    <w:rPr>
      <w:color w:val="605E5C"/>
      <w:shd w:val="clear" w:color="auto" w:fill="E1DFDD"/>
    </w:rPr>
  </w:style>
  <w:style w:type="character" w:styleId="Strong">
    <w:name w:val="Strong"/>
    <w:basedOn w:val="DefaultParagraphFont"/>
    <w:uiPriority w:val="22"/>
    <w:qFormat/>
    <w:locked/>
    <w:rsid w:val="0007466E"/>
    <w:rPr>
      <w:b/>
      <w:bCs/>
    </w:rPr>
  </w:style>
  <w:style w:type="character" w:customStyle="1" w:styleId="Heading3Char">
    <w:name w:val="Heading 3 Char"/>
    <w:basedOn w:val="DefaultParagraphFont"/>
    <w:link w:val="Heading3"/>
    <w:semiHidden/>
    <w:rsid w:val="00603B8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3015215">
      <w:bodyDiv w:val="1"/>
      <w:marLeft w:val="0"/>
      <w:marRight w:val="0"/>
      <w:marTop w:val="0"/>
      <w:marBottom w:val="0"/>
      <w:divBdr>
        <w:top w:val="none" w:sz="0" w:space="0" w:color="auto"/>
        <w:left w:val="none" w:sz="0" w:space="0" w:color="auto"/>
        <w:bottom w:val="none" w:sz="0" w:space="0" w:color="auto"/>
        <w:right w:val="none" w:sz="0" w:space="0" w:color="auto"/>
      </w:divBdr>
    </w:div>
    <w:div w:id="293565295">
      <w:bodyDiv w:val="1"/>
      <w:marLeft w:val="0"/>
      <w:marRight w:val="0"/>
      <w:marTop w:val="0"/>
      <w:marBottom w:val="0"/>
      <w:divBdr>
        <w:top w:val="none" w:sz="0" w:space="0" w:color="auto"/>
        <w:left w:val="none" w:sz="0" w:space="0" w:color="auto"/>
        <w:bottom w:val="none" w:sz="0" w:space="0" w:color="auto"/>
        <w:right w:val="none" w:sz="0" w:space="0" w:color="auto"/>
      </w:divBdr>
    </w:div>
    <w:div w:id="563953923">
      <w:bodyDiv w:val="1"/>
      <w:marLeft w:val="0"/>
      <w:marRight w:val="0"/>
      <w:marTop w:val="0"/>
      <w:marBottom w:val="0"/>
      <w:divBdr>
        <w:top w:val="none" w:sz="0" w:space="0" w:color="auto"/>
        <w:left w:val="none" w:sz="0" w:space="0" w:color="auto"/>
        <w:bottom w:val="none" w:sz="0" w:space="0" w:color="auto"/>
        <w:right w:val="none" w:sz="0" w:space="0" w:color="auto"/>
      </w:divBdr>
    </w:div>
    <w:div w:id="756831766">
      <w:bodyDiv w:val="1"/>
      <w:marLeft w:val="0"/>
      <w:marRight w:val="0"/>
      <w:marTop w:val="0"/>
      <w:marBottom w:val="0"/>
      <w:divBdr>
        <w:top w:val="none" w:sz="0" w:space="0" w:color="auto"/>
        <w:left w:val="none" w:sz="0" w:space="0" w:color="auto"/>
        <w:bottom w:val="none" w:sz="0" w:space="0" w:color="auto"/>
        <w:right w:val="none" w:sz="0" w:space="0" w:color="auto"/>
      </w:divBdr>
    </w:div>
    <w:div w:id="829637632">
      <w:bodyDiv w:val="1"/>
      <w:marLeft w:val="0"/>
      <w:marRight w:val="0"/>
      <w:marTop w:val="0"/>
      <w:marBottom w:val="0"/>
      <w:divBdr>
        <w:top w:val="none" w:sz="0" w:space="0" w:color="auto"/>
        <w:left w:val="none" w:sz="0" w:space="0" w:color="auto"/>
        <w:bottom w:val="none" w:sz="0" w:space="0" w:color="auto"/>
        <w:right w:val="none" w:sz="0" w:space="0" w:color="auto"/>
      </w:divBdr>
    </w:div>
    <w:div w:id="1125655105">
      <w:bodyDiv w:val="1"/>
      <w:marLeft w:val="0"/>
      <w:marRight w:val="0"/>
      <w:marTop w:val="0"/>
      <w:marBottom w:val="0"/>
      <w:divBdr>
        <w:top w:val="none" w:sz="0" w:space="0" w:color="auto"/>
        <w:left w:val="none" w:sz="0" w:space="0" w:color="auto"/>
        <w:bottom w:val="none" w:sz="0" w:space="0" w:color="auto"/>
        <w:right w:val="none" w:sz="0" w:space="0" w:color="auto"/>
      </w:divBdr>
    </w:div>
    <w:div w:id="1191838601">
      <w:bodyDiv w:val="1"/>
      <w:marLeft w:val="0"/>
      <w:marRight w:val="0"/>
      <w:marTop w:val="0"/>
      <w:marBottom w:val="0"/>
      <w:divBdr>
        <w:top w:val="none" w:sz="0" w:space="0" w:color="auto"/>
        <w:left w:val="none" w:sz="0" w:space="0" w:color="auto"/>
        <w:bottom w:val="none" w:sz="0" w:space="0" w:color="auto"/>
        <w:right w:val="none" w:sz="0" w:space="0" w:color="auto"/>
      </w:divBdr>
    </w:div>
    <w:div w:id="1221405298">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437486209">
      <w:bodyDiv w:val="1"/>
      <w:marLeft w:val="0"/>
      <w:marRight w:val="0"/>
      <w:marTop w:val="0"/>
      <w:marBottom w:val="0"/>
      <w:divBdr>
        <w:top w:val="none" w:sz="0" w:space="0" w:color="auto"/>
        <w:left w:val="none" w:sz="0" w:space="0" w:color="auto"/>
        <w:bottom w:val="none" w:sz="0" w:space="0" w:color="auto"/>
        <w:right w:val="none" w:sz="0" w:space="0" w:color="auto"/>
      </w:divBdr>
    </w:div>
    <w:div w:id="1550679275">
      <w:bodyDiv w:val="1"/>
      <w:marLeft w:val="0"/>
      <w:marRight w:val="0"/>
      <w:marTop w:val="0"/>
      <w:marBottom w:val="0"/>
      <w:divBdr>
        <w:top w:val="none" w:sz="0" w:space="0" w:color="auto"/>
        <w:left w:val="none" w:sz="0" w:space="0" w:color="auto"/>
        <w:bottom w:val="none" w:sz="0" w:space="0" w:color="auto"/>
        <w:right w:val="none" w:sz="0" w:space="0" w:color="auto"/>
      </w:divBdr>
    </w:div>
    <w:div w:id="1764523343">
      <w:bodyDiv w:val="1"/>
      <w:marLeft w:val="0"/>
      <w:marRight w:val="0"/>
      <w:marTop w:val="0"/>
      <w:marBottom w:val="0"/>
      <w:divBdr>
        <w:top w:val="none" w:sz="0" w:space="0" w:color="auto"/>
        <w:left w:val="none" w:sz="0" w:space="0" w:color="auto"/>
        <w:bottom w:val="none" w:sz="0" w:space="0" w:color="auto"/>
        <w:right w:val="none" w:sz="0" w:space="0" w:color="auto"/>
      </w:divBdr>
      <w:divsChild>
        <w:div w:id="1138110019">
          <w:marLeft w:val="446"/>
          <w:marRight w:val="0"/>
          <w:marTop w:val="0"/>
          <w:marBottom w:val="0"/>
          <w:divBdr>
            <w:top w:val="none" w:sz="0" w:space="0" w:color="auto"/>
            <w:left w:val="none" w:sz="0" w:space="0" w:color="auto"/>
            <w:bottom w:val="none" w:sz="0" w:space="0" w:color="auto"/>
            <w:right w:val="none" w:sz="0" w:space="0" w:color="auto"/>
          </w:divBdr>
        </w:div>
      </w:divsChild>
    </w:div>
    <w:div w:id="1826242043">
      <w:bodyDiv w:val="1"/>
      <w:marLeft w:val="0"/>
      <w:marRight w:val="0"/>
      <w:marTop w:val="0"/>
      <w:marBottom w:val="0"/>
      <w:divBdr>
        <w:top w:val="none" w:sz="0" w:space="0" w:color="auto"/>
        <w:left w:val="none" w:sz="0" w:space="0" w:color="auto"/>
        <w:bottom w:val="none" w:sz="0" w:space="0" w:color="auto"/>
        <w:right w:val="none" w:sz="0" w:space="0" w:color="auto"/>
      </w:divBdr>
    </w:div>
    <w:div w:id="1992438013">
      <w:bodyDiv w:val="1"/>
      <w:marLeft w:val="0"/>
      <w:marRight w:val="0"/>
      <w:marTop w:val="0"/>
      <w:marBottom w:val="0"/>
      <w:divBdr>
        <w:top w:val="none" w:sz="0" w:space="0" w:color="auto"/>
        <w:left w:val="none" w:sz="0" w:space="0" w:color="auto"/>
        <w:bottom w:val="none" w:sz="0" w:space="0" w:color="auto"/>
        <w:right w:val="none" w:sz="0" w:space="0" w:color="auto"/>
      </w:divBdr>
    </w:div>
    <w:div w:id="20463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UNDP_POPP_FILEVERSION xmlns="8264c5cc-ec60-4b56-8111-ce635d3d139a">1536</UNDP_POPP_FILEVERSION>
    <UNDP_POPP_REFITEM_VERSION xmlns="8264c5cc-ec60-4b56-8111-ce635d3d139a">1</UNDP_POPP_REFITEM_VERSION>
    <UNDP_POPP_DOCUMENT_TEMPLATE xmlns="8264c5cc-ec60-4b56-8111-ce635d3d139a" xsi:nil="true"/>
    <UNDP_POPP_ISACTIVE xmlns="8264c5cc-ec60-4b56-8111-ce635d3d139a">true</UNDP_POPP_ISACTIVE>
    <UNDP_POPP_TITLE_EN xmlns="8264c5cc-ec60-4b56-8111-ce635d3d139a" xsi:nil="true"/>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1.0</DLCPolicyLabelClientValue>
    <UNDP_POPP_BUSINESSUNITID_HIDDEN xmlns="8264c5cc-ec60-4b56-8111-ce635d3d139a" xsi:nil="true"/>
    <_dlc_DocId xmlns="8264c5cc-ec60-4b56-8111-ce635d3d139a">POPP-11-2717</_dlc_DocId>
    <_dlc_DocIdUrl xmlns="8264c5cc-ec60-4b56-8111-ce635d3d139a">
      <Url>https://popp.undp.org/_layouts/15/DocIdRedir.aspx?ID=POPP-11-2717</Url>
      <Description>POPP-11-2717</Description>
    </_dlc_DocIdUrl>
    <DLCPolicyLabelValue xmlns="e560140e-7b2f-4392-90df-e7567e3021a3">Effective Date: {Effective Date}                                                Version #: 1</DLCPolicyLabelValue>
  </documentManagement>
</p:properties>
</file>

<file path=customXml/itemProps1.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2.xml><?xml version="1.0" encoding="utf-8"?>
<ds:datastoreItem xmlns:ds="http://schemas.openxmlformats.org/officeDocument/2006/customXml" ds:itemID="{9783BC12-057A-4F63-8F14-7C766725B13A}">
  <ds:schemaRefs>
    <ds:schemaRef ds:uri="http://schemas.openxmlformats.org/officeDocument/2006/bibliography"/>
  </ds:schemaRefs>
</ds:datastoreItem>
</file>

<file path=customXml/itemProps3.xml><?xml version="1.0" encoding="utf-8"?>
<ds:datastoreItem xmlns:ds="http://schemas.openxmlformats.org/officeDocument/2006/customXml" ds:itemID="{AD890A5E-47ED-4E33-B519-FE814602FA4E}">
  <ds:schemaRefs>
    <ds:schemaRef ds:uri="office.server.policy"/>
    <ds:schemaRef ds:uri="http://www.w3.org/2000/xmlns/"/>
  </ds:schemaRefs>
</ds:datastoreItem>
</file>

<file path=customXml/itemProps4.xml><?xml version="1.0" encoding="utf-8"?>
<ds:datastoreItem xmlns:ds="http://schemas.openxmlformats.org/officeDocument/2006/customXml" ds:itemID="{A6DE5B44-F1C5-4464-8635-45CED0FE8519}">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64B47271-9FC6-47BF-8D16-E3AA5A7EF761}">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8264c5cc-ec60-4b56-8111-ce635d3d139a"/>
    <ds:schemaRef ds:uri="e560140e-7b2f-4392-90df-e7567e3021a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63C48D-7F62-4D2D-8219-0D81AFFED2D0}">
  <ds:schemaRefs>
    <ds:schemaRef ds:uri="8264c5cc-ec60-4b56-8111-ce635d3d139a"/>
    <ds:schemaRef ds:uri="http://schemas.microsoft.com/office/2006/documentManagement/types"/>
    <ds:schemaRef ds:uri="e560140e-7b2f-4392-90df-e7567e3021a3"/>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5506</Words>
  <Characters>34154</Characters>
  <Application>Microsoft Office Word</Application>
  <DocSecurity>0</DocSecurity>
  <Lines>989</Lines>
  <Paragraphs>330</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39467</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4</cp:revision>
  <cp:lastPrinted>2022-03-05T02:12:00Z</cp:lastPrinted>
  <dcterms:created xsi:type="dcterms:W3CDTF">2022-03-08T21:03:00Z</dcterms:created>
  <dcterms:modified xsi:type="dcterms:W3CDTF">2022-03-08T21:04:00Z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a786482f-8913-49b4-ba73-b6b188dc33ce</vt:lpwstr>
  </property>
  <property fmtid="{D5CDD505-2E9C-101B-9397-08002B2CF9AE}" pid="4" name="UNDP_POPP_DOCUMENT_TYPE">
    <vt:lpwstr>Template</vt:lpwstr>
  </property>
  <property fmtid="{D5CDD505-2E9C-101B-9397-08002B2CF9AE}" pid="5" name="UNDP_POPP_FILEVERSION">
    <vt:r8>1536</vt:r8>
  </property>
  <property fmtid="{D5CDD505-2E9C-101B-9397-08002B2CF9AE}" pid="6" name="UNDP_POPP_VERSION_COMMENTS">
    <vt:lpwstr/>
  </property>
  <property fmtid="{D5CDD505-2E9C-101B-9397-08002B2CF9AE}" pid="7" name="UNDP_POPP_DOCUMENT_LANGUAGE">
    <vt:lpwstr>English</vt:lpwstr>
  </property>
  <property fmtid="{D5CDD505-2E9C-101B-9397-08002B2CF9AE}" pid="8" name="UNDP_POPP_REFITEM_VERSION">
    <vt:r8>1</vt:r8>
  </property>
  <property fmtid="{D5CDD505-2E9C-101B-9397-08002B2CF9AE}" pid="9" name="UNDP_POPP_BUSINESSUNIT">
    <vt:lpwstr>669;#Programme and Project Management|1c019435-9793-447e-8959-0b32d23bf3d5</vt:lpwstr>
  </property>
  <property fmtid="{D5CDD505-2E9C-101B-9397-08002B2CF9AE}" pid="10" name="POPPBusinessProcess">
    <vt:lpwstr/>
  </property>
</Properties>
</file>