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AECB0" w14:textId="0C9AB20E" w:rsidR="005C6168" w:rsidRPr="00517955" w:rsidRDefault="000632CA" w:rsidP="000632CA">
      <w:pPr>
        <w:pStyle w:val="Heading3"/>
        <w:jc w:val="left"/>
        <w:rPr>
          <w:rFonts w:asciiTheme="minorHAnsi" w:hAnsiTheme="minorHAnsi"/>
        </w:rPr>
      </w:pPr>
      <w:bookmarkStart w:id="0" w:name="_GoBack"/>
      <w:bookmarkEnd w:id="0"/>
      <w:r>
        <w:rPr>
          <w:rFonts w:asciiTheme="minorHAnsi" w:hAnsiTheme="minorHAnsi"/>
        </w:rPr>
        <w:t>Country:</w:t>
      </w:r>
      <w:r>
        <w:rPr>
          <w:rFonts w:asciiTheme="minorHAnsi" w:hAnsiTheme="minorHAnsi"/>
        </w:rPr>
        <w:tab/>
      </w:r>
      <w:r>
        <w:rPr>
          <w:rFonts w:asciiTheme="minorHAnsi" w:hAnsiTheme="minorHAnsi"/>
        </w:rPr>
        <w:tab/>
        <w:t>Costa Rica</w:t>
      </w:r>
    </w:p>
    <w:p w14:paraId="0B2AECB1" w14:textId="77777777" w:rsidR="005C6168" w:rsidRPr="00517955" w:rsidRDefault="005C6168">
      <w:pPr>
        <w:pStyle w:val="Heading3"/>
        <w:rPr>
          <w:rFonts w:asciiTheme="minorHAnsi" w:hAnsiTheme="minorHAnsi"/>
        </w:rPr>
      </w:pPr>
    </w:p>
    <w:p w14:paraId="0B2AECB2" w14:textId="77777777" w:rsidR="005C6168" w:rsidRPr="00517955" w:rsidRDefault="00BC38E0">
      <w:pPr>
        <w:pStyle w:val="Heading3"/>
        <w:rPr>
          <w:rFonts w:asciiTheme="minorHAnsi" w:hAnsiTheme="minorHAnsi"/>
          <w:b/>
          <w:bCs w:val="0"/>
        </w:rPr>
      </w:pPr>
      <w:r w:rsidRPr="00517955">
        <w:rPr>
          <w:rFonts w:asciiTheme="minorHAnsi" w:hAnsiTheme="minorHAnsi"/>
          <w:b/>
          <w:bCs w:val="0"/>
        </w:rPr>
        <w:t>COUNTRY PROGRAMME</w:t>
      </w:r>
      <w:r w:rsidR="00B32ADA">
        <w:rPr>
          <w:rFonts w:asciiTheme="minorHAnsi" w:hAnsiTheme="minorHAnsi"/>
          <w:b/>
          <w:bCs w:val="0"/>
        </w:rPr>
        <w:t xml:space="preserve"> PERFORMANCE SUMMARY</w:t>
      </w:r>
      <w:r w:rsidR="001F3524">
        <w:rPr>
          <w:rStyle w:val="FootnoteReference"/>
          <w:rFonts w:asciiTheme="minorHAnsi" w:hAnsiTheme="minorHAnsi"/>
          <w:b/>
          <w:bCs w:val="0"/>
        </w:rPr>
        <w:footnoteReference w:id="1"/>
      </w:r>
    </w:p>
    <w:p w14:paraId="0B2AECB3" w14:textId="77777777" w:rsidR="005C6168" w:rsidRPr="00517955" w:rsidRDefault="005C6168">
      <w:pPr>
        <w:pStyle w:val="Heading3"/>
        <w:rPr>
          <w:rFonts w:asciiTheme="minorHAnsi" w:hAnsiTheme="minorHAnsi"/>
          <w:b/>
        </w:rPr>
      </w:pPr>
    </w:p>
    <w:p w14:paraId="0B2AECB4" w14:textId="0C033478" w:rsidR="005C6168" w:rsidRPr="0020609A" w:rsidRDefault="005C6168" w:rsidP="000632CA">
      <w:pPr>
        <w:pStyle w:val="Heading3"/>
        <w:jc w:val="left"/>
        <w:rPr>
          <w:rFonts w:asciiTheme="minorHAnsi" w:hAnsiTheme="minorHAnsi"/>
          <w:lang w:val="es-SV"/>
        </w:rPr>
      </w:pPr>
      <w:r w:rsidRPr="0020609A">
        <w:rPr>
          <w:rFonts w:asciiTheme="minorHAnsi" w:hAnsiTheme="minorHAnsi"/>
          <w:lang w:val="es-SV"/>
        </w:rPr>
        <w:t xml:space="preserve">Reporting period: </w:t>
      </w:r>
      <w:r w:rsidRPr="0020609A">
        <w:rPr>
          <w:rFonts w:asciiTheme="minorHAnsi" w:hAnsiTheme="minorHAnsi"/>
          <w:lang w:val="es-SV"/>
        </w:rPr>
        <w:tab/>
      </w:r>
      <w:r w:rsidR="000632CA" w:rsidRPr="0020609A">
        <w:rPr>
          <w:rFonts w:asciiTheme="minorHAnsi" w:hAnsiTheme="minorHAnsi"/>
          <w:lang w:val="es-SV"/>
        </w:rPr>
        <w:t>2013-2017</w:t>
      </w:r>
    </w:p>
    <w:p w14:paraId="0B2AECB5" w14:textId="77777777" w:rsidR="005C6168" w:rsidRPr="0020609A" w:rsidRDefault="005C6168">
      <w:pPr>
        <w:pStyle w:val="Heading3"/>
        <w:rPr>
          <w:rFonts w:asciiTheme="minorHAnsi" w:hAnsiTheme="minorHAnsi"/>
          <w:lang w:val="es-SV"/>
        </w:rPr>
      </w:pPr>
    </w:p>
    <w:p w14:paraId="0B2AECB6" w14:textId="77777777" w:rsidR="005C6168" w:rsidRPr="0020609A" w:rsidRDefault="005C6168">
      <w:pPr>
        <w:rPr>
          <w:rFonts w:asciiTheme="minorHAnsi" w:hAnsiTheme="minorHAnsi"/>
          <w:lang w:val="es-SV"/>
        </w:rPr>
      </w:pPr>
    </w:p>
    <w:p w14:paraId="0B2AECB7" w14:textId="0B10D4EC" w:rsidR="005C6168" w:rsidRPr="0020609A" w:rsidRDefault="005C6168" w:rsidP="00D80377">
      <w:pPr>
        <w:pStyle w:val="Heading3"/>
        <w:rPr>
          <w:rFonts w:asciiTheme="minorHAnsi" w:hAnsiTheme="minorHAnsi"/>
          <w:b/>
          <w:bCs w:val="0"/>
          <w:lang w:val="es-SV"/>
        </w:rPr>
      </w:pPr>
      <w:r w:rsidRPr="0020609A">
        <w:rPr>
          <w:rFonts w:asciiTheme="minorHAnsi" w:hAnsiTheme="minorHAnsi"/>
          <w:b/>
          <w:bCs w:val="0"/>
          <w:lang w:val="es-SV"/>
        </w:rPr>
        <w:t xml:space="preserve">I.  </w:t>
      </w:r>
      <w:r w:rsidR="0064746F" w:rsidRPr="0020609A">
        <w:rPr>
          <w:rFonts w:asciiTheme="minorHAnsi" w:hAnsiTheme="minorHAnsi"/>
          <w:b/>
          <w:bCs w:val="0"/>
          <w:lang w:val="es-SV"/>
        </w:rPr>
        <w:t>EXECUTIVE SUMMARY</w:t>
      </w:r>
    </w:p>
    <w:p w14:paraId="5F8B6CB2" w14:textId="77777777" w:rsidR="00636D53" w:rsidRPr="0020609A" w:rsidRDefault="00636D53" w:rsidP="00636D53">
      <w:pPr>
        <w:pStyle w:val="BodyText2"/>
        <w:rPr>
          <w:rFonts w:asciiTheme="minorHAnsi" w:hAnsiTheme="minorHAnsi"/>
          <w:color w:val="000000"/>
          <w:sz w:val="24"/>
          <w:lang w:val="es-SV"/>
        </w:rPr>
      </w:pPr>
    </w:p>
    <w:p w14:paraId="3811E58C" w14:textId="59A6885F" w:rsidR="003B5A60" w:rsidRPr="000E7512" w:rsidRDefault="003B5A60" w:rsidP="0071533D">
      <w:pPr>
        <w:pStyle w:val="BodyText2"/>
        <w:jc w:val="both"/>
        <w:rPr>
          <w:rFonts w:asciiTheme="minorHAnsi" w:hAnsiTheme="minorHAnsi"/>
          <w:sz w:val="22"/>
          <w:szCs w:val="18"/>
          <w:lang w:val="es-ES_tradnl"/>
        </w:rPr>
      </w:pPr>
      <w:r w:rsidRPr="000E7512">
        <w:rPr>
          <w:rFonts w:asciiTheme="minorHAnsi" w:hAnsiTheme="minorHAnsi"/>
          <w:sz w:val="22"/>
          <w:szCs w:val="18"/>
          <w:lang w:val="es-ES_tradnl"/>
        </w:rPr>
        <w:t xml:space="preserve">El programa de país 2013-2017 fue articulado en tres grandes áreas: Desarrollo humano, igualdad y equidad, Sostenibilidad ambiental, cambio climático y gestión de riesgos y Gobernabilidad democrática y convivencia social; con el de contribuir de maneras concretas y medibles al despliegue de las capacidades del país, para promover un desarrollo inclusivo, con mayor equidad de género y territorial, y con sostenibilidad ambiental reforzada. </w:t>
      </w:r>
    </w:p>
    <w:p w14:paraId="21A0095F" w14:textId="77777777" w:rsidR="003B5A60" w:rsidRPr="000E7512" w:rsidRDefault="003B5A60" w:rsidP="0071533D">
      <w:pPr>
        <w:pStyle w:val="BodyText2"/>
        <w:jc w:val="both"/>
        <w:rPr>
          <w:rFonts w:asciiTheme="minorHAnsi" w:hAnsiTheme="minorHAnsi"/>
          <w:sz w:val="22"/>
          <w:szCs w:val="18"/>
          <w:lang w:val="es-ES_tradnl"/>
        </w:rPr>
      </w:pPr>
    </w:p>
    <w:p w14:paraId="13944F5E" w14:textId="77777777" w:rsidR="003B5A60" w:rsidRPr="000E7512" w:rsidRDefault="003B5A60" w:rsidP="0071533D">
      <w:pPr>
        <w:pStyle w:val="BodyText2"/>
        <w:jc w:val="both"/>
        <w:rPr>
          <w:rFonts w:asciiTheme="minorHAnsi" w:hAnsiTheme="minorHAnsi"/>
          <w:sz w:val="22"/>
          <w:szCs w:val="18"/>
          <w:lang w:val="es-ES_tradnl"/>
        </w:rPr>
      </w:pPr>
      <w:r w:rsidRPr="000E7512">
        <w:rPr>
          <w:rFonts w:asciiTheme="minorHAnsi" w:hAnsiTheme="minorHAnsi"/>
          <w:sz w:val="22"/>
          <w:szCs w:val="18"/>
          <w:lang w:val="es-ES_tradnl"/>
        </w:rPr>
        <w:t xml:space="preserve">Los principales logros del PNUD en este período, en el área de desarrollo humano son: apoyos para mejoras en los sistemas de captura de información de diferentes instituciones públicas y ha elaborado una serie de estudios, investigaciones y propuestas, que han sido importantes para los tomadores de decisiones, en temas que aportan a la disminución de las brechas de desigualdad social y a la disminución de la pobreza; ha incidido de manera directa en la creación de políticas, protocolos y otros instrumentos de la gestión pública, que han permitido avanzar en derechos fundamentales de las personas, en especial de las personas que se encuentran en situación de vulnerabilidad; y ha posicionado temas y enfoques para cambiar estereotipos y avanzar en el respecto de poblaciones discriminadas; en la primera área. En términos generales, esta área ha tenido un trabajo muy importante en su intervención en poblaciones vulnerables, en el tema de género y en la reducción de brechas, a pesar de que en los últimos años ha sufrido una fuerte reducción de sus recursos.  Aunque sea un país de renta media, Costa Rica ha visto crecer las inequidades en los últimos años, y por lo tanto es importante mantener el aporte del PNUD en el cierre de brechas. Por lo tanto, se recomienda reforzar esta área en nudos críticos donde el Estado necesita un “apalancamiento y el impulso” para lograr saltos cualitativos en el marco de los derechos humanos y de las alianzas público privadas.  </w:t>
      </w:r>
    </w:p>
    <w:p w14:paraId="3BB5720F" w14:textId="77777777" w:rsidR="003B5A60" w:rsidRPr="000E7512" w:rsidRDefault="003B5A60" w:rsidP="0071533D">
      <w:pPr>
        <w:pStyle w:val="BodyText2"/>
        <w:jc w:val="both"/>
        <w:rPr>
          <w:rFonts w:asciiTheme="minorHAnsi" w:hAnsiTheme="minorHAnsi"/>
          <w:sz w:val="22"/>
          <w:szCs w:val="18"/>
          <w:lang w:val="es-ES_tradnl"/>
        </w:rPr>
      </w:pPr>
    </w:p>
    <w:p w14:paraId="3AE58A08" w14:textId="77777777" w:rsidR="003B5A60" w:rsidRDefault="003B5A60" w:rsidP="0071533D">
      <w:pPr>
        <w:pStyle w:val="BodyText2"/>
        <w:jc w:val="both"/>
        <w:rPr>
          <w:rFonts w:asciiTheme="minorHAnsi" w:hAnsiTheme="minorHAnsi"/>
          <w:sz w:val="22"/>
          <w:szCs w:val="18"/>
          <w:lang w:val="es-ES_tradnl"/>
        </w:rPr>
      </w:pPr>
      <w:r w:rsidRPr="000E7512">
        <w:rPr>
          <w:rFonts w:asciiTheme="minorHAnsi" w:hAnsiTheme="minorHAnsi"/>
          <w:sz w:val="22"/>
          <w:szCs w:val="18"/>
          <w:lang w:val="es-ES_tradnl"/>
        </w:rPr>
        <w:t>En el área de sostenibilidad ambiental, cambio climático y gestión de riesgo, el PNUD contribuyó a la construcción participativa de instrumentos de políticas públicas ambientales a nivel local; ha aportado a la mejora de capacidades institucionales con respecto a la gestión ambiental responsable y sostenible, potenciado avances hacia una economía baja en carbono y en la disminución de la vulnerabilidad al cambio climático, ha facilitado el diálogo político y articulación de actores  de diferentes sectores sobre temas ambientales; y promovido el avance en el abordaje de la gestión de riesgo,  desde un enfoque humano y sostenible. En esta área ha mostrado un gran protagonismo, creciendo con mayor vitalidad en los últimos años, y mostrando una gran capacidad de apoyar técnicamente y facilitar procesos participativos que conducen a la creación de instrumentos de política pública. Sin embargo, quedan pendientes retos país para robustecer la normativa en Cambio Climático, y continuar con experiencias concretas en Acciones de Mitigación como NAMAs.  Se recomienda continuar con la transferencia de lecciones aprendidas a nivel regional e internacional.</w:t>
      </w:r>
    </w:p>
    <w:p w14:paraId="12ED33EB" w14:textId="77777777" w:rsidR="003B5A60" w:rsidRPr="000E7512" w:rsidRDefault="003B5A60" w:rsidP="0071533D">
      <w:pPr>
        <w:pStyle w:val="BodyText2"/>
        <w:jc w:val="both"/>
        <w:rPr>
          <w:rFonts w:asciiTheme="minorHAnsi" w:hAnsiTheme="minorHAnsi"/>
          <w:sz w:val="22"/>
          <w:szCs w:val="18"/>
          <w:lang w:val="es-ES_tradnl"/>
        </w:rPr>
      </w:pPr>
    </w:p>
    <w:p w14:paraId="30ED7E23" w14:textId="77777777" w:rsidR="003B5A60" w:rsidRDefault="003B5A60" w:rsidP="0071533D">
      <w:pPr>
        <w:pStyle w:val="BodyText2"/>
        <w:jc w:val="both"/>
        <w:rPr>
          <w:rFonts w:asciiTheme="minorHAnsi" w:hAnsiTheme="minorHAnsi"/>
          <w:sz w:val="22"/>
          <w:szCs w:val="18"/>
          <w:lang w:val="es-ES_tradnl"/>
        </w:rPr>
      </w:pPr>
      <w:r w:rsidRPr="000E7512">
        <w:rPr>
          <w:rFonts w:asciiTheme="minorHAnsi" w:hAnsiTheme="minorHAnsi"/>
          <w:sz w:val="22"/>
          <w:szCs w:val="18"/>
          <w:lang w:val="es-ES_tradnl"/>
        </w:rPr>
        <w:t xml:space="preserve">Finalmente, en el área de gobernabilidad democrática, el PNUD ha facilitado la articulación de instituciones, organizaciones y grupos sociales para el mejoramiento de su gestión y empoderamiento ciudadano; aportado a la resolución de nudos y conflictos en temas críticos para la gobernanza y la gobernabilidad. En esta área se ha realizado un importante trabajo transversal, pero su desaparición </w:t>
      </w:r>
      <w:r w:rsidRPr="000E7512">
        <w:rPr>
          <w:rFonts w:asciiTheme="minorHAnsi" w:hAnsiTheme="minorHAnsi"/>
          <w:sz w:val="22"/>
          <w:szCs w:val="18"/>
          <w:lang w:val="es-ES_tradnl"/>
        </w:rPr>
        <w:lastRenderedPageBreak/>
        <w:t xml:space="preserve">como área temática ha implicado dejar atrás temas clave que ya se han impulsado como el tema de la seguridad ciudadana o los diálogos entre el gobierno y los pueblos indígenas. </w:t>
      </w:r>
    </w:p>
    <w:p w14:paraId="220CCE4C" w14:textId="77777777" w:rsidR="003B5A60" w:rsidRDefault="003B5A60" w:rsidP="0071533D">
      <w:pPr>
        <w:pStyle w:val="BodyText2"/>
        <w:jc w:val="both"/>
        <w:rPr>
          <w:rFonts w:asciiTheme="minorHAnsi" w:hAnsiTheme="minorHAnsi"/>
          <w:sz w:val="22"/>
          <w:szCs w:val="18"/>
          <w:lang w:val="es-ES_tradnl"/>
        </w:rPr>
      </w:pPr>
    </w:p>
    <w:p w14:paraId="0CAAB21E" w14:textId="51894A29" w:rsidR="00386F12" w:rsidRPr="000E7512" w:rsidRDefault="00386F12" w:rsidP="00386F12">
      <w:pPr>
        <w:pStyle w:val="BodyText2"/>
        <w:jc w:val="both"/>
        <w:rPr>
          <w:rFonts w:asciiTheme="minorHAnsi" w:hAnsiTheme="minorHAnsi"/>
          <w:sz w:val="22"/>
          <w:szCs w:val="18"/>
          <w:lang w:val="es-ES_tradnl"/>
        </w:rPr>
      </w:pPr>
      <w:r>
        <w:rPr>
          <w:rFonts w:asciiTheme="minorHAnsi" w:hAnsiTheme="minorHAnsi"/>
          <w:sz w:val="22"/>
          <w:szCs w:val="18"/>
          <w:lang w:val="es-ES_tradnl"/>
        </w:rPr>
        <w:t xml:space="preserve"> Es importante resaltar el trabajo transversal que se ha realizado en temas de empoderamiento de las mujeres y dism</w:t>
      </w:r>
      <w:r w:rsidR="0020609A">
        <w:rPr>
          <w:rFonts w:asciiTheme="minorHAnsi" w:hAnsiTheme="minorHAnsi"/>
          <w:sz w:val="22"/>
          <w:szCs w:val="18"/>
          <w:lang w:val="es-ES_tradnl"/>
        </w:rPr>
        <w:t>i</w:t>
      </w:r>
      <w:r>
        <w:rPr>
          <w:rFonts w:asciiTheme="minorHAnsi" w:hAnsiTheme="minorHAnsi"/>
          <w:sz w:val="22"/>
          <w:szCs w:val="18"/>
          <w:lang w:val="es-ES_tradnl"/>
        </w:rPr>
        <w:t>n</w:t>
      </w:r>
      <w:r w:rsidR="0020609A">
        <w:rPr>
          <w:rFonts w:asciiTheme="minorHAnsi" w:hAnsiTheme="minorHAnsi"/>
          <w:sz w:val="22"/>
          <w:szCs w:val="18"/>
          <w:lang w:val="es-ES_tradnl"/>
        </w:rPr>
        <w:t>u</w:t>
      </w:r>
      <w:r>
        <w:rPr>
          <w:rFonts w:asciiTheme="minorHAnsi" w:hAnsiTheme="minorHAnsi"/>
          <w:sz w:val="22"/>
          <w:szCs w:val="18"/>
          <w:lang w:val="es-ES_tradnl"/>
        </w:rPr>
        <w:t xml:space="preserve">ción de desigualdades. </w:t>
      </w:r>
      <w:r w:rsidRPr="00386F12">
        <w:rPr>
          <w:rFonts w:asciiTheme="minorHAnsi" w:hAnsiTheme="minorHAnsi"/>
          <w:sz w:val="22"/>
          <w:szCs w:val="18"/>
          <w:lang w:val="es-ES_tradnl"/>
        </w:rPr>
        <w:t>Con el fin de buscar cerrar las principales brechas de género, el PNUD contribuyó con el diseño de una Política de Igualdad y Equidad de Género para la Asamblea Legislativa la cual, de manera innovadora, contempla permear los tres ámbitos del quehacer legislativo: administrativo, legislativo y control político. Además, la política se acompañó de su plan de acción, para operacionalizar la herramienta. Parte de los logros asociados a este esfuerzo son partidas presupuestarias aprobadas para trabajar temas de género (diseño de un sistema de gestión para la igualdad de género, diplomado o curso en Género para funcionarios legislativos) o sesiones de contro</w:t>
      </w:r>
      <w:r w:rsidR="0020609A">
        <w:rPr>
          <w:rFonts w:asciiTheme="minorHAnsi" w:hAnsiTheme="minorHAnsi"/>
          <w:sz w:val="22"/>
          <w:szCs w:val="18"/>
          <w:lang w:val="es-ES_tradnl"/>
        </w:rPr>
        <w:t>l</w:t>
      </w:r>
      <w:r w:rsidRPr="00386F12">
        <w:rPr>
          <w:rFonts w:asciiTheme="minorHAnsi" w:hAnsiTheme="minorHAnsi"/>
          <w:sz w:val="22"/>
          <w:szCs w:val="18"/>
          <w:lang w:val="es-ES_tradnl"/>
        </w:rPr>
        <w:t xml:space="preserve"> político por parte de la Comisión Permanente Especial de la Mujer. Igualmente, para tratar de garantizar que los partidos políticos aplique adecuadamente el principio de paridad, el PNUD colaboró con el IFED (Instituto de Formación y Estudios en Democracia) del TSE para elaborar un Módulo de Capacitación en Paridad. En estrecha colaboración con el INAMU, se ha inic</w:t>
      </w:r>
      <w:r w:rsidR="0020609A">
        <w:rPr>
          <w:rFonts w:asciiTheme="minorHAnsi" w:hAnsiTheme="minorHAnsi"/>
          <w:sz w:val="22"/>
          <w:szCs w:val="18"/>
          <w:lang w:val="es-ES_tradnl"/>
        </w:rPr>
        <w:t>i</w:t>
      </w:r>
      <w:r w:rsidRPr="00386F12">
        <w:rPr>
          <w:rFonts w:asciiTheme="minorHAnsi" w:hAnsiTheme="minorHAnsi"/>
          <w:sz w:val="22"/>
          <w:szCs w:val="18"/>
          <w:lang w:val="es-ES_tradnl"/>
        </w:rPr>
        <w:t>ado un proceso para promover la inclusión de la igualdad de género en las condiciones laborales de organizaciones públicas y privadas, permitiendo así el empoderamiento económico de las mujeres. Actualmente, hay 45 entidades públicas y privadas que han firmado cartas de compromiso para incorporar la igualdad de género en las relaciones laborales, con el fin de iniciar procesos de certificación para lograr obtener el sello de igualdad de género del INAMU.</w:t>
      </w:r>
    </w:p>
    <w:p w14:paraId="5412594E" w14:textId="5EF8DFB3" w:rsidR="00386F12" w:rsidRPr="000E7512" w:rsidRDefault="00386F12" w:rsidP="0071533D">
      <w:pPr>
        <w:pStyle w:val="BodyText2"/>
        <w:jc w:val="both"/>
        <w:rPr>
          <w:rFonts w:asciiTheme="minorHAnsi" w:hAnsiTheme="minorHAnsi"/>
          <w:sz w:val="22"/>
          <w:szCs w:val="18"/>
          <w:lang w:val="es-ES_tradnl"/>
        </w:rPr>
      </w:pPr>
    </w:p>
    <w:p w14:paraId="6052FB52" w14:textId="77777777" w:rsidR="003B5A60" w:rsidRPr="003B5A60" w:rsidRDefault="003B5A60" w:rsidP="0071533D">
      <w:pPr>
        <w:pStyle w:val="BodyText2"/>
        <w:jc w:val="both"/>
        <w:rPr>
          <w:rFonts w:asciiTheme="minorHAnsi" w:hAnsiTheme="minorHAnsi"/>
          <w:sz w:val="24"/>
          <w:lang w:val="es-ES_tradnl"/>
        </w:rPr>
      </w:pPr>
      <w:r w:rsidRPr="000E7512">
        <w:rPr>
          <w:rFonts w:asciiTheme="minorHAnsi" w:hAnsiTheme="minorHAnsi"/>
          <w:sz w:val="22"/>
          <w:szCs w:val="18"/>
          <w:lang w:val="es-ES_tradnl"/>
        </w:rPr>
        <w:t>Las instituciones nacionales reconocen el valor agregado del PNUD, y señalan como crítico el reconocimiento y aporte al enfoque y abordaje de derechos y desarrollo humano; el aporte de calidad en la gestión del conocimiento</w:t>
      </w:r>
      <w:r w:rsidRPr="000E7512">
        <w:rPr>
          <w:rFonts w:asciiTheme="minorHAnsi" w:hAnsiTheme="minorHAnsi"/>
          <w:sz w:val="22"/>
          <w:szCs w:val="22"/>
          <w:lang w:val="es-ES_tradnl"/>
        </w:rPr>
        <w:t xml:space="preserve">  de temas de transcendencia para el desarrollo; el papel de mediador en conflictos entre el Estado y otros sectores sociales; el aporte de recursos humanos altamente calificados en aspectos medulares; y el apoyo en la catalización y facilitación de buena prácticas para el escalonamiento.</w:t>
      </w:r>
    </w:p>
    <w:p w14:paraId="5D9CE51F" w14:textId="77777777" w:rsidR="003B5A60" w:rsidRPr="003B5A60" w:rsidRDefault="003B5A60" w:rsidP="00636D53">
      <w:pPr>
        <w:pStyle w:val="BodyText2"/>
        <w:rPr>
          <w:rFonts w:asciiTheme="minorHAnsi" w:hAnsiTheme="minorHAnsi"/>
          <w:sz w:val="24"/>
          <w:lang w:val="es-ES_tradnl"/>
        </w:rPr>
      </w:pPr>
    </w:p>
    <w:p w14:paraId="02D5C62E" w14:textId="77777777" w:rsidR="00636D53" w:rsidRPr="003B5A60" w:rsidRDefault="00636D53" w:rsidP="00636D53">
      <w:pPr>
        <w:pStyle w:val="BodyText2"/>
        <w:rPr>
          <w:rFonts w:asciiTheme="minorHAnsi" w:hAnsiTheme="minorHAnsi"/>
          <w:sz w:val="24"/>
          <w:lang w:val="es-ES_tradnl"/>
        </w:rPr>
      </w:pPr>
    </w:p>
    <w:p w14:paraId="5E207A32" w14:textId="77777777" w:rsidR="00636D53" w:rsidRPr="003B5A60" w:rsidRDefault="00636D53" w:rsidP="00636D53">
      <w:pPr>
        <w:pStyle w:val="BodyText2"/>
        <w:rPr>
          <w:rFonts w:asciiTheme="minorHAnsi" w:hAnsiTheme="minorHAnsi"/>
          <w:sz w:val="24"/>
          <w:lang w:val="es-ES_tradnl"/>
        </w:rPr>
      </w:pPr>
    </w:p>
    <w:p w14:paraId="0B2AECBE" w14:textId="77777777" w:rsidR="005C6168" w:rsidRPr="003B5A60" w:rsidRDefault="005C6168" w:rsidP="00363EC5">
      <w:pPr>
        <w:pStyle w:val="BodyText"/>
        <w:rPr>
          <w:rFonts w:asciiTheme="minorHAnsi" w:hAnsiTheme="minorHAnsi"/>
          <w:lang w:val="es-ES_tradnl"/>
        </w:rPr>
      </w:pPr>
    </w:p>
    <w:p w14:paraId="0B2AECBF" w14:textId="77777777" w:rsidR="00F826EC" w:rsidRPr="003B5A60" w:rsidRDefault="00F826EC" w:rsidP="00F826EC">
      <w:pPr>
        <w:pStyle w:val="BodyText2"/>
        <w:rPr>
          <w:rFonts w:asciiTheme="minorHAnsi" w:hAnsiTheme="minorHAnsi"/>
          <w:sz w:val="24"/>
          <w:lang w:val="es-ES_tradnl"/>
        </w:rPr>
      </w:pPr>
    </w:p>
    <w:p w14:paraId="0B2AECC0" w14:textId="77777777" w:rsidR="00E770DC" w:rsidRPr="003B5A60" w:rsidRDefault="00E770DC" w:rsidP="00E770DC">
      <w:pPr>
        <w:pStyle w:val="BodyText2"/>
        <w:rPr>
          <w:rFonts w:ascii="Times New Roman" w:hAnsi="Times New Roman"/>
          <w:sz w:val="24"/>
          <w:lang w:val="es-ES_tradnl"/>
        </w:rPr>
      </w:pPr>
    </w:p>
    <w:p w14:paraId="0B2AECC1" w14:textId="77777777" w:rsidR="0037523B" w:rsidRPr="003B5A60" w:rsidRDefault="0037523B" w:rsidP="00975566">
      <w:pPr>
        <w:pStyle w:val="BodyText2"/>
        <w:jc w:val="center"/>
        <w:rPr>
          <w:rFonts w:ascii="Times New Roman" w:hAnsi="Times New Roman"/>
          <w:b/>
          <w:sz w:val="24"/>
          <w:lang w:val="es-ES_tradnl"/>
        </w:rPr>
      </w:pPr>
    </w:p>
    <w:p w14:paraId="0B2AECC2" w14:textId="77777777" w:rsidR="0037523B" w:rsidRPr="003B5A60" w:rsidRDefault="0037523B" w:rsidP="00975566">
      <w:pPr>
        <w:pStyle w:val="BodyText2"/>
        <w:jc w:val="center"/>
        <w:rPr>
          <w:rFonts w:ascii="Times New Roman" w:hAnsi="Times New Roman"/>
          <w:b/>
          <w:sz w:val="24"/>
          <w:lang w:val="es-ES_tradnl"/>
        </w:rPr>
      </w:pPr>
    </w:p>
    <w:p w14:paraId="0B2AECC3" w14:textId="77777777" w:rsidR="0037523B" w:rsidRPr="003B5A60" w:rsidRDefault="0037523B" w:rsidP="00975566">
      <w:pPr>
        <w:pStyle w:val="BodyText2"/>
        <w:jc w:val="center"/>
        <w:rPr>
          <w:rFonts w:ascii="Times New Roman" w:hAnsi="Times New Roman"/>
          <w:b/>
          <w:sz w:val="24"/>
          <w:lang w:val="es-ES_tradnl"/>
        </w:rPr>
      </w:pPr>
    </w:p>
    <w:p w14:paraId="0B2AECC4" w14:textId="77777777" w:rsidR="0037523B" w:rsidRPr="003B5A60" w:rsidRDefault="0037523B" w:rsidP="00975566">
      <w:pPr>
        <w:pStyle w:val="BodyText2"/>
        <w:jc w:val="center"/>
        <w:rPr>
          <w:rFonts w:ascii="Times New Roman" w:hAnsi="Times New Roman"/>
          <w:b/>
          <w:sz w:val="24"/>
          <w:lang w:val="es-ES_tradnl"/>
        </w:rPr>
      </w:pPr>
    </w:p>
    <w:p w14:paraId="0B2AECC5" w14:textId="77777777" w:rsidR="0037523B" w:rsidRPr="003B5A60" w:rsidRDefault="0037523B" w:rsidP="00975566">
      <w:pPr>
        <w:pStyle w:val="BodyText2"/>
        <w:jc w:val="center"/>
        <w:rPr>
          <w:rFonts w:ascii="Times New Roman" w:hAnsi="Times New Roman"/>
          <w:b/>
          <w:sz w:val="24"/>
          <w:lang w:val="es-ES_tradnl"/>
        </w:rPr>
      </w:pPr>
    </w:p>
    <w:p w14:paraId="0B2AECC6" w14:textId="77777777" w:rsidR="0037523B" w:rsidRPr="003B5A60" w:rsidRDefault="0037523B" w:rsidP="00975566">
      <w:pPr>
        <w:pStyle w:val="BodyText2"/>
        <w:jc w:val="center"/>
        <w:rPr>
          <w:rFonts w:ascii="Times New Roman" w:hAnsi="Times New Roman"/>
          <w:b/>
          <w:sz w:val="24"/>
          <w:lang w:val="es-ES_tradnl"/>
        </w:rPr>
      </w:pPr>
    </w:p>
    <w:p w14:paraId="0B2AECC7" w14:textId="77777777" w:rsidR="0037523B" w:rsidRPr="003B5A60" w:rsidRDefault="0037523B" w:rsidP="00975566">
      <w:pPr>
        <w:pStyle w:val="BodyText2"/>
        <w:jc w:val="center"/>
        <w:rPr>
          <w:rFonts w:ascii="Times New Roman" w:hAnsi="Times New Roman"/>
          <w:b/>
          <w:sz w:val="24"/>
          <w:lang w:val="es-ES_tradnl"/>
        </w:rPr>
      </w:pPr>
    </w:p>
    <w:p w14:paraId="0B2AECC8" w14:textId="77777777" w:rsidR="0037523B" w:rsidRPr="003B5A60" w:rsidRDefault="0037523B" w:rsidP="00975566">
      <w:pPr>
        <w:pStyle w:val="BodyText2"/>
        <w:jc w:val="center"/>
        <w:rPr>
          <w:rFonts w:ascii="Times New Roman" w:hAnsi="Times New Roman"/>
          <w:b/>
          <w:sz w:val="24"/>
          <w:lang w:val="es-ES_tradnl"/>
        </w:rPr>
      </w:pPr>
    </w:p>
    <w:p w14:paraId="0B2AECC9" w14:textId="77777777" w:rsidR="0037523B" w:rsidRPr="003B5A60" w:rsidRDefault="0037523B" w:rsidP="00975566">
      <w:pPr>
        <w:pStyle w:val="BodyText2"/>
        <w:jc w:val="center"/>
        <w:rPr>
          <w:rFonts w:ascii="Times New Roman" w:hAnsi="Times New Roman"/>
          <w:b/>
          <w:sz w:val="24"/>
          <w:lang w:val="es-ES_tradnl"/>
        </w:rPr>
      </w:pPr>
    </w:p>
    <w:p w14:paraId="0B2AECCA" w14:textId="77777777" w:rsidR="0037523B" w:rsidRPr="003B5A60" w:rsidRDefault="0037523B" w:rsidP="00975566">
      <w:pPr>
        <w:pStyle w:val="BodyText2"/>
        <w:jc w:val="center"/>
        <w:rPr>
          <w:rFonts w:ascii="Times New Roman" w:hAnsi="Times New Roman"/>
          <w:b/>
          <w:sz w:val="24"/>
          <w:lang w:val="es-ES_tradnl"/>
        </w:rPr>
      </w:pPr>
    </w:p>
    <w:p w14:paraId="0B2AECCB" w14:textId="77777777" w:rsidR="0037523B" w:rsidRPr="003B5A60" w:rsidRDefault="0037523B" w:rsidP="00975566">
      <w:pPr>
        <w:pStyle w:val="BodyText2"/>
        <w:jc w:val="center"/>
        <w:rPr>
          <w:rFonts w:ascii="Times New Roman" w:hAnsi="Times New Roman"/>
          <w:b/>
          <w:sz w:val="24"/>
          <w:lang w:val="es-ES_tradnl"/>
        </w:rPr>
      </w:pPr>
    </w:p>
    <w:p w14:paraId="0B2AECCC" w14:textId="77777777" w:rsidR="0037523B" w:rsidRPr="003B5A60" w:rsidRDefault="0037523B" w:rsidP="00975566">
      <w:pPr>
        <w:pStyle w:val="BodyText2"/>
        <w:jc w:val="center"/>
        <w:rPr>
          <w:rFonts w:ascii="Times New Roman" w:hAnsi="Times New Roman"/>
          <w:b/>
          <w:sz w:val="24"/>
          <w:lang w:val="es-ES_tradnl"/>
        </w:rPr>
      </w:pPr>
    </w:p>
    <w:p w14:paraId="0B2AECCD" w14:textId="77777777" w:rsidR="0037523B" w:rsidRPr="003B5A60" w:rsidRDefault="0037523B" w:rsidP="00975566">
      <w:pPr>
        <w:pStyle w:val="BodyText2"/>
        <w:jc w:val="center"/>
        <w:rPr>
          <w:rFonts w:ascii="Times New Roman" w:hAnsi="Times New Roman"/>
          <w:b/>
          <w:sz w:val="24"/>
          <w:lang w:val="es-ES_tradnl"/>
        </w:rPr>
      </w:pPr>
    </w:p>
    <w:p w14:paraId="0B2AECCE" w14:textId="77777777" w:rsidR="0037523B" w:rsidRPr="003B5A60" w:rsidRDefault="0037523B" w:rsidP="00975566">
      <w:pPr>
        <w:pStyle w:val="BodyText2"/>
        <w:jc w:val="center"/>
        <w:rPr>
          <w:rFonts w:ascii="Times New Roman" w:hAnsi="Times New Roman"/>
          <w:b/>
          <w:sz w:val="24"/>
          <w:lang w:val="es-ES_tradnl"/>
        </w:rPr>
      </w:pPr>
    </w:p>
    <w:p w14:paraId="0B2AECCF" w14:textId="77777777" w:rsidR="0037523B" w:rsidRPr="003B5A60" w:rsidRDefault="0037523B" w:rsidP="00975566">
      <w:pPr>
        <w:pStyle w:val="BodyText2"/>
        <w:jc w:val="center"/>
        <w:rPr>
          <w:rFonts w:ascii="Times New Roman" w:hAnsi="Times New Roman"/>
          <w:b/>
          <w:sz w:val="24"/>
          <w:lang w:val="es-ES_tradnl"/>
        </w:rPr>
      </w:pPr>
    </w:p>
    <w:p w14:paraId="0B2AECD0" w14:textId="77777777" w:rsidR="0037523B" w:rsidRPr="003B5A60" w:rsidRDefault="0037523B" w:rsidP="00975566">
      <w:pPr>
        <w:pStyle w:val="BodyText2"/>
        <w:jc w:val="center"/>
        <w:rPr>
          <w:rFonts w:ascii="Times New Roman" w:hAnsi="Times New Roman"/>
          <w:b/>
          <w:sz w:val="24"/>
          <w:lang w:val="es-ES_tradnl"/>
        </w:rPr>
      </w:pPr>
    </w:p>
    <w:p w14:paraId="0B2AECD1" w14:textId="77777777" w:rsidR="0037523B" w:rsidRPr="003B5A60" w:rsidRDefault="0037523B" w:rsidP="00975566">
      <w:pPr>
        <w:pStyle w:val="BodyText2"/>
        <w:jc w:val="center"/>
        <w:rPr>
          <w:rFonts w:ascii="Times New Roman" w:hAnsi="Times New Roman"/>
          <w:b/>
          <w:sz w:val="24"/>
          <w:lang w:val="es-ES_tradnl"/>
        </w:rPr>
        <w:sectPr w:rsidR="0037523B" w:rsidRPr="003B5A60">
          <w:footerReference w:type="default" r:id="rId13"/>
          <w:endnotePr>
            <w:numFmt w:val="decimal"/>
          </w:endnotePr>
          <w:pgSz w:w="11907" w:h="16840" w:code="9"/>
          <w:pgMar w:top="1440" w:right="1440" w:bottom="1440" w:left="1440" w:header="720" w:footer="720" w:gutter="0"/>
          <w:cols w:space="720"/>
        </w:sectPr>
      </w:pPr>
    </w:p>
    <w:p w14:paraId="0B2AECD2" w14:textId="77777777" w:rsidR="00975566" w:rsidRPr="00517955" w:rsidRDefault="006900FE" w:rsidP="008440D9">
      <w:pPr>
        <w:pStyle w:val="Heading3"/>
        <w:jc w:val="left"/>
        <w:rPr>
          <w:rFonts w:asciiTheme="minorHAnsi" w:hAnsiTheme="minorHAnsi"/>
          <w:b/>
        </w:rPr>
      </w:pPr>
      <w:r>
        <w:rPr>
          <w:rFonts w:asciiTheme="minorHAnsi" w:hAnsiTheme="minorHAnsi"/>
          <w:b/>
        </w:rPr>
        <w:lastRenderedPageBreak/>
        <w:t>II</w:t>
      </w:r>
      <w:r w:rsidR="0081403B" w:rsidRPr="00517955">
        <w:rPr>
          <w:rFonts w:asciiTheme="minorHAnsi" w:hAnsiTheme="minorHAnsi"/>
          <w:b/>
        </w:rPr>
        <w:t xml:space="preserve">: </w:t>
      </w:r>
      <w:r w:rsidR="000C09B4" w:rsidRPr="00517955">
        <w:rPr>
          <w:rFonts w:asciiTheme="minorHAnsi" w:hAnsiTheme="minorHAnsi"/>
          <w:b/>
        </w:rPr>
        <w:t xml:space="preserve">Country Programme Performance </w:t>
      </w:r>
      <w:r w:rsidR="00975566" w:rsidRPr="00517955">
        <w:rPr>
          <w:rFonts w:asciiTheme="minorHAnsi" w:hAnsiTheme="minorHAnsi"/>
          <w:b/>
        </w:rPr>
        <w:t>Summary</w:t>
      </w:r>
    </w:p>
    <w:p w14:paraId="0B2AECD3" w14:textId="77777777" w:rsidR="00DC7354" w:rsidRDefault="00DC7354" w:rsidP="00975566">
      <w:pPr>
        <w:pStyle w:val="BodyText2"/>
        <w:jc w:val="center"/>
        <w:rPr>
          <w:rFonts w:ascii="Times New Roman" w:hAnsi="Times New Roman"/>
          <w:b/>
          <w:sz w:val="24"/>
        </w:rPr>
      </w:pPr>
    </w:p>
    <w:tbl>
      <w:tblPr>
        <w:tblW w:w="12443" w:type="dxa"/>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90"/>
        <w:gridCol w:w="1440"/>
        <w:gridCol w:w="3960"/>
        <w:gridCol w:w="5490"/>
      </w:tblGrid>
      <w:tr w:rsidR="00CB647D" w:rsidRPr="00DC7354" w14:paraId="0B2AECD6" w14:textId="77777777" w:rsidTr="00EC6FC5">
        <w:tc>
          <w:tcPr>
            <w:tcW w:w="1553" w:type="dxa"/>
            <w:gridSpan w:val="2"/>
            <w:tcBorders>
              <w:right w:val="nil"/>
            </w:tcBorders>
            <w:shd w:val="clear" w:color="auto" w:fill="FFC000"/>
          </w:tcPr>
          <w:p w14:paraId="0B2AECD4" w14:textId="77777777" w:rsidR="00CB647D" w:rsidRPr="00A85E34" w:rsidRDefault="00CB647D">
            <w:pPr>
              <w:pStyle w:val="BodyText2"/>
              <w:rPr>
                <w:rFonts w:asciiTheme="minorHAnsi" w:hAnsiTheme="minorHAnsi"/>
                <w:b/>
                <w:sz w:val="24"/>
              </w:rPr>
            </w:pPr>
            <w:r w:rsidRPr="00A85E34">
              <w:rPr>
                <w:rFonts w:asciiTheme="minorHAnsi" w:hAnsiTheme="minorHAnsi"/>
                <w:b/>
              </w:rPr>
              <w:t>Country information</w:t>
            </w:r>
          </w:p>
        </w:tc>
        <w:tc>
          <w:tcPr>
            <w:tcW w:w="10890" w:type="dxa"/>
            <w:gridSpan w:val="3"/>
            <w:tcBorders>
              <w:left w:val="nil"/>
            </w:tcBorders>
            <w:shd w:val="clear" w:color="auto" w:fill="FFC000"/>
          </w:tcPr>
          <w:p w14:paraId="0B2AECD5" w14:textId="77777777" w:rsidR="00CB647D" w:rsidRPr="00A85E34" w:rsidRDefault="00CB647D">
            <w:pPr>
              <w:pStyle w:val="BodyText2"/>
              <w:rPr>
                <w:rFonts w:asciiTheme="minorHAnsi" w:hAnsiTheme="minorHAnsi"/>
                <w:b/>
                <w:sz w:val="24"/>
              </w:rPr>
            </w:pPr>
          </w:p>
        </w:tc>
      </w:tr>
      <w:tr w:rsidR="009B76A1" w:rsidRPr="00DC7354" w14:paraId="0B2AECD8" w14:textId="77777777" w:rsidTr="00EC6FC5">
        <w:tc>
          <w:tcPr>
            <w:tcW w:w="12443" w:type="dxa"/>
            <w:gridSpan w:val="5"/>
          </w:tcPr>
          <w:p w14:paraId="0B2AECD7" w14:textId="64CA938E" w:rsidR="009B76A1" w:rsidRPr="00DC7354" w:rsidRDefault="009B76A1">
            <w:pPr>
              <w:pStyle w:val="BodyText2"/>
              <w:rPr>
                <w:rFonts w:asciiTheme="minorHAnsi" w:hAnsiTheme="minorHAnsi"/>
                <w:b/>
                <w:sz w:val="24"/>
              </w:rPr>
            </w:pPr>
            <w:r w:rsidRPr="00230A0E">
              <w:rPr>
                <w:rFonts w:asciiTheme="minorHAnsi" w:hAnsiTheme="minorHAnsi"/>
                <w:b/>
              </w:rPr>
              <w:t>Country name:</w:t>
            </w:r>
            <w:r w:rsidR="003B5A60">
              <w:rPr>
                <w:rFonts w:asciiTheme="minorHAnsi" w:hAnsiTheme="minorHAnsi"/>
                <w:b/>
              </w:rPr>
              <w:t xml:space="preserve"> Costa Rica</w:t>
            </w:r>
          </w:p>
        </w:tc>
      </w:tr>
      <w:tr w:rsidR="009B76A1" w:rsidRPr="00843006" w14:paraId="0B2AECDA" w14:textId="77777777" w:rsidTr="00EC6FC5">
        <w:tc>
          <w:tcPr>
            <w:tcW w:w="12443" w:type="dxa"/>
            <w:gridSpan w:val="5"/>
          </w:tcPr>
          <w:p w14:paraId="0B2AECD9" w14:textId="4A8B8FC5" w:rsidR="009B76A1" w:rsidRPr="00843006" w:rsidRDefault="009B76A1">
            <w:pPr>
              <w:pStyle w:val="BodyText2"/>
              <w:rPr>
                <w:rFonts w:asciiTheme="minorHAnsi" w:hAnsiTheme="minorHAnsi"/>
                <w:b/>
              </w:rPr>
            </w:pPr>
            <w:r w:rsidRPr="00843006">
              <w:rPr>
                <w:rFonts w:asciiTheme="minorHAnsi" w:hAnsiTheme="minorHAnsi"/>
                <w:b/>
              </w:rPr>
              <w:t>Current country program</w:t>
            </w:r>
            <w:r>
              <w:rPr>
                <w:rFonts w:asciiTheme="minorHAnsi" w:hAnsiTheme="minorHAnsi"/>
                <w:b/>
              </w:rPr>
              <w:t>me</w:t>
            </w:r>
            <w:r w:rsidRPr="00843006">
              <w:rPr>
                <w:rFonts w:asciiTheme="minorHAnsi" w:hAnsiTheme="minorHAnsi"/>
                <w:b/>
              </w:rPr>
              <w:t xml:space="preserve"> period:</w:t>
            </w:r>
            <w:r w:rsidR="003B5A60">
              <w:rPr>
                <w:rFonts w:asciiTheme="minorHAnsi" w:hAnsiTheme="minorHAnsi"/>
                <w:b/>
              </w:rPr>
              <w:t xml:space="preserve"> 2013-2017</w:t>
            </w:r>
          </w:p>
        </w:tc>
      </w:tr>
      <w:tr w:rsidR="003B037A" w:rsidRPr="00DC7354" w14:paraId="0B2AECDF" w14:textId="77777777" w:rsidTr="00EC6FC5">
        <w:tc>
          <w:tcPr>
            <w:tcW w:w="1553" w:type="dxa"/>
            <w:gridSpan w:val="2"/>
          </w:tcPr>
          <w:p w14:paraId="0B2AECDB" w14:textId="77777777" w:rsidR="003B037A" w:rsidRPr="00DC7354" w:rsidRDefault="003B037A">
            <w:pPr>
              <w:pStyle w:val="BodyText2"/>
              <w:rPr>
                <w:rFonts w:asciiTheme="minorHAnsi" w:hAnsiTheme="minorHAnsi"/>
                <w:b/>
                <w:sz w:val="24"/>
              </w:rPr>
            </w:pPr>
            <w:r w:rsidRPr="00DC7354">
              <w:rPr>
                <w:rFonts w:asciiTheme="minorHAnsi" w:hAnsiTheme="minorHAnsi"/>
                <w:b/>
                <w:sz w:val="24"/>
              </w:rPr>
              <w:t>Outcome</w:t>
            </w:r>
            <w:r w:rsidR="00700521">
              <w:rPr>
                <w:rFonts w:asciiTheme="minorHAnsi" w:hAnsiTheme="minorHAnsi"/>
                <w:b/>
                <w:sz w:val="24"/>
              </w:rPr>
              <w:t>s</w:t>
            </w:r>
          </w:p>
        </w:tc>
        <w:tc>
          <w:tcPr>
            <w:tcW w:w="1440" w:type="dxa"/>
            <w:shd w:val="clear" w:color="auto" w:fill="auto"/>
          </w:tcPr>
          <w:p w14:paraId="0B2AECDC" w14:textId="77777777" w:rsidR="003B037A" w:rsidRPr="005F6261" w:rsidRDefault="003B037A">
            <w:pPr>
              <w:pStyle w:val="BodyText2"/>
              <w:rPr>
                <w:rFonts w:asciiTheme="minorHAnsi" w:hAnsiTheme="minorHAnsi"/>
                <w:b/>
                <w:sz w:val="22"/>
              </w:rPr>
            </w:pPr>
            <w:r w:rsidRPr="005F6261">
              <w:rPr>
                <w:rFonts w:asciiTheme="minorHAnsi" w:hAnsiTheme="minorHAnsi"/>
                <w:b/>
                <w:sz w:val="22"/>
              </w:rPr>
              <w:t>Total Expenditure</w:t>
            </w:r>
          </w:p>
        </w:tc>
        <w:tc>
          <w:tcPr>
            <w:tcW w:w="3960" w:type="dxa"/>
            <w:tcBorders>
              <w:left w:val="single" w:sz="4" w:space="0" w:color="auto"/>
            </w:tcBorders>
          </w:tcPr>
          <w:p w14:paraId="0B2AECDD" w14:textId="77777777" w:rsidR="003B037A" w:rsidRPr="005F6261" w:rsidRDefault="003B037A">
            <w:pPr>
              <w:pStyle w:val="BodyText2"/>
              <w:rPr>
                <w:rFonts w:asciiTheme="minorHAnsi" w:hAnsiTheme="minorHAnsi"/>
                <w:b/>
                <w:sz w:val="22"/>
              </w:rPr>
            </w:pPr>
            <w:r w:rsidRPr="005F6261">
              <w:rPr>
                <w:rFonts w:asciiTheme="minorHAnsi" w:hAnsiTheme="minorHAnsi"/>
                <w:b/>
                <w:sz w:val="22"/>
              </w:rPr>
              <w:t>Key Indicators of outcome (1-4 per outcome)</w:t>
            </w:r>
          </w:p>
        </w:tc>
        <w:tc>
          <w:tcPr>
            <w:tcW w:w="5490" w:type="dxa"/>
          </w:tcPr>
          <w:p w14:paraId="0B2AECDE" w14:textId="77777777" w:rsidR="003B037A" w:rsidRPr="005F6261" w:rsidRDefault="003B037A">
            <w:pPr>
              <w:pStyle w:val="BodyText2"/>
              <w:rPr>
                <w:rFonts w:asciiTheme="minorHAnsi" w:hAnsiTheme="minorHAnsi"/>
                <w:b/>
                <w:sz w:val="22"/>
              </w:rPr>
            </w:pPr>
            <w:r w:rsidRPr="005F6261">
              <w:rPr>
                <w:rFonts w:asciiTheme="minorHAnsi" w:hAnsiTheme="minorHAnsi"/>
                <w:b/>
                <w:sz w:val="22"/>
              </w:rPr>
              <w:t>Progress made against key indicators</w:t>
            </w:r>
          </w:p>
        </w:tc>
      </w:tr>
      <w:tr w:rsidR="000823AC" w:rsidRPr="006C4937" w14:paraId="0B2AECE8" w14:textId="77777777" w:rsidTr="00EC6FC5">
        <w:tc>
          <w:tcPr>
            <w:tcW w:w="1553" w:type="dxa"/>
            <w:gridSpan w:val="2"/>
            <w:tcBorders>
              <w:bottom w:val="single" w:sz="4" w:space="0" w:color="auto"/>
            </w:tcBorders>
            <w:shd w:val="clear" w:color="auto" w:fill="95B3D7" w:themeFill="accent1" w:themeFillTint="99"/>
          </w:tcPr>
          <w:p w14:paraId="0B2AECE0" w14:textId="70E9647E" w:rsidR="003B037A" w:rsidRPr="00F60A66" w:rsidRDefault="003B037A" w:rsidP="00F60A66">
            <w:pPr>
              <w:pStyle w:val="BodyText2"/>
              <w:rPr>
                <w:rFonts w:asciiTheme="minorHAnsi" w:hAnsiTheme="minorHAnsi"/>
                <w:b/>
                <w:lang w:val="es-ES_tradnl"/>
              </w:rPr>
            </w:pPr>
            <w:r w:rsidRPr="00F60A66">
              <w:rPr>
                <w:rFonts w:asciiTheme="minorHAnsi" w:hAnsiTheme="minorHAnsi"/>
                <w:b/>
                <w:lang w:val="es-ES_tradnl"/>
              </w:rPr>
              <w:t>1</w:t>
            </w:r>
            <w:r w:rsidR="00F60A66" w:rsidRPr="00F60A66">
              <w:rPr>
                <w:rFonts w:asciiTheme="minorHAnsi" w:hAnsiTheme="minorHAnsi"/>
                <w:b/>
                <w:lang w:val="es-ES_tradnl"/>
              </w:rPr>
              <w:t>. Instituciones cuentan con mecanismos e información que les permiten proveer a sus beneficiarios oportunidades para el DHS y la equidad de género</w:t>
            </w:r>
          </w:p>
        </w:tc>
        <w:tc>
          <w:tcPr>
            <w:tcW w:w="1440" w:type="dxa"/>
            <w:tcBorders>
              <w:bottom w:val="single" w:sz="4" w:space="0" w:color="auto"/>
            </w:tcBorders>
            <w:shd w:val="clear" w:color="auto" w:fill="auto"/>
          </w:tcPr>
          <w:p w14:paraId="0B2AECE1" w14:textId="64799C67" w:rsidR="003B037A" w:rsidRPr="00DC7354" w:rsidRDefault="003B037A">
            <w:pPr>
              <w:pStyle w:val="BodyText2"/>
              <w:rPr>
                <w:rFonts w:asciiTheme="minorHAnsi" w:hAnsiTheme="minorHAnsi"/>
              </w:rPr>
            </w:pPr>
            <w:r w:rsidRPr="00DC7354">
              <w:rPr>
                <w:rFonts w:asciiTheme="minorHAnsi" w:hAnsiTheme="minorHAnsi"/>
              </w:rPr>
              <w:t>$</w:t>
            </w:r>
            <w:r w:rsidR="003D57A9">
              <w:rPr>
                <w:rFonts w:asciiTheme="minorHAnsi" w:hAnsiTheme="minorHAnsi"/>
              </w:rPr>
              <w:t>3.288.572</w:t>
            </w:r>
          </w:p>
        </w:tc>
        <w:tc>
          <w:tcPr>
            <w:tcW w:w="3960" w:type="dxa"/>
            <w:tcBorders>
              <w:left w:val="single" w:sz="4" w:space="0" w:color="auto"/>
              <w:bottom w:val="single" w:sz="4" w:space="0" w:color="auto"/>
            </w:tcBorders>
          </w:tcPr>
          <w:p w14:paraId="0B2AECE3" w14:textId="1CF884B3" w:rsidR="004C595C" w:rsidRDefault="00BF0C3E" w:rsidP="000F77FD">
            <w:pPr>
              <w:pStyle w:val="BodyText2"/>
              <w:numPr>
                <w:ilvl w:val="0"/>
                <w:numId w:val="13"/>
              </w:numPr>
              <w:rPr>
                <w:rFonts w:asciiTheme="minorHAnsi" w:hAnsiTheme="minorHAnsi"/>
                <w:i/>
                <w:lang w:val="es-ES_tradnl"/>
              </w:rPr>
            </w:pPr>
            <w:r w:rsidRPr="00BF0C3E">
              <w:rPr>
                <w:rFonts w:asciiTheme="minorHAnsi" w:hAnsiTheme="minorHAnsi"/>
                <w:i/>
                <w:lang w:val="es-ES_tradnl"/>
              </w:rPr>
              <w:t>Número de sistemas de información desagregados y coherentes.</w:t>
            </w:r>
          </w:p>
          <w:p w14:paraId="05077A0F" w14:textId="4CC27D15" w:rsidR="00BF0C3E" w:rsidRPr="00BF0C3E" w:rsidRDefault="00204F3E" w:rsidP="000F77FD">
            <w:pPr>
              <w:pStyle w:val="BodyText2"/>
              <w:numPr>
                <w:ilvl w:val="0"/>
                <w:numId w:val="13"/>
              </w:numPr>
              <w:rPr>
                <w:rFonts w:asciiTheme="minorHAnsi" w:hAnsiTheme="minorHAnsi"/>
                <w:i/>
                <w:lang w:val="es-ES_tradnl"/>
              </w:rPr>
            </w:pPr>
            <w:r w:rsidRPr="00204F3E">
              <w:rPr>
                <w:rFonts w:asciiTheme="minorHAnsi" w:hAnsiTheme="minorHAnsi"/>
                <w:i/>
                <w:lang w:val="es-ES_tradnl"/>
              </w:rPr>
              <w:t>Existencia de espacios de coordinación interinstitucional que favorecen el DHS y la igualdad de género.</w:t>
            </w:r>
          </w:p>
          <w:p w14:paraId="0B2AECE4" w14:textId="3A465AC8" w:rsidR="003B037A" w:rsidRPr="00204F3E" w:rsidRDefault="00204F3E" w:rsidP="000F77FD">
            <w:pPr>
              <w:pStyle w:val="BodyText2"/>
              <w:numPr>
                <w:ilvl w:val="0"/>
                <w:numId w:val="13"/>
              </w:numPr>
              <w:rPr>
                <w:rFonts w:asciiTheme="minorHAnsi" w:hAnsiTheme="minorHAnsi"/>
                <w:i/>
                <w:lang w:val="es-ES_tradnl"/>
              </w:rPr>
            </w:pPr>
            <w:r w:rsidRPr="00204F3E">
              <w:rPr>
                <w:rFonts w:asciiTheme="minorHAnsi" w:hAnsiTheme="minorHAnsi"/>
                <w:i/>
                <w:lang w:val="es-ES_tradnl"/>
              </w:rPr>
              <w:t>Número de publicaciones y material de referencia para promover la discusión de temas relevantes para el DHS.</w:t>
            </w:r>
          </w:p>
        </w:tc>
        <w:tc>
          <w:tcPr>
            <w:tcW w:w="5490" w:type="dxa"/>
            <w:tcBorders>
              <w:bottom w:val="single" w:sz="4" w:space="0" w:color="auto"/>
            </w:tcBorders>
            <w:shd w:val="clear" w:color="auto" w:fill="auto"/>
          </w:tcPr>
          <w:p w14:paraId="0B2AECE5" w14:textId="571D41F6" w:rsidR="003B037A" w:rsidRPr="00204F3E" w:rsidRDefault="00204F3E" w:rsidP="000F77FD">
            <w:pPr>
              <w:pStyle w:val="BodyText2"/>
              <w:numPr>
                <w:ilvl w:val="0"/>
                <w:numId w:val="14"/>
              </w:numPr>
              <w:rPr>
                <w:rFonts w:asciiTheme="minorHAnsi" w:hAnsiTheme="minorHAnsi"/>
                <w:i/>
                <w:lang w:val="es-ES_tradnl"/>
              </w:rPr>
            </w:pPr>
            <w:r w:rsidRPr="00204F3E">
              <w:rPr>
                <w:rFonts w:asciiTheme="minorHAnsi" w:hAnsiTheme="minorHAnsi"/>
                <w:i/>
                <w:lang w:val="es-ES_tradnl"/>
              </w:rPr>
              <w:t>Al 2016, Se cuenta con 8 nuevos sistemas</w:t>
            </w:r>
            <w:r>
              <w:rPr>
                <w:rFonts w:asciiTheme="minorHAnsi" w:hAnsiTheme="minorHAnsi"/>
                <w:i/>
                <w:lang w:val="es-ES_tradnl"/>
              </w:rPr>
              <w:t xml:space="preserve"> de información desagregados y coherentes</w:t>
            </w:r>
          </w:p>
          <w:p w14:paraId="0B2AECE6" w14:textId="7971B998" w:rsidR="003B037A" w:rsidRPr="00204F3E" w:rsidRDefault="00204F3E" w:rsidP="000F77FD">
            <w:pPr>
              <w:pStyle w:val="BodyText2"/>
              <w:numPr>
                <w:ilvl w:val="0"/>
                <w:numId w:val="14"/>
              </w:numPr>
              <w:rPr>
                <w:rFonts w:asciiTheme="minorHAnsi" w:hAnsiTheme="minorHAnsi"/>
                <w:i/>
                <w:lang w:val="es-ES_tradnl"/>
              </w:rPr>
            </w:pPr>
            <w:r w:rsidRPr="00204F3E">
              <w:rPr>
                <w:rFonts w:asciiTheme="minorHAnsi" w:hAnsiTheme="minorHAnsi"/>
                <w:i/>
                <w:lang w:val="es-ES_tradnl"/>
              </w:rPr>
              <w:t>Se han desarrollado hasta diciembre de 2016 9 espacios de coordinación institucional (procesos de diálogo), que favo</w:t>
            </w:r>
            <w:r>
              <w:rPr>
                <w:rFonts w:asciiTheme="minorHAnsi" w:hAnsiTheme="minorHAnsi"/>
                <w:i/>
                <w:lang w:val="es-ES_tradnl"/>
              </w:rPr>
              <w:t>recen el DHS y la igualdad de gé</w:t>
            </w:r>
            <w:r w:rsidRPr="00204F3E">
              <w:rPr>
                <w:rFonts w:asciiTheme="minorHAnsi" w:hAnsiTheme="minorHAnsi"/>
                <w:i/>
                <w:lang w:val="es-ES_tradnl"/>
              </w:rPr>
              <w:t>nero</w:t>
            </w:r>
          </w:p>
          <w:p w14:paraId="0B2AECE7" w14:textId="68DA3D69" w:rsidR="003B037A" w:rsidRPr="00204F3E" w:rsidRDefault="00204F3E" w:rsidP="000F77FD">
            <w:pPr>
              <w:pStyle w:val="BodyText2"/>
              <w:numPr>
                <w:ilvl w:val="0"/>
                <w:numId w:val="14"/>
              </w:numPr>
              <w:rPr>
                <w:rFonts w:asciiTheme="minorHAnsi" w:hAnsiTheme="minorHAnsi"/>
                <w:i/>
                <w:lang w:val="es-ES_tradnl"/>
              </w:rPr>
            </w:pPr>
            <w:r w:rsidRPr="00204F3E">
              <w:rPr>
                <w:rFonts w:asciiTheme="minorHAnsi" w:hAnsiTheme="minorHAnsi"/>
                <w:i/>
                <w:lang w:val="es-ES_tradnl"/>
              </w:rPr>
              <w:t>Se han realizado al menos 20 publicaciones para promover incidencia en política pú</w:t>
            </w:r>
            <w:r>
              <w:rPr>
                <w:rFonts w:asciiTheme="minorHAnsi" w:hAnsiTheme="minorHAnsi"/>
                <w:i/>
                <w:lang w:val="es-ES_tradnl"/>
              </w:rPr>
              <w:t>blica y la discusión de temas relevantes para el DHS</w:t>
            </w:r>
          </w:p>
        </w:tc>
      </w:tr>
      <w:tr w:rsidR="00530FDE" w:rsidRPr="006C4937" w14:paraId="0B2AECF2" w14:textId="77777777" w:rsidTr="00EC6FC5">
        <w:tc>
          <w:tcPr>
            <w:tcW w:w="12443" w:type="dxa"/>
            <w:gridSpan w:val="5"/>
          </w:tcPr>
          <w:p w14:paraId="0B2AECEB" w14:textId="640238A7" w:rsidR="00843006" w:rsidRPr="00342259" w:rsidRDefault="00837C4B" w:rsidP="00342259">
            <w:pPr>
              <w:pStyle w:val="BodyText2"/>
              <w:rPr>
                <w:rFonts w:asciiTheme="minorHAnsi" w:hAnsiTheme="minorHAnsi"/>
                <w:b/>
              </w:rPr>
            </w:pPr>
            <w:r w:rsidRPr="00837C4B">
              <w:rPr>
                <w:rFonts w:asciiTheme="minorHAnsi" w:hAnsiTheme="minorHAnsi"/>
                <w:b/>
              </w:rPr>
              <w:t>UNDP Contribution:</w:t>
            </w:r>
          </w:p>
          <w:p w14:paraId="0B2AECEC" w14:textId="77777777" w:rsidR="00B00E5C" w:rsidRPr="00845340" w:rsidRDefault="00B00E5C" w:rsidP="00EE1D60">
            <w:pPr>
              <w:pStyle w:val="BodyText2"/>
              <w:rPr>
                <w:rFonts w:asciiTheme="minorHAnsi" w:hAnsiTheme="minorHAnsi"/>
              </w:rPr>
            </w:pPr>
            <w:r w:rsidRPr="00B00E5C">
              <w:rPr>
                <w:rFonts w:asciiTheme="minorHAnsi" w:hAnsiTheme="minorHAnsi"/>
                <w:u w:val="single"/>
              </w:rPr>
              <w:t>CP Outputs</w:t>
            </w:r>
            <w:r w:rsidR="00845340">
              <w:rPr>
                <w:rFonts w:asciiTheme="minorHAnsi" w:hAnsiTheme="minorHAnsi"/>
              </w:rPr>
              <w:t>:</w:t>
            </w:r>
          </w:p>
          <w:p w14:paraId="0B2AECED" w14:textId="3EDAFC06" w:rsidR="00B00E5C" w:rsidRPr="008A5544" w:rsidRDefault="008A5544" w:rsidP="00665A26">
            <w:pPr>
              <w:pStyle w:val="BodyText2"/>
              <w:numPr>
                <w:ilvl w:val="0"/>
                <w:numId w:val="36"/>
              </w:numPr>
              <w:ind w:left="427" w:hanging="283"/>
              <w:rPr>
                <w:rFonts w:asciiTheme="minorHAnsi" w:hAnsiTheme="minorHAnsi"/>
                <w:i/>
                <w:lang w:val="es-ES_tradnl"/>
              </w:rPr>
            </w:pPr>
            <w:r w:rsidRPr="008A5544">
              <w:rPr>
                <w:rFonts w:asciiTheme="minorHAnsi" w:hAnsiTheme="minorHAnsi"/>
                <w:i/>
                <w:lang w:val="es-ES_tradnl"/>
              </w:rPr>
              <w:t>Fortalecimiento de las capacidades institucionales para la producción, actualización y análisis intersectorial y multidisciplinario de información y el refuerzo del acervo estadístico nacional.</w:t>
            </w:r>
          </w:p>
          <w:p w14:paraId="0B2AECEE" w14:textId="77777777" w:rsidR="00B00E5C" w:rsidRPr="008A5544" w:rsidRDefault="00B00E5C" w:rsidP="00EE1D60">
            <w:pPr>
              <w:pStyle w:val="BodyText2"/>
              <w:rPr>
                <w:rFonts w:asciiTheme="minorHAnsi" w:hAnsiTheme="minorHAnsi"/>
                <w:lang w:val="es-ES_tradnl"/>
              </w:rPr>
            </w:pPr>
          </w:p>
          <w:p w14:paraId="0B2AECEF" w14:textId="77777777" w:rsidR="00B00E5C" w:rsidRPr="001C1BE1" w:rsidRDefault="00B00E5C" w:rsidP="00EE1D60">
            <w:pPr>
              <w:pStyle w:val="BodyText2"/>
              <w:rPr>
                <w:rFonts w:asciiTheme="minorHAnsi" w:hAnsiTheme="minorHAnsi"/>
                <w:lang w:val="es-SV"/>
              </w:rPr>
            </w:pPr>
            <w:r w:rsidRPr="001C1BE1">
              <w:rPr>
                <w:rFonts w:asciiTheme="minorHAnsi" w:hAnsiTheme="minorHAnsi"/>
                <w:u w:val="single"/>
                <w:lang w:val="es-SV"/>
              </w:rPr>
              <w:t>Progress and Achievements</w:t>
            </w:r>
            <w:r w:rsidR="00845340" w:rsidRPr="001C1BE1">
              <w:rPr>
                <w:rFonts w:asciiTheme="minorHAnsi" w:hAnsiTheme="minorHAnsi"/>
                <w:lang w:val="es-SV"/>
              </w:rPr>
              <w:t>:</w:t>
            </w:r>
          </w:p>
          <w:p w14:paraId="78569DC2" w14:textId="5F17EAC4" w:rsidR="00700521" w:rsidRPr="00BC4143" w:rsidRDefault="00161CE5" w:rsidP="008678FB">
            <w:pPr>
              <w:pStyle w:val="BodyText2"/>
              <w:rPr>
                <w:rFonts w:asciiTheme="minorHAnsi" w:hAnsiTheme="minorHAnsi"/>
                <w:i/>
                <w:lang w:val="es-ES_tradnl"/>
              </w:rPr>
            </w:pPr>
            <w:r w:rsidRPr="00BC4143">
              <w:rPr>
                <w:rFonts w:asciiTheme="minorHAnsi" w:hAnsiTheme="minorHAnsi"/>
                <w:i/>
                <w:lang w:val="es-ES_tradnl"/>
              </w:rPr>
              <w:t xml:space="preserve">El PNUD ha contribuido con el diseño </w:t>
            </w:r>
            <w:r w:rsidR="003605DD" w:rsidRPr="00BC4143">
              <w:rPr>
                <w:rFonts w:asciiTheme="minorHAnsi" w:hAnsiTheme="minorHAnsi"/>
                <w:i/>
                <w:lang w:val="es-ES_tradnl"/>
              </w:rPr>
              <w:t xml:space="preserve">e implementación de sistemas de información que permiten la </w:t>
            </w:r>
            <w:r w:rsidR="00BC4143" w:rsidRPr="00BC4143">
              <w:rPr>
                <w:rFonts w:asciiTheme="minorHAnsi" w:hAnsiTheme="minorHAnsi"/>
                <w:i/>
                <w:lang w:val="es-ES_tradnl"/>
              </w:rPr>
              <w:t>coordinación interinstitucional, así como la toma de deci</w:t>
            </w:r>
            <w:r w:rsidR="00BC4143">
              <w:rPr>
                <w:rFonts w:asciiTheme="minorHAnsi" w:hAnsiTheme="minorHAnsi"/>
                <w:i/>
                <w:lang w:val="es-ES_tradnl"/>
              </w:rPr>
              <w:t xml:space="preserve">siones y </w:t>
            </w:r>
            <w:r w:rsidR="00993BBE">
              <w:rPr>
                <w:rFonts w:asciiTheme="minorHAnsi" w:hAnsiTheme="minorHAnsi"/>
                <w:i/>
                <w:lang w:val="es-ES_tradnl"/>
              </w:rPr>
              <w:t>la elaboración de política</w:t>
            </w:r>
            <w:r w:rsidR="009D172A">
              <w:rPr>
                <w:rFonts w:asciiTheme="minorHAnsi" w:hAnsiTheme="minorHAnsi"/>
                <w:i/>
                <w:lang w:val="es-ES_tradnl"/>
              </w:rPr>
              <w:t xml:space="preserve"> pú</w:t>
            </w:r>
            <w:r w:rsidR="00544EFD">
              <w:rPr>
                <w:rFonts w:asciiTheme="minorHAnsi" w:hAnsiTheme="minorHAnsi"/>
                <w:i/>
                <w:lang w:val="es-ES_tradnl"/>
              </w:rPr>
              <w:t xml:space="preserve">blica basada en evidencia. </w:t>
            </w:r>
            <w:r w:rsidR="008678FB" w:rsidRPr="008678FB">
              <w:rPr>
                <w:rFonts w:asciiTheme="minorHAnsi" w:hAnsiTheme="minorHAnsi"/>
                <w:i/>
                <w:lang w:val="es-ES_tradnl"/>
              </w:rPr>
              <w:t>Se ha tenido incidencia en la elaboración de política pública, a través de estudios y procesos de diálogo social, mediante los cuales se han compilado insumos para el diseño de políticas en diversos temas. El estudio “Reducir la Pobreza en Costa Rica es posible: Propuestas para la acción” identificó brechas específicas en la cobertura de programas sociales y el acceso a empleo decente, lo cual contribuyó a que el gobierno incorporara como prioridad la superación de estas brechas en su estrategia de combate a la pobreza, como la ampliación de 3.750 nuevas pensiones del Régimen No Contributivo por año durante los 4 años de la Administración Solís Rivera. En el tema fiscal, se logró incidir en acciones compensatorias a la propuesta de ajuste fiscal, como la devolución del IVA a la población más pobre del país, con la aplicación de micro</w:t>
            </w:r>
            <w:r w:rsidR="0020609A">
              <w:rPr>
                <w:rFonts w:asciiTheme="minorHAnsi" w:hAnsiTheme="minorHAnsi"/>
                <w:i/>
                <w:lang w:val="es-ES_tradnl"/>
              </w:rPr>
              <w:t>-</w:t>
            </w:r>
            <w:r w:rsidR="008678FB" w:rsidRPr="008678FB">
              <w:rPr>
                <w:rFonts w:asciiTheme="minorHAnsi" w:hAnsiTheme="minorHAnsi"/>
                <w:i/>
                <w:lang w:val="es-ES_tradnl"/>
              </w:rPr>
              <w:t>simulaciones para evaluar los posibles efectos de las diferentes reformas planteadas</w:t>
            </w:r>
            <w:r w:rsidR="008678FB">
              <w:rPr>
                <w:rFonts w:asciiTheme="minorHAnsi" w:hAnsiTheme="minorHAnsi"/>
                <w:i/>
                <w:lang w:val="es-ES_tradnl"/>
              </w:rPr>
              <w:t>.</w:t>
            </w:r>
          </w:p>
          <w:p w14:paraId="0B2AECF1" w14:textId="77777777" w:rsidR="000927B8" w:rsidRPr="00BC4143" w:rsidRDefault="000927B8" w:rsidP="000927B8">
            <w:pPr>
              <w:pStyle w:val="BodyText2"/>
              <w:rPr>
                <w:rFonts w:asciiTheme="minorHAnsi" w:hAnsiTheme="minorHAnsi"/>
                <w:lang w:val="es-ES_tradnl"/>
              </w:rPr>
            </w:pPr>
          </w:p>
        </w:tc>
      </w:tr>
      <w:tr w:rsidR="003B037A" w:rsidRPr="006C4937" w14:paraId="0B2AECF9" w14:textId="77777777" w:rsidTr="00EC6FC5">
        <w:tc>
          <w:tcPr>
            <w:tcW w:w="1463" w:type="dxa"/>
            <w:shd w:val="clear" w:color="auto" w:fill="95B3D7" w:themeFill="accent1" w:themeFillTint="99"/>
          </w:tcPr>
          <w:p w14:paraId="0B2AECF3" w14:textId="408DB5E1" w:rsidR="003B037A" w:rsidRPr="00F60A66" w:rsidRDefault="003B037A" w:rsidP="00F60A66">
            <w:pPr>
              <w:pStyle w:val="BodyText2"/>
              <w:rPr>
                <w:rFonts w:asciiTheme="minorHAnsi" w:hAnsiTheme="minorHAnsi"/>
                <w:b/>
                <w:lang w:val="es-ES_tradnl"/>
              </w:rPr>
            </w:pPr>
            <w:r w:rsidRPr="00F60A66">
              <w:rPr>
                <w:rFonts w:asciiTheme="minorHAnsi" w:hAnsiTheme="minorHAnsi"/>
                <w:b/>
                <w:lang w:val="es-ES_tradnl"/>
              </w:rPr>
              <w:lastRenderedPageBreak/>
              <w:t xml:space="preserve">2. </w:t>
            </w:r>
            <w:r w:rsidR="00F60A66" w:rsidRPr="00F60A66">
              <w:rPr>
                <w:rFonts w:asciiTheme="minorHAnsi" w:hAnsiTheme="minorHAnsi"/>
                <w:b/>
                <w:lang w:val="es-ES_tradnl"/>
              </w:rPr>
              <w:t>Mujeres, personas con  discapacidad, jóvenes, y otras poblaciones en condición de vulnerabilidad tienen mayor acceso a programas para el desarrollo productivo sostenible</w:t>
            </w:r>
          </w:p>
        </w:tc>
        <w:tc>
          <w:tcPr>
            <w:tcW w:w="1530" w:type="dxa"/>
            <w:gridSpan w:val="2"/>
            <w:shd w:val="clear" w:color="auto" w:fill="auto"/>
          </w:tcPr>
          <w:p w14:paraId="0B2AECF4" w14:textId="5FD45135" w:rsidR="003B037A" w:rsidRPr="00DC7354" w:rsidRDefault="003D57A9">
            <w:pPr>
              <w:pStyle w:val="BodyText2"/>
              <w:rPr>
                <w:rFonts w:asciiTheme="minorHAnsi" w:hAnsiTheme="minorHAnsi"/>
              </w:rPr>
            </w:pPr>
            <w:r>
              <w:rPr>
                <w:rFonts w:asciiTheme="minorHAnsi" w:hAnsiTheme="minorHAnsi"/>
              </w:rPr>
              <w:t>$962.036</w:t>
            </w:r>
          </w:p>
        </w:tc>
        <w:tc>
          <w:tcPr>
            <w:tcW w:w="3960" w:type="dxa"/>
            <w:tcBorders>
              <w:left w:val="single" w:sz="4" w:space="0" w:color="auto"/>
            </w:tcBorders>
          </w:tcPr>
          <w:p w14:paraId="0B2AECF6" w14:textId="6CFF4EAF" w:rsidR="008A5544" w:rsidRPr="00B44128" w:rsidRDefault="008A5544" w:rsidP="00B44128">
            <w:pPr>
              <w:pStyle w:val="BodyText2"/>
              <w:numPr>
                <w:ilvl w:val="0"/>
                <w:numId w:val="15"/>
              </w:numPr>
              <w:rPr>
                <w:rFonts w:asciiTheme="minorHAnsi" w:hAnsiTheme="minorHAnsi"/>
                <w:i/>
                <w:lang w:val="es-ES_tradnl"/>
              </w:rPr>
            </w:pPr>
            <w:r w:rsidRPr="008A5544">
              <w:rPr>
                <w:rFonts w:asciiTheme="minorHAnsi" w:hAnsiTheme="minorHAnsi"/>
                <w:i/>
                <w:lang w:val="es-ES_tradnl"/>
              </w:rPr>
              <w:t>Cantidad de políticas, planes o acciones para jóvenes, mujeres, personas con discapacidad, desarrollo regional, competitividad con enfoque ambiental y reinserción educativa.</w:t>
            </w:r>
          </w:p>
        </w:tc>
        <w:tc>
          <w:tcPr>
            <w:tcW w:w="5490" w:type="dxa"/>
            <w:shd w:val="clear" w:color="auto" w:fill="auto"/>
          </w:tcPr>
          <w:p w14:paraId="0B2AECF8" w14:textId="2563A65D" w:rsidR="003B037A" w:rsidRPr="00B44128" w:rsidRDefault="00B44128" w:rsidP="00886EE1">
            <w:pPr>
              <w:pStyle w:val="BodyText2"/>
              <w:numPr>
                <w:ilvl w:val="0"/>
                <w:numId w:val="16"/>
              </w:numPr>
              <w:rPr>
                <w:rFonts w:asciiTheme="minorHAnsi" w:hAnsiTheme="minorHAnsi"/>
                <w:i/>
                <w:lang w:val="es-ES_tradnl"/>
              </w:rPr>
            </w:pPr>
            <w:r w:rsidRPr="00B44128">
              <w:rPr>
                <w:rFonts w:asciiTheme="minorHAnsi" w:hAnsiTheme="minorHAnsi"/>
                <w:i/>
                <w:lang w:val="es-ES_tradnl"/>
              </w:rPr>
              <w:t>Se cuenta, al 2016, con 4 políticas</w:t>
            </w:r>
            <w:r w:rsidR="00886EE1">
              <w:rPr>
                <w:rFonts w:asciiTheme="minorHAnsi" w:hAnsiTheme="minorHAnsi"/>
                <w:i/>
                <w:lang w:val="es-ES_tradnl"/>
              </w:rPr>
              <w:t xml:space="preserve">, </w:t>
            </w:r>
            <w:r w:rsidR="00886EE1" w:rsidRPr="008A5544">
              <w:rPr>
                <w:rFonts w:asciiTheme="minorHAnsi" w:hAnsiTheme="minorHAnsi"/>
                <w:i/>
                <w:lang w:val="es-ES_tradnl"/>
              </w:rPr>
              <w:t>planes o acciones</w:t>
            </w:r>
            <w:r w:rsidRPr="00B44128">
              <w:rPr>
                <w:rFonts w:asciiTheme="minorHAnsi" w:hAnsiTheme="minorHAnsi"/>
                <w:i/>
                <w:lang w:val="es-ES_tradnl"/>
              </w:rPr>
              <w:t xml:space="preserve"> aprobad</w:t>
            </w:r>
            <w:r w:rsidR="00886EE1">
              <w:rPr>
                <w:rFonts w:asciiTheme="minorHAnsi" w:hAnsiTheme="minorHAnsi"/>
                <w:i/>
                <w:lang w:val="es-ES_tradnl"/>
              </w:rPr>
              <w:t>o</w:t>
            </w:r>
            <w:r w:rsidRPr="00B44128">
              <w:rPr>
                <w:rFonts w:asciiTheme="minorHAnsi" w:hAnsiTheme="minorHAnsi"/>
                <w:i/>
                <w:lang w:val="es-ES_tradnl"/>
              </w:rPr>
              <w:t>s</w:t>
            </w:r>
            <w:r w:rsidR="00886EE1">
              <w:rPr>
                <w:rFonts w:asciiTheme="minorHAnsi" w:hAnsiTheme="minorHAnsi"/>
                <w:i/>
                <w:lang w:val="es-ES_tradnl"/>
              </w:rPr>
              <w:t xml:space="preserve"> y en implementación: el Plan Nacional de Inserción Laboral de Personas con Discapacidad, el Protocolo de Coordinación Interinstitucional </w:t>
            </w:r>
            <w:r w:rsidR="00886EE1" w:rsidRPr="00886EE1">
              <w:rPr>
                <w:rFonts w:asciiTheme="minorHAnsi" w:hAnsiTheme="minorHAnsi"/>
                <w:i/>
                <w:lang w:val="es-ES_tradnl"/>
              </w:rPr>
              <w:t>para la Formación e Inserción Laboral de Personas con Discapacidad</w:t>
            </w:r>
            <w:r w:rsidR="00886EE1">
              <w:rPr>
                <w:rFonts w:asciiTheme="minorHAnsi" w:hAnsiTheme="minorHAnsi"/>
                <w:i/>
                <w:lang w:val="es-ES_tradnl"/>
              </w:rPr>
              <w:t xml:space="preserve">; la </w:t>
            </w:r>
            <w:r w:rsidR="00886EE1" w:rsidRPr="006C4937">
              <w:rPr>
                <w:rFonts w:ascii="Calibri" w:hAnsi="Calibri"/>
                <w:lang w:val="es-SV"/>
              </w:rPr>
              <w:t>Política nacional de Biodiversidad contempla acciones específicas focalizadas a grupos indígenas y desarrollo local; y la aceleración de proceso para certificar empresas en equidad de género por el INAMU</w:t>
            </w:r>
          </w:p>
        </w:tc>
      </w:tr>
      <w:tr w:rsidR="00700521" w:rsidRPr="006C4937" w14:paraId="0B2AECFE" w14:textId="77777777" w:rsidTr="00EC6FC5">
        <w:trPr>
          <w:trHeight w:val="1177"/>
        </w:trPr>
        <w:tc>
          <w:tcPr>
            <w:tcW w:w="12443" w:type="dxa"/>
            <w:gridSpan w:val="5"/>
          </w:tcPr>
          <w:p w14:paraId="0B2AECFB" w14:textId="2168B3CD" w:rsidR="008B06DD" w:rsidRPr="00161CE5" w:rsidRDefault="00700521" w:rsidP="00161CE5">
            <w:pPr>
              <w:pStyle w:val="BodyText2"/>
              <w:rPr>
                <w:rFonts w:asciiTheme="minorHAnsi" w:hAnsiTheme="minorHAnsi"/>
                <w:b/>
              </w:rPr>
            </w:pPr>
            <w:r w:rsidRPr="00837C4B">
              <w:rPr>
                <w:rFonts w:asciiTheme="minorHAnsi" w:hAnsiTheme="minorHAnsi"/>
                <w:b/>
              </w:rPr>
              <w:t>UNDP Contribution:</w:t>
            </w:r>
          </w:p>
          <w:p w14:paraId="15D294F9" w14:textId="4214271B" w:rsidR="00D17DEC" w:rsidRDefault="008B06DD" w:rsidP="00665A26">
            <w:pPr>
              <w:pStyle w:val="BodyText2"/>
              <w:rPr>
                <w:rFonts w:asciiTheme="minorHAnsi" w:hAnsiTheme="minorHAnsi"/>
              </w:rPr>
            </w:pPr>
            <w:r w:rsidRPr="00B00E5C">
              <w:rPr>
                <w:rFonts w:asciiTheme="minorHAnsi" w:hAnsiTheme="minorHAnsi"/>
                <w:u w:val="single"/>
              </w:rPr>
              <w:t>CP Outputs</w:t>
            </w:r>
            <w:r w:rsidR="00845340">
              <w:rPr>
                <w:rFonts w:asciiTheme="minorHAnsi" w:hAnsiTheme="minorHAnsi"/>
              </w:rPr>
              <w:t>:</w:t>
            </w:r>
          </w:p>
          <w:p w14:paraId="1D0E8037" w14:textId="0B471C45" w:rsidR="00665A26" w:rsidRPr="00665A26" w:rsidRDefault="00665A26" w:rsidP="00665A26">
            <w:pPr>
              <w:pStyle w:val="ListParagraph"/>
              <w:numPr>
                <w:ilvl w:val="0"/>
                <w:numId w:val="36"/>
              </w:numPr>
              <w:tabs>
                <w:tab w:val="num" w:pos="157"/>
              </w:tabs>
              <w:ind w:left="427" w:hanging="283"/>
              <w:jc w:val="both"/>
              <w:rPr>
                <w:rFonts w:asciiTheme="minorHAnsi" w:hAnsiTheme="minorHAnsi"/>
                <w:i/>
                <w:iCs/>
                <w:sz w:val="20"/>
                <w:lang w:val="es-ES_tradnl"/>
              </w:rPr>
            </w:pPr>
            <w:r w:rsidRPr="00665A26">
              <w:rPr>
                <w:rFonts w:asciiTheme="minorHAnsi" w:hAnsiTheme="minorHAnsi"/>
                <w:i/>
                <w:iCs/>
                <w:sz w:val="20"/>
                <w:lang w:val="es-ES_tradnl"/>
              </w:rPr>
              <w:t xml:space="preserve">Instrumentos para promover empleos de calidad, reducir las brechas y generar desarrollo ambientalmente sostenible y basado en la innovación tecnológica y la competitividad con orientación ecológica. </w:t>
            </w:r>
          </w:p>
          <w:p w14:paraId="6D2302A0" w14:textId="13D35D5F" w:rsidR="00665A26" w:rsidRPr="00665A26" w:rsidRDefault="00665A26" w:rsidP="00665A26">
            <w:pPr>
              <w:pStyle w:val="ListParagraph"/>
              <w:numPr>
                <w:ilvl w:val="0"/>
                <w:numId w:val="36"/>
              </w:numPr>
              <w:tabs>
                <w:tab w:val="num" w:pos="157"/>
              </w:tabs>
              <w:ind w:left="427" w:hanging="283"/>
              <w:jc w:val="both"/>
              <w:rPr>
                <w:rFonts w:asciiTheme="minorHAnsi" w:hAnsiTheme="minorHAnsi"/>
                <w:i/>
                <w:iCs/>
                <w:sz w:val="20"/>
                <w:lang w:val="es-ES_tradnl"/>
              </w:rPr>
            </w:pPr>
            <w:r w:rsidRPr="00665A26">
              <w:rPr>
                <w:rFonts w:asciiTheme="minorHAnsi" w:hAnsiTheme="minorHAnsi"/>
                <w:i/>
                <w:iCs/>
                <w:sz w:val="20"/>
                <w:lang w:val="es-ES_tradnl"/>
              </w:rPr>
              <w:t xml:space="preserve">Fortalecimiento de la oferta de programas de reinserción educativa y oportunidades para jóvenes y mujeres. </w:t>
            </w:r>
          </w:p>
          <w:p w14:paraId="7328B41A" w14:textId="77777777" w:rsidR="00665A26" w:rsidRPr="00665A26" w:rsidRDefault="00665A26" w:rsidP="00665A26">
            <w:pPr>
              <w:pStyle w:val="ListParagraph"/>
              <w:numPr>
                <w:ilvl w:val="0"/>
                <w:numId w:val="36"/>
              </w:numPr>
              <w:tabs>
                <w:tab w:val="num" w:pos="157"/>
              </w:tabs>
              <w:ind w:left="427" w:hanging="283"/>
              <w:jc w:val="both"/>
              <w:rPr>
                <w:rFonts w:asciiTheme="minorHAnsi" w:hAnsiTheme="minorHAnsi"/>
                <w:i/>
                <w:iCs/>
                <w:sz w:val="20"/>
                <w:lang w:val="es-ES_tradnl"/>
              </w:rPr>
            </w:pPr>
            <w:r w:rsidRPr="00665A26">
              <w:rPr>
                <w:rFonts w:asciiTheme="minorHAnsi" w:hAnsiTheme="minorHAnsi"/>
                <w:i/>
                <w:iCs/>
                <w:sz w:val="20"/>
                <w:lang w:val="es-ES_tradnl"/>
              </w:rPr>
              <w:t>Formulación de instrumentos para favorecer el empleo y la capacitación de personas con discapacidad.</w:t>
            </w:r>
          </w:p>
          <w:p w14:paraId="25A3256A" w14:textId="77777777" w:rsidR="00665A26" w:rsidRPr="00665A26" w:rsidRDefault="00665A26" w:rsidP="00612159">
            <w:pPr>
              <w:pStyle w:val="BodyText2"/>
              <w:rPr>
                <w:rFonts w:asciiTheme="minorHAnsi" w:hAnsiTheme="minorHAnsi"/>
                <w:lang w:val="es-ES_tradnl"/>
              </w:rPr>
            </w:pPr>
          </w:p>
          <w:p w14:paraId="4AA9DDE3" w14:textId="77777777" w:rsidR="00700521" w:rsidRPr="001C1BE1" w:rsidRDefault="008B06DD" w:rsidP="00D9192E">
            <w:pPr>
              <w:pStyle w:val="BodyText2"/>
              <w:rPr>
                <w:rFonts w:asciiTheme="minorHAnsi" w:hAnsiTheme="minorHAnsi"/>
                <w:lang w:val="es-SV"/>
              </w:rPr>
            </w:pPr>
            <w:r w:rsidRPr="001C1BE1">
              <w:rPr>
                <w:rFonts w:asciiTheme="minorHAnsi" w:hAnsiTheme="minorHAnsi"/>
                <w:u w:val="single"/>
                <w:lang w:val="es-SV"/>
              </w:rPr>
              <w:t>Progress and Achievements</w:t>
            </w:r>
            <w:r w:rsidR="00845340" w:rsidRPr="001C1BE1">
              <w:rPr>
                <w:rFonts w:asciiTheme="minorHAnsi" w:hAnsiTheme="minorHAnsi"/>
                <w:lang w:val="es-SV"/>
              </w:rPr>
              <w:t>:</w:t>
            </w:r>
          </w:p>
          <w:p w14:paraId="0B2AECFD" w14:textId="7AF21021" w:rsidR="00D17DEC" w:rsidRPr="006578F4" w:rsidRDefault="008678FB" w:rsidP="006578F4">
            <w:pPr>
              <w:pStyle w:val="BodyText2"/>
              <w:rPr>
                <w:rFonts w:asciiTheme="minorHAnsi" w:hAnsiTheme="minorHAnsi"/>
                <w:i/>
                <w:iCs/>
                <w:lang w:val="es-CR"/>
              </w:rPr>
            </w:pPr>
            <w:r w:rsidRPr="008678FB">
              <w:rPr>
                <w:rFonts w:asciiTheme="minorHAnsi" w:hAnsiTheme="minorHAnsi"/>
                <w:i/>
                <w:iCs/>
                <w:lang w:val="es-CR"/>
              </w:rPr>
              <w:t>El PNUD contribuyó en este período a la instalación de un mecanismo de diálogo intercultural entre autoridades gubernamentales y dirigentes de Pueblos Indígenas de la zona sur, con el fin de generar un espacio para pacificar la región y tratar los problemas de fondo que estaban a la base del conflicto. Se logró, en conjunto con OIT, AED y el Ministerio de Trabajo, la inserción de más de 550 personas con discapacidad al mercado laboral, la consolidación de una Red de Empresas Inclusivas, y la mejora del perfil de empleabilidad de más de 1.550 jóvenes. En alianza con UNOPS, se apoyó al CONAVI en la identificación de una manera diferente de realizar su gestión, al involucrar en procesos previos instituciones que proveen servicios públicos; y recortar los tiempos que demoran estos procesos de un aproximado de 1.000 a 365 días.</w:t>
            </w:r>
          </w:p>
        </w:tc>
      </w:tr>
      <w:tr w:rsidR="003D57A9" w:rsidRPr="006C4937" w14:paraId="3ED00DB9" w14:textId="77777777" w:rsidTr="00EC6FC5">
        <w:tc>
          <w:tcPr>
            <w:tcW w:w="1463" w:type="dxa"/>
            <w:shd w:val="clear" w:color="auto" w:fill="95B3D7" w:themeFill="accent1" w:themeFillTint="99"/>
          </w:tcPr>
          <w:p w14:paraId="59FC4BD4" w14:textId="77777777" w:rsidR="003D57A9" w:rsidRPr="00F60A66" w:rsidRDefault="003D57A9" w:rsidP="007E467C">
            <w:pPr>
              <w:pStyle w:val="BodyText2"/>
              <w:rPr>
                <w:rFonts w:ascii="Times New Roman" w:hAnsi="Times New Roman"/>
                <w:b/>
                <w:lang w:val="es-ES_tradnl"/>
              </w:rPr>
            </w:pPr>
            <w:r w:rsidRPr="00F60A66">
              <w:rPr>
                <w:rFonts w:asciiTheme="minorHAnsi" w:hAnsiTheme="minorHAnsi"/>
                <w:b/>
                <w:lang w:val="es-ES_tradnl"/>
              </w:rPr>
              <w:t xml:space="preserve">3. Municipalidades cuentan con planes de ordenamiento territorial que </w:t>
            </w:r>
            <w:r w:rsidRPr="00F60A66">
              <w:rPr>
                <w:rFonts w:asciiTheme="minorHAnsi" w:hAnsiTheme="minorHAnsi"/>
                <w:b/>
                <w:lang w:val="es-ES_tradnl"/>
              </w:rPr>
              <w:lastRenderedPageBreak/>
              <w:t>les permiten una apropiada gestión de riesgos ante vulnerabilidades y amenazas naturales y creadas por el hombre.</w:t>
            </w:r>
          </w:p>
        </w:tc>
        <w:tc>
          <w:tcPr>
            <w:tcW w:w="1530" w:type="dxa"/>
            <w:gridSpan w:val="2"/>
            <w:shd w:val="clear" w:color="auto" w:fill="auto"/>
          </w:tcPr>
          <w:p w14:paraId="3EF5E1C0" w14:textId="77777777" w:rsidR="003D57A9" w:rsidRPr="00F01FDE" w:rsidRDefault="003D57A9" w:rsidP="007E467C">
            <w:pPr>
              <w:pStyle w:val="BodyText2"/>
              <w:rPr>
                <w:rFonts w:ascii="Times New Roman" w:hAnsi="Times New Roman"/>
              </w:rPr>
            </w:pPr>
            <w:r>
              <w:rPr>
                <w:rFonts w:asciiTheme="minorHAnsi" w:hAnsiTheme="minorHAnsi"/>
              </w:rPr>
              <w:lastRenderedPageBreak/>
              <w:t>$185.428</w:t>
            </w:r>
          </w:p>
        </w:tc>
        <w:tc>
          <w:tcPr>
            <w:tcW w:w="3960" w:type="dxa"/>
            <w:tcBorders>
              <w:left w:val="single" w:sz="4" w:space="0" w:color="auto"/>
            </w:tcBorders>
          </w:tcPr>
          <w:p w14:paraId="7D5CEF22" w14:textId="39AE7380" w:rsidR="00036BD8" w:rsidRPr="0018150C" w:rsidRDefault="00036BD8" w:rsidP="0018150C">
            <w:pPr>
              <w:pStyle w:val="BodyText2"/>
              <w:numPr>
                <w:ilvl w:val="0"/>
                <w:numId w:val="21"/>
              </w:numPr>
              <w:rPr>
                <w:rFonts w:asciiTheme="minorHAnsi" w:hAnsiTheme="minorHAnsi"/>
                <w:i/>
                <w:iCs/>
                <w:lang w:val="es-ES_tradnl"/>
              </w:rPr>
            </w:pPr>
            <w:r w:rsidRPr="00036BD8">
              <w:rPr>
                <w:rFonts w:asciiTheme="minorHAnsi" w:hAnsiTheme="minorHAnsi"/>
                <w:i/>
                <w:iCs/>
                <w:lang w:val="es-ES_tradnl"/>
              </w:rPr>
              <w:t>Número de planes reguladores cantonales con estrategias de ordenamiento territorial y gestión de riesgos</w:t>
            </w:r>
          </w:p>
        </w:tc>
        <w:tc>
          <w:tcPr>
            <w:tcW w:w="5490" w:type="dxa"/>
            <w:shd w:val="clear" w:color="auto" w:fill="auto"/>
          </w:tcPr>
          <w:p w14:paraId="714EF37E" w14:textId="56171A54" w:rsidR="00665A26" w:rsidRPr="0018150C" w:rsidRDefault="0018150C" w:rsidP="00665A26">
            <w:pPr>
              <w:pStyle w:val="BodyText2"/>
              <w:numPr>
                <w:ilvl w:val="0"/>
                <w:numId w:val="23"/>
              </w:numPr>
              <w:rPr>
                <w:rFonts w:ascii="Times New Roman" w:hAnsi="Times New Roman"/>
                <w:lang w:val="es-ES_tradnl"/>
              </w:rPr>
            </w:pPr>
            <w:r w:rsidRPr="0018150C">
              <w:rPr>
                <w:rFonts w:asciiTheme="minorHAnsi" w:hAnsiTheme="minorHAnsi"/>
                <w:i/>
                <w:lang w:val="es-ES_tradnl"/>
              </w:rPr>
              <w:t>Se han completado 19 Planes Cantonales de Desarrollo Humano Local que incorporan metodología de gestión de riesgo</w:t>
            </w:r>
          </w:p>
          <w:p w14:paraId="7CE02A9F" w14:textId="1AAB75C8" w:rsidR="003D57A9" w:rsidRPr="0018150C" w:rsidRDefault="003D57A9" w:rsidP="007E467C">
            <w:pPr>
              <w:pStyle w:val="BodyText2"/>
              <w:rPr>
                <w:rFonts w:ascii="Times New Roman" w:hAnsi="Times New Roman"/>
                <w:lang w:val="es-ES_tradnl"/>
              </w:rPr>
            </w:pPr>
          </w:p>
        </w:tc>
      </w:tr>
      <w:tr w:rsidR="003D57A9" w:rsidRPr="006C4937" w14:paraId="6074EBED" w14:textId="77777777" w:rsidTr="00EC6FC5">
        <w:tc>
          <w:tcPr>
            <w:tcW w:w="12443" w:type="dxa"/>
            <w:gridSpan w:val="5"/>
          </w:tcPr>
          <w:p w14:paraId="1B7786B5" w14:textId="0069C1AF" w:rsidR="003D57A9" w:rsidRPr="00D9192E" w:rsidRDefault="003D57A9" w:rsidP="006578F4">
            <w:pPr>
              <w:pStyle w:val="BodyText2"/>
              <w:rPr>
                <w:rFonts w:asciiTheme="minorHAnsi" w:hAnsiTheme="minorHAnsi"/>
                <w:b/>
              </w:rPr>
            </w:pPr>
            <w:r w:rsidRPr="00837C4B">
              <w:rPr>
                <w:rFonts w:asciiTheme="minorHAnsi" w:hAnsiTheme="minorHAnsi"/>
                <w:b/>
              </w:rPr>
              <w:t>UNDP Contribution:</w:t>
            </w:r>
          </w:p>
          <w:p w14:paraId="53779503" w14:textId="77777777" w:rsidR="003D57A9" w:rsidRPr="00B00E5C" w:rsidRDefault="003D57A9" w:rsidP="007E467C">
            <w:pPr>
              <w:pStyle w:val="BodyText2"/>
              <w:rPr>
                <w:rFonts w:asciiTheme="minorHAnsi" w:hAnsiTheme="minorHAnsi"/>
                <w:u w:val="single"/>
              </w:rPr>
            </w:pPr>
            <w:r w:rsidRPr="00B00E5C">
              <w:rPr>
                <w:rFonts w:asciiTheme="minorHAnsi" w:hAnsiTheme="minorHAnsi"/>
                <w:u w:val="single"/>
              </w:rPr>
              <w:t>CP Outputs</w:t>
            </w:r>
          </w:p>
          <w:p w14:paraId="20BFCDBC" w14:textId="77777777" w:rsidR="00665A26" w:rsidRPr="00665A26" w:rsidRDefault="00665A26" w:rsidP="00665A26">
            <w:pPr>
              <w:pStyle w:val="ListParagraph"/>
              <w:numPr>
                <w:ilvl w:val="0"/>
                <w:numId w:val="35"/>
              </w:numPr>
              <w:tabs>
                <w:tab w:val="num" w:pos="0"/>
              </w:tabs>
              <w:ind w:left="427" w:hanging="283"/>
              <w:rPr>
                <w:rFonts w:asciiTheme="minorHAnsi" w:hAnsiTheme="minorHAnsi"/>
                <w:bCs/>
                <w:i/>
                <w:iCs/>
                <w:sz w:val="20"/>
                <w:lang w:val="es-ES"/>
              </w:rPr>
            </w:pPr>
            <w:r w:rsidRPr="00665A26">
              <w:rPr>
                <w:rFonts w:asciiTheme="minorHAnsi" w:hAnsiTheme="minorHAnsi"/>
                <w:bCs/>
                <w:i/>
                <w:iCs/>
                <w:sz w:val="20"/>
                <w:lang w:val="es-ES"/>
              </w:rPr>
              <w:t xml:space="preserve">Planes Cantonales de Desarrollo Humano Local incorporan la gestión de riesgos y el ordenamiento territorial con miras al logro de una Estrategia de Ordenamiento Territorial </w:t>
            </w:r>
          </w:p>
          <w:p w14:paraId="26BFA23D" w14:textId="77777777" w:rsidR="00665A26" w:rsidRPr="00665A26" w:rsidRDefault="00665A26" w:rsidP="007E467C">
            <w:pPr>
              <w:pStyle w:val="BodyText2"/>
              <w:rPr>
                <w:rFonts w:asciiTheme="minorHAnsi" w:hAnsiTheme="minorHAnsi"/>
                <w:u w:val="single"/>
                <w:lang w:val="es-ES_tradnl"/>
              </w:rPr>
            </w:pPr>
          </w:p>
          <w:p w14:paraId="02CC8F49" w14:textId="2DA5A4F8" w:rsidR="003D57A9" w:rsidRPr="001C1BE1" w:rsidRDefault="003D57A9" w:rsidP="00B364D3">
            <w:pPr>
              <w:pStyle w:val="BodyText2"/>
              <w:rPr>
                <w:rFonts w:asciiTheme="minorHAnsi" w:hAnsiTheme="minorHAnsi"/>
                <w:u w:val="single"/>
                <w:lang w:val="es-SV"/>
              </w:rPr>
            </w:pPr>
            <w:r w:rsidRPr="001C1BE1">
              <w:rPr>
                <w:rFonts w:asciiTheme="minorHAnsi" w:hAnsiTheme="minorHAnsi"/>
                <w:u w:val="single"/>
                <w:lang w:val="es-SV"/>
              </w:rPr>
              <w:t>Progress and Achievements</w:t>
            </w:r>
          </w:p>
          <w:p w14:paraId="7CA1A647" w14:textId="6CAB3DAB" w:rsidR="003D57A9" w:rsidRPr="006578F4" w:rsidRDefault="000620CE" w:rsidP="006578F4">
            <w:pPr>
              <w:pStyle w:val="BodyText2"/>
              <w:rPr>
                <w:rFonts w:asciiTheme="minorHAnsi" w:hAnsiTheme="minorHAnsi"/>
                <w:i/>
                <w:iCs/>
                <w:lang w:val="es-ES_tradnl"/>
              </w:rPr>
            </w:pPr>
            <w:r>
              <w:rPr>
                <w:rFonts w:asciiTheme="minorHAnsi" w:hAnsiTheme="minorHAnsi"/>
                <w:i/>
                <w:iCs/>
                <w:lang w:val="es-ES_tradnl"/>
              </w:rPr>
              <w:t xml:space="preserve">El PNUD apoyo el diseño e implementación de la metodología de </w:t>
            </w:r>
            <w:r w:rsidRPr="000620CE">
              <w:rPr>
                <w:rFonts w:asciiTheme="minorHAnsi" w:hAnsiTheme="minorHAnsi"/>
                <w:i/>
                <w:iCs/>
                <w:lang w:val="es-ES_tradnl"/>
              </w:rPr>
              <w:t>elaboración de Planes Cantonales de Desarrollo Humano Local. Estos planes, junto con el Plan Estratégico Municipal, PEM, se empezaron a elaborar gracias a la cooperación internacional, en conjunto con el Ministerio de Planificación Nacional y Política Económica. Se tomaron medidas para sistematizar la experiencia, y elaborar una metodología clara, que permita a las municipalidades y a MIDEPLAN desarrollar herramientas de planificación local de manera participativa, que contemple a las comunidades para priorizar acciones y que incorpore principios básicos como equidad de género, enfoque de derechos humanos y enfoque de gestión de riesgo. A partir de 2013, esta metodología se está replicando gracias a fondos propios de MIDEPLAN, sin necesidad de que medie la cooperación internacional en el esfuerzo por lograr que todos los cantones del país cuenten con estas herramientas de planificación</w:t>
            </w:r>
            <w:r>
              <w:rPr>
                <w:rFonts w:asciiTheme="minorHAnsi" w:hAnsiTheme="minorHAnsi"/>
                <w:i/>
                <w:iCs/>
                <w:lang w:val="es-ES_tradnl"/>
              </w:rPr>
              <w:t xml:space="preserve">, que se han apropiado e institucionalizado. </w:t>
            </w:r>
          </w:p>
        </w:tc>
      </w:tr>
      <w:tr w:rsidR="003D57A9" w:rsidRPr="006C4937" w14:paraId="3FFD980E" w14:textId="77777777" w:rsidTr="00EC6FC5">
        <w:tc>
          <w:tcPr>
            <w:tcW w:w="1463" w:type="dxa"/>
            <w:shd w:val="clear" w:color="auto" w:fill="95B3D7" w:themeFill="accent1" w:themeFillTint="99"/>
          </w:tcPr>
          <w:p w14:paraId="008BD6DE" w14:textId="77777777" w:rsidR="003D57A9" w:rsidRPr="00F60A66" w:rsidRDefault="003D57A9" w:rsidP="007E467C">
            <w:pPr>
              <w:pStyle w:val="BodyText2"/>
              <w:rPr>
                <w:rFonts w:ascii="Times New Roman" w:hAnsi="Times New Roman"/>
                <w:b/>
                <w:lang w:val="es-ES_tradnl"/>
              </w:rPr>
            </w:pPr>
            <w:r w:rsidRPr="00F60A66">
              <w:rPr>
                <w:rFonts w:asciiTheme="minorHAnsi" w:hAnsiTheme="minorHAnsi"/>
                <w:b/>
                <w:lang w:val="es-ES_tradnl"/>
              </w:rPr>
              <w:t xml:space="preserve">4. Mejoradas las capacidades nacionales con respecto a la gestión ambiental responsable y sostenible de cuencas, biodiversidad y áreas protegidas </w:t>
            </w:r>
            <w:r w:rsidRPr="00F60A66">
              <w:rPr>
                <w:rFonts w:asciiTheme="minorHAnsi" w:hAnsiTheme="minorHAnsi"/>
                <w:b/>
                <w:lang w:val="es-ES_tradnl"/>
              </w:rPr>
              <w:lastRenderedPageBreak/>
              <w:t>terrestres y marinas.</w:t>
            </w:r>
          </w:p>
        </w:tc>
        <w:tc>
          <w:tcPr>
            <w:tcW w:w="1530" w:type="dxa"/>
            <w:gridSpan w:val="2"/>
            <w:shd w:val="clear" w:color="auto" w:fill="auto"/>
          </w:tcPr>
          <w:p w14:paraId="0FBEA81E" w14:textId="77777777" w:rsidR="003D57A9" w:rsidRPr="00F01FDE" w:rsidRDefault="003D57A9" w:rsidP="007E467C">
            <w:pPr>
              <w:pStyle w:val="BodyText2"/>
              <w:rPr>
                <w:rFonts w:ascii="Times New Roman" w:hAnsi="Times New Roman"/>
              </w:rPr>
            </w:pPr>
            <w:r>
              <w:rPr>
                <w:rFonts w:asciiTheme="minorHAnsi" w:hAnsiTheme="minorHAnsi"/>
              </w:rPr>
              <w:lastRenderedPageBreak/>
              <w:t>$16.102.975</w:t>
            </w:r>
          </w:p>
        </w:tc>
        <w:tc>
          <w:tcPr>
            <w:tcW w:w="3960" w:type="dxa"/>
            <w:tcBorders>
              <w:left w:val="single" w:sz="4" w:space="0" w:color="auto"/>
            </w:tcBorders>
          </w:tcPr>
          <w:p w14:paraId="078EFECC" w14:textId="2CDB6611" w:rsidR="00F80626" w:rsidRPr="00F80626" w:rsidRDefault="00F80626" w:rsidP="00036BD8">
            <w:pPr>
              <w:pStyle w:val="BodyText2"/>
              <w:numPr>
                <w:ilvl w:val="0"/>
                <w:numId w:val="22"/>
              </w:numPr>
              <w:rPr>
                <w:rFonts w:asciiTheme="minorHAnsi" w:hAnsiTheme="minorHAnsi"/>
                <w:i/>
                <w:iCs/>
                <w:lang w:val="es-ES_tradnl"/>
              </w:rPr>
            </w:pPr>
            <w:r w:rsidRPr="00F80626">
              <w:rPr>
                <w:rFonts w:asciiTheme="minorHAnsi" w:hAnsiTheme="minorHAnsi"/>
                <w:i/>
                <w:lang w:val="es-ES_tradnl"/>
              </w:rPr>
              <w:t xml:space="preserve">Estrategia Nacional de biodiversidad aprobada y en </w:t>
            </w:r>
            <w:r>
              <w:rPr>
                <w:rFonts w:asciiTheme="minorHAnsi" w:hAnsiTheme="minorHAnsi"/>
                <w:i/>
                <w:lang w:val="es-ES_tradnl"/>
              </w:rPr>
              <w:t>implementación.</w:t>
            </w:r>
          </w:p>
          <w:p w14:paraId="7377DDF2" w14:textId="13D19ACC" w:rsidR="00036BD8" w:rsidRPr="00036BD8" w:rsidRDefault="00036BD8" w:rsidP="00036BD8">
            <w:pPr>
              <w:pStyle w:val="BodyText2"/>
              <w:numPr>
                <w:ilvl w:val="0"/>
                <w:numId w:val="22"/>
              </w:numPr>
              <w:rPr>
                <w:rFonts w:asciiTheme="minorHAnsi" w:hAnsiTheme="minorHAnsi"/>
                <w:i/>
                <w:iCs/>
                <w:lang w:val="es-ES_tradnl"/>
              </w:rPr>
            </w:pPr>
            <w:r w:rsidRPr="00036BD8">
              <w:rPr>
                <w:rFonts w:asciiTheme="minorHAnsi" w:hAnsiTheme="minorHAnsi"/>
                <w:i/>
                <w:iCs/>
                <w:lang w:val="es-ES_tradnl"/>
              </w:rPr>
              <w:t>Número de proyectos en comunidades sobre protección y conservación del medio ambiente con enfoque de género.</w:t>
            </w:r>
          </w:p>
        </w:tc>
        <w:tc>
          <w:tcPr>
            <w:tcW w:w="5490" w:type="dxa"/>
            <w:shd w:val="clear" w:color="auto" w:fill="auto"/>
          </w:tcPr>
          <w:p w14:paraId="77E764E0" w14:textId="77777777" w:rsidR="003D57A9" w:rsidRDefault="00DB4052" w:rsidP="00DB4052">
            <w:pPr>
              <w:pStyle w:val="BodyText2"/>
              <w:numPr>
                <w:ilvl w:val="0"/>
                <w:numId w:val="39"/>
              </w:numPr>
              <w:rPr>
                <w:rFonts w:asciiTheme="minorHAnsi" w:hAnsiTheme="minorHAnsi"/>
                <w:i/>
                <w:lang w:val="es-ES_tradnl"/>
              </w:rPr>
            </w:pPr>
            <w:r w:rsidRPr="00DB4052">
              <w:rPr>
                <w:rFonts w:asciiTheme="minorHAnsi" w:hAnsiTheme="minorHAnsi"/>
                <w:i/>
                <w:lang w:val="es-ES_tradnl"/>
              </w:rPr>
              <w:t>Ya se encuentra oficializado el Plan de Acción de la ENB, y se está trabajando en la identificación de financiamiento, brechas y nuevos fondos para su implementación. Hay varias metas ya en implementación.</w:t>
            </w:r>
          </w:p>
          <w:p w14:paraId="52090B26" w14:textId="4BF3AD78" w:rsidR="00F80626" w:rsidRPr="00DB4052" w:rsidRDefault="00F80626" w:rsidP="00DB4052">
            <w:pPr>
              <w:pStyle w:val="BodyText2"/>
              <w:numPr>
                <w:ilvl w:val="0"/>
                <w:numId w:val="39"/>
              </w:numPr>
              <w:rPr>
                <w:rFonts w:asciiTheme="minorHAnsi" w:hAnsiTheme="minorHAnsi"/>
                <w:i/>
                <w:lang w:val="es-ES_tradnl"/>
              </w:rPr>
            </w:pPr>
            <w:r>
              <w:rPr>
                <w:rFonts w:asciiTheme="minorHAnsi" w:hAnsiTheme="minorHAnsi"/>
                <w:i/>
                <w:lang w:val="es-ES_tradnl"/>
              </w:rPr>
              <w:t>Hay 128 proyectos en comunidades que se encuentran en fase de implementación o de cierre</w:t>
            </w:r>
            <w:r w:rsidR="00EB3E0D">
              <w:rPr>
                <w:rFonts w:asciiTheme="minorHAnsi" w:hAnsiTheme="minorHAnsi"/>
                <w:i/>
                <w:lang w:val="es-ES_tradnl"/>
              </w:rPr>
              <w:t>.</w:t>
            </w:r>
          </w:p>
        </w:tc>
      </w:tr>
      <w:tr w:rsidR="003D57A9" w:rsidRPr="006C4937" w14:paraId="57647C7C" w14:textId="77777777" w:rsidTr="00EC6FC5">
        <w:trPr>
          <w:trHeight w:val="298"/>
        </w:trPr>
        <w:tc>
          <w:tcPr>
            <w:tcW w:w="12443" w:type="dxa"/>
            <w:gridSpan w:val="5"/>
          </w:tcPr>
          <w:p w14:paraId="089943DB" w14:textId="26679511" w:rsidR="003D57A9" w:rsidRPr="00D9192E" w:rsidRDefault="003D57A9" w:rsidP="006578F4">
            <w:pPr>
              <w:pStyle w:val="BodyText2"/>
              <w:rPr>
                <w:rFonts w:asciiTheme="minorHAnsi" w:hAnsiTheme="minorHAnsi"/>
                <w:b/>
              </w:rPr>
            </w:pPr>
            <w:r w:rsidRPr="00837C4B">
              <w:rPr>
                <w:rFonts w:asciiTheme="minorHAnsi" w:hAnsiTheme="minorHAnsi"/>
                <w:b/>
              </w:rPr>
              <w:t>UNDP Contribution:</w:t>
            </w:r>
          </w:p>
          <w:p w14:paraId="22B17975" w14:textId="1A2D1ED0" w:rsidR="003D57A9" w:rsidRPr="00665A26" w:rsidRDefault="003D57A9" w:rsidP="00665A26">
            <w:pPr>
              <w:pStyle w:val="BodyText2"/>
              <w:rPr>
                <w:rFonts w:asciiTheme="minorHAnsi" w:hAnsiTheme="minorHAnsi"/>
                <w:u w:val="single"/>
              </w:rPr>
            </w:pPr>
            <w:r w:rsidRPr="00B00E5C">
              <w:rPr>
                <w:rFonts w:asciiTheme="minorHAnsi" w:hAnsiTheme="minorHAnsi"/>
                <w:u w:val="single"/>
              </w:rPr>
              <w:t>CP Outputs</w:t>
            </w:r>
          </w:p>
          <w:p w14:paraId="5AE13815" w14:textId="23A90149" w:rsidR="00665A26" w:rsidRPr="00665A26" w:rsidRDefault="00665A26" w:rsidP="00665A26">
            <w:pPr>
              <w:pStyle w:val="ListParagraph"/>
              <w:numPr>
                <w:ilvl w:val="0"/>
                <w:numId w:val="34"/>
              </w:numPr>
              <w:ind w:left="427" w:hanging="283"/>
              <w:rPr>
                <w:rFonts w:asciiTheme="minorHAnsi" w:eastAsia="Calibri" w:hAnsiTheme="minorHAnsi" w:cs="Arial"/>
                <w:i/>
                <w:iCs/>
                <w:sz w:val="20"/>
                <w:lang w:val="es-ES"/>
              </w:rPr>
            </w:pPr>
            <w:r w:rsidRPr="00665A26">
              <w:rPr>
                <w:rFonts w:asciiTheme="minorHAnsi" w:eastAsia="Calibri" w:hAnsiTheme="minorHAnsi" w:cs="Arial"/>
                <w:i/>
                <w:iCs/>
                <w:sz w:val="20"/>
                <w:lang w:val="es-ES"/>
              </w:rPr>
              <w:t>Cuencas de ríos de importancia en biodiversidad del país cuentan con estrategia integral de protección y conservación del medio ambiente que incorpore el enfoque de género.</w:t>
            </w:r>
          </w:p>
          <w:p w14:paraId="364F2204" w14:textId="77777777" w:rsidR="00665A26" w:rsidRPr="00665A26" w:rsidRDefault="00665A26" w:rsidP="00665A26">
            <w:pPr>
              <w:pStyle w:val="ListParagraph"/>
              <w:numPr>
                <w:ilvl w:val="0"/>
                <w:numId w:val="34"/>
              </w:numPr>
              <w:ind w:left="427" w:hanging="283"/>
              <w:rPr>
                <w:rFonts w:asciiTheme="minorHAnsi" w:eastAsia="Calibri" w:hAnsiTheme="minorHAnsi" w:cs="Arial"/>
                <w:bCs/>
                <w:i/>
                <w:iCs/>
                <w:sz w:val="20"/>
                <w:lang w:val="es-ES"/>
              </w:rPr>
            </w:pPr>
            <w:r w:rsidRPr="00665A26">
              <w:rPr>
                <w:rFonts w:asciiTheme="minorHAnsi" w:eastAsia="Calibri" w:hAnsiTheme="minorHAnsi" w:cs="Arial"/>
                <w:bCs/>
                <w:i/>
                <w:iCs/>
                <w:sz w:val="20"/>
                <w:lang w:val="es-ES"/>
              </w:rPr>
              <w:t xml:space="preserve">Proyectos comunitarios de conservación del medio ambiente han sido financiados por el Programa de Pequeñas Donaciones u otros fuentes de recursos para sociedad civil y organizaciones comunitarias </w:t>
            </w:r>
          </w:p>
          <w:p w14:paraId="22ABDD22" w14:textId="77777777" w:rsidR="00665A26" w:rsidRPr="00665A26" w:rsidRDefault="00665A26" w:rsidP="007E467C">
            <w:pPr>
              <w:pStyle w:val="BodyText2"/>
              <w:rPr>
                <w:rFonts w:asciiTheme="minorHAnsi" w:hAnsiTheme="minorHAnsi"/>
                <w:u w:val="single"/>
                <w:lang w:val="es-ES"/>
              </w:rPr>
            </w:pPr>
          </w:p>
          <w:p w14:paraId="0D8D442A" w14:textId="77777777" w:rsidR="003D57A9" w:rsidRPr="001C1BE1" w:rsidRDefault="003D57A9" w:rsidP="007E467C">
            <w:pPr>
              <w:pStyle w:val="BodyText2"/>
              <w:rPr>
                <w:rFonts w:asciiTheme="minorHAnsi" w:hAnsiTheme="minorHAnsi"/>
                <w:u w:val="single"/>
                <w:lang w:val="es-SV"/>
              </w:rPr>
            </w:pPr>
            <w:r w:rsidRPr="001C1BE1">
              <w:rPr>
                <w:rFonts w:asciiTheme="minorHAnsi" w:hAnsiTheme="minorHAnsi"/>
                <w:u w:val="single"/>
                <w:lang w:val="es-SV"/>
              </w:rPr>
              <w:t>Progress and Achievements</w:t>
            </w:r>
          </w:p>
          <w:p w14:paraId="6F8834F5" w14:textId="61F390C1" w:rsidR="003D57A9" w:rsidRPr="002D255C" w:rsidRDefault="002D255C" w:rsidP="002D255C">
            <w:pPr>
              <w:jc w:val="both"/>
              <w:rPr>
                <w:rFonts w:asciiTheme="minorHAnsi" w:hAnsiTheme="minorHAnsi"/>
                <w:i/>
                <w:iCs/>
                <w:sz w:val="20"/>
                <w:lang w:val="es-CR"/>
              </w:rPr>
            </w:pPr>
            <w:r w:rsidRPr="002D255C">
              <w:rPr>
                <w:rFonts w:asciiTheme="minorHAnsi" w:hAnsiTheme="minorHAnsi"/>
                <w:i/>
                <w:iCs/>
                <w:sz w:val="20"/>
                <w:lang w:val="es-CR"/>
              </w:rPr>
              <w:t xml:space="preserve">En el marco del Programa de Pequeñas Donaciones, más de 120 comunidades recibieron apoyo para lograr medios de vida sostenible, se ha duplicado el número de hectáreas en conservación en un periodo de cuatro años (138.481 ha.) y se contabilizaron 843.476 Ton. de CO2e mitigados. En el marco del programa global del PNUD Green Commodities, el PNUD ha facilitado todo el proceso de construcción de la Plataforma Nacional de Producción y Comercio Responsable de Piña, que finalmente derivó en la oficialización de un Plan de Acción, y la institucionalización de una comisión interministerial y de actores clave para vigilar y comunicar su aplicación de largo plazo; con lo que se finaliza el ciclo de materialización de una Plataforma de Materias Primas Sostenibles (Green Commodities) por primera vez en el mundo. </w:t>
            </w:r>
            <w:r w:rsidR="006C4937" w:rsidRPr="002D255C">
              <w:rPr>
                <w:rFonts w:asciiTheme="minorHAnsi" w:hAnsiTheme="minorHAnsi"/>
                <w:i/>
                <w:iCs/>
                <w:sz w:val="20"/>
                <w:lang w:val="es-CR"/>
              </w:rPr>
              <w:t>También</w:t>
            </w:r>
            <w:r w:rsidRPr="002D255C">
              <w:rPr>
                <w:rFonts w:asciiTheme="minorHAnsi" w:hAnsiTheme="minorHAnsi"/>
                <w:i/>
                <w:iCs/>
                <w:sz w:val="20"/>
                <w:lang w:val="es-CR"/>
              </w:rPr>
              <w:t xml:space="preserve"> se apoyó la elaboración de la Política Nacional de Biodiversidad 2015-2030, así como su respectiva Estrategia Nacional de Biodiversidad 2016-2025, con lo que el país cuenta con lineamientos para la protección y uso sostenible de recursos naturales y biodiversidad. Además, para garantizar la implementación de la Estrategia y su Plan de Acción, se ha apoyado el costeo de este plan de acción, a través de un Portafolio de Proyectos, e identificando las brechas presupuestarias existentes, además de buscando recursos adicionales para cerrar estas brechas.</w:t>
            </w:r>
          </w:p>
        </w:tc>
      </w:tr>
      <w:tr w:rsidR="003D57A9" w:rsidRPr="006C4937" w14:paraId="6FDC61A3" w14:textId="77777777" w:rsidTr="00EC6FC5">
        <w:tc>
          <w:tcPr>
            <w:tcW w:w="1463" w:type="dxa"/>
            <w:shd w:val="clear" w:color="auto" w:fill="95B3D7" w:themeFill="accent1" w:themeFillTint="99"/>
          </w:tcPr>
          <w:p w14:paraId="45088706" w14:textId="77777777" w:rsidR="003D57A9" w:rsidRPr="001B1CD6" w:rsidRDefault="003D57A9" w:rsidP="007E467C">
            <w:pPr>
              <w:pStyle w:val="BodyText2"/>
              <w:rPr>
                <w:rFonts w:ascii="Times New Roman" w:hAnsi="Times New Roman"/>
                <w:b/>
                <w:lang w:val="es-ES_tradnl"/>
              </w:rPr>
            </w:pPr>
            <w:r w:rsidRPr="001B1CD6">
              <w:rPr>
                <w:rFonts w:asciiTheme="minorHAnsi" w:hAnsiTheme="minorHAnsi"/>
                <w:b/>
                <w:lang w:val="es-ES_tradnl"/>
              </w:rPr>
              <w:t>5. Implementada una estrategia nacional de cambio climático que permite avanzar hacia una economía baja en carbono y disminuir la vulnerabilidad al cambio climático</w:t>
            </w:r>
            <w:r>
              <w:rPr>
                <w:rFonts w:asciiTheme="minorHAnsi" w:hAnsiTheme="minorHAnsi"/>
                <w:b/>
                <w:lang w:val="es-ES_tradnl"/>
              </w:rPr>
              <w:t>.</w:t>
            </w:r>
          </w:p>
        </w:tc>
        <w:tc>
          <w:tcPr>
            <w:tcW w:w="1530" w:type="dxa"/>
            <w:gridSpan w:val="2"/>
            <w:shd w:val="clear" w:color="auto" w:fill="auto"/>
          </w:tcPr>
          <w:p w14:paraId="7330D32F" w14:textId="77777777" w:rsidR="003D57A9" w:rsidRPr="00F01FDE" w:rsidRDefault="003D57A9" w:rsidP="007E467C">
            <w:pPr>
              <w:pStyle w:val="BodyText2"/>
              <w:rPr>
                <w:rFonts w:ascii="Times New Roman" w:hAnsi="Times New Roman"/>
              </w:rPr>
            </w:pPr>
            <w:r>
              <w:rPr>
                <w:rFonts w:asciiTheme="minorHAnsi" w:hAnsiTheme="minorHAnsi"/>
              </w:rPr>
              <w:t>$5.164.834</w:t>
            </w:r>
          </w:p>
        </w:tc>
        <w:tc>
          <w:tcPr>
            <w:tcW w:w="3960" w:type="dxa"/>
            <w:tcBorders>
              <w:left w:val="single" w:sz="4" w:space="0" w:color="auto"/>
            </w:tcBorders>
          </w:tcPr>
          <w:p w14:paraId="125BCECD" w14:textId="77777777" w:rsidR="003D57A9" w:rsidRPr="00036BD8" w:rsidRDefault="00036BD8" w:rsidP="00036BD8">
            <w:pPr>
              <w:pStyle w:val="BodyText2"/>
              <w:numPr>
                <w:ilvl w:val="0"/>
                <w:numId w:val="27"/>
              </w:numPr>
              <w:rPr>
                <w:rFonts w:ascii="Times New Roman" w:hAnsi="Times New Roman"/>
                <w:lang w:val="es-ES_tradnl"/>
              </w:rPr>
            </w:pPr>
            <w:r w:rsidRPr="00036BD8">
              <w:rPr>
                <w:rFonts w:asciiTheme="minorHAnsi" w:hAnsiTheme="minorHAnsi"/>
                <w:i/>
                <w:lang w:val="es-ES_tradnl"/>
              </w:rPr>
              <w:t>Se han elaborado documentos vinculantes, marcos jurídicos, sistemas de medición y seguimiento para la adaptación y mitigación frente al cambio climático, junto con copartícipes gubernamentales y no gubernamentales, en colaboración con entidades internacionales y de conformidad con los AMUMA.</w:t>
            </w:r>
          </w:p>
          <w:p w14:paraId="52BCBAF5" w14:textId="01898E46" w:rsidR="00036BD8" w:rsidRPr="00036BD8" w:rsidRDefault="00364B64" w:rsidP="00364B64">
            <w:pPr>
              <w:pStyle w:val="BodyText2"/>
              <w:numPr>
                <w:ilvl w:val="0"/>
                <w:numId w:val="27"/>
              </w:numPr>
              <w:rPr>
                <w:rFonts w:ascii="Times New Roman" w:hAnsi="Times New Roman"/>
                <w:lang w:val="es-ES_tradnl"/>
              </w:rPr>
            </w:pPr>
            <w:r>
              <w:rPr>
                <w:rFonts w:asciiTheme="minorHAnsi" w:hAnsiTheme="minorHAnsi"/>
                <w:i/>
                <w:lang w:val="es-ES_tradnl"/>
              </w:rPr>
              <w:t>Monto de emisiones totales del país</w:t>
            </w:r>
          </w:p>
        </w:tc>
        <w:tc>
          <w:tcPr>
            <w:tcW w:w="5490" w:type="dxa"/>
            <w:shd w:val="clear" w:color="auto" w:fill="auto"/>
          </w:tcPr>
          <w:p w14:paraId="2D5D20AC" w14:textId="7C2DDEC6" w:rsidR="00665A26" w:rsidRPr="00E37211" w:rsidRDefault="00E37211" w:rsidP="00665A26">
            <w:pPr>
              <w:pStyle w:val="BodyText2"/>
              <w:numPr>
                <w:ilvl w:val="0"/>
                <w:numId w:val="26"/>
              </w:numPr>
              <w:rPr>
                <w:rFonts w:asciiTheme="minorHAnsi" w:hAnsiTheme="minorHAnsi"/>
                <w:i/>
                <w:lang w:val="es-ES_tradnl"/>
              </w:rPr>
            </w:pPr>
            <w:r>
              <w:rPr>
                <w:rFonts w:asciiTheme="minorHAnsi" w:hAnsiTheme="minorHAnsi"/>
                <w:i/>
                <w:lang w:val="es-ES_tradnl"/>
              </w:rPr>
              <w:t xml:space="preserve">Al 2016, </w:t>
            </w:r>
            <w:r w:rsidR="00EB3E0D" w:rsidRPr="00364B64">
              <w:rPr>
                <w:rFonts w:asciiTheme="minorHAnsi" w:hAnsiTheme="minorHAnsi"/>
                <w:i/>
                <w:lang w:val="es-ES_tradnl"/>
              </w:rPr>
              <w:t>Hay 13 documentos</w:t>
            </w:r>
            <w:r w:rsidR="00364B64" w:rsidRPr="00364B64">
              <w:rPr>
                <w:rFonts w:asciiTheme="minorHAnsi" w:hAnsiTheme="minorHAnsi"/>
                <w:i/>
                <w:lang w:val="es-ES_tradnl"/>
              </w:rPr>
              <w:t xml:space="preserve"> relacionados con la adaptación y mitigación frente al cambio climá</w:t>
            </w:r>
            <w:r w:rsidR="00364B64">
              <w:rPr>
                <w:rFonts w:asciiTheme="minorHAnsi" w:hAnsiTheme="minorHAnsi"/>
                <w:i/>
                <w:lang w:val="es-ES_tradnl"/>
              </w:rPr>
              <w:t>tico</w:t>
            </w:r>
          </w:p>
          <w:p w14:paraId="707FC34E" w14:textId="471B44DE" w:rsidR="00364B64" w:rsidRPr="00E37211" w:rsidRDefault="00E37211" w:rsidP="00665A26">
            <w:pPr>
              <w:pStyle w:val="BodyText2"/>
              <w:numPr>
                <w:ilvl w:val="0"/>
                <w:numId w:val="26"/>
              </w:numPr>
              <w:rPr>
                <w:rFonts w:asciiTheme="minorHAnsi" w:hAnsiTheme="minorHAnsi"/>
                <w:i/>
                <w:lang w:val="es-ES_tradnl"/>
              </w:rPr>
            </w:pPr>
            <w:r w:rsidRPr="00A96C21">
              <w:rPr>
                <w:rFonts w:asciiTheme="minorHAnsi" w:hAnsiTheme="minorHAnsi"/>
                <w:i/>
                <w:lang w:val="es-ES_tradnl"/>
              </w:rPr>
              <w:t>2.21</w:t>
            </w:r>
            <w:r w:rsidRPr="00E37211">
              <w:rPr>
                <w:rFonts w:asciiTheme="minorHAnsi" w:hAnsiTheme="minorHAnsi"/>
                <w:i/>
                <w:lang w:val="es-ES_tradnl"/>
              </w:rPr>
              <w:t xml:space="preserve"> </w:t>
            </w:r>
            <w:r w:rsidRPr="00A96C21">
              <w:rPr>
                <w:rFonts w:asciiTheme="minorHAnsi" w:hAnsiTheme="minorHAnsi"/>
                <w:i/>
                <w:lang w:val="es-ES_tradnl"/>
              </w:rPr>
              <w:t>Toneladas de CO2 equivalente, datos oficiales del Primer Informe Bianual de Actualización y del Inventario de GEI, con datos de 2012.</w:t>
            </w:r>
          </w:p>
          <w:p w14:paraId="68BB2DE4" w14:textId="6419B3B5" w:rsidR="003D57A9" w:rsidRPr="00E37211" w:rsidRDefault="003D57A9" w:rsidP="007E467C">
            <w:pPr>
              <w:pStyle w:val="BodyText2"/>
              <w:rPr>
                <w:rFonts w:asciiTheme="minorHAnsi" w:hAnsiTheme="minorHAnsi"/>
                <w:i/>
                <w:lang w:val="es-ES_tradnl"/>
              </w:rPr>
            </w:pPr>
          </w:p>
        </w:tc>
      </w:tr>
      <w:tr w:rsidR="003D57A9" w:rsidRPr="006C4937" w14:paraId="3919F534" w14:textId="77777777" w:rsidTr="00EC6FC5">
        <w:tc>
          <w:tcPr>
            <w:tcW w:w="12443" w:type="dxa"/>
            <w:gridSpan w:val="5"/>
          </w:tcPr>
          <w:p w14:paraId="692A436A" w14:textId="7518F8FD" w:rsidR="003D57A9" w:rsidRPr="00D9192E" w:rsidRDefault="003D57A9" w:rsidP="002D255C">
            <w:pPr>
              <w:pStyle w:val="BodyText2"/>
              <w:rPr>
                <w:rFonts w:asciiTheme="minorHAnsi" w:hAnsiTheme="minorHAnsi"/>
                <w:b/>
              </w:rPr>
            </w:pPr>
            <w:r w:rsidRPr="00837C4B">
              <w:rPr>
                <w:rFonts w:asciiTheme="minorHAnsi" w:hAnsiTheme="minorHAnsi"/>
                <w:b/>
              </w:rPr>
              <w:t>UNDP Contribution:</w:t>
            </w:r>
          </w:p>
          <w:p w14:paraId="5EF0C6EF" w14:textId="5003C989" w:rsidR="00036BD8" w:rsidRPr="00665A26" w:rsidRDefault="003D57A9" w:rsidP="00665A26">
            <w:pPr>
              <w:pStyle w:val="BodyText2"/>
              <w:rPr>
                <w:rFonts w:asciiTheme="minorHAnsi" w:hAnsiTheme="minorHAnsi"/>
                <w:u w:val="single"/>
              </w:rPr>
            </w:pPr>
            <w:r w:rsidRPr="00B00E5C">
              <w:rPr>
                <w:rFonts w:asciiTheme="minorHAnsi" w:hAnsiTheme="minorHAnsi"/>
                <w:u w:val="single"/>
              </w:rPr>
              <w:lastRenderedPageBreak/>
              <w:t>CP Outputs</w:t>
            </w:r>
          </w:p>
          <w:p w14:paraId="6F491437" w14:textId="77777777" w:rsidR="00665A26" w:rsidRPr="00665A26" w:rsidRDefault="00036BD8" w:rsidP="00665A26">
            <w:pPr>
              <w:pStyle w:val="NoSpacing"/>
              <w:numPr>
                <w:ilvl w:val="0"/>
                <w:numId w:val="33"/>
              </w:numPr>
              <w:ind w:left="427" w:hanging="283"/>
              <w:rPr>
                <w:rFonts w:cs="Times New Roman"/>
                <w:i/>
                <w:iCs/>
                <w:sz w:val="20"/>
                <w:szCs w:val="20"/>
                <w:lang w:val="es-ES"/>
              </w:rPr>
            </w:pPr>
            <w:r w:rsidRPr="00665A26">
              <w:rPr>
                <w:rFonts w:cs="Times New Roman"/>
                <w:i/>
                <w:iCs/>
                <w:sz w:val="20"/>
                <w:szCs w:val="20"/>
                <w:lang w:val="es-ES"/>
              </w:rPr>
              <w:t xml:space="preserve">Estrategias de Desarrollo bajas en emisiones sectoriales y Acciones Nacionales Apropiadas de Mitigación (NAMA) implementadas </w:t>
            </w:r>
          </w:p>
          <w:p w14:paraId="4A65E72D" w14:textId="61997DAF" w:rsidR="00665A26" w:rsidRPr="00665A26" w:rsidRDefault="00665A26" w:rsidP="00665A26">
            <w:pPr>
              <w:pStyle w:val="NoSpacing"/>
              <w:numPr>
                <w:ilvl w:val="0"/>
                <w:numId w:val="33"/>
              </w:numPr>
              <w:ind w:left="427" w:hanging="283"/>
              <w:rPr>
                <w:rFonts w:cs="Times New Roman"/>
                <w:i/>
                <w:iCs/>
                <w:sz w:val="20"/>
                <w:szCs w:val="20"/>
                <w:lang w:val="es-ES"/>
              </w:rPr>
            </w:pPr>
            <w:r w:rsidRPr="00665A26">
              <w:rPr>
                <w:rFonts w:cs="Times New Roman"/>
                <w:i/>
                <w:iCs/>
                <w:sz w:val="20"/>
                <w:szCs w:val="20"/>
                <w:lang w:val="es-ES"/>
              </w:rPr>
              <w:t>Mercado doméstico de carbono de Costa Rica contribuye a que empresas alcancen carbono neutralidad.</w:t>
            </w:r>
          </w:p>
          <w:p w14:paraId="542B570A" w14:textId="77777777" w:rsidR="00036BD8" w:rsidRPr="00665A26" w:rsidRDefault="00036BD8" w:rsidP="00665A26">
            <w:pPr>
              <w:pStyle w:val="NoSpacing"/>
              <w:ind w:left="144"/>
              <w:rPr>
                <w:rFonts w:cs="Times New Roman"/>
                <w:sz w:val="20"/>
                <w:szCs w:val="20"/>
                <w:lang w:val="es-ES"/>
              </w:rPr>
            </w:pPr>
          </w:p>
          <w:p w14:paraId="4520D473" w14:textId="77777777" w:rsidR="003D57A9" w:rsidRPr="002D255C" w:rsidRDefault="003D57A9" w:rsidP="007E467C">
            <w:pPr>
              <w:pStyle w:val="BodyText2"/>
              <w:rPr>
                <w:rFonts w:asciiTheme="minorHAnsi" w:hAnsiTheme="minorHAnsi"/>
                <w:u w:val="single"/>
                <w:lang w:val="es-ES_tradnl"/>
              </w:rPr>
            </w:pPr>
            <w:r w:rsidRPr="002D255C">
              <w:rPr>
                <w:rFonts w:asciiTheme="minorHAnsi" w:hAnsiTheme="minorHAnsi"/>
                <w:u w:val="single"/>
                <w:lang w:val="es-ES_tradnl"/>
              </w:rPr>
              <w:t>Progress and Achievements</w:t>
            </w:r>
          </w:p>
          <w:p w14:paraId="19B46882" w14:textId="7133AB34" w:rsidR="003D57A9" w:rsidRPr="002D255C" w:rsidRDefault="002D255C" w:rsidP="002D255C">
            <w:pPr>
              <w:jc w:val="both"/>
              <w:rPr>
                <w:rFonts w:asciiTheme="minorHAnsi" w:hAnsiTheme="minorHAnsi"/>
                <w:sz w:val="20"/>
                <w:lang w:val="es-CR"/>
              </w:rPr>
            </w:pPr>
            <w:r w:rsidRPr="002D255C">
              <w:rPr>
                <w:rFonts w:asciiTheme="minorHAnsi" w:hAnsiTheme="minorHAnsi"/>
                <w:i/>
                <w:iCs/>
                <w:sz w:val="20"/>
                <w:lang w:val="es-CR"/>
              </w:rPr>
              <w:t xml:space="preserve">La mediación de PNUD fue crucial para poder concluir la formulación y lanzamiento de un Plan Nacional de Energía de largo plazo (2015-2030), lo que se realizó bajo el liderazgo del Viceministerio de Energía. Se ha trabajado en la concientización sobre los efectos del Cambio Climático, principalmente mediante una campaña gráfica, en la que se modificaron 10 fotografías de lugares icónicos en el país (el Paseo de los Turistas en Puntarenas, el Volcán Arenal, los canales de riego en Guanacaste, el Parque Nacional Santa Rosa, entre otros) para que ilustren como se verían con los efectos del cambio climático en el 2080, utilizando escenarios elaborados por el Instituto Meteorológico Nacional. Esta campaña se presentó en un especial en Canal 7 (Programa 7 días), así como más de 5 planas del diario La Nación, logrando un importante impacto en la opinión pública y un posicionamiento del PNUD como referente en este tema. Los materiales también fueron divulgados a nivel mundial por UNFCCC. Una Encuesta Nacional sobre Ambiente y Cambio Climático, realizada en colaboración con la Universidad de Costa Rica, revela que la mayoría de los encuestados estaría dispuesta a pagar más por bienes y servicios sostenibles y expresa una clara preferencia por la energía limpia sobre combustibles fósiles. </w:t>
            </w:r>
            <w:r w:rsidR="0020609A" w:rsidRPr="002D255C">
              <w:rPr>
                <w:rFonts w:asciiTheme="minorHAnsi" w:hAnsiTheme="minorHAnsi"/>
                <w:i/>
                <w:iCs/>
                <w:sz w:val="20"/>
                <w:lang w:val="es-CR"/>
              </w:rPr>
              <w:t>También</w:t>
            </w:r>
            <w:r w:rsidRPr="002D255C">
              <w:rPr>
                <w:rFonts w:asciiTheme="minorHAnsi" w:hAnsiTheme="minorHAnsi"/>
                <w:i/>
                <w:iCs/>
                <w:sz w:val="20"/>
                <w:lang w:val="es-CR"/>
              </w:rPr>
              <w:t xml:space="preserve"> se apoyó la elaboración del documento de Contribuciones Nacionalmente Apropiadas (INDC) que el país presentó ante la Convención Marco de las Naciones Unidas para el Cambio Climático (CMNUCC) en el marco de la 21 Conferencia de las Partes (COP 21) celebrada en París en 2015 fuera una propuesta ambiciosa y acorde a la aspiración nacional de lograr la Carbono Neutralidad en el 2021. También se presentó una nueva versión de la NAMA Ganadería (Acción de Mitigación Nacionalmente Apropiada), que está mejorando el sistema de Monitoreo, Reporte y Verificación, lo que permite medir exactamente el impacto de este tipo de acciones sobre las emisiones de gases de efecto invernadero. Se colaboró con la actualización del inventario de gases de efecto invernadero; así como la mejora de la métrica para definir con bases científicas sus metas de cara a la reducción de la emisión de gases de efecto invernadero, y al logro del objetivo de ser un país Carbono Neutral.</w:t>
            </w:r>
            <w:r w:rsidRPr="004B4B6B">
              <w:rPr>
                <w:rFonts w:asciiTheme="minorHAnsi" w:hAnsiTheme="minorHAnsi"/>
                <w:sz w:val="20"/>
                <w:lang w:val="es-CR"/>
              </w:rPr>
              <w:t xml:space="preserve"> </w:t>
            </w:r>
          </w:p>
        </w:tc>
      </w:tr>
      <w:tr w:rsidR="003D57A9" w:rsidRPr="006C4937" w14:paraId="5CF973B5" w14:textId="77777777" w:rsidTr="00EC6FC5">
        <w:tc>
          <w:tcPr>
            <w:tcW w:w="1463" w:type="dxa"/>
            <w:shd w:val="clear" w:color="auto" w:fill="95B3D7" w:themeFill="accent1" w:themeFillTint="99"/>
          </w:tcPr>
          <w:p w14:paraId="33E0ABA6" w14:textId="77777777" w:rsidR="003D57A9" w:rsidRPr="00A63EAE" w:rsidRDefault="003D57A9" w:rsidP="007E467C">
            <w:pPr>
              <w:pStyle w:val="BodyText2"/>
              <w:rPr>
                <w:rFonts w:ascii="Times New Roman" w:hAnsi="Times New Roman"/>
                <w:b/>
                <w:lang w:val="es-ES_tradnl"/>
              </w:rPr>
            </w:pPr>
            <w:r w:rsidRPr="00A63EAE">
              <w:rPr>
                <w:rFonts w:asciiTheme="minorHAnsi" w:hAnsiTheme="minorHAnsi"/>
                <w:b/>
                <w:lang w:val="es-ES_tradnl"/>
              </w:rPr>
              <w:lastRenderedPageBreak/>
              <w:t>6</w:t>
            </w:r>
            <w:r>
              <w:rPr>
                <w:rFonts w:asciiTheme="minorHAnsi" w:hAnsiTheme="minorHAnsi"/>
                <w:b/>
                <w:lang w:val="es-ES_tradnl"/>
              </w:rPr>
              <w:t xml:space="preserve">. </w:t>
            </w:r>
            <w:r w:rsidRPr="00A63EAE">
              <w:rPr>
                <w:rFonts w:asciiTheme="minorHAnsi" w:hAnsiTheme="minorHAnsi"/>
                <w:b/>
                <w:lang w:val="es-ES_tradnl"/>
              </w:rPr>
              <w:t xml:space="preserve">Mejorada la articulación de las instituciones a nivel nacional, regional y local, y sus mecanismos de exigibilidad ante la opinión pública para la adecuada </w:t>
            </w:r>
            <w:r>
              <w:rPr>
                <w:rFonts w:asciiTheme="minorHAnsi" w:hAnsiTheme="minorHAnsi"/>
                <w:b/>
                <w:lang w:val="es-ES_tradnl"/>
              </w:rPr>
              <w:t xml:space="preserve">planificación del DHS y </w:t>
            </w:r>
            <w:r>
              <w:rPr>
                <w:rFonts w:asciiTheme="minorHAnsi" w:hAnsiTheme="minorHAnsi"/>
                <w:b/>
                <w:lang w:val="es-ES_tradnl"/>
              </w:rPr>
              <w:lastRenderedPageBreak/>
              <w:t>pro</w:t>
            </w:r>
            <w:r w:rsidRPr="00A63EAE">
              <w:rPr>
                <w:rFonts w:asciiTheme="minorHAnsi" w:hAnsiTheme="minorHAnsi"/>
                <w:b/>
                <w:lang w:val="es-ES_tradnl"/>
              </w:rPr>
              <w:t>moción de la equidad de género</w:t>
            </w:r>
            <w:r>
              <w:rPr>
                <w:rFonts w:asciiTheme="minorHAnsi" w:hAnsiTheme="minorHAnsi"/>
                <w:b/>
                <w:lang w:val="es-ES_tradnl"/>
              </w:rPr>
              <w:t>.</w:t>
            </w:r>
          </w:p>
        </w:tc>
        <w:tc>
          <w:tcPr>
            <w:tcW w:w="1530" w:type="dxa"/>
            <w:gridSpan w:val="2"/>
            <w:shd w:val="clear" w:color="auto" w:fill="auto"/>
          </w:tcPr>
          <w:p w14:paraId="4D25DE63" w14:textId="77777777" w:rsidR="003D57A9" w:rsidRPr="00A63EAE" w:rsidRDefault="003D57A9" w:rsidP="007E467C">
            <w:pPr>
              <w:pStyle w:val="BodyText2"/>
              <w:rPr>
                <w:rFonts w:ascii="Times New Roman" w:hAnsi="Times New Roman"/>
                <w:lang w:val="es-ES_tradnl"/>
              </w:rPr>
            </w:pPr>
            <w:r>
              <w:rPr>
                <w:rFonts w:asciiTheme="minorHAnsi" w:hAnsiTheme="minorHAnsi"/>
                <w:lang w:val="es-ES_tradnl"/>
              </w:rPr>
              <w:lastRenderedPageBreak/>
              <w:t>$291.849</w:t>
            </w:r>
          </w:p>
        </w:tc>
        <w:tc>
          <w:tcPr>
            <w:tcW w:w="3960" w:type="dxa"/>
            <w:tcBorders>
              <w:left w:val="single" w:sz="4" w:space="0" w:color="auto"/>
            </w:tcBorders>
          </w:tcPr>
          <w:p w14:paraId="34CF67C8" w14:textId="77777777" w:rsidR="003D57A9" w:rsidRPr="00036BD8" w:rsidRDefault="00036BD8" w:rsidP="00036BD8">
            <w:pPr>
              <w:pStyle w:val="BodyText2"/>
              <w:numPr>
                <w:ilvl w:val="0"/>
                <w:numId w:val="28"/>
              </w:numPr>
              <w:rPr>
                <w:rFonts w:ascii="Times New Roman" w:hAnsi="Times New Roman"/>
                <w:lang w:val="es-ES_tradnl"/>
              </w:rPr>
            </w:pPr>
            <w:r w:rsidRPr="00036BD8">
              <w:rPr>
                <w:rFonts w:asciiTheme="minorHAnsi" w:hAnsiTheme="minorHAnsi"/>
                <w:i/>
                <w:lang w:val="es-ES_tradnl"/>
              </w:rPr>
              <w:t>Número de instituciones y/o grupos sociales que participan en procesos de diálogo social, político o económico.</w:t>
            </w:r>
          </w:p>
          <w:p w14:paraId="3CB85046" w14:textId="638E8DC6" w:rsidR="00036BD8" w:rsidRPr="00036BD8" w:rsidRDefault="00036BD8" w:rsidP="00036BD8">
            <w:pPr>
              <w:pStyle w:val="BodyText2"/>
              <w:numPr>
                <w:ilvl w:val="0"/>
                <w:numId w:val="28"/>
              </w:numPr>
              <w:rPr>
                <w:rFonts w:asciiTheme="minorHAnsi" w:hAnsiTheme="minorHAnsi"/>
                <w:i/>
                <w:iCs/>
                <w:lang w:val="es-ES_tradnl"/>
              </w:rPr>
            </w:pPr>
            <w:r w:rsidRPr="00036BD8">
              <w:rPr>
                <w:rFonts w:asciiTheme="minorHAnsi" w:hAnsiTheme="minorHAnsi"/>
                <w:i/>
                <w:iCs/>
                <w:lang w:val="es-ES_tradnl"/>
              </w:rPr>
              <w:t>Porcentaje de municipalidades que cuentan con mecanismos efectivos de coordinación con el Gobierno central y otros aliados.</w:t>
            </w:r>
          </w:p>
        </w:tc>
        <w:tc>
          <w:tcPr>
            <w:tcW w:w="5490" w:type="dxa"/>
            <w:shd w:val="clear" w:color="auto" w:fill="auto"/>
          </w:tcPr>
          <w:p w14:paraId="05EC4F85" w14:textId="059B28E5" w:rsidR="00665A26" w:rsidRPr="00A03745" w:rsidRDefault="0036778D" w:rsidP="00665A26">
            <w:pPr>
              <w:pStyle w:val="BodyText2"/>
              <w:numPr>
                <w:ilvl w:val="0"/>
                <w:numId w:val="29"/>
              </w:numPr>
              <w:rPr>
                <w:rFonts w:ascii="Times New Roman" w:hAnsi="Times New Roman"/>
                <w:lang w:val="es-ES_tradnl"/>
              </w:rPr>
            </w:pPr>
            <w:r>
              <w:rPr>
                <w:rFonts w:asciiTheme="minorHAnsi" w:hAnsiTheme="minorHAnsi"/>
                <w:i/>
                <w:lang w:val="es-ES_tradnl"/>
              </w:rPr>
              <w:t>Se han desarrollado 9 procesos de diálogo democrático</w:t>
            </w:r>
          </w:p>
          <w:p w14:paraId="1BB28ED4" w14:textId="7BAA1F21" w:rsidR="00A03745" w:rsidRPr="00A03745" w:rsidRDefault="00A03745" w:rsidP="00665A26">
            <w:pPr>
              <w:pStyle w:val="BodyText2"/>
              <w:numPr>
                <w:ilvl w:val="0"/>
                <w:numId w:val="29"/>
              </w:numPr>
              <w:rPr>
                <w:rFonts w:asciiTheme="minorHAnsi" w:hAnsiTheme="minorHAnsi"/>
                <w:i/>
                <w:iCs/>
                <w:lang w:val="es-ES_tradnl"/>
              </w:rPr>
            </w:pPr>
            <w:r w:rsidRPr="00A03745">
              <w:rPr>
                <w:rFonts w:asciiTheme="minorHAnsi" w:hAnsiTheme="minorHAnsi"/>
                <w:i/>
                <w:iCs/>
                <w:lang w:val="es-ES_tradnl"/>
              </w:rPr>
              <w:t>74 municipalidades cuentan con Planes Cantonales de Desarrollo Humano Local, quedan dos procesos en implementación. Estos planes contemplan no solo el establecimiento de prioridades de manera participativa, sino coordinación y articulación entre diferentes instancias.</w:t>
            </w:r>
          </w:p>
          <w:p w14:paraId="55B35CBC" w14:textId="76433C1B" w:rsidR="003D57A9" w:rsidRPr="00036BD8" w:rsidRDefault="003D57A9" w:rsidP="007E467C">
            <w:pPr>
              <w:pStyle w:val="BodyText2"/>
              <w:rPr>
                <w:rFonts w:ascii="Times New Roman" w:hAnsi="Times New Roman"/>
                <w:lang w:val="es-ES_tradnl"/>
              </w:rPr>
            </w:pPr>
          </w:p>
        </w:tc>
      </w:tr>
      <w:tr w:rsidR="003D57A9" w:rsidRPr="006C4937" w14:paraId="4A02EE31" w14:textId="77777777" w:rsidTr="00EC6FC5">
        <w:tc>
          <w:tcPr>
            <w:tcW w:w="12443" w:type="dxa"/>
            <w:gridSpan w:val="5"/>
          </w:tcPr>
          <w:p w14:paraId="68D8D7AB" w14:textId="77777777" w:rsidR="003D57A9" w:rsidRDefault="003D57A9" w:rsidP="007E467C">
            <w:pPr>
              <w:pStyle w:val="BodyText2"/>
              <w:rPr>
                <w:rFonts w:asciiTheme="minorHAnsi" w:hAnsiTheme="minorHAnsi"/>
                <w:b/>
              </w:rPr>
            </w:pPr>
            <w:r w:rsidRPr="00837C4B">
              <w:rPr>
                <w:rFonts w:asciiTheme="minorHAnsi" w:hAnsiTheme="minorHAnsi"/>
                <w:b/>
              </w:rPr>
              <w:t>UNDP Contribution:</w:t>
            </w:r>
          </w:p>
          <w:p w14:paraId="61D6B10E" w14:textId="77777777" w:rsidR="003D57A9" w:rsidRPr="00D9192E" w:rsidRDefault="003D57A9" w:rsidP="007E467C">
            <w:pPr>
              <w:pStyle w:val="BodyText2"/>
              <w:rPr>
                <w:rFonts w:asciiTheme="minorHAnsi" w:hAnsiTheme="minorHAnsi"/>
                <w:b/>
              </w:rPr>
            </w:pPr>
          </w:p>
          <w:p w14:paraId="0453628C" w14:textId="77777777" w:rsidR="003D57A9" w:rsidRDefault="003D57A9" w:rsidP="007E467C">
            <w:pPr>
              <w:pStyle w:val="BodyText2"/>
              <w:rPr>
                <w:rFonts w:asciiTheme="minorHAnsi" w:hAnsiTheme="minorHAnsi"/>
                <w:u w:val="single"/>
              </w:rPr>
            </w:pPr>
            <w:r w:rsidRPr="00B00E5C">
              <w:rPr>
                <w:rFonts w:asciiTheme="minorHAnsi" w:hAnsiTheme="minorHAnsi"/>
                <w:u w:val="single"/>
              </w:rPr>
              <w:t>CP Outputs</w:t>
            </w:r>
          </w:p>
          <w:p w14:paraId="46BBDD63" w14:textId="623A0D96" w:rsidR="00036BD8" w:rsidRPr="00665A26" w:rsidRDefault="00036BD8" w:rsidP="00036BD8">
            <w:pPr>
              <w:pStyle w:val="BodyText2"/>
              <w:numPr>
                <w:ilvl w:val="0"/>
                <w:numId w:val="32"/>
              </w:numPr>
              <w:ind w:left="427" w:hanging="283"/>
              <w:rPr>
                <w:rFonts w:asciiTheme="minorHAnsi" w:hAnsiTheme="minorHAnsi"/>
                <w:i/>
                <w:iCs/>
                <w:lang w:val="es-ES"/>
              </w:rPr>
            </w:pPr>
            <w:r w:rsidRPr="00665A26">
              <w:rPr>
                <w:rFonts w:asciiTheme="minorHAnsi" w:hAnsiTheme="minorHAnsi"/>
                <w:i/>
                <w:iCs/>
                <w:lang w:val="es-ES"/>
              </w:rPr>
              <w:t>Se propicia el debate político social sobre la agenda de desarrollo la visión de país en el marco de la transición de gobierno y otros espacios de toma de decisiones de lo nacional a lo local</w:t>
            </w:r>
          </w:p>
          <w:p w14:paraId="3028F49C" w14:textId="77777777" w:rsidR="00036BD8" w:rsidRPr="00665A26" w:rsidRDefault="00036BD8" w:rsidP="00036BD8">
            <w:pPr>
              <w:pStyle w:val="BodyText2"/>
              <w:numPr>
                <w:ilvl w:val="0"/>
                <w:numId w:val="32"/>
              </w:numPr>
              <w:ind w:left="427" w:hanging="283"/>
              <w:rPr>
                <w:rFonts w:asciiTheme="minorHAnsi" w:hAnsiTheme="minorHAnsi"/>
                <w:i/>
                <w:iCs/>
                <w:lang w:val="es-ES"/>
              </w:rPr>
            </w:pPr>
            <w:r w:rsidRPr="00665A26">
              <w:rPr>
                <w:rFonts w:asciiTheme="minorHAnsi" w:hAnsiTheme="minorHAnsi"/>
                <w:i/>
                <w:iCs/>
                <w:lang w:val="es-ES"/>
              </w:rPr>
              <w:t>Se propician la cultura de participación activa y las prácticas políticas inclusivas basadas en la equidad y la paridad en procesos de diálogo.</w:t>
            </w:r>
          </w:p>
          <w:p w14:paraId="4A737C45" w14:textId="77777777" w:rsidR="00036BD8" w:rsidRPr="00665A26" w:rsidRDefault="00036BD8" w:rsidP="00036BD8">
            <w:pPr>
              <w:pStyle w:val="BodyText2"/>
              <w:numPr>
                <w:ilvl w:val="0"/>
                <w:numId w:val="32"/>
              </w:numPr>
              <w:ind w:left="427" w:hanging="283"/>
              <w:rPr>
                <w:rFonts w:asciiTheme="minorHAnsi" w:hAnsiTheme="minorHAnsi"/>
                <w:i/>
                <w:iCs/>
                <w:lang w:val="es-ES"/>
              </w:rPr>
            </w:pPr>
            <w:r w:rsidRPr="00665A26">
              <w:rPr>
                <w:rFonts w:asciiTheme="minorHAnsi" w:hAnsiTheme="minorHAnsi"/>
                <w:i/>
                <w:iCs/>
                <w:lang w:val="es-ES"/>
              </w:rPr>
              <w:t>Institucionalización de mecanismos de acceso a la información pública que permitan participación ciudadana y auditoría cívicas.</w:t>
            </w:r>
          </w:p>
          <w:p w14:paraId="2876ABB7" w14:textId="77777777" w:rsidR="00036BD8" w:rsidRPr="00665A26" w:rsidRDefault="00036BD8" w:rsidP="00036BD8">
            <w:pPr>
              <w:pStyle w:val="BodyText2"/>
              <w:numPr>
                <w:ilvl w:val="0"/>
                <w:numId w:val="32"/>
              </w:numPr>
              <w:ind w:left="427" w:hanging="283"/>
              <w:rPr>
                <w:rFonts w:asciiTheme="minorHAnsi" w:hAnsiTheme="minorHAnsi"/>
                <w:i/>
                <w:iCs/>
                <w:lang w:val="es-ES"/>
              </w:rPr>
            </w:pPr>
            <w:r w:rsidRPr="00665A26">
              <w:rPr>
                <w:rFonts w:asciiTheme="minorHAnsi" w:hAnsiTheme="minorHAnsi"/>
                <w:i/>
                <w:iCs/>
                <w:lang w:val="es-ES"/>
              </w:rPr>
              <w:t xml:space="preserve">Se consolidan diversas alianzas entre instituciones públicas y privadas en esferas clave para el desarrollo (energía, transportes, producción responsable, desarrollo local y fortalecimiento institucional).  </w:t>
            </w:r>
          </w:p>
          <w:p w14:paraId="571F66B6" w14:textId="77777777" w:rsidR="00036BD8" w:rsidRPr="00665A26" w:rsidRDefault="00036BD8" w:rsidP="00036BD8">
            <w:pPr>
              <w:pStyle w:val="BodyText2"/>
              <w:numPr>
                <w:ilvl w:val="0"/>
                <w:numId w:val="32"/>
              </w:numPr>
              <w:ind w:left="427" w:hanging="283"/>
              <w:rPr>
                <w:rFonts w:asciiTheme="minorHAnsi" w:hAnsiTheme="minorHAnsi"/>
                <w:i/>
                <w:iCs/>
                <w:lang w:val="es-ES"/>
              </w:rPr>
            </w:pPr>
            <w:r w:rsidRPr="00665A26">
              <w:rPr>
                <w:rFonts w:asciiTheme="minorHAnsi" w:hAnsiTheme="minorHAnsi"/>
                <w:i/>
                <w:iCs/>
                <w:lang w:val="es-ES"/>
              </w:rPr>
              <w:t xml:space="preserve">Se contribuye a la armonización y simplificación de los mecanismos de coordinación interinstitucional para la planificación y presupuestación nacional y local. </w:t>
            </w:r>
          </w:p>
          <w:p w14:paraId="0DF83D06" w14:textId="77777777" w:rsidR="003D57A9" w:rsidRPr="00036BD8" w:rsidRDefault="003D57A9" w:rsidP="007E467C">
            <w:pPr>
              <w:pStyle w:val="BodyText2"/>
              <w:rPr>
                <w:rFonts w:asciiTheme="minorHAnsi" w:hAnsiTheme="minorHAnsi"/>
                <w:u w:val="single"/>
                <w:lang w:val="es-ES"/>
              </w:rPr>
            </w:pPr>
          </w:p>
          <w:p w14:paraId="0749D072" w14:textId="77777777" w:rsidR="003D57A9" w:rsidRPr="001C1BE1" w:rsidRDefault="003D57A9" w:rsidP="007E467C">
            <w:pPr>
              <w:pStyle w:val="BodyText2"/>
              <w:rPr>
                <w:rFonts w:asciiTheme="minorHAnsi" w:hAnsiTheme="minorHAnsi"/>
                <w:u w:val="single"/>
                <w:lang w:val="es-SV"/>
              </w:rPr>
            </w:pPr>
            <w:r w:rsidRPr="001C1BE1">
              <w:rPr>
                <w:rFonts w:asciiTheme="minorHAnsi" w:hAnsiTheme="minorHAnsi"/>
                <w:u w:val="single"/>
                <w:lang w:val="es-SV"/>
              </w:rPr>
              <w:t>Progress and Achievements</w:t>
            </w:r>
          </w:p>
          <w:p w14:paraId="496886A9" w14:textId="3854FCE8" w:rsidR="003D57A9" w:rsidRPr="00A26DC6" w:rsidRDefault="00A26DC6" w:rsidP="00A26DC6">
            <w:pPr>
              <w:pStyle w:val="BodyText2"/>
              <w:rPr>
                <w:rFonts w:asciiTheme="minorHAnsi" w:hAnsiTheme="minorHAnsi"/>
                <w:i/>
                <w:iCs/>
                <w:lang w:val="es-ES_tradnl"/>
              </w:rPr>
            </w:pPr>
            <w:r w:rsidRPr="00A26DC6">
              <w:rPr>
                <w:rFonts w:asciiTheme="minorHAnsi" w:hAnsiTheme="minorHAnsi"/>
                <w:i/>
                <w:iCs/>
                <w:lang w:val="es-ES_tradnl"/>
              </w:rPr>
              <w:t>Esta administración continúa con la línea de desarrollar herramientas de política pública mediante metodologías participativas, con la promoción de procesos de diálogo para identificar insumos para la toma de decisiones o reforma institucional. El PNUD ha sido un socio estratégico para el gobierno en la implementación de estos procesos, aportando su valor agregado y experticia, a través de su capacidad de convocatoria, cred</w:t>
            </w:r>
            <w:r>
              <w:rPr>
                <w:rFonts w:asciiTheme="minorHAnsi" w:hAnsiTheme="minorHAnsi"/>
                <w:i/>
                <w:iCs/>
                <w:lang w:val="es-ES_tradnl"/>
              </w:rPr>
              <w:t>ibilidad e imparcialidad</w:t>
            </w:r>
            <w:r w:rsidRPr="00A26DC6">
              <w:rPr>
                <w:rFonts w:asciiTheme="minorHAnsi" w:hAnsiTheme="minorHAnsi"/>
                <w:i/>
                <w:iCs/>
                <w:lang w:val="es-ES_tradnl"/>
              </w:rPr>
              <w:t>. Al 2015, la meta planeada para el quinquenio 2013-2017 de apoyar al menos 5 procesos de diálogo, había sido superada. Durante el 2016, se ha estado apoyando al Viceministerio de Diálogo Ciudadano, en la construcción de un mecanismo de consulta indígena que cumpla con los estándares internacionales. A la fecha se han realizado un total de 19 talleres en la etapa informativa y 24 talleres, en la primera ronda de encuentros territoriales, con una participación total de 4.002 personas indígenas (1.183 y 2.819, respectivamente). Un primer resultado de estas consultas en los 24 territorios indígenas del país, es la elaboración de una ruta preliminar de mecanismo, identificando cuáles podrían ser los temas a consultar, quienes deberían participar en esta consulta, cuál debería ser el proceso, etc</w:t>
            </w:r>
            <w:r>
              <w:rPr>
                <w:rFonts w:asciiTheme="minorHAnsi" w:hAnsiTheme="minorHAnsi"/>
                <w:i/>
                <w:iCs/>
                <w:lang w:val="es-ES_tradnl"/>
              </w:rPr>
              <w:t>.</w:t>
            </w:r>
            <w:r w:rsidRPr="00A26DC6">
              <w:rPr>
                <w:rFonts w:asciiTheme="minorHAnsi" w:hAnsiTheme="minorHAnsi"/>
                <w:i/>
                <w:iCs/>
                <w:lang w:val="es-ES_tradnl"/>
              </w:rPr>
              <w:t>, desde la visión d</w:t>
            </w:r>
            <w:r>
              <w:rPr>
                <w:rFonts w:asciiTheme="minorHAnsi" w:hAnsiTheme="minorHAnsi"/>
                <w:i/>
                <w:iCs/>
                <w:lang w:val="es-ES_tradnl"/>
              </w:rPr>
              <w:t>e los Pueblos Indígenas</w:t>
            </w:r>
            <w:r w:rsidRPr="00A26DC6">
              <w:rPr>
                <w:rFonts w:asciiTheme="minorHAnsi" w:hAnsiTheme="minorHAnsi"/>
                <w:i/>
                <w:iCs/>
                <w:lang w:val="es-ES_tradnl"/>
              </w:rPr>
              <w:t xml:space="preserve">. Por otra parte, para implementar la Agenda 2030 en el país, el PNUD, en coordinación con la OCR, facilitó una iniciativa de diálogo con OSC, OBF y sector privado para identificar compromisos, acciones de incidencia y generar espacios de coordinación y participación en el mecanismo de gobernanza de los ODS -liderado por MIDEPLAN-. Asimismo, realizó reuniones de consulta con gobiernos locales, academia e instituciones de gobierno, logrando la subscripción de un "Pacto Nacional por los ODS".  Igualmente, ha estado implementando un ciclo de diálogo sobre pobreza (ODS 1) con el apoyo del Ministerio de Desarrollo Humano e Inclusión Social. </w:t>
            </w:r>
          </w:p>
        </w:tc>
      </w:tr>
      <w:tr w:rsidR="003D57A9" w:rsidRPr="006C4937" w14:paraId="4393419C" w14:textId="77777777" w:rsidTr="00EC6FC5">
        <w:tc>
          <w:tcPr>
            <w:tcW w:w="1463" w:type="dxa"/>
            <w:shd w:val="clear" w:color="auto" w:fill="95B3D7" w:themeFill="accent1" w:themeFillTint="99"/>
          </w:tcPr>
          <w:p w14:paraId="6D789DBF" w14:textId="77777777" w:rsidR="003D57A9" w:rsidRPr="00A63EAE" w:rsidRDefault="003D57A9" w:rsidP="007E467C">
            <w:pPr>
              <w:pStyle w:val="BodyText2"/>
              <w:rPr>
                <w:rFonts w:ascii="Times New Roman" w:hAnsi="Times New Roman"/>
                <w:b/>
                <w:lang w:val="es-ES_tradnl"/>
              </w:rPr>
            </w:pPr>
            <w:r w:rsidRPr="00A63EAE">
              <w:rPr>
                <w:rFonts w:asciiTheme="minorHAnsi" w:hAnsiTheme="minorHAnsi"/>
                <w:b/>
                <w:lang w:val="es-ES_tradnl"/>
              </w:rPr>
              <w:t xml:space="preserve">7. Practicas socioculturales que fortalezcan la paz y estrategias de </w:t>
            </w:r>
            <w:r w:rsidRPr="00A63EAE">
              <w:rPr>
                <w:rFonts w:asciiTheme="minorHAnsi" w:hAnsiTheme="minorHAnsi"/>
                <w:b/>
                <w:lang w:val="es-ES_tradnl"/>
              </w:rPr>
              <w:lastRenderedPageBreak/>
              <w:t>convivencia, prevención y atención de violencia y delito implementadas en comunidades prioritarias</w:t>
            </w:r>
          </w:p>
        </w:tc>
        <w:tc>
          <w:tcPr>
            <w:tcW w:w="1530" w:type="dxa"/>
            <w:gridSpan w:val="2"/>
            <w:shd w:val="clear" w:color="auto" w:fill="auto"/>
          </w:tcPr>
          <w:p w14:paraId="4748A152" w14:textId="77777777" w:rsidR="003D57A9" w:rsidRPr="00F01FDE" w:rsidRDefault="003D57A9" w:rsidP="007E467C">
            <w:pPr>
              <w:pStyle w:val="BodyText2"/>
              <w:rPr>
                <w:rFonts w:ascii="Times New Roman" w:hAnsi="Times New Roman"/>
              </w:rPr>
            </w:pPr>
            <w:r>
              <w:rPr>
                <w:rFonts w:asciiTheme="minorHAnsi" w:hAnsiTheme="minorHAnsi"/>
              </w:rPr>
              <w:lastRenderedPageBreak/>
              <w:t>$211.397</w:t>
            </w:r>
          </w:p>
        </w:tc>
        <w:tc>
          <w:tcPr>
            <w:tcW w:w="3960" w:type="dxa"/>
            <w:tcBorders>
              <w:left w:val="single" w:sz="4" w:space="0" w:color="auto"/>
            </w:tcBorders>
          </w:tcPr>
          <w:p w14:paraId="655906C7" w14:textId="556F285B" w:rsidR="003D57A9" w:rsidRPr="00036BD8" w:rsidRDefault="00036BD8" w:rsidP="00036BD8">
            <w:pPr>
              <w:pStyle w:val="BodyText2"/>
              <w:numPr>
                <w:ilvl w:val="0"/>
                <w:numId w:val="31"/>
              </w:numPr>
              <w:rPr>
                <w:rFonts w:ascii="Times New Roman" w:hAnsi="Times New Roman"/>
                <w:lang w:val="es-ES_tradnl"/>
              </w:rPr>
            </w:pPr>
            <w:r w:rsidRPr="00036BD8">
              <w:rPr>
                <w:rFonts w:asciiTheme="minorHAnsi" w:hAnsiTheme="minorHAnsi"/>
                <w:i/>
                <w:lang w:val="es-ES_tradnl"/>
              </w:rPr>
              <w:t>Índice de seguridad ciudadana (ISC) y de violencia contra las mujeres en cantones seleccionados, Indicadores de convivencia democrática (LAPOP, Latinobarómetro).</w:t>
            </w:r>
          </w:p>
        </w:tc>
        <w:tc>
          <w:tcPr>
            <w:tcW w:w="5490" w:type="dxa"/>
            <w:shd w:val="clear" w:color="auto" w:fill="auto"/>
          </w:tcPr>
          <w:p w14:paraId="1881B897" w14:textId="37ABB647" w:rsidR="003D57A9" w:rsidRPr="004A334B" w:rsidRDefault="004A334B" w:rsidP="002211A1">
            <w:pPr>
              <w:pStyle w:val="BodyText2"/>
              <w:numPr>
                <w:ilvl w:val="0"/>
                <w:numId w:val="38"/>
              </w:numPr>
              <w:rPr>
                <w:rFonts w:asciiTheme="minorHAnsi" w:hAnsiTheme="minorHAnsi"/>
                <w:i/>
                <w:lang w:val="es-ES_tradnl"/>
              </w:rPr>
            </w:pPr>
            <w:r>
              <w:rPr>
                <w:rFonts w:ascii="Calibri" w:hAnsi="Calibri"/>
                <w:lang w:val="es-ES_tradnl"/>
              </w:rPr>
              <w:t>Al 2016, la</w:t>
            </w:r>
            <w:r w:rsidRPr="004A334B">
              <w:rPr>
                <w:rFonts w:ascii="Calibri" w:hAnsi="Calibri"/>
                <w:lang w:val="es-ES_tradnl"/>
              </w:rPr>
              <w:t xml:space="preserve"> </w:t>
            </w:r>
            <w:r>
              <w:rPr>
                <w:rFonts w:ascii="Calibri" w:hAnsi="Calibri"/>
                <w:lang w:val="es-ES_tradnl"/>
              </w:rPr>
              <w:t>t</w:t>
            </w:r>
            <w:r w:rsidRPr="00A26DC5">
              <w:rPr>
                <w:rFonts w:ascii="Calibri" w:hAnsi="Calibri"/>
                <w:lang w:val="es-ES_tradnl"/>
              </w:rPr>
              <w:t>asa de Homicidio doloso, por 100 mil habitantes</w:t>
            </w:r>
            <w:r w:rsidR="00375D47">
              <w:rPr>
                <w:rFonts w:ascii="Calibri" w:hAnsi="Calibri"/>
                <w:lang w:val="es-ES_tradnl"/>
              </w:rPr>
              <w:t xml:space="preserve"> es de 11.2</w:t>
            </w:r>
            <w:r w:rsidRPr="00A26DC5">
              <w:rPr>
                <w:rFonts w:ascii="Calibri" w:hAnsi="Calibri"/>
                <w:lang w:val="es-ES_tradnl"/>
              </w:rPr>
              <w:t>. Aún no se ha logrado calcular el índice de seguridad ciudadana</w:t>
            </w:r>
          </w:p>
        </w:tc>
      </w:tr>
      <w:tr w:rsidR="003D57A9" w:rsidRPr="006C4937" w14:paraId="497F92BF" w14:textId="77777777" w:rsidTr="00EC6FC5">
        <w:tc>
          <w:tcPr>
            <w:tcW w:w="12443" w:type="dxa"/>
            <w:gridSpan w:val="5"/>
          </w:tcPr>
          <w:p w14:paraId="0348E5D4" w14:textId="77777777" w:rsidR="003D57A9" w:rsidRDefault="003D57A9" w:rsidP="007E467C">
            <w:pPr>
              <w:pStyle w:val="BodyText2"/>
              <w:rPr>
                <w:rFonts w:asciiTheme="minorHAnsi" w:hAnsiTheme="minorHAnsi"/>
                <w:b/>
              </w:rPr>
            </w:pPr>
            <w:r w:rsidRPr="00837C4B">
              <w:rPr>
                <w:rFonts w:asciiTheme="minorHAnsi" w:hAnsiTheme="minorHAnsi"/>
                <w:b/>
              </w:rPr>
              <w:t>UNDP Contribution:</w:t>
            </w:r>
          </w:p>
          <w:p w14:paraId="1EA59590" w14:textId="77777777" w:rsidR="003D57A9" w:rsidRPr="00D9192E" w:rsidRDefault="003D57A9" w:rsidP="007E467C">
            <w:pPr>
              <w:pStyle w:val="BodyText2"/>
              <w:rPr>
                <w:rFonts w:asciiTheme="minorHAnsi" w:hAnsiTheme="minorHAnsi"/>
                <w:b/>
              </w:rPr>
            </w:pPr>
          </w:p>
          <w:p w14:paraId="51677AD9" w14:textId="77777777" w:rsidR="003D57A9" w:rsidRDefault="003D57A9" w:rsidP="007E467C">
            <w:pPr>
              <w:pStyle w:val="BodyText2"/>
              <w:rPr>
                <w:rFonts w:asciiTheme="minorHAnsi" w:hAnsiTheme="minorHAnsi"/>
                <w:u w:val="single"/>
              </w:rPr>
            </w:pPr>
            <w:r w:rsidRPr="00B00E5C">
              <w:rPr>
                <w:rFonts w:asciiTheme="minorHAnsi" w:hAnsiTheme="minorHAnsi"/>
                <w:u w:val="single"/>
              </w:rPr>
              <w:t>CP Outputs</w:t>
            </w:r>
          </w:p>
          <w:p w14:paraId="05E059E4" w14:textId="6BBE9599" w:rsidR="00036BD8" w:rsidRPr="00665A26" w:rsidRDefault="00036BD8" w:rsidP="00665A26">
            <w:pPr>
              <w:pStyle w:val="BodyText2"/>
              <w:numPr>
                <w:ilvl w:val="0"/>
                <w:numId w:val="37"/>
              </w:numPr>
              <w:ind w:left="427" w:hanging="283"/>
              <w:rPr>
                <w:rFonts w:asciiTheme="minorHAnsi" w:hAnsiTheme="minorHAnsi"/>
                <w:i/>
                <w:iCs/>
                <w:lang w:val="es-ES"/>
              </w:rPr>
            </w:pPr>
            <w:r w:rsidRPr="00665A26">
              <w:rPr>
                <w:rFonts w:asciiTheme="minorHAnsi" w:hAnsiTheme="minorHAnsi"/>
                <w:i/>
                <w:iCs/>
                <w:lang w:val="es-ES"/>
              </w:rPr>
              <w:t>Se ponen en práctica modelos de seguridad ciudadana y convivencia en cantones prioritarios.</w:t>
            </w:r>
          </w:p>
          <w:p w14:paraId="09E0B6E5" w14:textId="77777777" w:rsidR="003D57A9" w:rsidRPr="00036BD8" w:rsidRDefault="003D57A9" w:rsidP="007E467C">
            <w:pPr>
              <w:pStyle w:val="BodyText2"/>
              <w:rPr>
                <w:rFonts w:asciiTheme="minorHAnsi" w:hAnsiTheme="minorHAnsi"/>
                <w:u w:val="single"/>
                <w:lang w:val="es-ES_tradnl"/>
              </w:rPr>
            </w:pPr>
          </w:p>
          <w:p w14:paraId="0CD51D6D" w14:textId="77777777" w:rsidR="003D57A9" w:rsidRPr="006C4937" w:rsidRDefault="003D57A9" w:rsidP="007E467C">
            <w:pPr>
              <w:pStyle w:val="BodyText2"/>
              <w:rPr>
                <w:rFonts w:asciiTheme="minorHAnsi" w:hAnsiTheme="minorHAnsi"/>
                <w:u w:val="single"/>
                <w:lang w:val="es-SV"/>
              </w:rPr>
            </w:pPr>
            <w:r w:rsidRPr="006C4937">
              <w:rPr>
                <w:rFonts w:asciiTheme="minorHAnsi" w:hAnsiTheme="minorHAnsi"/>
                <w:u w:val="single"/>
                <w:lang w:val="es-SV"/>
              </w:rPr>
              <w:t>Progress and Achievements</w:t>
            </w:r>
          </w:p>
          <w:p w14:paraId="51190FCA" w14:textId="7E1CDA64" w:rsidR="003D57A9" w:rsidRPr="00D50313" w:rsidRDefault="00D50313" w:rsidP="00D50313">
            <w:pPr>
              <w:pStyle w:val="BodyText2"/>
              <w:rPr>
                <w:rFonts w:asciiTheme="minorHAnsi" w:hAnsiTheme="minorHAnsi"/>
                <w:i/>
                <w:iCs/>
                <w:lang w:val="es-ES_tradnl"/>
              </w:rPr>
            </w:pPr>
            <w:r w:rsidRPr="00D50313">
              <w:rPr>
                <w:rFonts w:asciiTheme="minorHAnsi" w:hAnsiTheme="minorHAnsi"/>
                <w:i/>
                <w:iCs/>
                <w:lang w:val="es-ES_tradnl"/>
              </w:rPr>
              <w:t>Hay un problema muy particular con respecto al indicador seleccionado para medir el progreso en este efecto. Desde el 2010 no se ha calculado el índice de seguridad ciudadana,</w:t>
            </w:r>
            <w:r>
              <w:rPr>
                <w:rFonts w:asciiTheme="minorHAnsi" w:hAnsiTheme="minorHAnsi"/>
                <w:i/>
                <w:iCs/>
                <w:lang w:val="es-ES_tradnl"/>
              </w:rPr>
              <w:t xml:space="preserve"> </w:t>
            </w:r>
            <w:r w:rsidRPr="00D50313">
              <w:rPr>
                <w:rFonts w:asciiTheme="minorHAnsi" w:hAnsiTheme="minorHAnsi"/>
                <w:i/>
                <w:iCs/>
                <w:lang w:val="es-ES_tradnl"/>
              </w:rPr>
              <w:t>por lo que no se puede medir el progreso o retroceso con este indicador. Para poder medir avances se está utilizando como proxy la tasa de homicidio doloso por cada 100 mil</w:t>
            </w:r>
            <w:r>
              <w:rPr>
                <w:rFonts w:asciiTheme="minorHAnsi" w:hAnsiTheme="minorHAnsi"/>
                <w:i/>
                <w:iCs/>
                <w:lang w:val="es-ES_tradnl"/>
              </w:rPr>
              <w:t xml:space="preserve"> </w:t>
            </w:r>
            <w:r w:rsidRPr="00D50313">
              <w:rPr>
                <w:rFonts w:asciiTheme="minorHAnsi" w:hAnsiTheme="minorHAnsi"/>
                <w:i/>
                <w:iCs/>
                <w:lang w:val="es-ES_tradnl"/>
              </w:rPr>
              <w:t>habitantes. Este año, con datos de 2015, se ha reflejado un retroceso (pasó de 10 a 11,2 por cada 100 mil habitantes) en esta es decir, se dieron más homicidios en 2015 que en</w:t>
            </w:r>
            <w:r>
              <w:rPr>
                <w:rFonts w:asciiTheme="minorHAnsi" w:hAnsiTheme="minorHAnsi"/>
                <w:i/>
                <w:iCs/>
                <w:lang w:val="es-ES_tradnl"/>
              </w:rPr>
              <w:t xml:space="preserve"> </w:t>
            </w:r>
            <w:r w:rsidRPr="00D50313">
              <w:rPr>
                <w:rFonts w:asciiTheme="minorHAnsi" w:hAnsiTheme="minorHAnsi"/>
                <w:i/>
                <w:iCs/>
                <w:lang w:val="es-ES_tradnl"/>
              </w:rPr>
              <w:t>2014. Muchos de estos homicidios se vinculan con el crimen organizado, el narcotráfico y los ajustes de cuentas, lo que ha generado que la prioridad de este 2016 para el Ministerio</w:t>
            </w:r>
            <w:r>
              <w:rPr>
                <w:rFonts w:asciiTheme="minorHAnsi" w:hAnsiTheme="minorHAnsi"/>
                <w:i/>
                <w:iCs/>
                <w:lang w:val="es-ES_tradnl"/>
              </w:rPr>
              <w:t xml:space="preserve"> </w:t>
            </w:r>
            <w:r w:rsidRPr="00D50313">
              <w:rPr>
                <w:rFonts w:asciiTheme="minorHAnsi" w:hAnsiTheme="minorHAnsi"/>
                <w:i/>
                <w:iCs/>
                <w:lang w:val="es-ES_tradnl"/>
              </w:rPr>
              <w:t>de Seguridad pública fuera intentar contener esta tendencia al alza. Si bien aún no están disponibles los datos oficiales, hasta el 14 de diciembre, el dato de homicidios es de 507,</w:t>
            </w:r>
            <w:r>
              <w:rPr>
                <w:rFonts w:asciiTheme="minorHAnsi" w:hAnsiTheme="minorHAnsi"/>
                <w:i/>
                <w:iCs/>
                <w:lang w:val="es-ES_tradnl"/>
              </w:rPr>
              <w:t xml:space="preserve"> </w:t>
            </w:r>
            <w:r w:rsidRPr="00D50313">
              <w:rPr>
                <w:rFonts w:asciiTheme="minorHAnsi" w:hAnsiTheme="minorHAnsi"/>
                <w:i/>
                <w:iCs/>
                <w:lang w:val="es-ES_tradnl"/>
              </w:rPr>
              <w:t>que no dista mucho del récord histórico de 558 registrado en 2015, lo que indica que aún hay mucho trabajo pendiente en este tema</w:t>
            </w:r>
            <w:r>
              <w:rPr>
                <w:rFonts w:asciiTheme="minorHAnsi" w:hAnsiTheme="minorHAnsi"/>
                <w:i/>
                <w:iCs/>
                <w:lang w:val="es-ES_tradnl"/>
              </w:rPr>
              <w:t>.</w:t>
            </w:r>
          </w:p>
        </w:tc>
      </w:tr>
      <w:tr w:rsidR="003D57A9" w:rsidRPr="006C4937" w14:paraId="3B62DE9E" w14:textId="77777777" w:rsidTr="00EC6FC5">
        <w:tc>
          <w:tcPr>
            <w:tcW w:w="12443" w:type="dxa"/>
            <w:gridSpan w:val="5"/>
          </w:tcPr>
          <w:p w14:paraId="3E2D8579" w14:textId="77777777" w:rsidR="003D57A9" w:rsidRPr="001C1BE1" w:rsidRDefault="003D57A9" w:rsidP="007E467C">
            <w:pPr>
              <w:rPr>
                <w:rFonts w:asciiTheme="minorHAnsi" w:hAnsiTheme="minorHAnsi"/>
                <w:b/>
                <w:bCs/>
                <w:sz w:val="20"/>
                <w:u w:val="single"/>
                <w:lang w:val="es-SV"/>
              </w:rPr>
            </w:pPr>
            <w:r w:rsidRPr="001C1BE1">
              <w:rPr>
                <w:rFonts w:asciiTheme="minorHAnsi" w:hAnsiTheme="minorHAnsi"/>
                <w:b/>
                <w:bCs/>
                <w:sz w:val="20"/>
                <w:u w:val="single"/>
                <w:lang w:val="es-SV"/>
              </w:rPr>
              <w:t>Summary of evaluation findings</w:t>
            </w:r>
          </w:p>
          <w:p w14:paraId="736655DC" w14:textId="77777777" w:rsidR="003D57A9" w:rsidRPr="00F54011" w:rsidRDefault="003D57A9" w:rsidP="007E467C">
            <w:pPr>
              <w:jc w:val="both"/>
              <w:rPr>
                <w:rFonts w:asciiTheme="minorHAnsi" w:hAnsiTheme="minorHAnsi"/>
                <w:sz w:val="20"/>
                <w:lang w:val="es-ES_tradnl"/>
              </w:rPr>
            </w:pPr>
            <w:r>
              <w:rPr>
                <w:rFonts w:asciiTheme="minorHAnsi" w:hAnsiTheme="minorHAnsi"/>
                <w:sz w:val="20"/>
                <w:lang w:val="es-SV"/>
              </w:rPr>
              <w:t>La evaluación de medio término del CPAP indica que u</w:t>
            </w:r>
            <w:r w:rsidRPr="00CD039A">
              <w:rPr>
                <w:rFonts w:asciiTheme="minorHAnsi" w:hAnsiTheme="minorHAnsi"/>
                <w:sz w:val="20"/>
                <w:lang w:val="es-SV"/>
              </w:rPr>
              <w:t xml:space="preserve">n aspecto fundamental que se ha considerado en este informe es el valor agregado que el PNUD aporta al desarrollo del país, y que con frecuencia no está suficientemente identificado.  Si bien la agencia no pretende un rol protagónico, sino más bien ser facilitador de procesos país, su aporte también depende de su reconocimiento y por ello es de gran importancia la visibilización de estrategias de comunicación.  </w:t>
            </w:r>
            <w:r>
              <w:rPr>
                <w:rFonts w:asciiTheme="minorHAnsi" w:hAnsiTheme="minorHAnsi"/>
                <w:sz w:val="20"/>
                <w:lang w:val="es-SV"/>
              </w:rPr>
              <w:t xml:space="preserve">La evaluación final del proyecto de Consolidación de Áreas Marinas Protegidas señaló que </w:t>
            </w:r>
            <w:r w:rsidRPr="00AD49DE">
              <w:rPr>
                <w:rFonts w:asciiTheme="minorHAnsi" w:hAnsiTheme="minorHAnsi"/>
                <w:sz w:val="20"/>
                <w:lang w:val="es-ES_tradnl"/>
              </w:rPr>
              <w:t>proyectos con grandes retos que enfrentar y relativamente moderado presupuesto, la eficiencia es un factor de éxito con mucho peso para el logro de los objetivos planeados. En este sentido, los implementadores y ejecutores deben insistir en la implantación de modelos de gestión basados en resultados, adaptados a temas de gobernanza y a las necesidades de las AMPs, así como el uso de herramientas de gestión, seguimiento y verificación apropiadas.</w:t>
            </w:r>
            <w:r>
              <w:rPr>
                <w:rFonts w:asciiTheme="minorHAnsi" w:hAnsiTheme="minorHAnsi"/>
                <w:sz w:val="20"/>
                <w:lang w:val="es-ES_tradnl"/>
              </w:rPr>
              <w:t xml:space="preserve"> También, en la evaluación final del UNDAF se identifica que es necesaria la c</w:t>
            </w:r>
            <w:r w:rsidRPr="00347BFF">
              <w:rPr>
                <w:rFonts w:asciiTheme="minorHAnsi" w:hAnsiTheme="minorHAnsi"/>
                <w:sz w:val="20"/>
                <w:lang w:val="es-ES_tradnl"/>
              </w:rPr>
              <w:t>oherencia general entre el presupuesto y las metas</w:t>
            </w:r>
            <w:r>
              <w:rPr>
                <w:rFonts w:asciiTheme="minorHAnsi" w:hAnsiTheme="minorHAnsi"/>
                <w:sz w:val="20"/>
                <w:lang w:val="es-ES_tradnl"/>
              </w:rPr>
              <w:t xml:space="preserve">, pues en la </w:t>
            </w:r>
            <w:r w:rsidRPr="00347BFF">
              <w:rPr>
                <w:rFonts w:asciiTheme="minorHAnsi" w:hAnsiTheme="minorHAnsi"/>
                <w:sz w:val="20"/>
                <w:lang w:val="es-ES_tradnl"/>
              </w:rPr>
              <w:t>elaboración del MANUD 2013-2017, se tenía la ilusión de c</w:t>
            </w:r>
            <w:r>
              <w:rPr>
                <w:rFonts w:asciiTheme="minorHAnsi" w:hAnsiTheme="minorHAnsi"/>
                <w:sz w:val="20"/>
                <w:lang w:val="es-ES_tradnl"/>
              </w:rPr>
              <w:t>ontar con más fondos de los que</w:t>
            </w:r>
            <w:r w:rsidRPr="00347BFF">
              <w:rPr>
                <w:rFonts w:asciiTheme="minorHAnsi" w:hAnsiTheme="minorHAnsi"/>
                <w:sz w:val="20"/>
                <w:lang w:val="es-ES_tradnl"/>
              </w:rPr>
              <w:t xml:space="preserve"> efectivamente se contó, debido al recorte de fondos españoles que se venían dando al SNU. Ante los recortes experimentados no se hicieron ajustes a las metas del MANUD, lo cual debía de haberse hecho para ajustar el alcance esperado de resultados de acuerdo con los recursos con los que se contaba, y así hacer una nueva priorización de lo que se haría con los recursos en efecto disponibles. El hecho de que no se dio ninguna revisión al respecto, puede ser indicativo del poco uso real que se le estaba dando a este instrumento para guiar la planificación y programación de las agencias.</w:t>
            </w:r>
          </w:p>
          <w:p w14:paraId="37F8D022" w14:textId="77777777" w:rsidR="003D57A9" w:rsidRPr="00F54011" w:rsidRDefault="003D57A9" w:rsidP="007E467C">
            <w:pPr>
              <w:jc w:val="both"/>
              <w:rPr>
                <w:rFonts w:asciiTheme="minorHAnsi" w:hAnsiTheme="minorHAnsi"/>
                <w:sz w:val="20"/>
                <w:lang w:val="es-ES_tradnl"/>
              </w:rPr>
            </w:pPr>
          </w:p>
          <w:p w14:paraId="5F5581E4" w14:textId="77777777" w:rsidR="003D57A9" w:rsidRPr="001C1BE1" w:rsidRDefault="003D57A9" w:rsidP="007E467C">
            <w:pPr>
              <w:jc w:val="both"/>
              <w:rPr>
                <w:rFonts w:asciiTheme="minorHAnsi" w:hAnsiTheme="minorHAnsi"/>
                <w:b/>
                <w:bCs/>
                <w:sz w:val="20"/>
                <w:lang w:val="es-SV"/>
              </w:rPr>
            </w:pPr>
            <w:r w:rsidRPr="001C1BE1">
              <w:rPr>
                <w:rFonts w:asciiTheme="minorHAnsi" w:hAnsiTheme="minorHAnsi"/>
                <w:b/>
                <w:bCs/>
                <w:sz w:val="20"/>
                <w:u w:val="single"/>
                <w:lang w:val="es-SV"/>
              </w:rPr>
              <w:t>Key Achievements</w:t>
            </w:r>
            <w:r w:rsidRPr="001C1BE1">
              <w:rPr>
                <w:rFonts w:asciiTheme="minorHAnsi" w:hAnsiTheme="minorHAnsi"/>
                <w:b/>
                <w:bCs/>
                <w:sz w:val="20"/>
                <w:lang w:val="es-SV"/>
              </w:rPr>
              <w:t>:</w:t>
            </w:r>
          </w:p>
          <w:p w14:paraId="6E64E3FD" w14:textId="5A4C4011" w:rsidR="003D57A9" w:rsidRPr="004B4B6B" w:rsidRDefault="003D57A9" w:rsidP="007F1091">
            <w:pPr>
              <w:jc w:val="both"/>
              <w:rPr>
                <w:rFonts w:asciiTheme="minorHAnsi" w:hAnsiTheme="minorHAnsi"/>
                <w:sz w:val="20"/>
                <w:lang w:val="es-CR"/>
              </w:rPr>
            </w:pPr>
            <w:r w:rsidRPr="004B4B6B">
              <w:rPr>
                <w:rFonts w:asciiTheme="minorHAnsi" w:hAnsiTheme="minorHAnsi"/>
                <w:sz w:val="20"/>
                <w:lang w:val="es-CR"/>
              </w:rPr>
              <w:t>El PNUD contribuyó en este período a la instalación de un mecanismo de diálogo intercultural entre autoridades gubernamentales y dirigentes de Pueblos Indígenas de la zona sur, con el fin de generar un espacio para pacificar la región y tratar los problemas de fondo que estaban a la base del conflicto. En el marco del Programa de Pequeñas Donaciones, más de 120 comunidades recibieron apoyo para lograr medios de vida sostenible, se ha duplicando el número de hectáreas en conservación en un periodo de cuatro años (138.481 ha.) y se contabilizaron 843.476 Ton. de CO2e mitigados. Se ha tenido incidencia en la elaboración de política pública, a través de estudios y procesos de diálogo social, mediante los cuales se han compilado insumos para el diseño de políticas en diversos temas. El estudio “Reducir la Pobreza en Costa Rica es posible: Propuestas para la acción” identificó brechas específicas en la cobertura de programas sociales y el acceso a empleo decente, lo cual contribuyó a que el gobierno incorporara como prioridad la superación de estas brechas en su estrategia de combate a la pobreza, como la ampliación de 3.750 nuevas pensiones del Régimen No Contributivo por año durante los 4 años de la Administración Solís Rivera. En el tema fiscal, se logró incidir en acciones compensatorias a la propuesta de ajuste fiscal, como la devolución del IVA a la población más pobre del país, con la aplicación de micro</w:t>
            </w:r>
            <w:r w:rsidR="0020609A">
              <w:rPr>
                <w:rFonts w:asciiTheme="minorHAnsi" w:hAnsiTheme="minorHAnsi"/>
                <w:sz w:val="20"/>
                <w:lang w:val="es-CR"/>
              </w:rPr>
              <w:t>-</w:t>
            </w:r>
            <w:r w:rsidRPr="004B4B6B">
              <w:rPr>
                <w:rFonts w:asciiTheme="minorHAnsi" w:hAnsiTheme="minorHAnsi"/>
                <w:sz w:val="20"/>
                <w:lang w:val="es-CR"/>
              </w:rPr>
              <w:t xml:space="preserve">simulaciones para evaluar los posibles efectos de las diferentes reformas planteadas. La mediación de PNUD fue crucial para poder concluir la formulación y lanzamiento de un Plan Nacional de Energía de largo plazo (2015-2030), lo que se realizó bajo el liderazgo del Viceministerio de Energía. En el marco del programa global del PNUD Green Commodities, el PNUD ha facilitado todo el proceso de construcción de la Plataforma Nacional de Producción y Comercio Responsable de Piña, que finalmente derivó en la oficialización de un Plan de Acción, y la institucionalización de una comisión interministerial y de actores clave para vigilar y comunicar su aplicación de largo plazo; con lo que se finaliza el ciclo de materialización de una Plataforma de Materias Primas Sostenibles (Green Commodities) por primera vez en el mundo. Se ha trabajado en la concientización sobre los efectos del Cambio Climático, principalmente mediante una campaña gráfica, en la que se modificaron 10 fotografías de lugares icónicos en el país (el Paseo de los Turistas en Puntarenas, el Volcán Arenal, los canales de riego en Guanacaste, el Parque Nacional Santa Rosa, entre otros) para que ilustren como se verían con los efectos del cambio climático en el 2080, utilizando escenarios elaborados por el Instituto Meteorológico Nacional. Esta campaña se presentó en un especial en Canal 7 (Programa 7 días), así como más de 5 planas del diario La Nación, logrando un importante impacto en la opinión pública y un posicionamiento del PNUD como referente en este tema. </w:t>
            </w:r>
          </w:p>
          <w:p w14:paraId="2F8B4AC9" w14:textId="77777777" w:rsidR="003D57A9" w:rsidRPr="004B4B6B" w:rsidRDefault="003D57A9" w:rsidP="007E467C">
            <w:pPr>
              <w:pStyle w:val="BodyText2"/>
              <w:rPr>
                <w:rFonts w:asciiTheme="minorHAnsi" w:hAnsiTheme="minorHAnsi"/>
                <w:u w:val="single"/>
                <w:lang w:val="es-ES_tradnl"/>
              </w:rPr>
            </w:pPr>
          </w:p>
          <w:p w14:paraId="0DC0CDD3" w14:textId="77777777" w:rsidR="003D57A9" w:rsidRPr="003D57A9" w:rsidRDefault="003D57A9" w:rsidP="007E467C">
            <w:pPr>
              <w:pStyle w:val="BodyText2"/>
              <w:rPr>
                <w:rFonts w:asciiTheme="minorHAnsi" w:hAnsiTheme="minorHAnsi"/>
                <w:b/>
                <w:bCs/>
                <w:lang w:val="es-ES_tradnl"/>
              </w:rPr>
            </w:pPr>
            <w:r w:rsidRPr="003D57A9">
              <w:rPr>
                <w:rFonts w:asciiTheme="minorHAnsi" w:hAnsiTheme="minorHAnsi"/>
                <w:b/>
                <w:bCs/>
                <w:u w:val="single"/>
                <w:lang w:val="es-ES_tradnl"/>
              </w:rPr>
              <w:t>Major Lessons Learnt</w:t>
            </w:r>
            <w:r w:rsidRPr="003D57A9">
              <w:rPr>
                <w:rFonts w:asciiTheme="minorHAnsi" w:hAnsiTheme="minorHAnsi"/>
                <w:b/>
                <w:bCs/>
                <w:lang w:val="es-ES_tradnl"/>
              </w:rPr>
              <w:t>:</w:t>
            </w:r>
          </w:p>
          <w:p w14:paraId="38A4D219" w14:textId="77777777" w:rsidR="003D57A9" w:rsidRPr="005F0276" w:rsidRDefault="003D57A9" w:rsidP="007E467C">
            <w:pPr>
              <w:pStyle w:val="BodyText2"/>
              <w:rPr>
                <w:rFonts w:asciiTheme="minorHAnsi" w:hAnsiTheme="minorHAnsi"/>
                <w:lang w:val="es-ES_tradnl"/>
              </w:rPr>
            </w:pPr>
            <w:r w:rsidRPr="005F0276">
              <w:rPr>
                <w:rFonts w:asciiTheme="minorHAnsi" w:hAnsiTheme="minorHAnsi"/>
                <w:lang w:val="es-ES_tradnl"/>
              </w:rPr>
              <w:t xml:space="preserve">(a) Es necesario fortalecer el trabajo con organizaciones de la sociedad civil para promover su </w:t>
            </w:r>
            <w:r>
              <w:rPr>
                <w:rFonts w:asciiTheme="minorHAnsi" w:hAnsiTheme="minorHAnsi"/>
                <w:lang w:val="es-ES_tradnl"/>
              </w:rPr>
              <w:t>participación y empoderamiento</w:t>
            </w:r>
            <w:r w:rsidRPr="005F0276">
              <w:rPr>
                <w:rFonts w:asciiTheme="minorHAnsi" w:hAnsiTheme="minorHAnsi"/>
                <w:lang w:val="es-ES_tradnl"/>
              </w:rPr>
              <w:t>; (b) expandir el número de contrapartes nacionales ha permitido reducir el riesgo en la implementación del programa y fortalece</w:t>
            </w:r>
            <w:r>
              <w:rPr>
                <w:rFonts w:asciiTheme="minorHAnsi" w:hAnsiTheme="minorHAnsi"/>
                <w:lang w:val="es-ES_tradnl"/>
              </w:rPr>
              <w:t>r el posicionamiento del PNUD</w:t>
            </w:r>
            <w:r w:rsidRPr="005F0276">
              <w:rPr>
                <w:rFonts w:asciiTheme="minorHAnsi" w:hAnsiTheme="minorHAnsi"/>
                <w:lang w:val="es-ES_tradnl"/>
              </w:rPr>
              <w:t>; (c) en un país de renta media alta como Costa Rica, la inversión de la cooperación internacional debe enfocarse en acciones que suponen el apalancamiento de recursos adicionales (capital semilla) y que sean escalables y/o replicables; y (d) las restricciones de recursos han reducido el personal de la oficina en el área de gobernabilidad. Como la gobernanza y la administración pública son los dos retos principales para el desarrollo del país, la estrategia de transversalizar estos temas en los portafolios de sostenibilidad ambiental y desarrollo humano fue exitosa.</w:t>
            </w:r>
          </w:p>
          <w:p w14:paraId="261CD6A2" w14:textId="77777777" w:rsidR="003D57A9" w:rsidRPr="005F0276" w:rsidRDefault="003D57A9" w:rsidP="007E467C">
            <w:pPr>
              <w:pStyle w:val="BodyText2"/>
              <w:rPr>
                <w:rFonts w:ascii="Times New Roman" w:hAnsi="Times New Roman"/>
                <w:lang w:val="es-ES_tradnl"/>
              </w:rPr>
            </w:pPr>
          </w:p>
        </w:tc>
      </w:tr>
    </w:tbl>
    <w:p w14:paraId="0B2AECFF" w14:textId="77777777" w:rsidR="00D9192E" w:rsidRPr="003D57A9" w:rsidRDefault="00D9192E">
      <w:pPr>
        <w:rPr>
          <w:lang w:val="es-ES_tradnl"/>
        </w:rPr>
      </w:pPr>
      <w:r w:rsidRPr="003D57A9">
        <w:rPr>
          <w:lang w:val="es-ES_tradnl"/>
        </w:rPr>
        <w:lastRenderedPageBreak/>
        <w:br w:type="page"/>
      </w:r>
    </w:p>
    <w:p w14:paraId="7B85241A" w14:textId="77777777" w:rsidR="007B75A2" w:rsidRPr="005F0276" w:rsidRDefault="007B75A2">
      <w:pPr>
        <w:pStyle w:val="BodyText2"/>
        <w:rPr>
          <w:rFonts w:ascii="Times New Roman" w:hAnsi="Times New Roman"/>
          <w:sz w:val="24"/>
          <w:lang w:val="es-ES_tradnl"/>
        </w:rPr>
      </w:pPr>
    </w:p>
    <w:p w14:paraId="0B2AED13" w14:textId="4BEB86EE" w:rsidR="00E37E7A" w:rsidRPr="005474ED" w:rsidRDefault="00EA7740" w:rsidP="00E37E7A">
      <w:pPr>
        <w:pStyle w:val="BodyText2"/>
        <w:jc w:val="center"/>
        <w:rPr>
          <w:rFonts w:asciiTheme="minorHAnsi" w:hAnsiTheme="minorHAnsi"/>
          <w:sz w:val="24"/>
        </w:rPr>
      </w:pPr>
      <w:r>
        <w:rPr>
          <w:rFonts w:asciiTheme="minorHAnsi" w:hAnsiTheme="minorHAnsi"/>
          <w:sz w:val="24"/>
        </w:rPr>
        <w:t xml:space="preserve">III. </w:t>
      </w:r>
      <w:r w:rsidR="00673710" w:rsidRPr="005474ED">
        <w:rPr>
          <w:rFonts w:asciiTheme="minorHAnsi" w:hAnsiTheme="minorHAnsi"/>
          <w:sz w:val="24"/>
        </w:rPr>
        <w:t xml:space="preserve">Country Programme </w:t>
      </w:r>
      <w:r w:rsidR="00E37E7A" w:rsidRPr="005474ED">
        <w:rPr>
          <w:rFonts w:asciiTheme="minorHAnsi" w:hAnsiTheme="minorHAnsi"/>
          <w:sz w:val="24"/>
        </w:rPr>
        <w:t>Resources</w:t>
      </w:r>
      <w:r w:rsidR="00F56875">
        <w:rPr>
          <w:rFonts w:asciiTheme="minorHAnsi" w:hAnsiTheme="minorHAnsi"/>
          <w:sz w:val="24"/>
        </w:rPr>
        <w:t>*</w:t>
      </w:r>
    </w:p>
    <w:tbl>
      <w:tblPr>
        <w:tblStyle w:val="TableGrid"/>
        <w:tblW w:w="0" w:type="auto"/>
        <w:tblLook w:val="04A0" w:firstRow="1" w:lastRow="0" w:firstColumn="1" w:lastColumn="0" w:noHBand="0" w:noVBand="1"/>
      </w:tblPr>
      <w:tblGrid>
        <w:gridCol w:w="6098"/>
        <w:gridCol w:w="1870"/>
        <w:gridCol w:w="2048"/>
        <w:gridCol w:w="1960"/>
        <w:gridCol w:w="1974"/>
      </w:tblGrid>
      <w:tr w:rsidR="0015409F" w:rsidRPr="006900FE" w14:paraId="0B2AED17" w14:textId="77777777" w:rsidTr="000D6DE5">
        <w:tc>
          <w:tcPr>
            <w:tcW w:w="6228" w:type="dxa"/>
            <w:shd w:val="clear" w:color="auto" w:fill="000000" w:themeFill="text1"/>
          </w:tcPr>
          <w:p w14:paraId="0B2AED14" w14:textId="77777777" w:rsidR="0015409F" w:rsidRPr="006900FE" w:rsidRDefault="0015409F"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Focus Area</w:t>
            </w:r>
          </w:p>
        </w:tc>
        <w:tc>
          <w:tcPr>
            <w:tcW w:w="5940" w:type="dxa"/>
            <w:gridSpan w:val="3"/>
            <w:shd w:val="clear" w:color="auto" w:fill="000000" w:themeFill="text1"/>
          </w:tcPr>
          <w:p w14:paraId="0B2AED15" w14:textId="77777777" w:rsidR="0015409F" w:rsidRPr="006900FE" w:rsidRDefault="000D6DE5"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xml:space="preserve">Programme </w:t>
            </w:r>
            <w:r w:rsidR="0015409F" w:rsidRPr="006900FE">
              <w:rPr>
                <w:rFonts w:asciiTheme="minorHAnsi" w:hAnsiTheme="minorHAnsi"/>
                <w:b/>
                <w:color w:val="FFFFFF" w:themeColor="background1"/>
                <w:sz w:val="24"/>
              </w:rPr>
              <w:t>Expenditure ($)</w:t>
            </w:r>
          </w:p>
        </w:tc>
        <w:tc>
          <w:tcPr>
            <w:tcW w:w="2008" w:type="dxa"/>
            <w:shd w:val="clear" w:color="auto" w:fill="000000" w:themeFill="text1"/>
          </w:tcPr>
          <w:p w14:paraId="0B2AED16" w14:textId="77777777" w:rsidR="0015409F" w:rsidRPr="006900FE" w:rsidRDefault="0015409F"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of Total</w:t>
            </w:r>
          </w:p>
        </w:tc>
      </w:tr>
      <w:tr w:rsidR="000D6DE5" w:rsidRPr="006900FE" w14:paraId="0B2AED1D" w14:textId="77777777" w:rsidTr="000D6DE5">
        <w:tc>
          <w:tcPr>
            <w:tcW w:w="6228" w:type="dxa"/>
          </w:tcPr>
          <w:p w14:paraId="0B2AED18" w14:textId="77777777" w:rsidR="000D6DE5" w:rsidRPr="006900FE" w:rsidRDefault="000D6DE5" w:rsidP="00A0001A">
            <w:pPr>
              <w:pStyle w:val="BodyText2"/>
              <w:rPr>
                <w:rFonts w:asciiTheme="minorHAnsi" w:hAnsiTheme="minorHAnsi"/>
              </w:rPr>
            </w:pPr>
          </w:p>
        </w:tc>
        <w:tc>
          <w:tcPr>
            <w:tcW w:w="1890" w:type="dxa"/>
          </w:tcPr>
          <w:p w14:paraId="0B2AED19"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Regular (TRAC)</w:t>
            </w:r>
          </w:p>
        </w:tc>
        <w:tc>
          <w:tcPr>
            <w:tcW w:w="2070" w:type="dxa"/>
          </w:tcPr>
          <w:p w14:paraId="0B2AED1A"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Other</w:t>
            </w:r>
          </w:p>
        </w:tc>
        <w:tc>
          <w:tcPr>
            <w:tcW w:w="1980" w:type="dxa"/>
          </w:tcPr>
          <w:p w14:paraId="0B2AED1B"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Total</w:t>
            </w:r>
          </w:p>
        </w:tc>
        <w:tc>
          <w:tcPr>
            <w:tcW w:w="2008" w:type="dxa"/>
          </w:tcPr>
          <w:p w14:paraId="0B2AED1C" w14:textId="77777777" w:rsidR="000D6DE5" w:rsidRPr="006900FE" w:rsidRDefault="000D6DE5" w:rsidP="00E37E7A">
            <w:pPr>
              <w:pStyle w:val="BodyText2"/>
              <w:jc w:val="center"/>
              <w:rPr>
                <w:rFonts w:asciiTheme="minorHAnsi" w:hAnsiTheme="minorHAnsi"/>
              </w:rPr>
            </w:pPr>
          </w:p>
        </w:tc>
      </w:tr>
      <w:tr w:rsidR="000D6DE5" w:rsidRPr="006900FE" w14:paraId="0B2AED23" w14:textId="77777777" w:rsidTr="007B75A2">
        <w:trPr>
          <w:trHeight w:val="297"/>
        </w:trPr>
        <w:tc>
          <w:tcPr>
            <w:tcW w:w="6228" w:type="dxa"/>
          </w:tcPr>
          <w:p w14:paraId="0B2AED1E" w14:textId="77777777" w:rsidR="000D6DE5" w:rsidRPr="006900FE" w:rsidRDefault="000D6DE5" w:rsidP="00A0001A">
            <w:pPr>
              <w:pStyle w:val="BodyText2"/>
              <w:rPr>
                <w:rFonts w:asciiTheme="minorHAnsi" w:hAnsiTheme="minorHAnsi"/>
              </w:rPr>
            </w:pPr>
            <w:r w:rsidRPr="006900FE">
              <w:rPr>
                <w:rFonts w:asciiTheme="minorHAnsi" w:hAnsiTheme="minorHAnsi"/>
              </w:rPr>
              <w:t>Poverty and MDGs</w:t>
            </w:r>
          </w:p>
        </w:tc>
        <w:tc>
          <w:tcPr>
            <w:tcW w:w="1890" w:type="dxa"/>
          </w:tcPr>
          <w:p w14:paraId="0B2AED1F" w14:textId="5181F159" w:rsidR="000D6DE5" w:rsidRPr="006900FE" w:rsidRDefault="00F75DEC" w:rsidP="00E37E7A">
            <w:pPr>
              <w:pStyle w:val="BodyText2"/>
              <w:jc w:val="center"/>
              <w:rPr>
                <w:rFonts w:asciiTheme="minorHAnsi" w:hAnsiTheme="minorHAnsi"/>
              </w:rPr>
            </w:pPr>
            <w:r>
              <w:rPr>
                <w:rFonts w:asciiTheme="minorHAnsi" w:hAnsiTheme="minorHAnsi"/>
              </w:rPr>
              <w:t>$</w:t>
            </w:r>
            <w:r w:rsidR="0040402A">
              <w:rPr>
                <w:rFonts w:asciiTheme="minorHAnsi" w:hAnsiTheme="minorHAnsi"/>
              </w:rPr>
              <w:t>1.335.648</w:t>
            </w:r>
          </w:p>
        </w:tc>
        <w:tc>
          <w:tcPr>
            <w:tcW w:w="2070" w:type="dxa"/>
          </w:tcPr>
          <w:p w14:paraId="0B2AED20" w14:textId="7535C9D5" w:rsidR="000D6DE5" w:rsidRPr="006900FE" w:rsidRDefault="0040402A" w:rsidP="00E37E7A">
            <w:pPr>
              <w:pStyle w:val="BodyText2"/>
              <w:jc w:val="center"/>
              <w:rPr>
                <w:rFonts w:asciiTheme="minorHAnsi" w:hAnsiTheme="minorHAnsi"/>
              </w:rPr>
            </w:pPr>
            <w:r>
              <w:rPr>
                <w:rFonts w:asciiTheme="minorHAnsi" w:hAnsiTheme="minorHAnsi"/>
              </w:rPr>
              <w:t>$1.117.763</w:t>
            </w:r>
          </w:p>
        </w:tc>
        <w:tc>
          <w:tcPr>
            <w:tcW w:w="1980" w:type="dxa"/>
          </w:tcPr>
          <w:p w14:paraId="0B2AED21" w14:textId="67820FBC" w:rsidR="000D6DE5" w:rsidRPr="006900FE" w:rsidRDefault="0040402A" w:rsidP="00E37E7A">
            <w:pPr>
              <w:pStyle w:val="BodyText2"/>
              <w:jc w:val="center"/>
              <w:rPr>
                <w:rFonts w:asciiTheme="minorHAnsi" w:hAnsiTheme="minorHAnsi"/>
              </w:rPr>
            </w:pPr>
            <w:r>
              <w:rPr>
                <w:rFonts w:asciiTheme="minorHAnsi" w:hAnsiTheme="minorHAnsi"/>
              </w:rPr>
              <w:t>$2.453.411</w:t>
            </w:r>
          </w:p>
        </w:tc>
        <w:tc>
          <w:tcPr>
            <w:tcW w:w="2008" w:type="dxa"/>
          </w:tcPr>
          <w:p w14:paraId="0B2AED22" w14:textId="30D29C04" w:rsidR="000D6DE5" w:rsidRPr="006900FE" w:rsidRDefault="0040402A" w:rsidP="00E37E7A">
            <w:pPr>
              <w:pStyle w:val="BodyText2"/>
              <w:jc w:val="center"/>
              <w:rPr>
                <w:rFonts w:asciiTheme="minorHAnsi" w:hAnsiTheme="minorHAnsi"/>
              </w:rPr>
            </w:pPr>
            <w:r>
              <w:rPr>
                <w:rFonts w:asciiTheme="minorHAnsi" w:hAnsiTheme="minorHAnsi"/>
              </w:rPr>
              <w:t>9%</w:t>
            </w:r>
          </w:p>
        </w:tc>
      </w:tr>
      <w:tr w:rsidR="000D6DE5" w:rsidRPr="006900FE" w14:paraId="0B2AED29" w14:textId="77777777" w:rsidTr="000D6DE5">
        <w:tc>
          <w:tcPr>
            <w:tcW w:w="6228" w:type="dxa"/>
          </w:tcPr>
          <w:p w14:paraId="0B2AED24" w14:textId="77777777" w:rsidR="000D6DE5" w:rsidRPr="006900FE" w:rsidRDefault="000D6DE5" w:rsidP="00A0001A">
            <w:pPr>
              <w:pStyle w:val="BodyText2"/>
              <w:rPr>
                <w:rFonts w:asciiTheme="minorHAnsi" w:hAnsiTheme="minorHAnsi"/>
              </w:rPr>
            </w:pPr>
            <w:r w:rsidRPr="006900FE">
              <w:rPr>
                <w:rFonts w:asciiTheme="minorHAnsi" w:hAnsiTheme="minorHAnsi"/>
              </w:rPr>
              <w:t>Democratic Governance</w:t>
            </w:r>
          </w:p>
        </w:tc>
        <w:tc>
          <w:tcPr>
            <w:tcW w:w="1890" w:type="dxa"/>
          </w:tcPr>
          <w:p w14:paraId="0B2AED25" w14:textId="0114CDF6" w:rsidR="000D6DE5" w:rsidRPr="006900FE" w:rsidRDefault="0040402A" w:rsidP="00E37E7A">
            <w:pPr>
              <w:pStyle w:val="BodyText2"/>
              <w:jc w:val="center"/>
              <w:rPr>
                <w:rFonts w:asciiTheme="minorHAnsi" w:hAnsiTheme="minorHAnsi"/>
              </w:rPr>
            </w:pPr>
            <w:r>
              <w:rPr>
                <w:rFonts w:asciiTheme="minorHAnsi" w:hAnsiTheme="minorHAnsi"/>
              </w:rPr>
              <w:t>$74.492</w:t>
            </w:r>
          </w:p>
        </w:tc>
        <w:tc>
          <w:tcPr>
            <w:tcW w:w="2070" w:type="dxa"/>
          </w:tcPr>
          <w:p w14:paraId="0B2AED26" w14:textId="2B8CEE2F" w:rsidR="000D6DE5" w:rsidRPr="006900FE" w:rsidRDefault="0040402A" w:rsidP="00E37E7A">
            <w:pPr>
              <w:pStyle w:val="BodyText2"/>
              <w:jc w:val="center"/>
              <w:rPr>
                <w:rFonts w:asciiTheme="minorHAnsi" w:hAnsiTheme="minorHAnsi"/>
              </w:rPr>
            </w:pPr>
            <w:r>
              <w:rPr>
                <w:rFonts w:asciiTheme="minorHAnsi" w:hAnsiTheme="minorHAnsi"/>
              </w:rPr>
              <w:t>$2.223.940</w:t>
            </w:r>
          </w:p>
        </w:tc>
        <w:tc>
          <w:tcPr>
            <w:tcW w:w="1980" w:type="dxa"/>
          </w:tcPr>
          <w:p w14:paraId="0B2AED27" w14:textId="03A29550" w:rsidR="000D6DE5" w:rsidRPr="006900FE" w:rsidRDefault="0040402A" w:rsidP="00E37E7A">
            <w:pPr>
              <w:pStyle w:val="BodyText2"/>
              <w:jc w:val="center"/>
              <w:rPr>
                <w:rFonts w:asciiTheme="minorHAnsi" w:hAnsiTheme="minorHAnsi"/>
              </w:rPr>
            </w:pPr>
            <w:r>
              <w:rPr>
                <w:rFonts w:asciiTheme="minorHAnsi" w:hAnsiTheme="minorHAnsi"/>
              </w:rPr>
              <w:t>$2.296.432</w:t>
            </w:r>
          </w:p>
        </w:tc>
        <w:tc>
          <w:tcPr>
            <w:tcW w:w="2008" w:type="dxa"/>
          </w:tcPr>
          <w:p w14:paraId="0B2AED28" w14:textId="1AB8133B" w:rsidR="000D6DE5" w:rsidRPr="006900FE" w:rsidRDefault="0040402A" w:rsidP="00E37E7A">
            <w:pPr>
              <w:pStyle w:val="BodyText2"/>
              <w:jc w:val="center"/>
              <w:rPr>
                <w:rFonts w:asciiTheme="minorHAnsi" w:hAnsiTheme="minorHAnsi"/>
              </w:rPr>
            </w:pPr>
            <w:r>
              <w:rPr>
                <w:rFonts w:asciiTheme="minorHAnsi" w:hAnsiTheme="minorHAnsi"/>
              </w:rPr>
              <w:t>9%</w:t>
            </w:r>
          </w:p>
        </w:tc>
      </w:tr>
      <w:tr w:rsidR="000D6DE5" w:rsidRPr="006900FE" w14:paraId="0B2AED2F" w14:textId="77777777" w:rsidTr="000D6DE5">
        <w:tc>
          <w:tcPr>
            <w:tcW w:w="6228" w:type="dxa"/>
          </w:tcPr>
          <w:p w14:paraId="0B2AED2A" w14:textId="77777777" w:rsidR="000D6DE5" w:rsidRPr="006900FE" w:rsidRDefault="000D6DE5" w:rsidP="00A0001A">
            <w:pPr>
              <w:pStyle w:val="BodyText2"/>
              <w:rPr>
                <w:rFonts w:asciiTheme="minorHAnsi" w:hAnsiTheme="minorHAnsi"/>
              </w:rPr>
            </w:pPr>
            <w:r w:rsidRPr="006900FE">
              <w:rPr>
                <w:rFonts w:asciiTheme="minorHAnsi" w:hAnsiTheme="minorHAnsi"/>
              </w:rPr>
              <w:t>Crisis Prevention and Recovery</w:t>
            </w:r>
          </w:p>
        </w:tc>
        <w:tc>
          <w:tcPr>
            <w:tcW w:w="1890" w:type="dxa"/>
          </w:tcPr>
          <w:p w14:paraId="0B2AED2B" w14:textId="04552277" w:rsidR="000D6DE5" w:rsidRPr="006900FE" w:rsidRDefault="0040402A" w:rsidP="00E37E7A">
            <w:pPr>
              <w:pStyle w:val="BodyText2"/>
              <w:jc w:val="center"/>
              <w:rPr>
                <w:rFonts w:asciiTheme="minorHAnsi" w:hAnsiTheme="minorHAnsi"/>
              </w:rPr>
            </w:pPr>
            <w:r>
              <w:rPr>
                <w:rFonts w:asciiTheme="minorHAnsi" w:hAnsiTheme="minorHAnsi"/>
              </w:rPr>
              <w:t>$97.110</w:t>
            </w:r>
          </w:p>
        </w:tc>
        <w:tc>
          <w:tcPr>
            <w:tcW w:w="2070" w:type="dxa"/>
          </w:tcPr>
          <w:p w14:paraId="0B2AED2C" w14:textId="589A5A03" w:rsidR="000D6DE5" w:rsidRPr="006900FE" w:rsidRDefault="0040402A" w:rsidP="00E37E7A">
            <w:pPr>
              <w:pStyle w:val="BodyText2"/>
              <w:jc w:val="center"/>
              <w:rPr>
                <w:rFonts w:asciiTheme="minorHAnsi" w:hAnsiTheme="minorHAnsi"/>
              </w:rPr>
            </w:pPr>
            <w:r>
              <w:rPr>
                <w:rFonts w:asciiTheme="minorHAnsi" w:hAnsiTheme="minorHAnsi"/>
              </w:rPr>
              <w:t>$94.289</w:t>
            </w:r>
          </w:p>
        </w:tc>
        <w:tc>
          <w:tcPr>
            <w:tcW w:w="1980" w:type="dxa"/>
          </w:tcPr>
          <w:p w14:paraId="0B2AED2D" w14:textId="0F46D4C3" w:rsidR="000D6DE5" w:rsidRPr="006900FE" w:rsidRDefault="0040402A" w:rsidP="00E37E7A">
            <w:pPr>
              <w:pStyle w:val="BodyText2"/>
              <w:jc w:val="center"/>
              <w:rPr>
                <w:rFonts w:asciiTheme="minorHAnsi" w:hAnsiTheme="minorHAnsi"/>
              </w:rPr>
            </w:pPr>
            <w:r>
              <w:rPr>
                <w:rFonts w:asciiTheme="minorHAnsi" w:hAnsiTheme="minorHAnsi"/>
              </w:rPr>
              <w:t>$191.399</w:t>
            </w:r>
          </w:p>
        </w:tc>
        <w:tc>
          <w:tcPr>
            <w:tcW w:w="2008" w:type="dxa"/>
          </w:tcPr>
          <w:p w14:paraId="0B2AED2E" w14:textId="22C686BE" w:rsidR="000D6DE5" w:rsidRPr="006900FE" w:rsidRDefault="0040402A" w:rsidP="00E37E7A">
            <w:pPr>
              <w:pStyle w:val="BodyText2"/>
              <w:jc w:val="center"/>
              <w:rPr>
                <w:rFonts w:asciiTheme="minorHAnsi" w:hAnsiTheme="minorHAnsi"/>
              </w:rPr>
            </w:pPr>
            <w:r>
              <w:rPr>
                <w:rFonts w:asciiTheme="minorHAnsi" w:hAnsiTheme="minorHAnsi"/>
              </w:rPr>
              <w:t>1%</w:t>
            </w:r>
          </w:p>
        </w:tc>
      </w:tr>
      <w:tr w:rsidR="000D6DE5" w:rsidRPr="006900FE" w14:paraId="0B2AED35" w14:textId="77777777" w:rsidTr="000D6DE5">
        <w:tc>
          <w:tcPr>
            <w:tcW w:w="6228" w:type="dxa"/>
          </w:tcPr>
          <w:p w14:paraId="0B2AED30" w14:textId="77777777" w:rsidR="000D6DE5" w:rsidRPr="006900FE" w:rsidRDefault="000D6DE5" w:rsidP="00A0001A">
            <w:pPr>
              <w:pStyle w:val="BodyText2"/>
              <w:rPr>
                <w:rFonts w:asciiTheme="minorHAnsi" w:hAnsiTheme="minorHAnsi"/>
              </w:rPr>
            </w:pPr>
            <w:r w:rsidRPr="006900FE">
              <w:rPr>
                <w:rFonts w:asciiTheme="minorHAnsi" w:hAnsiTheme="minorHAnsi"/>
              </w:rPr>
              <w:t>Environment and Sustainable Development</w:t>
            </w:r>
          </w:p>
        </w:tc>
        <w:tc>
          <w:tcPr>
            <w:tcW w:w="1890" w:type="dxa"/>
          </w:tcPr>
          <w:p w14:paraId="0B2AED31" w14:textId="5117E002" w:rsidR="000D6DE5" w:rsidRPr="006900FE" w:rsidRDefault="0040402A" w:rsidP="00E37E7A">
            <w:pPr>
              <w:pStyle w:val="BodyText2"/>
              <w:jc w:val="center"/>
              <w:rPr>
                <w:rFonts w:asciiTheme="minorHAnsi" w:hAnsiTheme="minorHAnsi"/>
              </w:rPr>
            </w:pPr>
            <w:r>
              <w:rPr>
                <w:rFonts w:asciiTheme="minorHAnsi" w:hAnsiTheme="minorHAnsi"/>
              </w:rPr>
              <w:t>$319.868</w:t>
            </w:r>
          </w:p>
        </w:tc>
        <w:tc>
          <w:tcPr>
            <w:tcW w:w="2070" w:type="dxa"/>
          </w:tcPr>
          <w:p w14:paraId="0B2AED32" w14:textId="347C163C" w:rsidR="000D6DE5" w:rsidRPr="006900FE" w:rsidRDefault="0040402A" w:rsidP="00E37E7A">
            <w:pPr>
              <w:pStyle w:val="BodyText2"/>
              <w:jc w:val="center"/>
              <w:rPr>
                <w:rFonts w:asciiTheme="minorHAnsi" w:hAnsiTheme="minorHAnsi"/>
              </w:rPr>
            </w:pPr>
            <w:r>
              <w:rPr>
                <w:rFonts w:asciiTheme="minorHAnsi" w:hAnsiTheme="minorHAnsi"/>
              </w:rPr>
              <w:t>$20.947.981</w:t>
            </w:r>
          </w:p>
        </w:tc>
        <w:tc>
          <w:tcPr>
            <w:tcW w:w="1980" w:type="dxa"/>
          </w:tcPr>
          <w:p w14:paraId="0B2AED33" w14:textId="2B5D073F" w:rsidR="000D6DE5" w:rsidRPr="006900FE" w:rsidRDefault="0040402A" w:rsidP="00E37E7A">
            <w:pPr>
              <w:pStyle w:val="BodyText2"/>
              <w:jc w:val="center"/>
              <w:rPr>
                <w:rFonts w:asciiTheme="minorHAnsi" w:hAnsiTheme="minorHAnsi"/>
              </w:rPr>
            </w:pPr>
            <w:r>
              <w:rPr>
                <w:rFonts w:asciiTheme="minorHAnsi" w:hAnsiTheme="minorHAnsi"/>
              </w:rPr>
              <w:t>$21.267.809</w:t>
            </w:r>
          </w:p>
        </w:tc>
        <w:tc>
          <w:tcPr>
            <w:tcW w:w="2008" w:type="dxa"/>
          </w:tcPr>
          <w:p w14:paraId="0B2AED34" w14:textId="352BE55D" w:rsidR="000D6DE5" w:rsidRPr="006900FE" w:rsidRDefault="0040402A" w:rsidP="00E37E7A">
            <w:pPr>
              <w:pStyle w:val="BodyText2"/>
              <w:jc w:val="center"/>
              <w:rPr>
                <w:rFonts w:asciiTheme="minorHAnsi" w:hAnsiTheme="minorHAnsi"/>
              </w:rPr>
            </w:pPr>
            <w:r>
              <w:rPr>
                <w:rFonts w:asciiTheme="minorHAnsi" w:hAnsiTheme="minorHAnsi"/>
              </w:rPr>
              <w:t>81%</w:t>
            </w:r>
          </w:p>
        </w:tc>
      </w:tr>
      <w:tr w:rsidR="000D6DE5" w:rsidRPr="006900FE" w14:paraId="0B2AED3B" w14:textId="77777777" w:rsidTr="000D6DE5">
        <w:tc>
          <w:tcPr>
            <w:tcW w:w="6228" w:type="dxa"/>
            <w:shd w:val="clear" w:color="auto" w:fill="00B0F0"/>
          </w:tcPr>
          <w:p w14:paraId="0B2AED36" w14:textId="77777777" w:rsidR="000D6DE5" w:rsidRPr="006900FE" w:rsidRDefault="000D6DE5" w:rsidP="00A0001A">
            <w:pPr>
              <w:pStyle w:val="BodyText2"/>
              <w:jc w:val="center"/>
              <w:rPr>
                <w:rFonts w:asciiTheme="minorHAnsi" w:hAnsiTheme="minorHAnsi"/>
              </w:rPr>
            </w:pPr>
            <w:r w:rsidRPr="006900FE">
              <w:rPr>
                <w:rFonts w:asciiTheme="minorHAnsi" w:hAnsiTheme="minorHAnsi"/>
              </w:rPr>
              <w:t>Total</w:t>
            </w:r>
          </w:p>
        </w:tc>
        <w:tc>
          <w:tcPr>
            <w:tcW w:w="1890" w:type="dxa"/>
            <w:shd w:val="clear" w:color="auto" w:fill="00B0F0"/>
          </w:tcPr>
          <w:p w14:paraId="0B2AED37" w14:textId="1BF99016" w:rsidR="000D6DE5" w:rsidRPr="006900FE" w:rsidRDefault="0040402A" w:rsidP="00E37E7A">
            <w:pPr>
              <w:pStyle w:val="BodyText2"/>
              <w:jc w:val="center"/>
              <w:rPr>
                <w:rFonts w:asciiTheme="minorHAnsi" w:hAnsiTheme="minorHAnsi"/>
              </w:rPr>
            </w:pPr>
            <w:r>
              <w:rPr>
                <w:rFonts w:asciiTheme="minorHAnsi" w:hAnsiTheme="minorHAnsi"/>
              </w:rPr>
              <w:t>$1.827.118</w:t>
            </w:r>
          </w:p>
        </w:tc>
        <w:tc>
          <w:tcPr>
            <w:tcW w:w="2070" w:type="dxa"/>
            <w:shd w:val="clear" w:color="auto" w:fill="00B0F0"/>
          </w:tcPr>
          <w:p w14:paraId="0B2AED38" w14:textId="176DB9EA" w:rsidR="000D6DE5" w:rsidRPr="006900FE" w:rsidRDefault="0040402A" w:rsidP="00E37E7A">
            <w:pPr>
              <w:pStyle w:val="BodyText2"/>
              <w:jc w:val="center"/>
              <w:rPr>
                <w:rFonts w:asciiTheme="minorHAnsi" w:hAnsiTheme="minorHAnsi"/>
              </w:rPr>
            </w:pPr>
            <w:r>
              <w:rPr>
                <w:rFonts w:asciiTheme="minorHAnsi" w:hAnsiTheme="minorHAnsi"/>
              </w:rPr>
              <w:t>$24.383.933</w:t>
            </w:r>
          </w:p>
        </w:tc>
        <w:tc>
          <w:tcPr>
            <w:tcW w:w="1980" w:type="dxa"/>
            <w:shd w:val="clear" w:color="auto" w:fill="00B0F0"/>
          </w:tcPr>
          <w:p w14:paraId="0B2AED39" w14:textId="2AEBBD87" w:rsidR="000D6DE5" w:rsidRPr="006900FE" w:rsidRDefault="0040402A" w:rsidP="00E37E7A">
            <w:pPr>
              <w:pStyle w:val="BodyText2"/>
              <w:jc w:val="center"/>
              <w:rPr>
                <w:rFonts w:asciiTheme="minorHAnsi" w:hAnsiTheme="minorHAnsi"/>
              </w:rPr>
            </w:pPr>
            <w:r>
              <w:rPr>
                <w:rFonts w:asciiTheme="minorHAnsi" w:hAnsiTheme="minorHAnsi"/>
              </w:rPr>
              <w:t>$26.211.051</w:t>
            </w:r>
          </w:p>
        </w:tc>
        <w:tc>
          <w:tcPr>
            <w:tcW w:w="2008" w:type="dxa"/>
            <w:shd w:val="clear" w:color="auto" w:fill="00B0F0"/>
          </w:tcPr>
          <w:p w14:paraId="0B2AED3A" w14:textId="77777777" w:rsidR="000D6DE5" w:rsidRPr="006900FE" w:rsidRDefault="000D6DE5" w:rsidP="00E37E7A">
            <w:pPr>
              <w:pStyle w:val="BodyText2"/>
              <w:jc w:val="center"/>
              <w:rPr>
                <w:rFonts w:asciiTheme="minorHAnsi" w:hAnsiTheme="minorHAnsi"/>
              </w:rPr>
            </w:pPr>
          </w:p>
        </w:tc>
      </w:tr>
    </w:tbl>
    <w:p w14:paraId="0B2AED3C" w14:textId="6E0BE11E" w:rsidR="00635929" w:rsidRDefault="00F56875" w:rsidP="002315A5">
      <w:pPr>
        <w:pStyle w:val="BodyText2"/>
        <w:rPr>
          <w:rFonts w:asciiTheme="minorHAnsi" w:hAnsiTheme="minorHAnsi"/>
          <w:sz w:val="24"/>
        </w:rPr>
      </w:pPr>
      <w:r w:rsidRPr="007B75A2">
        <w:rPr>
          <w:rFonts w:asciiTheme="minorHAnsi" w:hAnsiTheme="minorHAnsi"/>
          <w:sz w:val="21"/>
          <w:szCs w:val="16"/>
        </w:rPr>
        <w:t>*Expenditure of 2017</w:t>
      </w:r>
      <w:r w:rsidR="007B75A2" w:rsidRPr="007B75A2">
        <w:rPr>
          <w:rFonts w:asciiTheme="minorHAnsi" w:hAnsiTheme="minorHAnsi"/>
          <w:sz w:val="21"/>
          <w:szCs w:val="16"/>
        </w:rPr>
        <w:t xml:space="preserve"> to 30 May, 2017</w:t>
      </w:r>
    </w:p>
    <w:p w14:paraId="25A43EF7" w14:textId="77777777" w:rsidR="00F56875" w:rsidRPr="007B75A2" w:rsidRDefault="00F56875" w:rsidP="002315A5">
      <w:pPr>
        <w:pStyle w:val="BodyText2"/>
        <w:rPr>
          <w:rFonts w:asciiTheme="minorHAnsi" w:hAnsiTheme="minorHAnsi"/>
          <w:sz w:val="24"/>
          <w:lang w:val="es-ES_tradnl"/>
        </w:rPr>
      </w:pPr>
    </w:p>
    <w:tbl>
      <w:tblPr>
        <w:tblStyle w:val="TableGrid"/>
        <w:tblW w:w="0" w:type="auto"/>
        <w:tblLook w:val="04A0" w:firstRow="1" w:lastRow="0" w:firstColumn="1" w:lastColumn="0" w:noHBand="0" w:noVBand="1"/>
      </w:tblPr>
      <w:tblGrid>
        <w:gridCol w:w="13950"/>
      </w:tblGrid>
      <w:tr w:rsidR="002547CF" w:rsidRPr="006900FE" w14:paraId="0B2AED3E" w14:textId="77777777" w:rsidTr="00B64ACA">
        <w:tc>
          <w:tcPr>
            <w:tcW w:w="14176" w:type="dxa"/>
          </w:tcPr>
          <w:p w14:paraId="0B2AED3D" w14:textId="464B2587" w:rsidR="002547CF" w:rsidRPr="006900FE" w:rsidRDefault="00F56875" w:rsidP="005E0C05">
            <w:pPr>
              <w:pStyle w:val="BodyText2"/>
              <w:rPr>
                <w:rFonts w:asciiTheme="minorHAnsi" w:hAnsiTheme="minorHAnsi"/>
                <w:b/>
              </w:rPr>
            </w:pPr>
            <w:r>
              <w:rPr>
                <w:rFonts w:asciiTheme="minorHAnsi" w:hAnsiTheme="minorHAnsi"/>
                <w:b/>
              </w:rPr>
              <w:t xml:space="preserve">Data sources: </w:t>
            </w:r>
            <w:r w:rsidR="002547CF" w:rsidRPr="006900FE">
              <w:rPr>
                <w:rFonts w:asciiTheme="minorHAnsi" w:hAnsiTheme="minorHAnsi"/>
                <w:b/>
              </w:rPr>
              <w:t xml:space="preserve">(please indicate the main sources from which data were obtained for this report.) </w:t>
            </w:r>
          </w:p>
        </w:tc>
      </w:tr>
      <w:tr w:rsidR="00B64ACA" w:rsidRPr="006C4937" w14:paraId="0B2AED44" w14:textId="77777777" w:rsidTr="00F56875">
        <w:trPr>
          <w:trHeight w:val="2630"/>
        </w:trPr>
        <w:tc>
          <w:tcPr>
            <w:tcW w:w="14176" w:type="dxa"/>
          </w:tcPr>
          <w:p w14:paraId="0B2AED40" w14:textId="0A4849A5" w:rsidR="008D791F" w:rsidRPr="003B5A60" w:rsidRDefault="003B5A60" w:rsidP="00F56875">
            <w:pPr>
              <w:pStyle w:val="BodyText2"/>
              <w:numPr>
                <w:ilvl w:val="0"/>
                <w:numId w:val="20"/>
              </w:numPr>
              <w:ind w:left="164" w:hanging="164"/>
              <w:rPr>
                <w:rFonts w:asciiTheme="minorHAnsi" w:hAnsiTheme="minorHAnsi"/>
                <w:b/>
                <w:lang w:val="es-ES_tradnl"/>
              </w:rPr>
            </w:pPr>
            <w:r w:rsidRPr="003B5A60">
              <w:rPr>
                <w:rFonts w:asciiTheme="minorHAnsi" w:hAnsiTheme="minorHAnsi"/>
                <w:b/>
                <w:lang w:val="es-ES_tradnl"/>
              </w:rPr>
              <w:t>Evaluación de Medio Término del CPAP</w:t>
            </w:r>
          </w:p>
          <w:p w14:paraId="76F501BF" w14:textId="4600FD1C" w:rsidR="003B5A60" w:rsidRDefault="0081629C" w:rsidP="00F56875">
            <w:pPr>
              <w:pStyle w:val="BodyText2"/>
              <w:numPr>
                <w:ilvl w:val="0"/>
                <w:numId w:val="20"/>
              </w:numPr>
              <w:ind w:left="164" w:hanging="164"/>
              <w:rPr>
                <w:rFonts w:asciiTheme="minorHAnsi" w:hAnsiTheme="minorHAnsi"/>
                <w:b/>
                <w:lang w:val="es-ES_tradnl"/>
              </w:rPr>
            </w:pPr>
            <w:r>
              <w:rPr>
                <w:rFonts w:asciiTheme="minorHAnsi" w:hAnsiTheme="minorHAnsi"/>
                <w:b/>
                <w:lang w:val="es-ES_tradnl"/>
              </w:rPr>
              <w:t>CPD 2013-2017</w:t>
            </w:r>
          </w:p>
          <w:p w14:paraId="4658A7E3" w14:textId="77777777" w:rsidR="0081629C" w:rsidRDefault="006D73E1" w:rsidP="00F56875">
            <w:pPr>
              <w:pStyle w:val="BodyText2"/>
              <w:numPr>
                <w:ilvl w:val="0"/>
                <w:numId w:val="20"/>
              </w:numPr>
              <w:ind w:left="164" w:hanging="164"/>
              <w:rPr>
                <w:rFonts w:asciiTheme="minorHAnsi" w:hAnsiTheme="minorHAnsi"/>
                <w:b/>
                <w:lang w:val="es-ES_tradnl"/>
              </w:rPr>
            </w:pPr>
            <w:r>
              <w:rPr>
                <w:rFonts w:asciiTheme="minorHAnsi" w:hAnsiTheme="minorHAnsi"/>
                <w:b/>
                <w:lang w:val="es-ES_tradnl"/>
              </w:rPr>
              <w:t>CPAP 2013-2017</w:t>
            </w:r>
          </w:p>
          <w:p w14:paraId="1F16A27B" w14:textId="2D2CC0E1" w:rsidR="00B84EC3" w:rsidRPr="00B84EC3" w:rsidRDefault="00B84EC3" w:rsidP="00F56875">
            <w:pPr>
              <w:pStyle w:val="BodyText2"/>
              <w:numPr>
                <w:ilvl w:val="0"/>
                <w:numId w:val="20"/>
              </w:numPr>
              <w:ind w:left="164" w:hanging="164"/>
              <w:rPr>
                <w:rFonts w:asciiTheme="minorHAnsi" w:hAnsiTheme="minorHAnsi"/>
                <w:b/>
                <w:lang w:val="es-ES_tradnl"/>
              </w:rPr>
            </w:pPr>
            <w:r w:rsidRPr="00B84EC3">
              <w:rPr>
                <w:rFonts w:asciiTheme="minorHAnsi" w:hAnsiTheme="minorHAnsi"/>
                <w:b/>
                <w:lang w:val="es-ES_tradnl"/>
              </w:rPr>
              <w:t>Informes Anuales de Resultados –ROAR-</w:t>
            </w:r>
          </w:p>
          <w:p w14:paraId="42640B12" w14:textId="7BBC68D1" w:rsidR="00B84EC3" w:rsidRPr="00B84EC3" w:rsidRDefault="00B84EC3" w:rsidP="00F56875">
            <w:pPr>
              <w:pStyle w:val="BodyText2"/>
              <w:numPr>
                <w:ilvl w:val="0"/>
                <w:numId w:val="20"/>
              </w:numPr>
              <w:ind w:left="164" w:hanging="164"/>
              <w:rPr>
                <w:rFonts w:asciiTheme="minorHAnsi" w:hAnsiTheme="minorHAnsi"/>
                <w:b/>
                <w:lang w:val="es-ES_tradnl"/>
              </w:rPr>
            </w:pPr>
            <w:r w:rsidRPr="00B84EC3">
              <w:rPr>
                <w:rFonts w:asciiTheme="minorHAnsi" w:hAnsiTheme="minorHAnsi"/>
                <w:b/>
                <w:lang w:val="es-ES_tradnl"/>
              </w:rPr>
              <w:t>Planes Integrados Anuales –IWP-</w:t>
            </w:r>
          </w:p>
          <w:p w14:paraId="0B2AED41" w14:textId="6831F808" w:rsidR="008D791F" w:rsidRDefault="00B84EC3" w:rsidP="00347BFF">
            <w:pPr>
              <w:pStyle w:val="BodyText2"/>
              <w:numPr>
                <w:ilvl w:val="0"/>
                <w:numId w:val="20"/>
              </w:numPr>
              <w:ind w:left="164" w:hanging="164"/>
              <w:rPr>
                <w:rFonts w:asciiTheme="minorHAnsi" w:hAnsiTheme="minorHAnsi"/>
                <w:b/>
                <w:lang w:val="es-ES_tradnl"/>
              </w:rPr>
            </w:pPr>
            <w:r w:rsidRPr="00B84EC3">
              <w:rPr>
                <w:rFonts w:asciiTheme="minorHAnsi" w:hAnsiTheme="minorHAnsi"/>
                <w:b/>
                <w:lang w:val="es-ES_tradnl"/>
              </w:rPr>
              <w:t>ATLAS</w:t>
            </w:r>
          </w:p>
          <w:p w14:paraId="60052F29" w14:textId="1889CF3C" w:rsidR="00347BFF" w:rsidRDefault="00347BFF" w:rsidP="00347BFF">
            <w:pPr>
              <w:pStyle w:val="BodyText2"/>
              <w:numPr>
                <w:ilvl w:val="0"/>
                <w:numId w:val="20"/>
              </w:numPr>
              <w:ind w:left="164" w:hanging="164"/>
              <w:rPr>
                <w:rFonts w:asciiTheme="minorHAnsi" w:hAnsiTheme="minorHAnsi"/>
                <w:b/>
                <w:lang w:val="es-ES_tradnl"/>
              </w:rPr>
            </w:pPr>
            <w:r>
              <w:rPr>
                <w:rFonts w:asciiTheme="minorHAnsi" w:hAnsiTheme="minorHAnsi"/>
                <w:b/>
                <w:lang w:val="es-ES_tradnl"/>
              </w:rPr>
              <w:t>Evaluación Final del UNDAF</w:t>
            </w:r>
          </w:p>
          <w:p w14:paraId="79E000E5" w14:textId="2C4A6AC4" w:rsidR="00347BFF" w:rsidRDefault="00347BFF" w:rsidP="00347BFF">
            <w:pPr>
              <w:pStyle w:val="BodyText2"/>
              <w:numPr>
                <w:ilvl w:val="0"/>
                <w:numId w:val="20"/>
              </w:numPr>
              <w:ind w:left="164" w:hanging="164"/>
              <w:rPr>
                <w:rFonts w:asciiTheme="minorHAnsi" w:hAnsiTheme="minorHAnsi"/>
                <w:b/>
                <w:lang w:val="es-ES_tradnl"/>
              </w:rPr>
            </w:pPr>
            <w:r>
              <w:rPr>
                <w:rFonts w:asciiTheme="minorHAnsi" w:hAnsiTheme="minorHAnsi"/>
                <w:b/>
                <w:lang w:val="es-ES_tradnl"/>
              </w:rPr>
              <w:t>Evaluación Final del Proyecto de Consolidación de Áreas Marinas Protegidas</w:t>
            </w:r>
          </w:p>
          <w:p w14:paraId="0B2AED43" w14:textId="59505E55" w:rsidR="008D791F" w:rsidRPr="00A26DC6" w:rsidRDefault="00347BFF" w:rsidP="00A26DC6">
            <w:pPr>
              <w:pStyle w:val="BodyText2"/>
              <w:numPr>
                <w:ilvl w:val="0"/>
                <w:numId w:val="20"/>
              </w:numPr>
              <w:ind w:left="164" w:hanging="164"/>
              <w:rPr>
                <w:rFonts w:asciiTheme="minorHAnsi" w:hAnsiTheme="minorHAnsi"/>
                <w:b/>
                <w:lang w:val="es-ES_tradnl"/>
              </w:rPr>
            </w:pPr>
            <w:r>
              <w:rPr>
                <w:rFonts w:asciiTheme="minorHAnsi" w:hAnsiTheme="minorHAnsi"/>
                <w:b/>
                <w:lang w:val="es-ES_tradnl"/>
              </w:rPr>
              <w:t xml:space="preserve">Informe: </w:t>
            </w:r>
            <w:r w:rsidR="00F06921" w:rsidRPr="00F06921">
              <w:rPr>
                <w:rFonts w:asciiTheme="minorHAnsi" w:hAnsiTheme="minorHAnsi"/>
                <w:b/>
                <w:lang w:val="es-ES_tradnl"/>
              </w:rPr>
              <w:t>Resultados conjuntos</w:t>
            </w:r>
            <w:r w:rsidR="00F06921">
              <w:rPr>
                <w:rFonts w:asciiTheme="minorHAnsi" w:hAnsiTheme="minorHAnsi"/>
                <w:b/>
                <w:lang w:val="es-ES_tradnl"/>
              </w:rPr>
              <w:t xml:space="preserve"> </w:t>
            </w:r>
            <w:r w:rsidR="00F06921" w:rsidRPr="00F06921">
              <w:rPr>
                <w:rFonts w:asciiTheme="minorHAnsi" w:hAnsiTheme="minorHAnsi"/>
                <w:b/>
                <w:lang w:val="es-ES_tradnl"/>
              </w:rPr>
              <w:t>de la cooperación del PNUD con Costa Rica 2013-2016</w:t>
            </w:r>
          </w:p>
        </w:tc>
      </w:tr>
    </w:tbl>
    <w:p w14:paraId="0B2AED45" w14:textId="77777777" w:rsidR="00635929" w:rsidRPr="003B5A60" w:rsidRDefault="00635929" w:rsidP="005E0C05">
      <w:pPr>
        <w:pStyle w:val="BodyText2"/>
        <w:rPr>
          <w:rFonts w:ascii="Times New Roman" w:hAnsi="Times New Roman"/>
          <w:sz w:val="24"/>
          <w:lang w:val="es-ES_tradnl"/>
        </w:rPr>
      </w:pPr>
    </w:p>
    <w:sectPr w:rsidR="00635929" w:rsidRPr="003B5A60"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A44D0" w14:textId="77777777" w:rsidR="00DF6CE4" w:rsidRDefault="00DF6CE4">
      <w:r>
        <w:separator/>
      </w:r>
    </w:p>
  </w:endnote>
  <w:endnote w:type="continuationSeparator" w:id="0">
    <w:p w14:paraId="67B48C01" w14:textId="77777777" w:rsidR="00DF6CE4" w:rsidRDefault="00DF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07"/>
      <w:docPartObj>
        <w:docPartGallery w:val="Page Numbers (Bottom of Page)"/>
        <w:docPartUnique/>
      </w:docPartObj>
    </w:sdtPr>
    <w:sdtEndPr/>
    <w:sdtContent>
      <w:p w14:paraId="0B2AED4B" w14:textId="3ACAC598" w:rsidR="00A210CD" w:rsidRDefault="003D5675">
        <w:pPr>
          <w:pStyle w:val="Footer"/>
          <w:jc w:val="center"/>
        </w:pPr>
        <w:r>
          <w:fldChar w:fldCharType="begin"/>
        </w:r>
        <w:r>
          <w:instrText xml:space="preserve"> PAGE   \* MERGEFORMAT </w:instrText>
        </w:r>
        <w:r>
          <w:fldChar w:fldCharType="separate"/>
        </w:r>
        <w:r w:rsidR="008A75E7">
          <w:rPr>
            <w:noProof/>
          </w:rPr>
          <w:t>1</w:t>
        </w:r>
        <w:r>
          <w:rPr>
            <w:noProof/>
          </w:rPr>
          <w:fldChar w:fldCharType="end"/>
        </w:r>
      </w:p>
    </w:sdtContent>
  </w:sdt>
  <w:p w14:paraId="0B2AED4C" w14:textId="77777777" w:rsidR="00A210CD" w:rsidRDefault="00A2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D1816" w14:textId="77777777" w:rsidR="00DF6CE4" w:rsidRDefault="00DF6CE4">
      <w:r>
        <w:separator/>
      </w:r>
    </w:p>
  </w:footnote>
  <w:footnote w:type="continuationSeparator" w:id="0">
    <w:p w14:paraId="3051FB98" w14:textId="77777777" w:rsidR="00DF6CE4" w:rsidRDefault="00DF6CE4">
      <w:r>
        <w:continuationSeparator/>
      </w:r>
    </w:p>
  </w:footnote>
  <w:footnote w:id="1">
    <w:p w14:paraId="0B2AED4D" w14:textId="77777777" w:rsidR="001F3524" w:rsidRPr="0064746F" w:rsidRDefault="001F3524">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w:t>
      </w:r>
      <w:r w:rsidR="0064746F" w:rsidRPr="0064746F">
        <w:rPr>
          <w:rFonts w:asciiTheme="minorHAnsi" w:hAnsiTheme="minorHAnsi"/>
        </w:rPr>
        <w:t xml:space="preserve"> prepared</w:t>
      </w:r>
      <w:r w:rsidRPr="0064746F">
        <w:rPr>
          <w:rFonts w:asciiTheme="minorHAnsi" w:hAnsiTheme="minorHAnsi"/>
        </w:rPr>
        <w:t xml:space="preserve"> only in the absence of a completed Assessment of Development Results (ADR) for the cycle.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B6BE4"/>
    <w:multiLevelType w:val="hybridMultilevel"/>
    <w:tmpl w:val="1A36D3A0"/>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294823"/>
    <w:multiLevelType w:val="hybridMultilevel"/>
    <w:tmpl w:val="1A36D3A0"/>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493B60"/>
    <w:multiLevelType w:val="hybridMultilevel"/>
    <w:tmpl w:val="745A1006"/>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B51A7"/>
    <w:multiLevelType w:val="hybridMultilevel"/>
    <w:tmpl w:val="1A36D3A0"/>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AF165E"/>
    <w:multiLevelType w:val="hybridMultilevel"/>
    <w:tmpl w:val="745A1006"/>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C26CBA"/>
    <w:multiLevelType w:val="hybridMultilevel"/>
    <w:tmpl w:val="C680C01C"/>
    <w:lvl w:ilvl="0" w:tplc="D35E5DBE">
      <w:numFmt w:val="bullet"/>
      <w:lvlText w:val="•"/>
      <w:lvlJc w:val="left"/>
      <w:pPr>
        <w:ind w:left="1080" w:hanging="72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6B6134"/>
    <w:multiLevelType w:val="hybridMultilevel"/>
    <w:tmpl w:val="A6FC899E"/>
    <w:lvl w:ilvl="0" w:tplc="D35E5DBE">
      <w:numFmt w:val="bullet"/>
      <w:lvlText w:val="•"/>
      <w:lvlJc w:val="left"/>
      <w:pPr>
        <w:ind w:left="1080" w:hanging="72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6571E1C"/>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EF23C7"/>
    <w:multiLevelType w:val="hybridMultilevel"/>
    <w:tmpl w:val="CF267276"/>
    <w:lvl w:ilvl="0" w:tplc="D35E5DBE">
      <w:numFmt w:val="bullet"/>
      <w:lvlText w:val="•"/>
      <w:lvlJc w:val="left"/>
      <w:pPr>
        <w:ind w:left="1080" w:hanging="72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6FF16AF"/>
    <w:multiLevelType w:val="hybridMultilevel"/>
    <w:tmpl w:val="B378714E"/>
    <w:lvl w:ilvl="0" w:tplc="B7AEFE40">
      <w:start w:val="1"/>
      <w:numFmt w:val="lowerLetter"/>
      <w:lvlText w:val="%1."/>
      <w:lvlJc w:val="left"/>
      <w:pPr>
        <w:ind w:left="360" w:hanging="360"/>
      </w:pPr>
      <w:rPr>
        <w:rFonts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B597A42"/>
    <w:multiLevelType w:val="hybridMultilevel"/>
    <w:tmpl w:val="35C05D40"/>
    <w:lvl w:ilvl="0" w:tplc="D35E5DBE">
      <w:numFmt w:val="bullet"/>
      <w:lvlText w:val="•"/>
      <w:lvlJc w:val="left"/>
      <w:pPr>
        <w:ind w:left="1080" w:hanging="72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C567E38"/>
    <w:multiLevelType w:val="hybridMultilevel"/>
    <w:tmpl w:val="FA9E3742"/>
    <w:lvl w:ilvl="0" w:tplc="D35E5DBE">
      <w:numFmt w:val="bullet"/>
      <w:lvlText w:val="•"/>
      <w:lvlJc w:val="left"/>
      <w:pPr>
        <w:ind w:left="1080" w:hanging="72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CE133B9"/>
    <w:multiLevelType w:val="hybridMultilevel"/>
    <w:tmpl w:val="E7F685FE"/>
    <w:lvl w:ilvl="0" w:tplc="D35E5DBE">
      <w:numFmt w:val="bullet"/>
      <w:lvlText w:val="•"/>
      <w:lvlJc w:val="left"/>
      <w:pPr>
        <w:ind w:left="1080" w:hanging="72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22"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E6E89"/>
    <w:multiLevelType w:val="hybridMultilevel"/>
    <w:tmpl w:val="745A1006"/>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EE2B2A"/>
    <w:multiLevelType w:val="hybridMultilevel"/>
    <w:tmpl w:val="D6DE7E72"/>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2A56C9"/>
    <w:multiLevelType w:val="hybridMultilevel"/>
    <w:tmpl w:val="D6DE7E72"/>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C6304DE"/>
    <w:multiLevelType w:val="hybridMultilevel"/>
    <w:tmpl w:val="1A36D3A0"/>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8708F8"/>
    <w:multiLevelType w:val="hybridMultilevel"/>
    <w:tmpl w:val="745A1006"/>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B3215B"/>
    <w:multiLevelType w:val="hybridMultilevel"/>
    <w:tmpl w:val="B5865918"/>
    <w:lvl w:ilvl="0" w:tplc="D35E5DBE">
      <w:numFmt w:val="bullet"/>
      <w:lvlText w:val="•"/>
      <w:lvlJc w:val="left"/>
      <w:pPr>
        <w:ind w:left="1080" w:hanging="72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FD2113E"/>
    <w:multiLevelType w:val="hybridMultilevel"/>
    <w:tmpl w:val="4E20AA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943533D"/>
    <w:multiLevelType w:val="hybridMultilevel"/>
    <w:tmpl w:val="3DAA0190"/>
    <w:lvl w:ilvl="0" w:tplc="D35E5DBE">
      <w:numFmt w:val="bullet"/>
      <w:lvlText w:val="•"/>
      <w:lvlJc w:val="left"/>
      <w:pPr>
        <w:ind w:left="1080" w:hanging="72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EBF492D"/>
    <w:multiLevelType w:val="hybridMultilevel"/>
    <w:tmpl w:val="254C4484"/>
    <w:lvl w:ilvl="0" w:tplc="B7AEFE40">
      <w:start w:val="1"/>
      <w:numFmt w:val="lowerLetter"/>
      <w:lvlText w:val="%1."/>
      <w:lvlJc w:val="left"/>
      <w:pPr>
        <w:ind w:left="360" w:hanging="360"/>
      </w:pPr>
      <w:rPr>
        <w:rFonts w:hint="default"/>
        <w:i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7EDE4D7A"/>
    <w:multiLevelType w:val="hybridMultilevel"/>
    <w:tmpl w:val="F7226388"/>
    <w:lvl w:ilvl="0" w:tplc="D35E5DBE">
      <w:numFmt w:val="bullet"/>
      <w:lvlText w:val="•"/>
      <w:lvlJc w:val="left"/>
      <w:pPr>
        <w:ind w:left="1080" w:hanging="72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1"/>
  </w:num>
  <w:num w:numId="4">
    <w:abstractNumId w:val="6"/>
  </w:num>
  <w:num w:numId="5">
    <w:abstractNumId w:val="27"/>
  </w:num>
  <w:num w:numId="6">
    <w:abstractNumId w:val="29"/>
  </w:num>
  <w:num w:numId="7">
    <w:abstractNumId w:val="3"/>
  </w:num>
  <w:num w:numId="8">
    <w:abstractNumId w:val="28"/>
  </w:num>
  <w:num w:numId="9">
    <w:abstractNumId w:val="7"/>
  </w:num>
  <w:num w:numId="10">
    <w:abstractNumId w:val="17"/>
  </w:num>
  <w:num w:numId="11">
    <w:abstractNumId w:val="35"/>
  </w:num>
  <w:num w:numId="12">
    <w:abstractNumId w:val="22"/>
  </w:num>
  <w:num w:numId="13">
    <w:abstractNumId w:val="26"/>
  </w:num>
  <w:num w:numId="14">
    <w:abstractNumId w:val="12"/>
  </w:num>
  <w:num w:numId="15">
    <w:abstractNumId w:val="0"/>
  </w:num>
  <w:num w:numId="16">
    <w:abstractNumId w:val="32"/>
  </w:num>
  <w:num w:numId="17">
    <w:abstractNumId w:val="31"/>
  </w:num>
  <w:num w:numId="18">
    <w:abstractNumId w:val="34"/>
  </w:num>
  <w:num w:numId="19">
    <w:abstractNumId w:val="15"/>
  </w:num>
  <w:num w:numId="20">
    <w:abstractNumId w:val="20"/>
  </w:num>
  <w:num w:numId="21">
    <w:abstractNumId w:val="16"/>
  </w:num>
  <w:num w:numId="22">
    <w:abstractNumId w:val="5"/>
  </w:num>
  <w:num w:numId="23">
    <w:abstractNumId w:val="9"/>
  </w:num>
  <w:num w:numId="24">
    <w:abstractNumId w:val="25"/>
  </w:num>
  <w:num w:numId="25">
    <w:abstractNumId w:val="14"/>
  </w:num>
  <w:num w:numId="26">
    <w:abstractNumId w:val="30"/>
  </w:num>
  <w:num w:numId="27">
    <w:abstractNumId w:val="24"/>
  </w:num>
  <w:num w:numId="28">
    <w:abstractNumId w:val="4"/>
  </w:num>
  <w:num w:numId="29">
    <w:abstractNumId w:val="8"/>
  </w:num>
  <w:num w:numId="30">
    <w:abstractNumId w:val="13"/>
  </w:num>
  <w:num w:numId="31">
    <w:abstractNumId w:val="37"/>
  </w:num>
  <w:num w:numId="32">
    <w:abstractNumId w:val="33"/>
  </w:num>
  <w:num w:numId="33">
    <w:abstractNumId w:val="10"/>
  </w:num>
  <w:num w:numId="34">
    <w:abstractNumId w:val="18"/>
  </w:num>
  <w:num w:numId="35">
    <w:abstractNumId w:val="36"/>
  </w:num>
  <w:num w:numId="36">
    <w:abstractNumId w:val="38"/>
  </w:num>
  <w:num w:numId="37">
    <w:abstractNumId w:val="19"/>
  </w:num>
  <w:num w:numId="38">
    <w:abstractNumId w:val="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7461"/>
    <w:rsid w:val="000079CC"/>
    <w:rsid w:val="00011A63"/>
    <w:rsid w:val="00036BD8"/>
    <w:rsid w:val="000502AD"/>
    <w:rsid w:val="000620CE"/>
    <w:rsid w:val="000632CA"/>
    <w:rsid w:val="000823AC"/>
    <w:rsid w:val="00082BA7"/>
    <w:rsid w:val="000927B8"/>
    <w:rsid w:val="000A049E"/>
    <w:rsid w:val="000C09B4"/>
    <w:rsid w:val="000C4457"/>
    <w:rsid w:val="000D6DE5"/>
    <w:rsid w:val="000E7512"/>
    <w:rsid w:val="000F77FD"/>
    <w:rsid w:val="00133A1A"/>
    <w:rsid w:val="0015409F"/>
    <w:rsid w:val="00157815"/>
    <w:rsid w:val="00161CE5"/>
    <w:rsid w:val="001663A4"/>
    <w:rsid w:val="00167DA9"/>
    <w:rsid w:val="0017280F"/>
    <w:rsid w:val="00176076"/>
    <w:rsid w:val="0018150C"/>
    <w:rsid w:val="001956C7"/>
    <w:rsid w:val="001A4D75"/>
    <w:rsid w:val="001A7BA2"/>
    <w:rsid w:val="001B1CD6"/>
    <w:rsid w:val="001B721D"/>
    <w:rsid w:val="001C1BE1"/>
    <w:rsid w:val="001F3524"/>
    <w:rsid w:val="00204F3E"/>
    <w:rsid w:val="0020609A"/>
    <w:rsid w:val="002211A1"/>
    <w:rsid w:val="00230A0E"/>
    <w:rsid w:val="002315A5"/>
    <w:rsid w:val="00232597"/>
    <w:rsid w:val="002547CF"/>
    <w:rsid w:val="0026321D"/>
    <w:rsid w:val="002C4B80"/>
    <w:rsid w:val="002D255C"/>
    <w:rsid w:val="002F7E65"/>
    <w:rsid w:val="0032175A"/>
    <w:rsid w:val="00322DEA"/>
    <w:rsid w:val="00342259"/>
    <w:rsid w:val="00346615"/>
    <w:rsid w:val="00347BFF"/>
    <w:rsid w:val="00354CB5"/>
    <w:rsid w:val="00357B0E"/>
    <w:rsid w:val="003605DD"/>
    <w:rsid w:val="00363EC5"/>
    <w:rsid w:val="00364B64"/>
    <w:rsid w:val="00366AD1"/>
    <w:rsid w:val="0036778D"/>
    <w:rsid w:val="0037523B"/>
    <w:rsid w:val="00375D47"/>
    <w:rsid w:val="00386F12"/>
    <w:rsid w:val="003A58CF"/>
    <w:rsid w:val="003B037A"/>
    <w:rsid w:val="003B422F"/>
    <w:rsid w:val="003B5A60"/>
    <w:rsid w:val="003D5675"/>
    <w:rsid w:val="003D57A9"/>
    <w:rsid w:val="003D653B"/>
    <w:rsid w:val="004004FC"/>
    <w:rsid w:val="0040402A"/>
    <w:rsid w:val="00417008"/>
    <w:rsid w:val="00424E4F"/>
    <w:rsid w:val="00453E30"/>
    <w:rsid w:val="00461D62"/>
    <w:rsid w:val="00487EFC"/>
    <w:rsid w:val="004A334B"/>
    <w:rsid w:val="004B3911"/>
    <w:rsid w:val="004B4B6B"/>
    <w:rsid w:val="004B4F88"/>
    <w:rsid w:val="004C595C"/>
    <w:rsid w:val="004D3DBE"/>
    <w:rsid w:val="00516AC8"/>
    <w:rsid w:val="00517955"/>
    <w:rsid w:val="005203C1"/>
    <w:rsid w:val="00530FDE"/>
    <w:rsid w:val="00544EFD"/>
    <w:rsid w:val="005474ED"/>
    <w:rsid w:val="005A7B65"/>
    <w:rsid w:val="005B6CC1"/>
    <w:rsid w:val="005C6168"/>
    <w:rsid w:val="005E0C05"/>
    <w:rsid w:val="005F0276"/>
    <w:rsid w:val="005F2E08"/>
    <w:rsid w:val="005F6261"/>
    <w:rsid w:val="00612159"/>
    <w:rsid w:val="00635929"/>
    <w:rsid w:val="00636D53"/>
    <w:rsid w:val="0064746F"/>
    <w:rsid w:val="0064776B"/>
    <w:rsid w:val="006578F4"/>
    <w:rsid w:val="00661FA0"/>
    <w:rsid w:val="00665A26"/>
    <w:rsid w:val="00673710"/>
    <w:rsid w:val="00674B1A"/>
    <w:rsid w:val="006900FE"/>
    <w:rsid w:val="006A249C"/>
    <w:rsid w:val="006C4937"/>
    <w:rsid w:val="006D0681"/>
    <w:rsid w:val="006D73E1"/>
    <w:rsid w:val="00700521"/>
    <w:rsid w:val="0071533D"/>
    <w:rsid w:val="00760E32"/>
    <w:rsid w:val="00764E41"/>
    <w:rsid w:val="00771515"/>
    <w:rsid w:val="00776056"/>
    <w:rsid w:val="00785C65"/>
    <w:rsid w:val="00790C12"/>
    <w:rsid w:val="007B75A2"/>
    <w:rsid w:val="007C1B15"/>
    <w:rsid w:val="007E1663"/>
    <w:rsid w:val="007F1091"/>
    <w:rsid w:val="008018C5"/>
    <w:rsid w:val="00813F1E"/>
    <w:rsid w:val="0081403B"/>
    <w:rsid w:val="0081629C"/>
    <w:rsid w:val="00837C4B"/>
    <w:rsid w:val="00842737"/>
    <w:rsid w:val="00843006"/>
    <w:rsid w:val="008440D9"/>
    <w:rsid w:val="00845340"/>
    <w:rsid w:val="008678FB"/>
    <w:rsid w:val="00867AAC"/>
    <w:rsid w:val="00882ECA"/>
    <w:rsid w:val="00886EE1"/>
    <w:rsid w:val="008A3BDE"/>
    <w:rsid w:val="008A5544"/>
    <w:rsid w:val="008A75E7"/>
    <w:rsid w:val="008B06DD"/>
    <w:rsid w:val="008C4F38"/>
    <w:rsid w:val="008D4556"/>
    <w:rsid w:val="008D791F"/>
    <w:rsid w:val="008F0A97"/>
    <w:rsid w:val="00920DBC"/>
    <w:rsid w:val="00931F3E"/>
    <w:rsid w:val="009353D7"/>
    <w:rsid w:val="009404EA"/>
    <w:rsid w:val="00942B3B"/>
    <w:rsid w:val="0097197E"/>
    <w:rsid w:val="00975566"/>
    <w:rsid w:val="00990CED"/>
    <w:rsid w:val="00993BBE"/>
    <w:rsid w:val="009B76A1"/>
    <w:rsid w:val="009C3516"/>
    <w:rsid w:val="009D172A"/>
    <w:rsid w:val="009E7526"/>
    <w:rsid w:val="009F21FD"/>
    <w:rsid w:val="009F78E6"/>
    <w:rsid w:val="00A0001A"/>
    <w:rsid w:val="00A03745"/>
    <w:rsid w:val="00A1786A"/>
    <w:rsid w:val="00A210CD"/>
    <w:rsid w:val="00A26DC6"/>
    <w:rsid w:val="00A30EBB"/>
    <w:rsid w:val="00A40130"/>
    <w:rsid w:val="00A44F24"/>
    <w:rsid w:val="00A45528"/>
    <w:rsid w:val="00A57912"/>
    <w:rsid w:val="00A63EAE"/>
    <w:rsid w:val="00A74149"/>
    <w:rsid w:val="00A85E34"/>
    <w:rsid w:val="00AD49DE"/>
    <w:rsid w:val="00AD7B34"/>
    <w:rsid w:val="00B00E5C"/>
    <w:rsid w:val="00B053BE"/>
    <w:rsid w:val="00B2050D"/>
    <w:rsid w:val="00B25B8C"/>
    <w:rsid w:val="00B32ADA"/>
    <w:rsid w:val="00B364D3"/>
    <w:rsid w:val="00B44128"/>
    <w:rsid w:val="00B64ACA"/>
    <w:rsid w:val="00B84EC3"/>
    <w:rsid w:val="00BC38E0"/>
    <w:rsid w:val="00BC4143"/>
    <w:rsid w:val="00BE2925"/>
    <w:rsid w:val="00BF0C3E"/>
    <w:rsid w:val="00C66DE1"/>
    <w:rsid w:val="00C95832"/>
    <w:rsid w:val="00C97E31"/>
    <w:rsid w:val="00CB647D"/>
    <w:rsid w:val="00CD039A"/>
    <w:rsid w:val="00D074E3"/>
    <w:rsid w:val="00D17DEC"/>
    <w:rsid w:val="00D30BE3"/>
    <w:rsid w:val="00D50313"/>
    <w:rsid w:val="00D80377"/>
    <w:rsid w:val="00D80A4F"/>
    <w:rsid w:val="00D9192E"/>
    <w:rsid w:val="00DB4052"/>
    <w:rsid w:val="00DC4D86"/>
    <w:rsid w:val="00DC7354"/>
    <w:rsid w:val="00DD4368"/>
    <w:rsid w:val="00DF0357"/>
    <w:rsid w:val="00DF6CE4"/>
    <w:rsid w:val="00E06A4E"/>
    <w:rsid w:val="00E1547F"/>
    <w:rsid w:val="00E32ACA"/>
    <w:rsid w:val="00E37211"/>
    <w:rsid w:val="00E37E7A"/>
    <w:rsid w:val="00E770DC"/>
    <w:rsid w:val="00EA7740"/>
    <w:rsid w:val="00EB3E0D"/>
    <w:rsid w:val="00EC6FC5"/>
    <w:rsid w:val="00EC7BBC"/>
    <w:rsid w:val="00EE1D60"/>
    <w:rsid w:val="00EF5B7E"/>
    <w:rsid w:val="00F01FDE"/>
    <w:rsid w:val="00F06921"/>
    <w:rsid w:val="00F16195"/>
    <w:rsid w:val="00F31949"/>
    <w:rsid w:val="00F37FA7"/>
    <w:rsid w:val="00F54011"/>
    <w:rsid w:val="00F56875"/>
    <w:rsid w:val="00F60A66"/>
    <w:rsid w:val="00F75DEC"/>
    <w:rsid w:val="00F770CB"/>
    <w:rsid w:val="00F80626"/>
    <w:rsid w:val="00F826EC"/>
    <w:rsid w:val="00F84FD4"/>
    <w:rsid w:val="00FB2C4C"/>
    <w:rsid w:val="00FB3DB2"/>
    <w:rsid w:val="00FE3711"/>
    <w:rsid w:val="00FF5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AECB0"/>
  <w15:docId w15:val="{7631556D-8944-4451-BD00-3DAC2900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basedOn w:val="DefaultParagraphFont"/>
    <w:rsid w:val="001F3524"/>
    <w:rPr>
      <w:vertAlign w:val="superscript"/>
    </w:rPr>
  </w:style>
  <w:style w:type="paragraph" w:styleId="NoSpacing">
    <w:name w:val="No Spacing"/>
    <w:uiPriority w:val="1"/>
    <w:qFormat/>
    <w:rsid w:val="00036BD8"/>
    <w:rPr>
      <w:rFonts w:asciiTheme="minorHAnsi" w:eastAsiaTheme="minorHAnsi" w:hAnsiTheme="minorHAnsi" w:cstheme="minorBidi"/>
      <w:sz w:val="22"/>
      <w:szCs w:val="22"/>
      <w:lang w:val="es-CR"/>
    </w:rPr>
  </w:style>
  <w:style w:type="paragraph" w:styleId="ListParagraph">
    <w:name w:val="List Paragraph"/>
    <w:basedOn w:val="Normal"/>
    <w:uiPriority w:val="34"/>
    <w:qFormat/>
    <w:rsid w:val="00665A26"/>
    <w:pPr>
      <w:ind w:left="720"/>
      <w:contextualSpacing/>
    </w:pPr>
  </w:style>
  <w:style w:type="character" w:styleId="CommentReference">
    <w:name w:val="annotation reference"/>
    <w:basedOn w:val="DefaultParagraphFont"/>
    <w:semiHidden/>
    <w:unhideWhenUsed/>
    <w:rsid w:val="001C1BE1"/>
    <w:rPr>
      <w:sz w:val="16"/>
      <w:szCs w:val="16"/>
    </w:rPr>
  </w:style>
  <w:style w:type="paragraph" w:styleId="CommentText">
    <w:name w:val="annotation text"/>
    <w:basedOn w:val="Normal"/>
    <w:link w:val="CommentTextChar"/>
    <w:semiHidden/>
    <w:unhideWhenUsed/>
    <w:rsid w:val="001C1BE1"/>
    <w:rPr>
      <w:sz w:val="20"/>
    </w:rPr>
  </w:style>
  <w:style w:type="character" w:customStyle="1" w:styleId="CommentTextChar">
    <w:name w:val="Comment Text Char"/>
    <w:basedOn w:val="DefaultParagraphFont"/>
    <w:link w:val="CommentText"/>
    <w:semiHidden/>
    <w:rsid w:val="001C1BE1"/>
  </w:style>
  <w:style w:type="paragraph" w:styleId="CommentSubject">
    <w:name w:val="annotation subject"/>
    <w:basedOn w:val="CommentText"/>
    <w:next w:val="CommentText"/>
    <w:link w:val="CommentSubjectChar"/>
    <w:semiHidden/>
    <w:unhideWhenUsed/>
    <w:rsid w:val="001C1BE1"/>
    <w:rPr>
      <w:b/>
      <w:bCs/>
    </w:rPr>
  </w:style>
  <w:style w:type="character" w:customStyle="1" w:styleId="CommentSubjectChar">
    <w:name w:val="Comment Subject Char"/>
    <w:basedOn w:val="CommentTextChar"/>
    <w:link w:val="CommentSubject"/>
    <w:semiHidden/>
    <w:rsid w:val="001C1BE1"/>
    <w:rPr>
      <w:b/>
      <w:bCs/>
    </w:rPr>
  </w:style>
  <w:style w:type="paragraph" w:styleId="BalloonText">
    <w:name w:val="Balloon Text"/>
    <w:basedOn w:val="Normal"/>
    <w:link w:val="BalloonTextChar"/>
    <w:rsid w:val="001C1BE1"/>
    <w:rPr>
      <w:rFonts w:ascii="Segoe UI" w:hAnsi="Segoe UI" w:cs="Segoe UI"/>
      <w:sz w:val="18"/>
      <w:szCs w:val="18"/>
    </w:rPr>
  </w:style>
  <w:style w:type="character" w:customStyle="1" w:styleId="BalloonTextChar">
    <w:name w:val="Balloon Text Char"/>
    <w:basedOn w:val="DefaultParagraphFont"/>
    <w:link w:val="BalloonText"/>
    <w:rsid w:val="001C1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5381">
      <w:bodyDiv w:val="1"/>
      <w:marLeft w:val="0"/>
      <w:marRight w:val="0"/>
      <w:marTop w:val="0"/>
      <w:marBottom w:val="0"/>
      <w:divBdr>
        <w:top w:val="none" w:sz="0" w:space="0" w:color="auto"/>
        <w:left w:val="none" w:sz="0" w:space="0" w:color="auto"/>
        <w:bottom w:val="none" w:sz="0" w:space="0" w:color="auto"/>
        <w:right w:val="none" w:sz="0" w:space="0" w:color="auto"/>
      </w:divBdr>
    </w:div>
    <w:div w:id="187448059">
      <w:bodyDiv w:val="1"/>
      <w:marLeft w:val="0"/>
      <w:marRight w:val="0"/>
      <w:marTop w:val="0"/>
      <w:marBottom w:val="0"/>
      <w:divBdr>
        <w:top w:val="none" w:sz="0" w:space="0" w:color="auto"/>
        <w:left w:val="none" w:sz="0" w:space="0" w:color="auto"/>
        <w:bottom w:val="none" w:sz="0" w:space="0" w:color="auto"/>
        <w:right w:val="none" w:sz="0" w:space="0" w:color="auto"/>
      </w:divBdr>
    </w:div>
    <w:div w:id="432435400">
      <w:bodyDiv w:val="1"/>
      <w:marLeft w:val="0"/>
      <w:marRight w:val="0"/>
      <w:marTop w:val="0"/>
      <w:marBottom w:val="0"/>
      <w:divBdr>
        <w:top w:val="none" w:sz="0" w:space="0" w:color="auto"/>
        <w:left w:val="none" w:sz="0" w:space="0" w:color="auto"/>
        <w:bottom w:val="none" w:sz="0" w:space="0" w:color="auto"/>
        <w:right w:val="none" w:sz="0" w:space="0" w:color="auto"/>
      </w:divBdr>
    </w:div>
    <w:div w:id="1040279066">
      <w:bodyDiv w:val="1"/>
      <w:marLeft w:val="0"/>
      <w:marRight w:val="0"/>
      <w:marTop w:val="0"/>
      <w:marBottom w:val="0"/>
      <w:divBdr>
        <w:top w:val="none" w:sz="0" w:space="0" w:color="auto"/>
        <w:left w:val="none" w:sz="0" w:space="0" w:color="auto"/>
        <w:bottom w:val="none" w:sz="0" w:space="0" w:color="auto"/>
        <w:right w:val="none" w:sz="0" w:space="0" w:color="auto"/>
      </w:divBdr>
    </w:div>
    <w:div w:id="1579710396">
      <w:bodyDiv w:val="1"/>
      <w:marLeft w:val="0"/>
      <w:marRight w:val="0"/>
      <w:marTop w:val="0"/>
      <w:marBottom w:val="0"/>
      <w:divBdr>
        <w:top w:val="none" w:sz="0" w:space="0" w:color="auto"/>
        <w:left w:val="none" w:sz="0" w:space="0" w:color="auto"/>
        <w:bottom w:val="none" w:sz="0" w:space="0" w:color="auto"/>
        <w:right w:val="none" w:sz="0" w:space="0" w:color="auto"/>
      </w:divBdr>
    </w:div>
    <w:div w:id="161115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4.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e6de6f4a163210476040df223df441e8">
  <xsd:schema xmlns:xsd="http://www.w3.org/2001/XMLSchema" xmlns:xs="http://www.w3.org/2001/XMLSchema" xmlns:p="http://schemas.microsoft.com/office/2006/metadata/properties" xmlns:ns2="83ed2304-0f0e-45ba-b0cc-7d360cbc1769" targetNamespace="http://schemas.microsoft.com/office/2006/metadata/properties" ma:root="true" ma:fieldsID="75b7e553a872fe2836fe2ecc2b8c7ab0"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2.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3.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4.xml><?xml version="1.0" encoding="utf-8"?>
<ds:datastoreItem xmlns:ds="http://schemas.openxmlformats.org/officeDocument/2006/customXml" ds:itemID="{BBF204ED-984C-407A-92BA-8E5AD42E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6.xml><?xml version="1.0" encoding="utf-8"?>
<ds:datastoreItem xmlns:ds="http://schemas.openxmlformats.org/officeDocument/2006/customXml" ds:itemID="{C4613DBD-BE23-46CA-A075-83274AB4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4449</Words>
  <Characters>25365</Characters>
  <Application>Microsoft Office Word</Application>
  <DocSecurity>0</DocSecurity>
  <Lines>211</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CP results summary</vt:lpstr>
      <vt:lpstr>CP results summary</vt:lpstr>
    </vt:vector>
  </TitlesOfParts>
  <Company>UNDP</Company>
  <LinksUpToDate>false</LinksUpToDate>
  <CharactersWithSpaces>29755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2</cp:revision>
  <cp:lastPrinted>2008-06-06T15:39:00Z</cp:lastPrinted>
  <dcterms:created xsi:type="dcterms:W3CDTF">2017-05-31T19:29:00Z</dcterms:created>
  <dcterms:modified xsi:type="dcterms:W3CDTF">2017-05-31T19:29:00Z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