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6688" w14:textId="77777777" w:rsidR="00001917" w:rsidRDefault="00464A6C">
      <w:pPr>
        <w:spacing w:before="240"/>
        <w:jc w:val="center"/>
        <w:rPr>
          <w:rFonts w:ascii="Times New Roman" w:eastAsia="Times New Roman" w:hAnsi="Times New Roman" w:cs="Times New Roman"/>
          <w:b/>
          <w:sz w:val="20"/>
          <w:szCs w:val="20"/>
        </w:rPr>
      </w:pPr>
      <w:bookmarkStart w:id="0" w:name="_gjdgxs" w:colFirst="0" w:colLast="0"/>
      <w:bookmarkStart w:id="1" w:name="_GoBack"/>
      <w:bookmarkEnd w:id="0"/>
      <w:bookmarkEnd w:id="1"/>
      <w:r>
        <w:rPr>
          <w:rFonts w:ascii="Times New Roman" w:eastAsia="Times New Roman" w:hAnsi="Times New Roman" w:cs="Times New Roman"/>
          <w:b/>
          <w:sz w:val="20"/>
          <w:szCs w:val="20"/>
        </w:rPr>
        <w:t xml:space="preserve">Criteria supporting </w:t>
      </w:r>
      <w:r w:rsidR="008F251B">
        <w:rPr>
          <w:rFonts w:ascii="Times New Roman" w:eastAsia="Times New Roman" w:hAnsi="Times New Roman" w:cs="Times New Roman"/>
          <w:b/>
          <w:sz w:val="20"/>
          <w:szCs w:val="20"/>
        </w:rPr>
        <w:t xml:space="preserve">the </w:t>
      </w:r>
      <w:r w:rsidR="00AF4F87">
        <w:rPr>
          <w:rFonts w:ascii="Times New Roman" w:eastAsia="Times New Roman" w:hAnsi="Times New Roman" w:cs="Times New Roman"/>
          <w:b/>
          <w:sz w:val="20"/>
          <w:szCs w:val="20"/>
        </w:rPr>
        <w:t xml:space="preserve">overall </w:t>
      </w:r>
      <w:r>
        <w:rPr>
          <w:rFonts w:ascii="Times New Roman" w:eastAsia="Times New Roman" w:hAnsi="Times New Roman" w:cs="Times New Roman"/>
          <w:b/>
          <w:sz w:val="20"/>
          <w:szCs w:val="20"/>
        </w:rPr>
        <w:t>opinion</w:t>
      </w:r>
    </w:p>
    <w:p w14:paraId="31FE1B64" w14:textId="528F4440" w:rsidR="00001917" w:rsidRDefault="00464A6C" w:rsidP="002113F8">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 accordance with Executive Board decision 2015/13, IAIG has provided an opinion in this annual report, based on: the scope of work undertaken, and the adequacy and effectiveness of the organization’s framework of governance, risk management and control. </w:t>
      </w:r>
      <w:r w:rsidR="00E6165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Furthermore, in accordance with Executive Board decision 2016/13, IAIG herewith provides the rationale for this opinion. </w:t>
      </w:r>
      <w:r w:rsidR="00E6165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The summary of the audit work performed is provided in the body of the annual report, essentially under section V. </w:t>
      </w:r>
      <w:r w:rsidR="00E6165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This annex provides a brief description of the criteria used to support the IAIG opinion.</w:t>
      </w:r>
    </w:p>
    <w:p w14:paraId="7C6D96B4" w14:textId="77777777" w:rsidR="00001917" w:rsidRDefault="0000191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14:paraId="133B6D42" w14:textId="77777777" w:rsidR="00001917" w:rsidRDefault="00464A6C" w:rsidP="002113F8">
      <w:pPr>
        <w:numPr>
          <w:ilvl w:val="0"/>
          <w:numId w:val="2"/>
        </w:numPr>
        <w:pBdr>
          <w:top w:val="nil"/>
          <w:left w:val="nil"/>
          <w:bottom w:val="nil"/>
          <w:right w:val="nil"/>
          <w:between w:val="nil"/>
        </w:pBdr>
        <w:spacing w:after="60" w:line="240" w:lineRule="auto"/>
        <w:ind w:left="357" w:hanging="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results of the following are </w:t>
      </w:r>
      <w:proofErr w:type="gramStart"/>
      <w:r>
        <w:rPr>
          <w:rFonts w:ascii="Times New Roman" w:eastAsia="Times New Roman" w:hAnsi="Times New Roman" w:cs="Times New Roman"/>
          <w:color w:val="000000"/>
          <w:sz w:val="20"/>
          <w:szCs w:val="20"/>
        </w:rPr>
        <w:t>taken into account</w:t>
      </w:r>
      <w:proofErr w:type="gramEnd"/>
      <w:r>
        <w:rPr>
          <w:rFonts w:ascii="Times New Roman" w:eastAsia="Times New Roman" w:hAnsi="Times New Roman" w:cs="Times New Roman"/>
          <w:color w:val="000000"/>
          <w:sz w:val="20"/>
          <w:szCs w:val="20"/>
        </w:rPr>
        <w:t xml:space="preserve"> to support the IAIG opinion:   </w:t>
      </w:r>
    </w:p>
    <w:p w14:paraId="0A9FED65" w14:textId="469CB3F1" w:rsidR="00E6165B" w:rsidRPr="00E6165B" w:rsidRDefault="00E6165B" w:rsidP="00E6165B">
      <w:pPr>
        <w:numPr>
          <w:ilvl w:val="0"/>
          <w:numId w:val="8"/>
        </w:numPr>
        <w:pBdr>
          <w:top w:val="nil"/>
          <w:left w:val="nil"/>
          <w:bottom w:val="nil"/>
          <w:right w:val="nil"/>
          <w:between w:val="nil"/>
        </w:pBdr>
        <w:spacing w:after="0" w:line="240" w:lineRule="auto"/>
        <w:ind w:left="993" w:hanging="426"/>
        <w:jc w:val="both"/>
        <w:rPr>
          <w:rFonts w:ascii="Times New Roman" w:eastAsia="Times New Roman" w:hAnsi="Times New Roman" w:cs="Times New Roman"/>
          <w:bCs/>
          <w:color w:val="000000"/>
          <w:sz w:val="20"/>
          <w:szCs w:val="20"/>
        </w:rPr>
      </w:pPr>
      <w:r>
        <w:rPr>
          <w:rFonts w:ascii="Times New Roman" w:eastAsia="Times New Roman" w:hAnsi="Times New Roman" w:cs="Times New Roman"/>
          <w:color w:val="000000"/>
          <w:sz w:val="20"/>
          <w:szCs w:val="20"/>
        </w:rPr>
        <w:t>in</w:t>
      </w:r>
      <w:r w:rsidRPr="00E6165B">
        <w:rPr>
          <w:rFonts w:ascii="Times New Roman" w:eastAsia="Times New Roman" w:hAnsi="Times New Roman" w:cs="Times New Roman"/>
          <w:color w:val="000000"/>
          <w:sz w:val="20"/>
          <w:szCs w:val="20"/>
        </w:rPr>
        <w:t xml:space="preserve">ternal audits of field offices; </w:t>
      </w:r>
    </w:p>
    <w:p w14:paraId="3462F6D0" w14:textId="77777777" w:rsidR="00E6165B" w:rsidRPr="00E6165B" w:rsidRDefault="00E6165B" w:rsidP="00E6165B">
      <w:pPr>
        <w:numPr>
          <w:ilvl w:val="0"/>
          <w:numId w:val="8"/>
        </w:numPr>
        <w:pBdr>
          <w:top w:val="nil"/>
          <w:left w:val="nil"/>
          <w:bottom w:val="nil"/>
          <w:right w:val="nil"/>
          <w:between w:val="nil"/>
        </w:pBdr>
        <w:spacing w:after="0" w:line="240" w:lineRule="auto"/>
        <w:ind w:left="993" w:hanging="426"/>
        <w:jc w:val="both"/>
        <w:rPr>
          <w:rFonts w:ascii="Times New Roman" w:eastAsia="Times New Roman" w:hAnsi="Times New Roman" w:cs="Times New Roman"/>
          <w:bCs/>
          <w:color w:val="000000"/>
          <w:sz w:val="20"/>
          <w:szCs w:val="20"/>
        </w:rPr>
      </w:pPr>
      <w:r w:rsidRPr="00E6165B">
        <w:rPr>
          <w:rFonts w:ascii="Times New Roman" w:eastAsia="Times New Roman" w:hAnsi="Times New Roman" w:cs="Times New Roman"/>
          <w:color w:val="000000"/>
          <w:sz w:val="20"/>
          <w:szCs w:val="20"/>
        </w:rPr>
        <w:t>thematic reviews;</w:t>
      </w:r>
    </w:p>
    <w:p w14:paraId="53A3491A" w14:textId="77777777" w:rsidR="00E6165B" w:rsidRPr="00E6165B" w:rsidRDefault="00E6165B" w:rsidP="00E6165B">
      <w:pPr>
        <w:numPr>
          <w:ilvl w:val="0"/>
          <w:numId w:val="8"/>
        </w:numPr>
        <w:pBdr>
          <w:top w:val="nil"/>
          <w:left w:val="nil"/>
          <w:bottom w:val="nil"/>
          <w:right w:val="nil"/>
          <w:between w:val="nil"/>
        </w:pBdr>
        <w:spacing w:after="0" w:line="240" w:lineRule="auto"/>
        <w:ind w:left="993" w:hanging="426"/>
        <w:jc w:val="both"/>
        <w:rPr>
          <w:rFonts w:ascii="Times New Roman" w:eastAsia="Times New Roman" w:hAnsi="Times New Roman" w:cs="Times New Roman"/>
          <w:bCs/>
          <w:color w:val="000000"/>
          <w:sz w:val="20"/>
          <w:szCs w:val="20"/>
        </w:rPr>
      </w:pPr>
      <w:r w:rsidRPr="00E6165B">
        <w:rPr>
          <w:rFonts w:ascii="Times New Roman" w:eastAsia="Times New Roman" w:hAnsi="Times New Roman" w:cs="Times New Roman"/>
          <w:color w:val="000000"/>
          <w:sz w:val="20"/>
          <w:szCs w:val="20"/>
        </w:rPr>
        <w:t>project audits;</w:t>
      </w:r>
    </w:p>
    <w:p w14:paraId="3A38457C" w14:textId="77777777" w:rsidR="00E6165B" w:rsidRPr="00E6165B" w:rsidRDefault="00E6165B" w:rsidP="00E6165B">
      <w:pPr>
        <w:numPr>
          <w:ilvl w:val="0"/>
          <w:numId w:val="8"/>
        </w:numPr>
        <w:pBdr>
          <w:top w:val="nil"/>
          <w:left w:val="nil"/>
          <w:bottom w:val="nil"/>
          <w:right w:val="nil"/>
          <w:between w:val="nil"/>
        </w:pBdr>
        <w:spacing w:after="0" w:line="240" w:lineRule="auto"/>
        <w:ind w:left="993" w:hanging="426"/>
        <w:jc w:val="both"/>
        <w:rPr>
          <w:rFonts w:ascii="Times New Roman" w:eastAsia="Times New Roman" w:hAnsi="Times New Roman" w:cs="Times New Roman"/>
          <w:bCs/>
          <w:color w:val="000000"/>
          <w:sz w:val="20"/>
          <w:szCs w:val="20"/>
        </w:rPr>
      </w:pPr>
      <w:r w:rsidRPr="00E6165B">
        <w:rPr>
          <w:rFonts w:ascii="Times New Roman" w:eastAsia="Times New Roman" w:hAnsi="Times New Roman" w:cs="Times New Roman"/>
          <w:color w:val="000000"/>
          <w:sz w:val="20"/>
          <w:szCs w:val="20"/>
        </w:rPr>
        <w:t>forensic project audits;</w:t>
      </w:r>
    </w:p>
    <w:p w14:paraId="1BCE7420" w14:textId="77777777" w:rsidR="00E6165B" w:rsidRPr="00E6165B" w:rsidRDefault="00E6165B" w:rsidP="00E6165B">
      <w:pPr>
        <w:numPr>
          <w:ilvl w:val="0"/>
          <w:numId w:val="8"/>
        </w:numPr>
        <w:pBdr>
          <w:top w:val="nil"/>
          <w:left w:val="nil"/>
          <w:bottom w:val="nil"/>
          <w:right w:val="nil"/>
          <w:between w:val="nil"/>
        </w:pBdr>
        <w:spacing w:after="0" w:line="240" w:lineRule="auto"/>
        <w:ind w:left="993" w:hanging="426"/>
        <w:jc w:val="both"/>
        <w:rPr>
          <w:rFonts w:ascii="Times New Roman" w:eastAsia="Times New Roman" w:hAnsi="Times New Roman" w:cs="Times New Roman"/>
          <w:bCs/>
          <w:color w:val="000000"/>
          <w:sz w:val="20"/>
          <w:szCs w:val="20"/>
        </w:rPr>
      </w:pPr>
      <w:r w:rsidRPr="00E6165B">
        <w:rPr>
          <w:rFonts w:ascii="Times New Roman" w:eastAsia="Times New Roman" w:hAnsi="Times New Roman" w:cs="Times New Roman"/>
          <w:color w:val="000000"/>
          <w:sz w:val="20"/>
          <w:szCs w:val="20"/>
        </w:rPr>
        <w:t>continuous auditing and data analytics programme;</w:t>
      </w:r>
    </w:p>
    <w:p w14:paraId="5A49AD71" w14:textId="77777777" w:rsidR="00E6165B" w:rsidRPr="00E6165B" w:rsidRDefault="00E6165B" w:rsidP="00E6165B">
      <w:pPr>
        <w:numPr>
          <w:ilvl w:val="0"/>
          <w:numId w:val="8"/>
        </w:numPr>
        <w:pBdr>
          <w:top w:val="nil"/>
          <w:left w:val="nil"/>
          <w:bottom w:val="nil"/>
          <w:right w:val="nil"/>
          <w:between w:val="nil"/>
        </w:pBdr>
        <w:spacing w:after="0" w:line="240" w:lineRule="auto"/>
        <w:ind w:left="993" w:hanging="426"/>
        <w:jc w:val="both"/>
        <w:rPr>
          <w:rFonts w:ascii="Times New Roman" w:eastAsia="Times New Roman" w:hAnsi="Times New Roman" w:cs="Times New Roman"/>
          <w:bCs/>
          <w:color w:val="000000"/>
          <w:sz w:val="20"/>
          <w:szCs w:val="20"/>
        </w:rPr>
      </w:pPr>
      <w:r w:rsidRPr="00E6165B">
        <w:rPr>
          <w:rFonts w:ascii="Times New Roman" w:eastAsia="Times New Roman" w:hAnsi="Times New Roman" w:cs="Times New Roman"/>
          <w:color w:val="000000"/>
          <w:sz w:val="20"/>
          <w:szCs w:val="20"/>
        </w:rPr>
        <w:t>findings from investigations; and</w:t>
      </w:r>
    </w:p>
    <w:p w14:paraId="578F9C45" w14:textId="77777777" w:rsidR="00E6165B" w:rsidRPr="00E6165B" w:rsidRDefault="00E6165B" w:rsidP="00E6165B">
      <w:pPr>
        <w:numPr>
          <w:ilvl w:val="0"/>
          <w:numId w:val="8"/>
        </w:numPr>
        <w:pBdr>
          <w:top w:val="nil"/>
          <w:left w:val="nil"/>
          <w:bottom w:val="nil"/>
          <w:right w:val="nil"/>
          <w:between w:val="nil"/>
        </w:pBdr>
        <w:spacing w:after="0" w:line="240" w:lineRule="auto"/>
        <w:ind w:left="993" w:hanging="426"/>
        <w:jc w:val="both"/>
        <w:rPr>
          <w:rFonts w:ascii="Times New Roman" w:eastAsia="Times New Roman" w:hAnsi="Times New Roman" w:cs="Times New Roman"/>
          <w:bCs/>
          <w:color w:val="000000"/>
          <w:sz w:val="20"/>
          <w:szCs w:val="20"/>
        </w:rPr>
      </w:pPr>
      <w:r w:rsidRPr="00E6165B">
        <w:rPr>
          <w:rFonts w:ascii="Times New Roman" w:eastAsia="Times New Roman" w:hAnsi="Times New Roman" w:cs="Times New Roman"/>
          <w:color w:val="000000"/>
          <w:sz w:val="20"/>
          <w:szCs w:val="20"/>
        </w:rPr>
        <w:t>implementation status of audit recommendations as at the end of the calendar year.</w:t>
      </w:r>
    </w:p>
    <w:p w14:paraId="705A6DA3" w14:textId="77777777" w:rsidR="00001917" w:rsidRDefault="00001917">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0"/>
          <w:szCs w:val="20"/>
        </w:rPr>
      </w:pPr>
    </w:p>
    <w:p w14:paraId="61632494" w14:textId="2A85E7AB" w:rsidR="00625A8D" w:rsidRPr="00D755CC" w:rsidRDefault="00464A6C" w:rsidP="00D755C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distribution of 201</w:t>
      </w:r>
      <w:r>
        <w:rPr>
          <w:rFonts w:ascii="Times New Roman" w:eastAsia="Times New Roman" w:hAnsi="Times New Roman" w:cs="Times New Roman"/>
          <w:sz w:val="20"/>
          <w:szCs w:val="20"/>
        </w:rPr>
        <w:t>8</w:t>
      </w:r>
      <w:r>
        <w:rPr>
          <w:rFonts w:ascii="Times New Roman" w:eastAsia="Times New Roman" w:hAnsi="Times New Roman" w:cs="Times New Roman"/>
          <w:color w:val="000000"/>
          <w:sz w:val="20"/>
          <w:szCs w:val="20"/>
        </w:rPr>
        <w:t xml:space="preserve"> audit results regarding the adequacy and effectiveness of the governance, risk management and control (GRC) at the audited entity level is </w:t>
      </w:r>
      <w:r w:rsidR="002E5C7A">
        <w:rPr>
          <w:rFonts w:ascii="Times New Roman" w:eastAsia="Times New Roman" w:hAnsi="Times New Roman" w:cs="Times New Roman"/>
          <w:color w:val="000000"/>
          <w:sz w:val="20"/>
          <w:szCs w:val="20"/>
        </w:rPr>
        <w:t>included in annex</w:t>
      </w:r>
      <w:r w:rsidR="00185849">
        <w:rPr>
          <w:rFonts w:ascii="Times New Roman" w:eastAsia="Times New Roman" w:hAnsi="Times New Roman" w:cs="Times New Roman"/>
          <w:color w:val="000000"/>
          <w:sz w:val="20"/>
          <w:szCs w:val="20"/>
        </w:rPr>
        <w:t xml:space="preserve"> </w:t>
      </w:r>
      <w:r w:rsidRPr="00D5523C">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 xml:space="preserve"> </w:t>
      </w:r>
      <w:r w:rsidR="00D5523C">
        <w:rPr>
          <w:rFonts w:ascii="Times New Roman" w:eastAsia="Times New Roman" w:hAnsi="Times New Roman" w:cs="Times New Roman"/>
          <w:color w:val="000000"/>
          <w:sz w:val="20"/>
          <w:szCs w:val="20"/>
        </w:rPr>
        <w:t>T</w:t>
      </w:r>
      <w:r w:rsidRPr="00D5523C">
        <w:rPr>
          <w:rFonts w:ascii="Times New Roman" w:eastAsia="Times New Roman" w:hAnsi="Times New Roman" w:cs="Times New Roman"/>
          <w:color w:val="000000"/>
          <w:sz w:val="20"/>
          <w:szCs w:val="20"/>
        </w:rPr>
        <w:t xml:space="preserve">able </w:t>
      </w:r>
      <w:r w:rsidR="00FD1018">
        <w:rPr>
          <w:rFonts w:ascii="Times New Roman" w:eastAsia="Times New Roman" w:hAnsi="Times New Roman" w:cs="Times New Roman"/>
          <w:color w:val="000000"/>
          <w:sz w:val="20"/>
          <w:szCs w:val="20"/>
        </w:rPr>
        <w:t>4</w:t>
      </w:r>
      <w:r w:rsidR="00D5523C" w:rsidRPr="00D5523C">
        <w:rPr>
          <w:rFonts w:ascii="Times New Roman" w:eastAsia="Times New Roman" w:hAnsi="Times New Roman" w:cs="Times New Roman"/>
          <w:color w:val="000000"/>
          <w:sz w:val="20"/>
          <w:szCs w:val="20"/>
        </w:rPr>
        <w:t xml:space="preserve"> </w:t>
      </w:r>
      <w:r w:rsidRPr="00D5523C">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z w:val="20"/>
          <w:szCs w:val="20"/>
        </w:rPr>
        <w:t xml:space="preserve">n the IAIG annual activity report shows the distribution of the number of </w:t>
      </w:r>
      <w:r w:rsidR="00D5523C">
        <w:rPr>
          <w:rFonts w:ascii="Times New Roman" w:eastAsia="Times New Roman" w:hAnsi="Times New Roman" w:cs="Times New Roman"/>
          <w:color w:val="000000"/>
          <w:sz w:val="20"/>
          <w:szCs w:val="20"/>
        </w:rPr>
        <w:t xml:space="preserve">project </w:t>
      </w:r>
      <w:r>
        <w:rPr>
          <w:rFonts w:ascii="Times New Roman" w:eastAsia="Times New Roman" w:hAnsi="Times New Roman" w:cs="Times New Roman"/>
          <w:color w:val="000000"/>
          <w:sz w:val="20"/>
          <w:szCs w:val="20"/>
        </w:rPr>
        <w:t>audit reports that were issued by IAIG in 201</w:t>
      </w:r>
      <w:r>
        <w:rPr>
          <w:rFonts w:ascii="Times New Roman" w:eastAsia="Times New Roman" w:hAnsi="Times New Roman" w:cs="Times New Roman"/>
          <w:sz w:val="20"/>
          <w:szCs w:val="20"/>
        </w:rPr>
        <w:t>8</w:t>
      </w:r>
      <w:r w:rsidR="00D755CC">
        <w:rPr>
          <w:rFonts w:ascii="Times New Roman" w:eastAsia="Times New Roman" w:hAnsi="Times New Roman" w:cs="Times New Roman"/>
          <w:sz w:val="20"/>
          <w:szCs w:val="20"/>
        </w:rPr>
        <w:t xml:space="preserve">. </w:t>
      </w:r>
      <w:r w:rsidR="00625A8D" w:rsidRPr="00D755CC">
        <w:rPr>
          <w:rFonts w:ascii="Times New Roman" w:eastAsia="Times New Roman" w:hAnsi="Times New Roman" w:cs="Times New Roman"/>
          <w:sz w:val="20"/>
          <w:szCs w:val="20"/>
        </w:rPr>
        <w:t>Refer to table 1 below for the distribution of audit ratings for 2018.</w:t>
      </w:r>
    </w:p>
    <w:p w14:paraId="7B933798" w14:textId="67B5B49C" w:rsidR="00C35F8D" w:rsidRDefault="00C35F8D" w:rsidP="00C35F8D">
      <w:pPr>
        <w:spacing w:after="0" w:line="240" w:lineRule="auto"/>
        <w:ind w:left="360"/>
        <w:jc w:val="both"/>
        <w:rPr>
          <w:rFonts w:ascii="Times New Roman" w:eastAsia="Times New Roman" w:hAnsi="Times New Roman" w:cs="Times New Roman"/>
          <w:sz w:val="20"/>
          <w:szCs w:val="20"/>
        </w:rPr>
      </w:pPr>
    </w:p>
    <w:p w14:paraId="3BEEC5A9" w14:textId="0C505435" w:rsidR="00625A8D" w:rsidRPr="00D1129C" w:rsidRDefault="00625A8D" w:rsidP="00625A8D">
      <w:pPr>
        <w:spacing w:after="0" w:line="240" w:lineRule="auto"/>
        <w:ind w:hanging="709"/>
        <w:jc w:val="both"/>
        <w:rPr>
          <w:rFonts w:ascii="Times New Roman" w:eastAsia="Times New Roman" w:hAnsi="Times New Roman" w:cs="Times New Roman"/>
          <w:b/>
          <w:sz w:val="20"/>
          <w:szCs w:val="20"/>
        </w:rPr>
      </w:pPr>
      <w:r w:rsidRPr="00D1129C">
        <w:rPr>
          <w:rFonts w:ascii="Times New Roman" w:eastAsia="Times New Roman" w:hAnsi="Times New Roman" w:cs="Times New Roman"/>
          <w:b/>
          <w:sz w:val="20"/>
          <w:szCs w:val="20"/>
        </w:rPr>
        <w:t xml:space="preserve">Table 1: </w:t>
      </w:r>
      <w:r w:rsidR="00D755CC">
        <w:rPr>
          <w:rFonts w:ascii="Times New Roman" w:eastAsia="Times New Roman" w:hAnsi="Times New Roman" w:cs="Times New Roman"/>
          <w:b/>
          <w:sz w:val="20"/>
          <w:szCs w:val="20"/>
        </w:rPr>
        <w:t>D</w:t>
      </w:r>
      <w:r>
        <w:rPr>
          <w:rFonts w:ascii="Times New Roman" w:eastAsia="Times New Roman" w:hAnsi="Times New Roman" w:cs="Times New Roman"/>
          <w:b/>
          <w:sz w:val="20"/>
          <w:szCs w:val="20"/>
        </w:rPr>
        <w:t>istrib</w:t>
      </w:r>
      <w:r w:rsidR="00DB366D">
        <w:rPr>
          <w:rFonts w:ascii="Times New Roman" w:eastAsia="Times New Roman" w:hAnsi="Times New Roman" w:cs="Times New Roman"/>
          <w:b/>
          <w:sz w:val="20"/>
          <w:szCs w:val="20"/>
        </w:rPr>
        <w:t>ution of audit ratings for 2018</w:t>
      </w:r>
    </w:p>
    <w:tbl>
      <w:tblPr>
        <w:tblW w:w="10207" w:type="dxa"/>
        <w:tblInd w:w="-714" w:type="dxa"/>
        <w:tblLook w:val="04A0" w:firstRow="1" w:lastRow="0" w:firstColumn="1" w:lastColumn="0" w:noHBand="0" w:noVBand="1"/>
      </w:tblPr>
      <w:tblGrid>
        <w:gridCol w:w="2821"/>
        <w:gridCol w:w="991"/>
        <w:gridCol w:w="849"/>
        <w:gridCol w:w="991"/>
        <w:gridCol w:w="994"/>
        <w:gridCol w:w="991"/>
        <w:gridCol w:w="849"/>
        <w:gridCol w:w="874"/>
        <w:gridCol w:w="847"/>
      </w:tblGrid>
      <w:tr w:rsidR="00625A8D" w:rsidRPr="00B508D6" w14:paraId="0550D185" w14:textId="77777777" w:rsidTr="00BD75D4">
        <w:trPr>
          <w:trHeight w:val="315"/>
        </w:trPr>
        <w:tc>
          <w:tcPr>
            <w:tcW w:w="282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7B8C6A1" w14:textId="77777777" w:rsidR="00625A8D" w:rsidRPr="00B508D6" w:rsidRDefault="00625A8D" w:rsidP="00C46413">
            <w:pPr>
              <w:spacing w:after="0" w:line="240" w:lineRule="auto"/>
              <w:jc w:val="center"/>
              <w:rPr>
                <w:rFonts w:ascii="Times New Roman" w:eastAsia="Times New Roman" w:hAnsi="Times New Roman" w:cs="Times New Roman"/>
                <w:b/>
                <w:bCs/>
                <w:color w:val="000000"/>
                <w:sz w:val="16"/>
                <w:szCs w:val="16"/>
                <w:lang w:eastAsia="en-GB"/>
              </w:rPr>
            </w:pPr>
            <w:r w:rsidRPr="00B508D6">
              <w:rPr>
                <w:rFonts w:ascii="Times New Roman" w:eastAsia="Times New Roman" w:hAnsi="Times New Roman" w:cs="Times New Roman"/>
                <w:b/>
                <w:bCs/>
                <w:color w:val="000000"/>
                <w:sz w:val="16"/>
                <w:szCs w:val="16"/>
                <w:lang w:eastAsia="en-GB"/>
              </w:rPr>
              <w:t>Year</w:t>
            </w:r>
          </w:p>
        </w:tc>
        <w:tc>
          <w:tcPr>
            <w:tcW w:w="184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6A8C303" w14:textId="77777777" w:rsidR="00625A8D" w:rsidRPr="00B508D6" w:rsidRDefault="00625A8D" w:rsidP="00C46413">
            <w:pPr>
              <w:spacing w:after="0" w:line="240" w:lineRule="auto"/>
              <w:jc w:val="center"/>
              <w:rPr>
                <w:rFonts w:ascii="Times New Roman" w:eastAsia="Times New Roman" w:hAnsi="Times New Roman" w:cs="Times New Roman"/>
                <w:b/>
                <w:bCs/>
                <w:color w:val="000000"/>
                <w:sz w:val="16"/>
                <w:szCs w:val="16"/>
                <w:lang w:eastAsia="en-GB"/>
              </w:rPr>
            </w:pPr>
            <w:r w:rsidRPr="00B508D6">
              <w:rPr>
                <w:rFonts w:ascii="Times New Roman" w:eastAsia="Times New Roman" w:hAnsi="Times New Roman" w:cs="Times New Roman"/>
                <w:b/>
                <w:bCs/>
                <w:color w:val="000000"/>
                <w:sz w:val="16"/>
                <w:szCs w:val="16"/>
                <w:lang w:eastAsia="en-GB"/>
              </w:rPr>
              <w:t>2018</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34E3098" w14:textId="77777777" w:rsidR="00625A8D" w:rsidRPr="00B508D6" w:rsidRDefault="00625A8D" w:rsidP="00C46413">
            <w:pPr>
              <w:spacing w:after="0" w:line="240" w:lineRule="auto"/>
              <w:jc w:val="center"/>
              <w:rPr>
                <w:rFonts w:ascii="Times New Roman" w:eastAsia="Times New Roman" w:hAnsi="Times New Roman" w:cs="Times New Roman"/>
                <w:b/>
                <w:bCs/>
                <w:color w:val="000000"/>
                <w:sz w:val="16"/>
                <w:szCs w:val="16"/>
                <w:lang w:eastAsia="en-GB"/>
              </w:rPr>
            </w:pPr>
            <w:r w:rsidRPr="00B508D6">
              <w:rPr>
                <w:rFonts w:ascii="Times New Roman" w:eastAsia="Times New Roman" w:hAnsi="Times New Roman" w:cs="Times New Roman"/>
                <w:b/>
                <w:bCs/>
                <w:color w:val="000000"/>
                <w:sz w:val="16"/>
                <w:szCs w:val="16"/>
                <w:lang w:eastAsia="en-GB"/>
              </w:rPr>
              <w:t>Restated 2017</w:t>
            </w:r>
          </w:p>
        </w:tc>
        <w:tc>
          <w:tcPr>
            <w:tcW w:w="184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9AAFD48" w14:textId="77777777" w:rsidR="00625A8D" w:rsidRPr="00B508D6" w:rsidRDefault="00625A8D" w:rsidP="00C46413">
            <w:pPr>
              <w:spacing w:after="0" w:line="240" w:lineRule="auto"/>
              <w:jc w:val="center"/>
              <w:rPr>
                <w:rFonts w:ascii="Times New Roman" w:eastAsia="Times New Roman" w:hAnsi="Times New Roman" w:cs="Times New Roman"/>
                <w:b/>
                <w:bCs/>
                <w:color w:val="000000"/>
                <w:sz w:val="16"/>
                <w:szCs w:val="16"/>
                <w:lang w:eastAsia="en-GB"/>
              </w:rPr>
            </w:pPr>
            <w:r w:rsidRPr="00B508D6">
              <w:rPr>
                <w:rFonts w:ascii="Times New Roman" w:eastAsia="Times New Roman" w:hAnsi="Times New Roman" w:cs="Times New Roman"/>
                <w:b/>
                <w:bCs/>
                <w:color w:val="000000"/>
                <w:sz w:val="16"/>
                <w:szCs w:val="16"/>
                <w:lang w:eastAsia="en-GB"/>
              </w:rPr>
              <w:t>2018</w:t>
            </w:r>
          </w:p>
        </w:tc>
        <w:tc>
          <w:tcPr>
            <w:tcW w:w="172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FC36042" w14:textId="77777777" w:rsidR="00625A8D" w:rsidRPr="00B508D6" w:rsidRDefault="00625A8D" w:rsidP="00C46413">
            <w:pPr>
              <w:spacing w:after="0" w:line="240" w:lineRule="auto"/>
              <w:jc w:val="center"/>
              <w:rPr>
                <w:rFonts w:ascii="Times New Roman" w:eastAsia="Times New Roman" w:hAnsi="Times New Roman" w:cs="Times New Roman"/>
                <w:b/>
                <w:bCs/>
                <w:color w:val="000000"/>
                <w:sz w:val="16"/>
                <w:szCs w:val="16"/>
                <w:lang w:eastAsia="en-GB"/>
              </w:rPr>
            </w:pPr>
            <w:r w:rsidRPr="00B508D6">
              <w:rPr>
                <w:rFonts w:ascii="Times New Roman" w:eastAsia="Times New Roman" w:hAnsi="Times New Roman" w:cs="Times New Roman"/>
                <w:b/>
                <w:bCs/>
                <w:color w:val="000000"/>
                <w:sz w:val="16"/>
                <w:szCs w:val="16"/>
                <w:lang w:eastAsia="en-GB"/>
              </w:rPr>
              <w:t>Restated 2017</w:t>
            </w:r>
          </w:p>
        </w:tc>
      </w:tr>
      <w:tr w:rsidR="00625A8D" w:rsidRPr="00B508D6" w14:paraId="6FAB99CC" w14:textId="77777777" w:rsidTr="00BD75D4">
        <w:trPr>
          <w:trHeight w:val="645"/>
        </w:trPr>
        <w:tc>
          <w:tcPr>
            <w:tcW w:w="282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8829371" w14:textId="77777777" w:rsidR="00625A8D" w:rsidRPr="00B508D6" w:rsidRDefault="00625A8D" w:rsidP="00C46413">
            <w:pPr>
              <w:spacing w:after="0" w:line="240" w:lineRule="auto"/>
              <w:jc w:val="center"/>
              <w:rPr>
                <w:rFonts w:ascii="Times New Roman" w:eastAsia="Times New Roman" w:hAnsi="Times New Roman" w:cs="Times New Roman"/>
                <w:b/>
                <w:bCs/>
                <w:color w:val="000000"/>
                <w:sz w:val="16"/>
                <w:szCs w:val="16"/>
                <w:lang w:eastAsia="en-GB"/>
              </w:rPr>
            </w:pPr>
            <w:r w:rsidRPr="00B508D6">
              <w:rPr>
                <w:rFonts w:ascii="Times New Roman" w:eastAsia="Times New Roman" w:hAnsi="Times New Roman" w:cs="Times New Roman"/>
                <w:b/>
                <w:bCs/>
                <w:color w:val="000000"/>
                <w:sz w:val="16"/>
                <w:szCs w:val="16"/>
                <w:lang w:eastAsia="en-GB"/>
              </w:rPr>
              <w:t>Report ratings</w:t>
            </w:r>
          </w:p>
        </w:tc>
        <w:tc>
          <w:tcPr>
            <w:tcW w:w="99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5F0B67" w14:textId="0F99197E" w:rsidR="00625A8D" w:rsidRPr="00B508D6" w:rsidRDefault="00625A8D" w:rsidP="00C46413">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Internal audits and</w:t>
            </w:r>
            <w:r w:rsidRPr="00B508D6">
              <w:rPr>
                <w:rFonts w:ascii="Times New Roman" w:eastAsia="Times New Roman" w:hAnsi="Times New Roman" w:cs="Times New Roman"/>
                <w:b/>
                <w:bCs/>
                <w:color w:val="000000"/>
                <w:sz w:val="16"/>
                <w:szCs w:val="16"/>
                <w:lang w:eastAsia="en-GB"/>
              </w:rPr>
              <w:t xml:space="preserve"> reviews</w:t>
            </w:r>
          </w:p>
        </w:tc>
        <w:tc>
          <w:tcPr>
            <w:tcW w:w="84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D452E7C" w14:textId="77777777" w:rsidR="00625A8D" w:rsidRPr="00B508D6" w:rsidRDefault="00625A8D" w:rsidP="00C46413">
            <w:pPr>
              <w:spacing w:after="0" w:line="240" w:lineRule="auto"/>
              <w:jc w:val="center"/>
              <w:rPr>
                <w:rFonts w:ascii="Times New Roman" w:eastAsia="Times New Roman" w:hAnsi="Times New Roman" w:cs="Times New Roman"/>
                <w:b/>
                <w:bCs/>
                <w:color w:val="000000"/>
                <w:sz w:val="16"/>
                <w:szCs w:val="16"/>
                <w:lang w:eastAsia="en-GB"/>
              </w:rPr>
            </w:pPr>
            <w:r w:rsidRPr="00B508D6">
              <w:rPr>
                <w:rFonts w:ascii="Times New Roman" w:eastAsia="Times New Roman" w:hAnsi="Times New Roman" w:cs="Times New Roman"/>
                <w:b/>
                <w:bCs/>
                <w:color w:val="000000"/>
                <w:sz w:val="16"/>
                <w:szCs w:val="16"/>
                <w:lang w:eastAsia="en-GB"/>
              </w:rPr>
              <w:t>Project audits</w:t>
            </w:r>
          </w:p>
        </w:tc>
        <w:tc>
          <w:tcPr>
            <w:tcW w:w="99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2150A24" w14:textId="6FBF3A21" w:rsidR="00625A8D" w:rsidRPr="00B508D6" w:rsidRDefault="00625A8D" w:rsidP="00C46413">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 xml:space="preserve">Internal audits and </w:t>
            </w:r>
            <w:r w:rsidRPr="00B508D6">
              <w:rPr>
                <w:rFonts w:ascii="Times New Roman" w:eastAsia="Times New Roman" w:hAnsi="Times New Roman" w:cs="Times New Roman"/>
                <w:b/>
                <w:bCs/>
                <w:color w:val="000000"/>
                <w:sz w:val="16"/>
                <w:szCs w:val="16"/>
                <w:lang w:eastAsia="en-GB"/>
              </w:rPr>
              <w:t>reviews</w:t>
            </w:r>
          </w:p>
        </w:tc>
        <w:tc>
          <w:tcPr>
            <w:tcW w:w="9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C32B84D" w14:textId="77777777" w:rsidR="00625A8D" w:rsidRPr="00B508D6" w:rsidRDefault="00625A8D" w:rsidP="00C46413">
            <w:pPr>
              <w:spacing w:after="0" w:line="240" w:lineRule="auto"/>
              <w:jc w:val="center"/>
              <w:rPr>
                <w:rFonts w:ascii="Times New Roman" w:eastAsia="Times New Roman" w:hAnsi="Times New Roman" w:cs="Times New Roman"/>
                <w:b/>
                <w:bCs/>
                <w:color w:val="000000"/>
                <w:sz w:val="16"/>
                <w:szCs w:val="16"/>
                <w:lang w:eastAsia="en-GB"/>
              </w:rPr>
            </w:pPr>
            <w:r w:rsidRPr="00B508D6">
              <w:rPr>
                <w:rFonts w:ascii="Times New Roman" w:eastAsia="Times New Roman" w:hAnsi="Times New Roman" w:cs="Times New Roman"/>
                <w:b/>
                <w:bCs/>
                <w:color w:val="000000"/>
                <w:sz w:val="16"/>
                <w:szCs w:val="16"/>
                <w:lang w:eastAsia="en-GB"/>
              </w:rPr>
              <w:t>Project audits</w:t>
            </w:r>
          </w:p>
        </w:tc>
        <w:tc>
          <w:tcPr>
            <w:tcW w:w="99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D56F24" w14:textId="77777777" w:rsidR="00625A8D" w:rsidRPr="00B508D6" w:rsidRDefault="00625A8D" w:rsidP="00C46413">
            <w:pPr>
              <w:spacing w:after="0" w:line="240" w:lineRule="auto"/>
              <w:jc w:val="center"/>
              <w:rPr>
                <w:rFonts w:ascii="Times New Roman" w:eastAsia="Times New Roman" w:hAnsi="Times New Roman" w:cs="Times New Roman"/>
                <w:b/>
                <w:bCs/>
                <w:color w:val="000000"/>
                <w:sz w:val="16"/>
                <w:szCs w:val="16"/>
                <w:lang w:eastAsia="en-GB"/>
              </w:rPr>
            </w:pPr>
            <w:r w:rsidRPr="00B508D6">
              <w:rPr>
                <w:rFonts w:ascii="Times New Roman" w:eastAsia="Times New Roman" w:hAnsi="Times New Roman" w:cs="Times New Roman"/>
                <w:b/>
                <w:bCs/>
                <w:color w:val="000000"/>
                <w:sz w:val="16"/>
                <w:szCs w:val="16"/>
                <w:lang w:eastAsia="en-GB"/>
              </w:rPr>
              <w:t>Weighted report ratings*</w:t>
            </w:r>
          </w:p>
        </w:tc>
        <w:tc>
          <w:tcPr>
            <w:tcW w:w="84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7158AB9" w14:textId="77777777" w:rsidR="00625A8D" w:rsidRPr="00B508D6" w:rsidRDefault="00625A8D" w:rsidP="00C46413">
            <w:pPr>
              <w:spacing w:after="0" w:line="240" w:lineRule="auto"/>
              <w:jc w:val="center"/>
              <w:rPr>
                <w:rFonts w:ascii="Times New Roman" w:eastAsia="Times New Roman" w:hAnsi="Times New Roman" w:cs="Times New Roman"/>
                <w:b/>
                <w:bCs/>
                <w:color w:val="000000"/>
                <w:sz w:val="16"/>
                <w:szCs w:val="16"/>
                <w:lang w:eastAsia="en-GB"/>
              </w:rPr>
            </w:pPr>
            <w:r w:rsidRPr="00B508D6">
              <w:rPr>
                <w:rFonts w:ascii="Times New Roman" w:eastAsia="Times New Roman" w:hAnsi="Times New Roman" w:cs="Times New Roman"/>
                <w:b/>
                <w:bCs/>
                <w:color w:val="000000"/>
                <w:sz w:val="16"/>
                <w:szCs w:val="16"/>
                <w:lang w:eastAsia="en-GB"/>
              </w:rPr>
              <w:t>Per cent of total</w:t>
            </w:r>
          </w:p>
        </w:tc>
        <w:tc>
          <w:tcPr>
            <w:tcW w:w="87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077C275" w14:textId="77777777" w:rsidR="00625A8D" w:rsidRPr="00B508D6" w:rsidRDefault="00625A8D" w:rsidP="00C46413">
            <w:pPr>
              <w:spacing w:after="0" w:line="240" w:lineRule="auto"/>
              <w:jc w:val="center"/>
              <w:rPr>
                <w:rFonts w:ascii="Times New Roman" w:eastAsia="Times New Roman" w:hAnsi="Times New Roman" w:cs="Times New Roman"/>
                <w:b/>
                <w:bCs/>
                <w:color w:val="000000"/>
                <w:sz w:val="16"/>
                <w:szCs w:val="16"/>
                <w:lang w:eastAsia="en-GB"/>
              </w:rPr>
            </w:pPr>
            <w:r w:rsidRPr="00B508D6">
              <w:rPr>
                <w:rFonts w:ascii="Times New Roman" w:eastAsia="Times New Roman" w:hAnsi="Times New Roman" w:cs="Times New Roman"/>
                <w:b/>
                <w:bCs/>
                <w:color w:val="000000"/>
                <w:sz w:val="16"/>
                <w:szCs w:val="16"/>
                <w:lang w:eastAsia="en-GB"/>
              </w:rPr>
              <w:t>Weighted report ratings*</w:t>
            </w:r>
          </w:p>
        </w:tc>
        <w:tc>
          <w:tcPr>
            <w:tcW w:w="84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D6BE7E2" w14:textId="77777777" w:rsidR="00625A8D" w:rsidRPr="00B508D6" w:rsidRDefault="00625A8D" w:rsidP="00C46413">
            <w:pPr>
              <w:spacing w:after="0" w:line="240" w:lineRule="auto"/>
              <w:jc w:val="center"/>
              <w:rPr>
                <w:rFonts w:ascii="Times New Roman" w:eastAsia="Times New Roman" w:hAnsi="Times New Roman" w:cs="Times New Roman"/>
                <w:b/>
                <w:bCs/>
                <w:color w:val="000000"/>
                <w:sz w:val="16"/>
                <w:szCs w:val="16"/>
                <w:lang w:eastAsia="en-GB"/>
              </w:rPr>
            </w:pPr>
            <w:r w:rsidRPr="00B508D6">
              <w:rPr>
                <w:rFonts w:ascii="Times New Roman" w:eastAsia="Times New Roman" w:hAnsi="Times New Roman" w:cs="Times New Roman"/>
                <w:b/>
                <w:bCs/>
                <w:color w:val="000000"/>
                <w:sz w:val="16"/>
                <w:szCs w:val="16"/>
                <w:lang w:eastAsia="en-GB"/>
              </w:rPr>
              <w:t>Per cent of total</w:t>
            </w:r>
          </w:p>
        </w:tc>
      </w:tr>
      <w:tr w:rsidR="00625A8D" w:rsidRPr="00B508D6" w14:paraId="637CF83E" w14:textId="77777777" w:rsidTr="00BD75D4">
        <w:trPr>
          <w:trHeight w:val="315"/>
        </w:trPr>
        <w:tc>
          <w:tcPr>
            <w:tcW w:w="2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81901"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Satisfactory</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3F26F"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87992"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42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CA996"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2A746"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38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802B7"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21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D21F6"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5</w:t>
            </w:r>
            <w:r>
              <w:rPr>
                <w:rFonts w:ascii="Times New Roman" w:eastAsia="Times New Roman" w:hAnsi="Times New Roman" w:cs="Times New Roman"/>
                <w:color w:val="000000"/>
                <w:sz w:val="16"/>
                <w:szCs w:val="16"/>
                <w:lang w:eastAsia="en-GB"/>
              </w:rPr>
              <w:t>0</w:t>
            </w:r>
            <w:r w:rsidRPr="00B508D6">
              <w:rPr>
                <w:rFonts w:ascii="Times New Roman" w:eastAsia="Times New Roman" w:hAnsi="Times New Roman" w:cs="Times New Roman"/>
                <w:color w:val="000000"/>
                <w:sz w:val="16"/>
                <w:szCs w:val="16"/>
                <w:lang w:eastAsia="en-GB"/>
              </w:rPr>
              <w:t>%</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CC165"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19</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41029"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44%</w:t>
            </w:r>
          </w:p>
        </w:tc>
      </w:tr>
      <w:tr w:rsidR="00625A8D" w:rsidRPr="00B508D6" w14:paraId="3FB0B3A4" w14:textId="77777777" w:rsidTr="00BD75D4">
        <w:trPr>
          <w:trHeight w:val="315"/>
        </w:trPr>
        <w:tc>
          <w:tcPr>
            <w:tcW w:w="2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C4C66"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Partially satisfactory – Some improvement needed</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BB1C8"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01F80"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51CCF"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0A97"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61115"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5</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A1E61"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12%</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C6193"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6.5</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84BCC"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15%</w:t>
            </w:r>
          </w:p>
        </w:tc>
      </w:tr>
      <w:tr w:rsidR="00625A8D" w:rsidRPr="00B508D6" w14:paraId="71FA1323" w14:textId="77777777" w:rsidTr="00BD75D4">
        <w:trPr>
          <w:trHeight w:val="315"/>
        </w:trPr>
        <w:tc>
          <w:tcPr>
            <w:tcW w:w="2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86EF2"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Partially satisfactory – Major improvement needed</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527FD"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BC1F1"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C1AC2"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B6702"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B8C19"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A62CB"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5%</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CB2B4"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4</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07CA2"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9%</w:t>
            </w:r>
          </w:p>
        </w:tc>
      </w:tr>
      <w:tr w:rsidR="00625A8D" w:rsidRPr="00B508D6" w14:paraId="1648F815" w14:textId="77777777" w:rsidTr="00BD75D4">
        <w:trPr>
          <w:trHeight w:val="315"/>
        </w:trPr>
        <w:tc>
          <w:tcPr>
            <w:tcW w:w="2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D2013"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Partially satisfactory (old rating system)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44434"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96DC9"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58B43"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C81F9"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31861"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B22DE"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5927E"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2.5</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19835"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6%</w:t>
            </w:r>
          </w:p>
        </w:tc>
      </w:tr>
      <w:tr w:rsidR="00625A8D" w:rsidRPr="00B508D6" w14:paraId="4A493BC7" w14:textId="77777777" w:rsidTr="00BD75D4">
        <w:trPr>
          <w:trHeight w:val="315"/>
        </w:trPr>
        <w:tc>
          <w:tcPr>
            <w:tcW w:w="2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1F468"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Unsatisfactory</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9E4CB"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AFD44"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2D20D"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106FA"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57EE3"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4</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18AAD"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10%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2023E"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4.5</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CAD83" w14:textId="32E2A42E" w:rsidR="00625A8D" w:rsidRPr="00B508D6" w:rsidRDefault="00C03857" w:rsidP="00C46413">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11</w:t>
            </w:r>
            <w:r w:rsidR="00625A8D" w:rsidRPr="00B508D6">
              <w:rPr>
                <w:rFonts w:ascii="Times New Roman" w:eastAsia="Times New Roman" w:hAnsi="Times New Roman" w:cs="Times New Roman"/>
                <w:color w:val="000000"/>
                <w:sz w:val="16"/>
                <w:szCs w:val="16"/>
                <w:lang w:eastAsia="en-GB"/>
              </w:rPr>
              <w:t>%</w:t>
            </w:r>
          </w:p>
        </w:tc>
      </w:tr>
      <w:tr w:rsidR="00625A8D" w:rsidRPr="00B508D6" w14:paraId="5233B2AC" w14:textId="77777777" w:rsidTr="00BD75D4">
        <w:trPr>
          <w:trHeight w:val="315"/>
        </w:trPr>
        <w:tc>
          <w:tcPr>
            <w:tcW w:w="2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71C2E"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No rating**</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0F737"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8</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8BF0B"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5B61A"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6</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7EA9F"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0B42C"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CD0BA"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2</w:t>
            </w:r>
            <w:r>
              <w:rPr>
                <w:rFonts w:ascii="Times New Roman" w:eastAsia="Times New Roman" w:hAnsi="Times New Roman" w:cs="Times New Roman"/>
                <w:color w:val="000000"/>
                <w:sz w:val="16"/>
                <w:szCs w:val="16"/>
                <w:lang w:eastAsia="en-GB"/>
              </w:rPr>
              <w:t>3</w:t>
            </w:r>
            <w:r w:rsidRPr="00B508D6">
              <w:rPr>
                <w:rFonts w:ascii="Times New Roman" w:eastAsia="Times New Roman" w:hAnsi="Times New Roman" w:cs="Times New Roman"/>
                <w:color w:val="000000"/>
                <w:sz w:val="16"/>
                <w:szCs w:val="16"/>
                <w:lang w:eastAsia="en-GB"/>
              </w:rPr>
              <w:t>%</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05A1E"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6.5</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E1620"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15%</w:t>
            </w:r>
          </w:p>
        </w:tc>
      </w:tr>
      <w:tr w:rsidR="00625A8D" w:rsidRPr="00B508D6" w14:paraId="50CD5830" w14:textId="77777777" w:rsidTr="00BD75D4">
        <w:trPr>
          <w:trHeight w:val="315"/>
        </w:trPr>
        <w:tc>
          <w:tcPr>
            <w:tcW w:w="2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A63A7" w14:textId="77777777" w:rsidR="00625A8D" w:rsidRPr="00B508D6" w:rsidRDefault="00625A8D" w:rsidP="00C46413">
            <w:pPr>
              <w:spacing w:after="0" w:line="240" w:lineRule="auto"/>
              <w:jc w:val="center"/>
              <w:rPr>
                <w:rFonts w:ascii="Times New Roman" w:eastAsia="Times New Roman" w:hAnsi="Times New Roman" w:cs="Times New Roman"/>
                <w:b/>
                <w:bCs/>
                <w:color w:val="000000"/>
                <w:sz w:val="16"/>
                <w:szCs w:val="16"/>
                <w:lang w:eastAsia="en-GB"/>
              </w:rPr>
            </w:pPr>
            <w:r w:rsidRPr="00B508D6">
              <w:rPr>
                <w:rFonts w:ascii="Times New Roman" w:eastAsia="Times New Roman" w:hAnsi="Times New Roman" w:cs="Times New Roman"/>
                <w:b/>
                <w:bCs/>
                <w:color w:val="000000"/>
                <w:sz w:val="16"/>
                <w:szCs w:val="16"/>
                <w:lang w:eastAsia="en-GB"/>
              </w:rPr>
              <w:t>Total</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DB81D" w14:textId="77777777" w:rsidR="00625A8D" w:rsidRPr="00B508D6" w:rsidRDefault="00625A8D" w:rsidP="00C46413">
            <w:pPr>
              <w:spacing w:after="0" w:line="240" w:lineRule="auto"/>
              <w:jc w:val="center"/>
              <w:rPr>
                <w:rFonts w:ascii="Times New Roman" w:eastAsia="Times New Roman" w:hAnsi="Times New Roman" w:cs="Times New Roman"/>
                <w:b/>
                <w:bCs/>
                <w:color w:val="000000"/>
                <w:sz w:val="16"/>
                <w:szCs w:val="16"/>
                <w:lang w:eastAsia="en-GB"/>
              </w:rPr>
            </w:pPr>
            <w:r w:rsidRPr="00B508D6">
              <w:rPr>
                <w:rFonts w:ascii="Times New Roman" w:eastAsia="Times New Roman" w:hAnsi="Times New Roman" w:cs="Times New Roman"/>
                <w:b/>
                <w:bCs/>
                <w:color w:val="000000"/>
                <w:sz w:val="16"/>
                <w:szCs w:val="16"/>
                <w:lang w:eastAsia="en-GB"/>
              </w:rPr>
              <w:t>16</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CFE16" w14:textId="77777777" w:rsidR="00625A8D" w:rsidRPr="00B508D6" w:rsidRDefault="00625A8D" w:rsidP="00C46413">
            <w:pPr>
              <w:spacing w:after="0" w:line="240" w:lineRule="auto"/>
              <w:jc w:val="center"/>
              <w:rPr>
                <w:rFonts w:ascii="Times New Roman" w:eastAsia="Times New Roman" w:hAnsi="Times New Roman" w:cs="Times New Roman"/>
                <w:b/>
                <w:bCs/>
                <w:color w:val="000000"/>
                <w:sz w:val="16"/>
                <w:szCs w:val="16"/>
                <w:lang w:eastAsia="en-GB"/>
              </w:rPr>
            </w:pPr>
            <w:r w:rsidRPr="00B508D6">
              <w:rPr>
                <w:rFonts w:ascii="Times New Roman" w:eastAsia="Times New Roman" w:hAnsi="Times New Roman" w:cs="Times New Roman"/>
                <w:b/>
                <w:bCs/>
                <w:color w:val="000000"/>
                <w:sz w:val="16"/>
                <w:szCs w:val="16"/>
                <w:lang w:eastAsia="en-GB"/>
              </w:rPr>
              <w:t>50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C6BC2" w14:textId="77777777" w:rsidR="00625A8D" w:rsidRPr="00B508D6" w:rsidRDefault="00625A8D" w:rsidP="00C46413">
            <w:pPr>
              <w:spacing w:after="0" w:line="240" w:lineRule="auto"/>
              <w:jc w:val="center"/>
              <w:rPr>
                <w:rFonts w:ascii="Times New Roman" w:eastAsia="Times New Roman" w:hAnsi="Times New Roman" w:cs="Times New Roman"/>
                <w:b/>
                <w:bCs/>
                <w:color w:val="000000"/>
                <w:sz w:val="16"/>
                <w:szCs w:val="16"/>
                <w:lang w:eastAsia="en-GB"/>
              </w:rPr>
            </w:pPr>
            <w:r w:rsidRPr="00B508D6">
              <w:rPr>
                <w:rFonts w:ascii="Times New Roman" w:eastAsia="Times New Roman" w:hAnsi="Times New Roman" w:cs="Times New Roman"/>
                <w:b/>
                <w:bCs/>
                <w:color w:val="000000"/>
                <w:sz w:val="16"/>
                <w:szCs w:val="16"/>
                <w:lang w:eastAsia="en-GB"/>
              </w:rPr>
              <w:t>17</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EBC2F" w14:textId="77777777" w:rsidR="00625A8D" w:rsidRPr="00B508D6" w:rsidRDefault="00625A8D" w:rsidP="00C46413">
            <w:pPr>
              <w:spacing w:after="0" w:line="240" w:lineRule="auto"/>
              <w:jc w:val="center"/>
              <w:rPr>
                <w:rFonts w:ascii="Times New Roman" w:eastAsia="Times New Roman" w:hAnsi="Times New Roman" w:cs="Times New Roman"/>
                <w:b/>
                <w:bCs/>
                <w:color w:val="000000"/>
                <w:sz w:val="16"/>
                <w:szCs w:val="16"/>
                <w:lang w:eastAsia="en-GB"/>
              </w:rPr>
            </w:pPr>
            <w:r w:rsidRPr="00B508D6">
              <w:rPr>
                <w:rFonts w:ascii="Times New Roman" w:eastAsia="Times New Roman" w:hAnsi="Times New Roman" w:cs="Times New Roman"/>
                <w:b/>
                <w:bCs/>
                <w:color w:val="000000"/>
                <w:sz w:val="16"/>
                <w:szCs w:val="16"/>
                <w:lang w:eastAsia="en-GB"/>
              </w:rPr>
              <w:t>52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60E3A" w14:textId="77777777" w:rsidR="00625A8D" w:rsidRPr="00B508D6" w:rsidRDefault="00625A8D" w:rsidP="00C46413">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42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C6E8E"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100%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A333A" w14:textId="77777777" w:rsidR="00625A8D" w:rsidRPr="00B508D6" w:rsidRDefault="00625A8D" w:rsidP="00C46413">
            <w:pPr>
              <w:spacing w:after="0" w:line="240" w:lineRule="auto"/>
              <w:jc w:val="center"/>
              <w:rPr>
                <w:rFonts w:ascii="Times New Roman" w:eastAsia="Times New Roman" w:hAnsi="Times New Roman" w:cs="Times New Roman"/>
                <w:color w:val="000000"/>
                <w:sz w:val="16"/>
                <w:szCs w:val="16"/>
                <w:lang w:eastAsia="en-GB"/>
              </w:rPr>
            </w:pPr>
            <w:r w:rsidRPr="00B508D6">
              <w:rPr>
                <w:rFonts w:ascii="Times New Roman" w:eastAsia="Times New Roman" w:hAnsi="Times New Roman" w:cs="Times New Roman"/>
                <w:color w:val="000000"/>
                <w:sz w:val="16"/>
                <w:szCs w:val="16"/>
                <w:lang w:eastAsia="en-GB"/>
              </w:rPr>
              <w:t>43</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C094C" w14:textId="77777777" w:rsidR="00625A8D" w:rsidRPr="00B508D6" w:rsidRDefault="00625A8D" w:rsidP="00C46413">
            <w:pPr>
              <w:spacing w:after="0" w:line="240" w:lineRule="auto"/>
              <w:jc w:val="center"/>
              <w:rPr>
                <w:rFonts w:ascii="Times New Roman" w:eastAsia="Times New Roman" w:hAnsi="Times New Roman" w:cs="Times New Roman"/>
                <w:b/>
                <w:bCs/>
                <w:color w:val="000000"/>
                <w:sz w:val="16"/>
                <w:szCs w:val="16"/>
                <w:lang w:eastAsia="en-GB"/>
              </w:rPr>
            </w:pPr>
            <w:r w:rsidRPr="00B508D6">
              <w:rPr>
                <w:rFonts w:ascii="Times New Roman" w:eastAsia="Times New Roman" w:hAnsi="Times New Roman" w:cs="Times New Roman"/>
                <w:b/>
                <w:bCs/>
                <w:color w:val="000000"/>
                <w:sz w:val="16"/>
                <w:szCs w:val="16"/>
                <w:lang w:eastAsia="en-GB"/>
              </w:rPr>
              <w:t>100%</w:t>
            </w:r>
          </w:p>
        </w:tc>
      </w:tr>
      <w:tr w:rsidR="00625A8D" w:rsidRPr="00B508D6" w14:paraId="202A95D6" w14:textId="77777777" w:rsidTr="00BD75D4">
        <w:trPr>
          <w:trHeight w:val="495"/>
        </w:trPr>
        <w:tc>
          <w:tcPr>
            <w:tcW w:w="10207" w:type="dxa"/>
            <w:gridSpan w:val="9"/>
            <w:tcBorders>
              <w:top w:val="single" w:sz="4" w:space="0" w:color="auto"/>
              <w:left w:val="nil"/>
              <w:bottom w:val="nil"/>
              <w:right w:val="nil"/>
            </w:tcBorders>
            <w:shd w:val="clear" w:color="auto" w:fill="auto"/>
            <w:vAlign w:val="center"/>
            <w:hideMark/>
          </w:tcPr>
          <w:p w14:paraId="70BD1063" w14:textId="4D64B903" w:rsidR="00625A8D" w:rsidRPr="00B508D6" w:rsidRDefault="001113F2" w:rsidP="00C46413">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As indicated in paragraph 5</w:t>
            </w:r>
            <w:r w:rsidR="00625A8D" w:rsidRPr="00B508D6">
              <w:rPr>
                <w:rFonts w:ascii="Times New Roman" w:eastAsia="Times New Roman" w:hAnsi="Times New Roman" w:cs="Times New Roman"/>
                <w:color w:val="000000"/>
                <w:sz w:val="16"/>
                <w:szCs w:val="16"/>
                <w:lang w:eastAsia="en-GB"/>
              </w:rPr>
              <w:t>, project audit reports have been weighted to count 50 per</w:t>
            </w:r>
            <w:r w:rsidR="00E24935">
              <w:rPr>
                <w:rFonts w:ascii="Times New Roman" w:eastAsia="Times New Roman" w:hAnsi="Times New Roman" w:cs="Times New Roman"/>
                <w:color w:val="000000"/>
                <w:sz w:val="16"/>
                <w:szCs w:val="16"/>
                <w:lang w:eastAsia="en-GB"/>
              </w:rPr>
              <w:t xml:space="preserve"> </w:t>
            </w:r>
            <w:r w:rsidR="00625A8D" w:rsidRPr="00B508D6">
              <w:rPr>
                <w:rFonts w:ascii="Times New Roman" w:eastAsia="Times New Roman" w:hAnsi="Times New Roman" w:cs="Times New Roman"/>
                <w:color w:val="000000"/>
                <w:sz w:val="16"/>
                <w:szCs w:val="16"/>
                <w:lang w:eastAsia="en-GB"/>
              </w:rPr>
              <w:t>cent.</w:t>
            </w:r>
            <w:r w:rsidR="00625A8D" w:rsidRPr="00B508D6">
              <w:rPr>
                <w:rFonts w:ascii="Times New Roman" w:eastAsia="Times New Roman" w:hAnsi="Times New Roman" w:cs="Times New Roman"/>
                <w:color w:val="000000"/>
                <w:sz w:val="16"/>
                <w:szCs w:val="16"/>
                <w:lang w:eastAsia="en-GB"/>
              </w:rPr>
              <w:br/>
              <w:t>**No rating is provided for themat</w:t>
            </w:r>
            <w:r>
              <w:rPr>
                <w:rFonts w:ascii="Times New Roman" w:eastAsia="Times New Roman" w:hAnsi="Times New Roman" w:cs="Times New Roman"/>
                <w:color w:val="000000"/>
                <w:sz w:val="16"/>
                <w:szCs w:val="16"/>
                <w:lang w:eastAsia="en-GB"/>
              </w:rPr>
              <w:t>ic reviews and forensic project</w:t>
            </w:r>
            <w:r w:rsidR="00625A8D" w:rsidRPr="00B508D6">
              <w:rPr>
                <w:rFonts w:ascii="Times New Roman" w:eastAsia="Times New Roman" w:hAnsi="Times New Roman" w:cs="Times New Roman"/>
                <w:color w:val="000000"/>
                <w:sz w:val="16"/>
                <w:szCs w:val="16"/>
                <w:lang w:eastAsia="en-GB"/>
              </w:rPr>
              <w:t xml:space="preserve"> audit</w:t>
            </w:r>
            <w:r>
              <w:rPr>
                <w:rFonts w:ascii="Times New Roman" w:eastAsia="Times New Roman" w:hAnsi="Times New Roman" w:cs="Times New Roman"/>
                <w:color w:val="000000"/>
                <w:sz w:val="16"/>
                <w:szCs w:val="16"/>
                <w:lang w:eastAsia="en-GB"/>
              </w:rPr>
              <w:t>s</w:t>
            </w:r>
          </w:p>
        </w:tc>
      </w:tr>
    </w:tbl>
    <w:p w14:paraId="0FD489C3" w14:textId="77777777" w:rsidR="00625A8D" w:rsidRDefault="00625A8D" w:rsidP="00C35F8D">
      <w:pPr>
        <w:spacing w:after="0" w:line="240" w:lineRule="auto"/>
        <w:ind w:left="360"/>
        <w:jc w:val="both"/>
        <w:rPr>
          <w:rFonts w:ascii="Times New Roman" w:eastAsia="Times New Roman" w:hAnsi="Times New Roman" w:cs="Times New Roman"/>
          <w:sz w:val="20"/>
          <w:szCs w:val="20"/>
        </w:rPr>
      </w:pPr>
    </w:p>
    <w:p w14:paraId="59C8AD71" w14:textId="58645D92" w:rsidR="00001917" w:rsidRDefault="00464A6C" w:rsidP="002113F8">
      <w:pPr>
        <w:numPr>
          <w:ilvl w:val="0"/>
          <w:numId w:val="2"/>
        </w:numPr>
        <w:spacing w:after="60" w:line="240" w:lineRule="auto"/>
        <w:ind w:left="357" w:hanging="3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change</w:t>
      </w:r>
      <w:r w:rsidR="002B5EDF">
        <w:rPr>
          <w:rFonts w:ascii="Times New Roman" w:eastAsia="Times New Roman" w:hAnsi="Times New Roman" w:cs="Times New Roman"/>
          <w:sz w:val="20"/>
          <w:szCs w:val="20"/>
        </w:rPr>
        <w:t>s were applied to the 2018 overall</w:t>
      </w:r>
      <w:r>
        <w:rPr>
          <w:rFonts w:ascii="Times New Roman" w:eastAsia="Times New Roman" w:hAnsi="Times New Roman" w:cs="Times New Roman"/>
          <w:sz w:val="20"/>
          <w:szCs w:val="20"/>
        </w:rPr>
        <w:t xml:space="preserve"> opinion criteria as compared to 2017:</w:t>
      </w:r>
    </w:p>
    <w:p w14:paraId="02B29F32" w14:textId="375C0DCF" w:rsidR="00001917" w:rsidRDefault="00464A6C">
      <w:pPr>
        <w:numPr>
          <w:ilvl w:val="1"/>
          <w:numId w:val="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Project </w:t>
      </w:r>
      <w:r w:rsidR="00240DF2">
        <w:rPr>
          <w:rFonts w:ascii="Times New Roman" w:eastAsia="Times New Roman" w:hAnsi="Times New Roman" w:cs="Times New Roman"/>
          <w:sz w:val="20"/>
          <w:szCs w:val="20"/>
        </w:rPr>
        <w:t>audits</w:t>
      </w:r>
      <w:r>
        <w:rPr>
          <w:rFonts w:ascii="Times New Roman" w:eastAsia="Times New Roman" w:hAnsi="Times New Roman" w:cs="Times New Roman"/>
          <w:sz w:val="20"/>
          <w:szCs w:val="20"/>
        </w:rPr>
        <w:t xml:space="preserve"> may not represent fully the GRC aspects of UNOPS</w:t>
      </w:r>
      <w:r w:rsidR="00625A8D">
        <w:rPr>
          <w:rFonts w:ascii="Times New Roman" w:eastAsia="Times New Roman" w:hAnsi="Times New Roman" w:cs="Times New Roman"/>
          <w:sz w:val="20"/>
          <w:szCs w:val="20"/>
        </w:rPr>
        <w:t xml:space="preserve"> as </w:t>
      </w:r>
      <w:r w:rsidR="00D46B47" w:rsidRPr="00D46B47">
        <w:rPr>
          <w:rFonts w:ascii="Times New Roman" w:eastAsia="Times New Roman" w:hAnsi="Times New Roman" w:cs="Times New Roman"/>
          <w:sz w:val="20"/>
          <w:szCs w:val="20"/>
        </w:rPr>
        <w:t xml:space="preserve">their scope </w:t>
      </w:r>
      <w:r w:rsidR="00D46B47">
        <w:rPr>
          <w:rFonts w:ascii="Times New Roman" w:eastAsia="Times New Roman" w:hAnsi="Times New Roman" w:cs="Times New Roman"/>
          <w:sz w:val="20"/>
          <w:szCs w:val="20"/>
        </w:rPr>
        <w:t xml:space="preserve">is different from internal audits of field offices, </w:t>
      </w:r>
      <w:r>
        <w:rPr>
          <w:rFonts w:ascii="Times New Roman" w:eastAsia="Times New Roman" w:hAnsi="Times New Roman" w:cs="Times New Roman"/>
          <w:sz w:val="20"/>
          <w:szCs w:val="20"/>
        </w:rPr>
        <w:t xml:space="preserve">nonetheless, they provide an indirect </w:t>
      </w:r>
      <w:r w:rsidR="002B5EDF">
        <w:rPr>
          <w:rFonts w:ascii="Times New Roman" w:eastAsia="Times New Roman" w:hAnsi="Times New Roman" w:cs="Times New Roman"/>
          <w:sz w:val="20"/>
          <w:szCs w:val="20"/>
        </w:rPr>
        <w:t>indication</w:t>
      </w:r>
      <w:r>
        <w:rPr>
          <w:rFonts w:ascii="Times New Roman" w:eastAsia="Times New Roman" w:hAnsi="Times New Roman" w:cs="Times New Roman"/>
          <w:sz w:val="20"/>
          <w:szCs w:val="20"/>
        </w:rPr>
        <w:t xml:space="preserve"> about the UNOPS GRC. </w:t>
      </w:r>
      <w:r w:rsidR="00625A8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To this effect, IAIG </w:t>
      </w:r>
      <w:r w:rsidR="003E146E">
        <w:rPr>
          <w:rFonts w:ascii="Times New Roman" w:eastAsia="Times New Roman" w:hAnsi="Times New Roman" w:cs="Times New Roman"/>
          <w:sz w:val="20"/>
          <w:szCs w:val="20"/>
        </w:rPr>
        <w:t xml:space="preserve">estimates </w:t>
      </w:r>
      <w:r>
        <w:rPr>
          <w:rFonts w:ascii="Times New Roman" w:eastAsia="Times New Roman" w:hAnsi="Times New Roman" w:cs="Times New Roman"/>
          <w:sz w:val="20"/>
          <w:szCs w:val="20"/>
        </w:rPr>
        <w:t>that the results of the project audits give a 50 per</w:t>
      </w:r>
      <w:r w:rsidR="0018427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cent assurance about UNOPS GRC. </w:t>
      </w:r>
    </w:p>
    <w:p w14:paraId="1991FE29" w14:textId="618A7C8A" w:rsidR="008C5CAF" w:rsidRDefault="00464A6C" w:rsidP="008C5CAF">
      <w:pPr>
        <w:numPr>
          <w:ilvl w:val="1"/>
          <w:numId w:val="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 the purpose of the current calculation, a project financial audit with an un</w:t>
      </w:r>
      <w:r w:rsidR="00F80E80">
        <w:rPr>
          <w:rFonts w:ascii="Times New Roman" w:eastAsia="Times New Roman" w:hAnsi="Times New Roman" w:cs="Times New Roman"/>
          <w:sz w:val="20"/>
          <w:szCs w:val="20"/>
        </w:rPr>
        <w:t xml:space="preserve">qualified </w:t>
      </w:r>
      <w:r>
        <w:rPr>
          <w:rFonts w:ascii="Times New Roman" w:eastAsia="Times New Roman" w:hAnsi="Times New Roman" w:cs="Times New Roman"/>
          <w:sz w:val="20"/>
          <w:szCs w:val="20"/>
        </w:rPr>
        <w:t xml:space="preserve">opinion is considered as satisfactory, while a project financial audit with a </w:t>
      </w:r>
      <w:r w:rsidR="00F80E80">
        <w:rPr>
          <w:rFonts w:ascii="Times New Roman" w:eastAsia="Times New Roman" w:hAnsi="Times New Roman" w:cs="Times New Roman"/>
          <w:sz w:val="20"/>
          <w:szCs w:val="20"/>
        </w:rPr>
        <w:t xml:space="preserve">qualified </w:t>
      </w:r>
      <w:r w:rsidR="00C35F8D">
        <w:rPr>
          <w:rFonts w:ascii="Times New Roman" w:eastAsia="Times New Roman" w:hAnsi="Times New Roman" w:cs="Times New Roman"/>
          <w:sz w:val="20"/>
          <w:szCs w:val="20"/>
        </w:rPr>
        <w:t xml:space="preserve">opinion is considered </w:t>
      </w:r>
      <w:r>
        <w:rPr>
          <w:rFonts w:ascii="Times New Roman" w:eastAsia="Times New Roman" w:hAnsi="Times New Roman" w:cs="Times New Roman"/>
          <w:sz w:val="20"/>
          <w:szCs w:val="20"/>
        </w:rPr>
        <w:t xml:space="preserve">unsatisfactory. </w:t>
      </w:r>
      <w:r w:rsidR="00625A8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 2017, project financial audit results were categorized as ‘no rating’.</w:t>
      </w:r>
    </w:p>
    <w:p w14:paraId="10D018D5" w14:textId="77777777" w:rsidR="00001917" w:rsidRPr="008C5CAF" w:rsidRDefault="00001917" w:rsidP="008C5CAF">
      <w:pPr>
        <w:spacing w:after="0" w:line="240" w:lineRule="auto"/>
        <w:jc w:val="both"/>
        <w:rPr>
          <w:rFonts w:ascii="Times New Roman" w:eastAsia="Times New Roman" w:hAnsi="Times New Roman" w:cs="Times New Roman"/>
          <w:sz w:val="20"/>
          <w:szCs w:val="20"/>
        </w:rPr>
      </w:pPr>
    </w:p>
    <w:p w14:paraId="7787672C" w14:textId="77777777" w:rsidR="00BE5498" w:rsidRDefault="003E146E">
      <w:pPr>
        <w:numPr>
          <w:ilvl w:val="0"/>
          <w:numId w:val="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can be seen from t</w:t>
      </w:r>
      <w:r w:rsidR="00464A6C">
        <w:rPr>
          <w:rFonts w:ascii="Times New Roman" w:eastAsia="Times New Roman" w:hAnsi="Times New Roman" w:cs="Times New Roman"/>
          <w:sz w:val="20"/>
          <w:szCs w:val="20"/>
        </w:rPr>
        <w:t xml:space="preserve">he above table that </w:t>
      </w:r>
      <w:r w:rsidR="006A5C1C">
        <w:rPr>
          <w:rFonts w:ascii="Times New Roman" w:eastAsia="Times New Roman" w:hAnsi="Times New Roman" w:cs="Times New Roman"/>
          <w:sz w:val="20"/>
          <w:szCs w:val="20"/>
        </w:rPr>
        <w:t xml:space="preserve">although the methodology in 2018 </w:t>
      </w:r>
      <w:r w:rsidR="0020391C">
        <w:rPr>
          <w:rFonts w:ascii="Times New Roman" w:eastAsia="Times New Roman" w:hAnsi="Times New Roman" w:cs="Times New Roman"/>
          <w:sz w:val="20"/>
          <w:szCs w:val="20"/>
        </w:rPr>
        <w:t>was</w:t>
      </w:r>
      <w:r w:rsidR="006A5C1C">
        <w:rPr>
          <w:rFonts w:ascii="Times New Roman" w:eastAsia="Times New Roman" w:hAnsi="Times New Roman" w:cs="Times New Roman"/>
          <w:sz w:val="20"/>
          <w:szCs w:val="20"/>
        </w:rPr>
        <w:t xml:space="preserve"> enhanced to include opinions</w:t>
      </w:r>
      <w:r w:rsidR="006238D5">
        <w:rPr>
          <w:rFonts w:ascii="Times New Roman" w:eastAsia="Times New Roman" w:hAnsi="Times New Roman" w:cs="Times New Roman"/>
          <w:sz w:val="20"/>
          <w:szCs w:val="20"/>
        </w:rPr>
        <w:t xml:space="preserve"> on project </w:t>
      </w:r>
      <w:r w:rsidR="00240DF2">
        <w:rPr>
          <w:rFonts w:ascii="Times New Roman" w:eastAsia="Times New Roman" w:hAnsi="Times New Roman" w:cs="Times New Roman"/>
          <w:sz w:val="20"/>
          <w:szCs w:val="20"/>
        </w:rPr>
        <w:t xml:space="preserve">audits including project </w:t>
      </w:r>
      <w:r w:rsidR="006238D5">
        <w:rPr>
          <w:rFonts w:ascii="Times New Roman" w:eastAsia="Times New Roman" w:hAnsi="Times New Roman" w:cs="Times New Roman"/>
          <w:sz w:val="20"/>
          <w:szCs w:val="20"/>
        </w:rPr>
        <w:t>financial audits</w:t>
      </w:r>
      <w:r w:rsidR="006A5C1C">
        <w:rPr>
          <w:rFonts w:ascii="Times New Roman" w:eastAsia="Times New Roman" w:hAnsi="Times New Roman" w:cs="Times New Roman"/>
          <w:sz w:val="20"/>
          <w:szCs w:val="20"/>
        </w:rPr>
        <w:t xml:space="preserve">, </w:t>
      </w:r>
      <w:r w:rsidR="00464A6C">
        <w:rPr>
          <w:rFonts w:ascii="Times New Roman" w:eastAsia="Times New Roman" w:hAnsi="Times New Roman" w:cs="Times New Roman"/>
          <w:sz w:val="20"/>
          <w:szCs w:val="20"/>
        </w:rPr>
        <w:t>there were five unsatisfactory ratings in 2018, down from seven in 2017. In addition, 1</w:t>
      </w:r>
      <w:r w:rsidR="00D15BC3">
        <w:rPr>
          <w:rFonts w:ascii="Times New Roman" w:eastAsia="Times New Roman" w:hAnsi="Times New Roman" w:cs="Times New Roman"/>
          <w:sz w:val="20"/>
          <w:szCs w:val="20"/>
        </w:rPr>
        <w:t>7</w:t>
      </w:r>
      <w:r w:rsidR="00464A6C">
        <w:rPr>
          <w:rFonts w:ascii="Times New Roman" w:eastAsia="Times New Roman" w:hAnsi="Times New Roman" w:cs="Times New Roman"/>
          <w:sz w:val="20"/>
          <w:szCs w:val="20"/>
        </w:rPr>
        <w:t xml:space="preserve"> per</w:t>
      </w:r>
      <w:r w:rsidR="00184272">
        <w:rPr>
          <w:rFonts w:ascii="Times New Roman" w:eastAsia="Times New Roman" w:hAnsi="Times New Roman" w:cs="Times New Roman"/>
          <w:sz w:val="20"/>
          <w:szCs w:val="20"/>
        </w:rPr>
        <w:t xml:space="preserve"> </w:t>
      </w:r>
      <w:r w:rsidR="00464A6C">
        <w:rPr>
          <w:rFonts w:ascii="Times New Roman" w:eastAsia="Times New Roman" w:hAnsi="Times New Roman" w:cs="Times New Roman"/>
          <w:sz w:val="20"/>
          <w:szCs w:val="20"/>
        </w:rPr>
        <w:t>cent of all audits have a rat</w:t>
      </w:r>
      <w:r w:rsidR="002B5EDF">
        <w:rPr>
          <w:rFonts w:ascii="Times New Roman" w:eastAsia="Times New Roman" w:hAnsi="Times New Roman" w:cs="Times New Roman"/>
          <w:sz w:val="20"/>
          <w:szCs w:val="20"/>
        </w:rPr>
        <w:t>ing “partially satisfactory” (3</w:t>
      </w:r>
      <w:r w:rsidR="00D15BC3">
        <w:rPr>
          <w:rFonts w:ascii="Times New Roman" w:eastAsia="Times New Roman" w:hAnsi="Times New Roman" w:cs="Times New Roman"/>
          <w:sz w:val="20"/>
          <w:szCs w:val="20"/>
        </w:rPr>
        <w:t>0</w:t>
      </w:r>
      <w:r w:rsidR="00464A6C">
        <w:rPr>
          <w:rFonts w:ascii="Times New Roman" w:eastAsia="Times New Roman" w:hAnsi="Times New Roman" w:cs="Times New Roman"/>
          <w:sz w:val="20"/>
          <w:szCs w:val="20"/>
        </w:rPr>
        <w:t xml:space="preserve"> per</w:t>
      </w:r>
      <w:r w:rsidR="00184272">
        <w:rPr>
          <w:rFonts w:ascii="Times New Roman" w:eastAsia="Times New Roman" w:hAnsi="Times New Roman" w:cs="Times New Roman"/>
          <w:sz w:val="20"/>
          <w:szCs w:val="20"/>
        </w:rPr>
        <w:t xml:space="preserve"> </w:t>
      </w:r>
      <w:r w:rsidR="00464A6C">
        <w:rPr>
          <w:rFonts w:ascii="Times New Roman" w:eastAsia="Times New Roman" w:hAnsi="Times New Roman" w:cs="Times New Roman"/>
          <w:sz w:val="20"/>
          <w:szCs w:val="20"/>
        </w:rPr>
        <w:t>cent in 2017</w:t>
      </w:r>
      <w:r>
        <w:rPr>
          <w:rFonts w:ascii="Times New Roman" w:eastAsia="Times New Roman" w:hAnsi="Times New Roman" w:cs="Times New Roman"/>
          <w:sz w:val="20"/>
          <w:szCs w:val="20"/>
        </w:rPr>
        <w:t xml:space="preserve">), </w:t>
      </w:r>
    </w:p>
    <w:p w14:paraId="7F03E976" w14:textId="77777777" w:rsidR="00BE5498" w:rsidRDefault="00BE5498" w:rsidP="00BE5498">
      <w:pPr>
        <w:spacing w:after="0" w:line="240" w:lineRule="auto"/>
        <w:jc w:val="both"/>
        <w:rPr>
          <w:rFonts w:ascii="Times New Roman" w:eastAsia="Times New Roman" w:hAnsi="Times New Roman" w:cs="Times New Roman"/>
          <w:sz w:val="20"/>
          <w:szCs w:val="20"/>
        </w:rPr>
      </w:pPr>
    </w:p>
    <w:p w14:paraId="6774182E" w14:textId="77777777" w:rsidR="007774F8" w:rsidRDefault="007774F8" w:rsidP="00BE5498">
      <w:pPr>
        <w:spacing w:after="0" w:line="240" w:lineRule="auto"/>
        <w:ind w:left="360"/>
        <w:jc w:val="both"/>
        <w:rPr>
          <w:rFonts w:ascii="Times New Roman" w:eastAsia="Times New Roman" w:hAnsi="Times New Roman" w:cs="Times New Roman"/>
          <w:sz w:val="20"/>
          <w:szCs w:val="20"/>
        </w:rPr>
      </w:pPr>
    </w:p>
    <w:p w14:paraId="1A5554C2" w14:textId="1FA065F5" w:rsidR="00001917" w:rsidRDefault="00464A6C" w:rsidP="00BE5498">
      <w:pPr>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where there are deficiencies in governance, risk management and controls whic</w:t>
      </w:r>
      <w:r w:rsidR="002B5EDF">
        <w:rPr>
          <w:rFonts w:ascii="Times New Roman" w:eastAsia="Times New Roman" w:hAnsi="Times New Roman" w:cs="Times New Roman"/>
          <w:sz w:val="20"/>
          <w:szCs w:val="20"/>
        </w:rPr>
        <w:t>h need to be addressed. While 50</w:t>
      </w:r>
      <w:r>
        <w:rPr>
          <w:rFonts w:ascii="Times New Roman" w:eastAsia="Times New Roman" w:hAnsi="Times New Roman" w:cs="Times New Roman"/>
          <w:sz w:val="20"/>
          <w:szCs w:val="20"/>
        </w:rPr>
        <w:t xml:space="preserve"> per</w:t>
      </w:r>
      <w:r w:rsidR="0018427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cent of audi</w:t>
      </w:r>
      <w:r w:rsidR="002B5EDF">
        <w:rPr>
          <w:rFonts w:ascii="Times New Roman" w:eastAsia="Times New Roman" w:hAnsi="Times New Roman" w:cs="Times New Roman"/>
          <w:sz w:val="20"/>
          <w:szCs w:val="20"/>
        </w:rPr>
        <w:t>ts had a satisfactory rating (44</w:t>
      </w:r>
      <w:r>
        <w:rPr>
          <w:rFonts w:ascii="Times New Roman" w:eastAsia="Times New Roman" w:hAnsi="Times New Roman" w:cs="Times New Roman"/>
          <w:sz w:val="20"/>
          <w:szCs w:val="20"/>
        </w:rPr>
        <w:t xml:space="preserve"> per</w:t>
      </w:r>
      <w:r w:rsidR="0018427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cent in 2017), the audits nonetheless identified areas for improvement. </w:t>
      </w:r>
    </w:p>
    <w:p w14:paraId="291C216E" w14:textId="77777777" w:rsidR="00A76091" w:rsidRDefault="00A76091" w:rsidP="00A76091">
      <w:pPr>
        <w:spacing w:after="0" w:line="240" w:lineRule="auto"/>
        <w:jc w:val="both"/>
        <w:rPr>
          <w:rFonts w:ascii="Times New Roman" w:eastAsia="Times New Roman" w:hAnsi="Times New Roman" w:cs="Times New Roman"/>
          <w:sz w:val="20"/>
          <w:szCs w:val="20"/>
        </w:rPr>
      </w:pPr>
    </w:p>
    <w:p w14:paraId="41050410" w14:textId="4129002B" w:rsidR="00A76091" w:rsidRPr="00E6165B" w:rsidRDefault="00A76091">
      <w:pPr>
        <w:numPr>
          <w:ilvl w:val="0"/>
          <w:numId w:val="2"/>
        </w:numPr>
        <w:spacing w:after="0" w:line="240" w:lineRule="auto"/>
        <w:jc w:val="both"/>
        <w:rPr>
          <w:rFonts w:ascii="Times New Roman" w:eastAsia="Times New Roman" w:hAnsi="Times New Roman" w:cs="Times New Roman"/>
          <w:sz w:val="20"/>
          <w:szCs w:val="20"/>
        </w:rPr>
      </w:pPr>
      <w:r w:rsidRPr="00E6165B">
        <w:rPr>
          <w:rFonts w:ascii="Times New Roman" w:eastAsia="Times New Roman" w:hAnsi="Times New Roman" w:cs="Times New Roman"/>
          <w:sz w:val="20"/>
          <w:szCs w:val="20"/>
        </w:rPr>
        <w:t>In addition to the criteria above on the audit ratings for individual audits, the below quantitative and qualitative data was considered as part of forming the overall opinion for 2018:</w:t>
      </w:r>
    </w:p>
    <w:p w14:paraId="2386F887" w14:textId="08751F06" w:rsidR="00615824" w:rsidRPr="00F459D3" w:rsidRDefault="0021042D" w:rsidP="00F43DC8">
      <w:pPr>
        <w:numPr>
          <w:ilvl w:val="0"/>
          <w:numId w:val="7"/>
        </w:numPr>
        <w:spacing w:after="0" w:line="240" w:lineRule="auto"/>
        <w:ind w:left="851" w:hanging="425"/>
        <w:jc w:val="both"/>
        <w:rPr>
          <w:rFonts w:ascii="Times New Roman" w:eastAsia="Times New Roman" w:hAnsi="Times New Roman" w:cs="Times New Roman"/>
          <w:sz w:val="20"/>
          <w:szCs w:val="20"/>
        </w:rPr>
      </w:pPr>
      <w:r w:rsidRPr="00F459D3">
        <w:rPr>
          <w:rFonts w:ascii="Times New Roman" w:eastAsia="Times New Roman" w:hAnsi="Times New Roman" w:cs="Times New Roman"/>
          <w:sz w:val="20"/>
          <w:szCs w:val="20"/>
        </w:rPr>
        <w:t xml:space="preserve">Quantitative matters – </w:t>
      </w:r>
      <w:r w:rsidR="002B3B43" w:rsidRPr="00F459D3">
        <w:rPr>
          <w:rFonts w:ascii="Times New Roman" w:eastAsia="Times New Roman" w:hAnsi="Times New Roman" w:cs="Times New Roman"/>
          <w:sz w:val="20"/>
          <w:szCs w:val="20"/>
        </w:rPr>
        <w:t>(a)</w:t>
      </w:r>
      <w:r w:rsidR="00A51496" w:rsidRPr="00F459D3">
        <w:rPr>
          <w:rFonts w:ascii="Times New Roman" w:eastAsia="Times New Roman" w:hAnsi="Times New Roman" w:cs="Times New Roman"/>
          <w:sz w:val="20"/>
          <w:szCs w:val="20"/>
        </w:rPr>
        <w:t xml:space="preserve"> </w:t>
      </w:r>
      <w:r w:rsidR="00F459D3">
        <w:rPr>
          <w:rFonts w:ascii="Times New Roman" w:eastAsia="Times New Roman" w:hAnsi="Times New Roman" w:cs="Times New Roman"/>
          <w:sz w:val="20"/>
          <w:szCs w:val="20"/>
        </w:rPr>
        <w:t>for</w:t>
      </w:r>
      <w:r w:rsidR="00EE2120" w:rsidRPr="00F459D3">
        <w:rPr>
          <w:rFonts w:ascii="Times New Roman" w:eastAsia="Times New Roman" w:hAnsi="Times New Roman" w:cs="Times New Roman"/>
          <w:sz w:val="20"/>
          <w:szCs w:val="20"/>
        </w:rPr>
        <w:t xml:space="preserve"> project </w:t>
      </w:r>
      <w:r w:rsidR="00F459D3">
        <w:rPr>
          <w:rFonts w:ascii="Times New Roman" w:eastAsia="Times New Roman" w:hAnsi="Times New Roman" w:cs="Times New Roman"/>
          <w:sz w:val="20"/>
          <w:szCs w:val="20"/>
        </w:rPr>
        <w:t xml:space="preserve">financial </w:t>
      </w:r>
      <w:r w:rsidR="00EE2120" w:rsidRPr="00F459D3">
        <w:rPr>
          <w:rFonts w:ascii="Times New Roman" w:eastAsia="Times New Roman" w:hAnsi="Times New Roman" w:cs="Times New Roman"/>
          <w:sz w:val="20"/>
          <w:szCs w:val="20"/>
        </w:rPr>
        <w:t xml:space="preserve">audits in 2018, the cumulative financial impact of project audit reports with a qualified opinion </w:t>
      </w:r>
      <w:r w:rsidR="00F459D3">
        <w:rPr>
          <w:rFonts w:ascii="Times New Roman" w:eastAsia="Times New Roman" w:hAnsi="Times New Roman" w:cs="Times New Roman"/>
          <w:sz w:val="20"/>
          <w:szCs w:val="20"/>
        </w:rPr>
        <w:t>was $781,431 ($139,315 in 2017)</w:t>
      </w:r>
      <w:r w:rsidR="008758EC" w:rsidRPr="006A57EC">
        <w:rPr>
          <w:vertAlign w:val="superscript"/>
        </w:rPr>
        <w:footnoteReference w:id="1"/>
      </w:r>
      <w:r w:rsidR="00F459D3">
        <w:rPr>
          <w:rFonts w:ascii="Times New Roman" w:eastAsia="Times New Roman" w:hAnsi="Times New Roman" w:cs="Times New Roman"/>
          <w:sz w:val="20"/>
          <w:szCs w:val="20"/>
        </w:rPr>
        <w:t>;</w:t>
      </w:r>
      <w:r w:rsidR="00EE2120" w:rsidRPr="00F459D3">
        <w:rPr>
          <w:rFonts w:ascii="Times New Roman" w:eastAsia="Times New Roman" w:hAnsi="Times New Roman" w:cs="Times New Roman"/>
          <w:sz w:val="20"/>
          <w:szCs w:val="20"/>
        </w:rPr>
        <w:t xml:space="preserve"> </w:t>
      </w:r>
      <w:r w:rsidR="002B3B43" w:rsidRPr="00F459D3">
        <w:rPr>
          <w:rFonts w:ascii="Times New Roman" w:eastAsia="Times New Roman" w:hAnsi="Times New Roman" w:cs="Times New Roman"/>
          <w:sz w:val="20"/>
          <w:szCs w:val="20"/>
        </w:rPr>
        <w:t>(b)</w:t>
      </w:r>
      <w:r w:rsidR="008758EC" w:rsidRPr="00F459D3">
        <w:rPr>
          <w:rFonts w:ascii="Times New Roman" w:eastAsia="Times New Roman" w:hAnsi="Times New Roman" w:cs="Times New Roman"/>
          <w:sz w:val="20"/>
          <w:szCs w:val="20"/>
        </w:rPr>
        <w:t xml:space="preserve"> </w:t>
      </w:r>
      <w:r w:rsidR="00F459D3">
        <w:rPr>
          <w:rFonts w:ascii="Times New Roman" w:eastAsia="Times New Roman" w:hAnsi="Times New Roman" w:cs="Times New Roman"/>
          <w:sz w:val="20"/>
          <w:szCs w:val="20"/>
        </w:rPr>
        <w:t>f</w:t>
      </w:r>
      <w:r w:rsidR="00EE2120" w:rsidRPr="00F459D3">
        <w:rPr>
          <w:rFonts w:ascii="Times New Roman" w:eastAsia="Times New Roman" w:hAnsi="Times New Roman" w:cs="Times New Roman"/>
          <w:sz w:val="20"/>
          <w:szCs w:val="20"/>
        </w:rPr>
        <w:t xml:space="preserve">or </w:t>
      </w:r>
      <w:r w:rsidR="00F459D3">
        <w:rPr>
          <w:rFonts w:ascii="Times New Roman" w:eastAsia="Times New Roman" w:hAnsi="Times New Roman" w:cs="Times New Roman"/>
          <w:sz w:val="20"/>
          <w:szCs w:val="20"/>
        </w:rPr>
        <w:t xml:space="preserve">project </w:t>
      </w:r>
      <w:r w:rsidR="00EE2120" w:rsidRPr="00F459D3">
        <w:rPr>
          <w:rFonts w:ascii="Times New Roman" w:eastAsia="Times New Roman" w:hAnsi="Times New Roman" w:cs="Times New Roman"/>
          <w:sz w:val="20"/>
          <w:szCs w:val="20"/>
        </w:rPr>
        <w:t>internal control reports, the financial impact of audit observations</w:t>
      </w:r>
      <w:r w:rsidR="00F459D3">
        <w:rPr>
          <w:rFonts w:ascii="Times New Roman" w:eastAsia="Times New Roman" w:hAnsi="Times New Roman" w:cs="Times New Roman"/>
          <w:sz w:val="20"/>
          <w:szCs w:val="20"/>
        </w:rPr>
        <w:t xml:space="preserve"> was $69,928 ($171,247 in 2017);</w:t>
      </w:r>
      <w:r w:rsidR="00A51496" w:rsidRPr="00F459D3">
        <w:rPr>
          <w:rFonts w:ascii="Times New Roman" w:eastAsia="Times New Roman" w:hAnsi="Times New Roman" w:cs="Times New Roman"/>
          <w:sz w:val="20"/>
          <w:szCs w:val="20"/>
        </w:rPr>
        <w:t xml:space="preserve"> </w:t>
      </w:r>
      <w:r w:rsidR="002B3B43" w:rsidRPr="00F459D3">
        <w:rPr>
          <w:rFonts w:ascii="Times New Roman" w:eastAsia="Times New Roman" w:hAnsi="Times New Roman" w:cs="Times New Roman"/>
          <w:sz w:val="20"/>
          <w:szCs w:val="20"/>
        </w:rPr>
        <w:t xml:space="preserve">(c) </w:t>
      </w:r>
      <w:r w:rsidR="00F459D3">
        <w:rPr>
          <w:rFonts w:ascii="Times New Roman" w:eastAsia="Times New Roman" w:hAnsi="Times New Roman" w:cs="Times New Roman"/>
          <w:sz w:val="20"/>
          <w:szCs w:val="20"/>
        </w:rPr>
        <w:t>i</w:t>
      </w:r>
      <w:r w:rsidR="00A51496" w:rsidRPr="00F459D3">
        <w:rPr>
          <w:rFonts w:ascii="Times New Roman" w:eastAsia="Times New Roman" w:hAnsi="Times New Roman" w:cs="Times New Roman"/>
          <w:sz w:val="20"/>
          <w:szCs w:val="20"/>
        </w:rPr>
        <w:t>n 2018, IAIG substantiated $130,725 in fraud</w:t>
      </w:r>
      <w:r w:rsidR="00F459D3">
        <w:rPr>
          <w:rFonts w:ascii="Times New Roman" w:eastAsia="Times New Roman" w:hAnsi="Times New Roman" w:cs="Times New Roman"/>
          <w:sz w:val="20"/>
          <w:szCs w:val="20"/>
        </w:rPr>
        <w:t>, compared to $268,507 in 2017; and</w:t>
      </w:r>
      <w:r w:rsidR="00A51496" w:rsidRPr="00F459D3">
        <w:rPr>
          <w:rFonts w:ascii="Times New Roman" w:eastAsia="Times New Roman" w:hAnsi="Times New Roman" w:cs="Times New Roman"/>
          <w:sz w:val="20"/>
          <w:szCs w:val="20"/>
        </w:rPr>
        <w:t xml:space="preserve"> </w:t>
      </w:r>
      <w:r w:rsidR="002B3B43" w:rsidRPr="00F459D3">
        <w:rPr>
          <w:rFonts w:ascii="Times New Roman" w:eastAsia="Times New Roman" w:hAnsi="Times New Roman" w:cs="Times New Roman"/>
          <w:sz w:val="20"/>
          <w:szCs w:val="20"/>
        </w:rPr>
        <w:t xml:space="preserve">(d) </w:t>
      </w:r>
      <w:r w:rsidR="00F459D3">
        <w:rPr>
          <w:rFonts w:ascii="Times New Roman" w:eastAsia="Times New Roman" w:hAnsi="Times New Roman" w:cs="Times New Roman"/>
          <w:sz w:val="20"/>
          <w:szCs w:val="20"/>
        </w:rPr>
        <w:t>i</w:t>
      </w:r>
      <w:r w:rsidR="00EE2120" w:rsidRPr="00F459D3">
        <w:rPr>
          <w:rFonts w:ascii="Times New Roman" w:eastAsia="Times New Roman" w:hAnsi="Times New Roman" w:cs="Times New Roman"/>
          <w:sz w:val="20"/>
          <w:szCs w:val="20"/>
        </w:rPr>
        <w:t>n 2018, IAIG identified $93,588 in payments to sanctioned vendors ($</w:t>
      </w:r>
      <w:r w:rsidR="00F459D3" w:rsidRPr="00F459D3">
        <w:rPr>
          <w:rFonts w:ascii="Times New Roman" w:eastAsia="Times New Roman" w:hAnsi="Times New Roman" w:cs="Times New Roman"/>
          <w:sz w:val="20"/>
          <w:szCs w:val="20"/>
        </w:rPr>
        <w:t>311,188 in 2017),</w:t>
      </w:r>
      <w:r w:rsidR="00EE2120" w:rsidRPr="00F459D3">
        <w:rPr>
          <w:rFonts w:ascii="Times New Roman" w:eastAsia="Times New Roman" w:hAnsi="Times New Roman" w:cs="Times New Roman"/>
          <w:sz w:val="20"/>
          <w:szCs w:val="20"/>
        </w:rPr>
        <w:t xml:space="preserve"> $15,283 in duplicate payments ($30,144 in 2017</w:t>
      </w:r>
      <w:r w:rsidR="003E146E" w:rsidRPr="00F459D3">
        <w:rPr>
          <w:rFonts w:ascii="Times New Roman" w:eastAsia="Times New Roman" w:hAnsi="Times New Roman" w:cs="Times New Roman"/>
          <w:sz w:val="20"/>
          <w:szCs w:val="20"/>
        </w:rPr>
        <w:t>)</w:t>
      </w:r>
      <w:r w:rsidR="00F459D3" w:rsidRPr="00F459D3">
        <w:rPr>
          <w:rFonts w:ascii="Times New Roman" w:eastAsia="Times New Roman" w:hAnsi="Times New Roman" w:cs="Times New Roman"/>
          <w:sz w:val="20"/>
          <w:szCs w:val="20"/>
        </w:rPr>
        <w:t xml:space="preserve">, and </w:t>
      </w:r>
      <w:r w:rsidR="00EE2120" w:rsidRPr="00F459D3">
        <w:rPr>
          <w:rFonts w:ascii="Times New Roman" w:eastAsia="Times New Roman" w:hAnsi="Times New Roman" w:cs="Times New Roman"/>
          <w:sz w:val="20"/>
          <w:szCs w:val="20"/>
        </w:rPr>
        <w:t xml:space="preserve">a </w:t>
      </w:r>
      <w:r w:rsidR="003E146E" w:rsidRPr="00F459D3">
        <w:rPr>
          <w:rFonts w:ascii="Times New Roman" w:eastAsia="Times New Roman" w:hAnsi="Times New Roman" w:cs="Times New Roman"/>
          <w:sz w:val="20"/>
          <w:szCs w:val="20"/>
        </w:rPr>
        <w:t>fall in</w:t>
      </w:r>
      <w:r w:rsidR="00EE2120" w:rsidRPr="00F459D3">
        <w:rPr>
          <w:rFonts w:ascii="Times New Roman" w:eastAsia="Times New Roman" w:hAnsi="Times New Roman" w:cs="Times New Roman"/>
          <w:sz w:val="20"/>
          <w:szCs w:val="20"/>
        </w:rPr>
        <w:t xml:space="preserve"> </w:t>
      </w:r>
      <w:r w:rsidR="003E146E" w:rsidRPr="00F459D3">
        <w:rPr>
          <w:rFonts w:ascii="Times New Roman" w:eastAsia="Times New Roman" w:hAnsi="Times New Roman" w:cs="Times New Roman"/>
          <w:sz w:val="20"/>
          <w:szCs w:val="20"/>
        </w:rPr>
        <w:t xml:space="preserve">the frequency of </w:t>
      </w:r>
      <w:r w:rsidR="00EE2120" w:rsidRPr="00F459D3">
        <w:rPr>
          <w:rFonts w:ascii="Times New Roman" w:eastAsia="Times New Roman" w:hAnsi="Times New Roman" w:cs="Times New Roman"/>
          <w:sz w:val="20"/>
          <w:szCs w:val="20"/>
        </w:rPr>
        <w:t>retroactively approved ICA awards across UNOPS</w:t>
      </w:r>
      <w:r w:rsidR="002D2168" w:rsidRPr="00F459D3">
        <w:rPr>
          <w:rFonts w:ascii="Times New Roman" w:eastAsia="Times New Roman" w:hAnsi="Times New Roman" w:cs="Times New Roman"/>
          <w:sz w:val="20"/>
          <w:szCs w:val="20"/>
        </w:rPr>
        <w:t>,</w:t>
      </w:r>
      <w:r w:rsidR="00EE2120" w:rsidRPr="00F459D3">
        <w:rPr>
          <w:rFonts w:ascii="Times New Roman" w:eastAsia="Times New Roman" w:hAnsi="Times New Roman" w:cs="Times New Roman"/>
          <w:sz w:val="20"/>
          <w:szCs w:val="20"/>
        </w:rPr>
        <w:t xml:space="preserve"> from 27 per cent in the first </w:t>
      </w:r>
      <w:r w:rsidR="003E146E" w:rsidRPr="00F459D3">
        <w:rPr>
          <w:rFonts w:ascii="Times New Roman" w:eastAsia="Times New Roman" w:hAnsi="Times New Roman" w:cs="Times New Roman"/>
          <w:sz w:val="20"/>
          <w:szCs w:val="20"/>
        </w:rPr>
        <w:t xml:space="preserve">six </w:t>
      </w:r>
      <w:r w:rsidR="00EE2120" w:rsidRPr="00F459D3">
        <w:rPr>
          <w:rFonts w:ascii="Times New Roman" w:eastAsia="Times New Roman" w:hAnsi="Times New Roman" w:cs="Times New Roman"/>
          <w:sz w:val="20"/>
          <w:szCs w:val="20"/>
        </w:rPr>
        <w:t xml:space="preserve">months of 2018 to 16 per cent </w:t>
      </w:r>
      <w:r w:rsidR="002D2168" w:rsidRPr="00F459D3">
        <w:rPr>
          <w:rFonts w:ascii="Times New Roman" w:eastAsia="Times New Roman" w:hAnsi="Times New Roman" w:cs="Times New Roman"/>
          <w:sz w:val="20"/>
          <w:szCs w:val="20"/>
        </w:rPr>
        <w:t xml:space="preserve">in </w:t>
      </w:r>
      <w:r w:rsidR="00EE2120" w:rsidRPr="00F459D3">
        <w:rPr>
          <w:rFonts w:ascii="Times New Roman" w:eastAsia="Times New Roman" w:hAnsi="Times New Roman" w:cs="Times New Roman"/>
          <w:sz w:val="20"/>
          <w:szCs w:val="20"/>
        </w:rPr>
        <w:t xml:space="preserve">the last </w:t>
      </w:r>
      <w:r w:rsidR="003E146E" w:rsidRPr="00F459D3">
        <w:rPr>
          <w:rFonts w:ascii="Times New Roman" w:eastAsia="Times New Roman" w:hAnsi="Times New Roman" w:cs="Times New Roman"/>
          <w:sz w:val="20"/>
          <w:szCs w:val="20"/>
        </w:rPr>
        <w:t xml:space="preserve">six </w:t>
      </w:r>
      <w:r w:rsidR="00EE2120" w:rsidRPr="00F459D3">
        <w:rPr>
          <w:rFonts w:ascii="Times New Roman" w:eastAsia="Times New Roman" w:hAnsi="Times New Roman" w:cs="Times New Roman"/>
          <w:sz w:val="20"/>
          <w:szCs w:val="20"/>
        </w:rPr>
        <w:t>months.</w:t>
      </w:r>
      <w:r w:rsidR="00E6165B" w:rsidRPr="00F459D3">
        <w:rPr>
          <w:rFonts w:ascii="Times New Roman" w:eastAsia="Times New Roman" w:hAnsi="Times New Roman" w:cs="Times New Roman"/>
          <w:sz w:val="20"/>
          <w:szCs w:val="20"/>
        </w:rPr>
        <w:t xml:space="preserve"> </w:t>
      </w:r>
    </w:p>
    <w:p w14:paraId="6D7A70BB" w14:textId="0F609F83" w:rsidR="00F459D3" w:rsidRDefault="00464A6C" w:rsidP="00A76091">
      <w:pPr>
        <w:numPr>
          <w:ilvl w:val="0"/>
          <w:numId w:val="7"/>
        </w:numPr>
        <w:spacing w:after="0" w:line="240" w:lineRule="auto"/>
        <w:ind w:left="851"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Qualitative matters</w:t>
      </w:r>
      <w:r w:rsidR="005540D7">
        <w:rPr>
          <w:rFonts w:ascii="Times New Roman" w:eastAsia="Times New Roman" w:hAnsi="Times New Roman" w:cs="Times New Roman"/>
          <w:sz w:val="20"/>
          <w:szCs w:val="20"/>
        </w:rPr>
        <w:t xml:space="preserve"> </w:t>
      </w:r>
      <w:r w:rsidR="0021042D">
        <w:rPr>
          <w:rFonts w:ascii="Times New Roman" w:eastAsia="Times New Roman" w:hAnsi="Times New Roman" w:cs="Times New Roman"/>
          <w:sz w:val="20"/>
          <w:szCs w:val="20"/>
        </w:rPr>
        <w:t>–</w:t>
      </w:r>
      <w:r w:rsidR="00533DE7">
        <w:rPr>
          <w:rFonts w:ascii="Times New Roman" w:eastAsia="Times New Roman" w:hAnsi="Times New Roman" w:cs="Times New Roman"/>
          <w:sz w:val="20"/>
          <w:szCs w:val="20"/>
        </w:rPr>
        <w:t xml:space="preserve"> </w:t>
      </w:r>
      <w:r w:rsidR="00F459D3">
        <w:rPr>
          <w:rFonts w:ascii="Times New Roman" w:eastAsia="Times New Roman" w:hAnsi="Times New Roman" w:cs="Times New Roman"/>
          <w:sz w:val="20"/>
          <w:szCs w:val="20"/>
        </w:rPr>
        <w:t xml:space="preserve">(a) </w:t>
      </w:r>
      <w:r w:rsidR="005540D7" w:rsidRPr="0021042D">
        <w:rPr>
          <w:rFonts w:ascii="Times New Roman" w:eastAsia="Times New Roman" w:hAnsi="Times New Roman" w:cs="Times New Roman"/>
          <w:sz w:val="20"/>
          <w:szCs w:val="20"/>
        </w:rPr>
        <w:t>findings</w:t>
      </w:r>
      <w:r w:rsidR="00E6165B">
        <w:rPr>
          <w:rFonts w:ascii="Times New Roman" w:eastAsia="Times New Roman" w:hAnsi="Times New Roman" w:cs="Times New Roman"/>
          <w:sz w:val="20"/>
          <w:szCs w:val="20"/>
        </w:rPr>
        <w:t xml:space="preserve"> arising from investigations</w:t>
      </w:r>
      <w:r w:rsidR="00F459D3">
        <w:rPr>
          <w:rFonts w:ascii="Times New Roman" w:eastAsia="Times New Roman" w:hAnsi="Times New Roman" w:cs="Times New Roman"/>
          <w:sz w:val="20"/>
          <w:szCs w:val="20"/>
        </w:rPr>
        <w:t xml:space="preserve">; (b) </w:t>
      </w:r>
      <w:r w:rsidR="002D2168" w:rsidRPr="0021042D">
        <w:rPr>
          <w:rFonts w:ascii="Times New Roman" w:eastAsia="Times New Roman" w:hAnsi="Times New Roman" w:cs="Times New Roman"/>
          <w:sz w:val="20"/>
          <w:szCs w:val="20"/>
        </w:rPr>
        <w:t>th</w:t>
      </w:r>
      <w:r w:rsidRPr="0021042D">
        <w:rPr>
          <w:rFonts w:ascii="Times New Roman" w:eastAsia="Times New Roman" w:hAnsi="Times New Roman" w:cs="Times New Roman"/>
          <w:sz w:val="20"/>
          <w:szCs w:val="20"/>
        </w:rPr>
        <w:t>e implementation rate of internal audit recommendations</w:t>
      </w:r>
      <w:r w:rsidR="002D2168" w:rsidRPr="0021042D">
        <w:rPr>
          <w:rFonts w:ascii="Times New Roman" w:eastAsia="Times New Roman" w:hAnsi="Times New Roman" w:cs="Times New Roman"/>
          <w:sz w:val="20"/>
          <w:szCs w:val="20"/>
        </w:rPr>
        <w:t xml:space="preserve"> which </w:t>
      </w:r>
      <w:r w:rsidRPr="0021042D">
        <w:rPr>
          <w:rFonts w:ascii="Times New Roman" w:eastAsia="Times New Roman" w:hAnsi="Times New Roman" w:cs="Times New Roman"/>
          <w:sz w:val="20"/>
          <w:szCs w:val="20"/>
        </w:rPr>
        <w:t>at the end of 2018 was</w:t>
      </w:r>
      <w:r w:rsidR="00A7770D" w:rsidRPr="0021042D">
        <w:rPr>
          <w:rFonts w:ascii="Times New Roman" w:eastAsia="Times New Roman" w:hAnsi="Times New Roman" w:cs="Times New Roman"/>
          <w:sz w:val="20"/>
          <w:szCs w:val="20"/>
        </w:rPr>
        <w:t xml:space="preserve"> 96</w:t>
      </w:r>
      <w:r w:rsidRPr="0021042D">
        <w:rPr>
          <w:rFonts w:ascii="Times New Roman" w:eastAsia="Times New Roman" w:hAnsi="Times New Roman" w:cs="Times New Roman"/>
          <w:sz w:val="20"/>
          <w:szCs w:val="20"/>
        </w:rPr>
        <w:t xml:space="preserve"> per</w:t>
      </w:r>
      <w:r w:rsidR="00184272" w:rsidRPr="0021042D">
        <w:rPr>
          <w:rFonts w:ascii="Times New Roman" w:eastAsia="Times New Roman" w:hAnsi="Times New Roman" w:cs="Times New Roman"/>
          <w:sz w:val="20"/>
          <w:szCs w:val="20"/>
        </w:rPr>
        <w:t xml:space="preserve"> </w:t>
      </w:r>
      <w:r w:rsidRPr="0021042D">
        <w:rPr>
          <w:rFonts w:ascii="Times New Roman" w:eastAsia="Times New Roman" w:hAnsi="Times New Roman" w:cs="Times New Roman"/>
          <w:sz w:val="20"/>
          <w:szCs w:val="20"/>
        </w:rPr>
        <w:t>cent</w:t>
      </w:r>
      <w:r w:rsidR="00EE0843">
        <w:rPr>
          <w:rFonts w:ascii="Times New Roman" w:eastAsia="Times New Roman" w:hAnsi="Times New Roman" w:cs="Times New Roman"/>
          <w:sz w:val="20"/>
          <w:szCs w:val="20"/>
        </w:rPr>
        <w:t>, t</w:t>
      </w:r>
      <w:r w:rsidR="002D2168" w:rsidRPr="0021042D">
        <w:rPr>
          <w:rFonts w:ascii="Times New Roman" w:eastAsia="Times New Roman" w:hAnsi="Times New Roman" w:cs="Times New Roman"/>
          <w:sz w:val="20"/>
          <w:szCs w:val="20"/>
        </w:rPr>
        <w:t>his rate is</w:t>
      </w:r>
      <w:r w:rsidRPr="0021042D">
        <w:rPr>
          <w:rFonts w:ascii="Times New Roman" w:eastAsia="Times New Roman" w:hAnsi="Times New Roman" w:cs="Times New Roman"/>
          <w:sz w:val="20"/>
          <w:szCs w:val="20"/>
        </w:rPr>
        <w:t xml:space="preserve"> </w:t>
      </w:r>
      <w:r w:rsidR="002D2168" w:rsidRPr="0021042D">
        <w:rPr>
          <w:rFonts w:ascii="Times New Roman" w:eastAsia="Times New Roman" w:hAnsi="Times New Roman" w:cs="Times New Roman"/>
          <w:sz w:val="20"/>
          <w:szCs w:val="20"/>
        </w:rPr>
        <w:t>judged to be</w:t>
      </w:r>
      <w:r w:rsidRPr="0021042D">
        <w:rPr>
          <w:rFonts w:ascii="Times New Roman" w:eastAsia="Times New Roman" w:hAnsi="Times New Roman" w:cs="Times New Roman"/>
          <w:sz w:val="20"/>
          <w:szCs w:val="20"/>
        </w:rPr>
        <w:t xml:space="preserve"> “satisfactory</w:t>
      </w:r>
      <w:r w:rsidR="002D2168" w:rsidRPr="0021042D">
        <w:rPr>
          <w:rFonts w:ascii="Times New Roman" w:eastAsia="Times New Roman" w:hAnsi="Times New Roman" w:cs="Times New Roman"/>
          <w:sz w:val="20"/>
          <w:szCs w:val="20"/>
        </w:rPr>
        <w:t>”; it is evidence</w:t>
      </w:r>
      <w:r w:rsidRPr="0021042D">
        <w:rPr>
          <w:rFonts w:ascii="Times New Roman" w:eastAsia="Times New Roman" w:hAnsi="Times New Roman" w:cs="Times New Roman"/>
          <w:sz w:val="20"/>
          <w:szCs w:val="20"/>
        </w:rPr>
        <w:t xml:space="preserve"> that </w:t>
      </w:r>
      <w:r w:rsidR="002D2168" w:rsidRPr="0021042D">
        <w:rPr>
          <w:rFonts w:ascii="Times New Roman" w:eastAsia="Times New Roman" w:hAnsi="Times New Roman" w:cs="Times New Roman"/>
          <w:sz w:val="20"/>
          <w:szCs w:val="20"/>
        </w:rPr>
        <w:t xml:space="preserve">the organization </w:t>
      </w:r>
      <w:r w:rsidRPr="0021042D">
        <w:rPr>
          <w:rFonts w:ascii="Times New Roman" w:eastAsia="Times New Roman" w:hAnsi="Times New Roman" w:cs="Times New Roman"/>
          <w:sz w:val="20"/>
          <w:szCs w:val="20"/>
        </w:rPr>
        <w:t xml:space="preserve">takes effective and timely action to address deficiencies </w:t>
      </w:r>
      <w:r w:rsidR="00184272" w:rsidRPr="0021042D">
        <w:rPr>
          <w:rFonts w:ascii="Times New Roman" w:eastAsia="Times New Roman" w:hAnsi="Times New Roman" w:cs="Times New Roman"/>
          <w:sz w:val="20"/>
          <w:szCs w:val="20"/>
        </w:rPr>
        <w:t xml:space="preserve">identified in audits, </w:t>
      </w:r>
      <w:r w:rsidR="002D2168" w:rsidRPr="0021042D">
        <w:rPr>
          <w:rFonts w:ascii="Times New Roman" w:eastAsia="Times New Roman" w:hAnsi="Times New Roman" w:cs="Times New Roman"/>
          <w:sz w:val="20"/>
          <w:szCs w:val="20"/>
        </w:rPr>
        <w:t xml:space="preserve">and </w:t>
      </w:r>
      <w:r w:rsidR="00184272" w:rsidRPr="0021042D">
        <w:rPr>
          <w:rFonts w:ascii="Times New Roman" w:eastAsia="Times New Roman" w:hAnsi="Times New Roman" w:cs="Times New Roman"/>
          <w:sz w:val="20"/>
          <w:szCs w:val="20"/>
        </w:rPr>
        <w:t xml:space="preserve">represents a </w:t>
      </w:r>
      <w:r w:rsidR="00D50A2F" w:rsidRPr="0021042D">
        <w:rPr>
          <w:rFonts w:ascii="Times New Roman" w:eastAsia="Times New Roman" w:hAnsi="Times New Roman" w:cs="Times New Roman"/>
          <w:sz w:val="20"/>
          <w:szCs w:val="20"/>
        </w:rPr>
        <w:t>four</w:t>
      </w:r>
      <w:r w:rsidRPr="0021042D">
        <w:rPr>
          <w:rFonts w:ascii="Times New Roman" w:eastAsia="Times New Roman" w:hAnsi="Times New Roman" w:cs="Times New Roman"/>
          <w:sz w:val="20"/>
          <w:szCs w:val="20"/>
        </w:rPr>
        <w:t xml:space="preserve"> per</w:t>
      </w:r>
      <w:r w:rsidR="00184272" w:rsidRPr="0021042D">
        <w:rPr>
          <w:rFonts w:ascii="Times New Roman" w:eastAsia="Times New Roman" w:hAnsi="Times New Roman" w:cs="Times New Roman"/>
          <w:sz w:val="20"/>
          <w:szCs w:val="20"/>
        </w:rPr>
        <w:t xml:space="preserve"> </w:t>
      </w:r>
      <w:r w:rsidRPr="0021042D">
        <w:rPr>
          <w:rFonts w:ascii="Times New Roman" w:eastAsia="Times New Roman" w:hAnsi="Times New Roman" w:cs="Times New Roman"/>
          <w:sz w:val="20"/>
          <w:szCs w:val="20"/>
        </w:rPr>
        <w:t xml:space="preserve">cent </w:t>
      </w:r>
      <w:r w:rsidR="00A7770D" w:rsidRPr="0021042D">
        <w:rPr>
          <w:rFonts w:ascii="Times New Roman" w:eastAsia="Times New Roman" w:hAnsi="Times New Roman" w:cs="Times New Roman"/>
          <w:sz w:val="20"/>
          <w:szCs w:val="20"/>
        </w:rPr>
        <w:t xml:space="preserve">increase </w:t>
      </w:r>
      <w:r w:rsidRPr="0021042D">
        <w:rPr>
          <w:rFonts w:ascii="Times New Roman" w:eastAsia="Times New Roman" w:hAnsi="Times New Roman" w:cs="Times New Roman"/>
          <w:sz w:val="20"/>
          <w:szCs w:val="20"/>
        </w:rPr>
        <w:t>in the implementation rate from 92 per</w:t>
      </w:r>
      <w:r w:rsidR="00184272" w:rsidRPr="0021042D">
        <w:rPr>
          <w:rFonts w:ascii="Times New Roman" w:eastAsia="Times New Roman" w:hAnsi="Times New Roman" w:cs="Times New Roman"/>
          <w:sz w:val="20"/>
          <w:szCs w:val="20"/>
        </w:rPr>
        <w:t xml:space="preserve"> </w:t>
      </w:r>
      <w:r w:rsidR="00F459D3">
        <w:rPr>
          <w:rFonts w:ascii="Times New Roman" w:eastAsia="Times New Roman" w:hAnsi="Times New Roman" w:cs="Times New Roman"/>
          <w:sz w:val="20"/>
          <w:szCs w:val="20"/>
        </w:rPr>
        <w:t>cent in 2017</w:t>
      </w:r>
      <w:r w:rsidR="00EE0843">
        <w:rPr>
          <w:rFonts w:ascii="Times New Roman" w:eastAsia="Times New Roman" w:hAnsi="Times New Roman" w:cs="Times New Roman"/>
          <w:sz w:val="20"/>
          <w:szCs w:val="20"/>
        </w:rPr>
        <w:t>;</w:t>
      </w:r>
      <w:r w:rsidR="00F459D3">
        <w:rPr>
          <w:rFonts w:ascii="Times New Roman" w:eastAsia="Times New Roman" w:hAnsi="Times New Roman" w:cs="Times New Roman"/>
          <w:sz w:val="20"/>
          <w:szCs w:val="20"/>
        </w:rPr>
        <w:t xml:space="preserve"> and (c) t</w:t>
      </w:r>
      <w:r w:rsidR="00D50A2F" w:rsidRPr="0021042D">
        <w:rPr>
          <w:rFonts w:ascii="Times New Roman" w:eastAsia="Times New Roman" w:hAnsi="Times New Roman" w:cs="Times New Roman"/>
          <w:sz w:val="20"/>
          <w:szCs w:val="20"/>
        </w:rPr>
        <w:t>he decrease in the number of recommendations issued in 2018 (160 recommendations</w:t>
      </w:r>
      <w:r w:rsidR="002D2168" w:rsidRPr="0021042D">
        <w:rPr>
          <w:rFonts w:ascii="Times New Roman" w:eastAsia="Times New Roman" w:hAnsi="Times New Roman" w:cs="Times New Roman"/>
          <w:sz w:val="20"/>
          <w:szCs w:val="20"/>
        </w:rPr>
        <w:t>, down from 315 in 2017, and 267 in 2016</w:t>
      </w:r>
      <w:r w:rsidR="00D50A2F" w:rsidRPr="0021042D">
        <w:rPr>
          <w:rFonts w:ascii="Times New Roman" w:eastAsia="Times New Roman" w:hAnsi="Times New Roman" w:cs="Times New Roman"/>
          <w:sz w:val="20"/>
          <w:szCs w:val="20"/>
        </w:rPr>
        <w:t>) stems from an overall improveme</w:t>
      </w:r>
      <w:r w:rsidR="00C35F8D" w:rsidRPr="0021042D">
        <w:rPr>
          <w:rFonts w:ascii="Times New Roman" w:eastAsia="Times New Roman" w:hAnsi="Times New Roman" w:cs="Times New Roman"/>
          <w:sz w:val="20"/>
          <w:szCs w:val="20"/>
        </w:rPr>
        <w:t xml:space="preserve">nt </w:t>
      </w:r>
      <w:r w:rsidR="002D2168" w:rsidRPr="0021042D">
        <w:rPr>
          <w:rFonts w:ascii="Times New Roman" w:eastAsia="Times New Roman" w:hAnsi="Times New Roman" w:cs="Times New Roman"/>
          <w:sz w:val="20"/>
          <w:szCs w:val="20"/>
        </w:rPr>
        <w:t xml:space="preserve">in </w:t>
      </w:r>
      <w:r w:rsidR="00C35F8D" w:rsidRPr="0021042D">
        <w:rPr>
          <w:rFonts w:ascii="Times New Roman" w:eastAsia="Times New Roman" w:hAnsi="Times New Roman" w:cs="Times New Roman"/>
          <w:sz w:val="20"/>
          <w:szCs w:val="20"/>
        </w:rPr>
        <w:t xml:space="preserve">internal controls in the </w:t>
      </w:r>
      <w:r w:rsidR="002D2168" w:rsidRPr="0021042D">
        <w:rPr>
          <w:rFonts w:ascii="Times New Roman" w:eastAsia="Times New Roman" w:hAnsi="Times New Roman" w:cs="Times New Roman"/>
          <w:sz w:val="20"/>
          <w:szCs w:val="20"/>
        </w:rPr>
        <w:t>organization</w:t>
      </w:r>
      <w:r w:rsidR="00490089" w:rsidRPr="0021042D">
        <w:rPr>
          <w:rFonts w:ascii="Times New Roman" w:eastAsia="Times New Roman" w:hAnsi="Times New Roman" w:cs="Times New Roman"/>
          <w:sz w:val="20"/>
          <w:szCs w:val="20"/>
        </w:rPr>
        <w:t xml:space="preserve">. </w:t>
      </w:r>
    </w:p>
    <w:p w14:paraId="77D4E3DF" w14:textId="77777777" w:rsidR="00F459D3" w:rsidRDefault="00F459D3" w:rsidP="00F459D3">
      <w:pPr>
        <w:spacing w:after="0" w:line="240" w:lineRule="auto"/>
        <w:ind w:left="426"/>
        <w:jc w:val="both"/>
        <w:rPr>
          <w:rFonts w:ascii="Times New Roman" w:eastAsia="Times New Roman" w:hAnsi="Times New Roman" w:cs="Times New Roman"/>
          <w:sz w:val="20"/>
          <w:szCs w:val="20"/>
        </w:rPr>
      </w:pPr>
    </w:p>
    <w:p w14:paraId="0BF909D2" w14:textId="52FD7A57" w:rsidR="00001917" w:rsidRPr="00604AF8" w:rsidRDefault="00F459D3" w:rsidP="00604AF8">
      <w:pPr>
        <w:numPr>
          <w:ilvl w:val="0"/>
          <w:numId w:val="2"/>
        </w:numPr>
        <w:spacing w:after="0" w:line="240" w:lineRule="auto"/>
        <w:jc w:val="both"/>
        <w:rPr>
          <w:rFonts w:ascii="Times New Roman" w:eastAsia="Times New Roman" w:hAnsi="Times New Roman" w:cs="Times New Roman"/>
          <w:sz w:val="20"/>
          <w:szCs w:val="20"/>
        </w:rPr>
      </w:pPr>
      <w:r w:rsidRPr="00E6165B">
        <w:rPr>
          <w:rFonts w:ascii="Times New Roman" w:eastAsia="Times New Roman" w:hAnsi="Times New Roman" w:cs="Times New Roman"/>
          <w:sz w:val="20"/>
          <w:szCs w:val="20"/>
        </w:rPr>
        <w:t>Management took corrective action to address these internal control weaknesses</w:t>
      </w:r>
      <w:r w:rsidR="00604AF8">
        <w:rPr>
          <w:rFonts w:ascii="Times New Roman" w:eastAsia="Times New Roman" w:hAnsi="Times New Roman" w:cs="Times New Roman"/>
          <w:sz w:val="20"/>
          <w:szCs w:val="20"/>
        </w:rPr>
        <w:t xml:space="preserve"> and </w:t>
      </w:r>
      <w:r w:rsidR="00490089" w:rsidRPr="00604AF8">
        <w:rPr>
          <w:rFonts w:ascii="Times New Roman" w:eastAsia="Times New Roman" w:hAnsi="Times New Roman" w:cs="Times New Roman"/>
          <w:sz w:val="20"/>
          <w:szCs w:val="20"/>
        </w:rPr>
        <w:t>took commendable</w:t>
      </w:r>
      <w:r w:rsidR="00D50A2F" w:rsidRPr="00604AF8">
        <w:rPr>
          <w:rFonts w:ascii="Times New Roman" w:eastAsia="Times New Roman" w:hAnsi="Times New Roman" w:cs="Times New Roman"/>
          <w:sz w:val="20"/>
          <w:szCs w:val="20"/>
        </w:rPr>
        <w:t xml:space="preserve"> action to</w:t>
      </w:r>
      <w:r w:rsidR="00223723" w:rsidRPr="00604AF8">
        <w:rPr>
          <w:rFonts w:ascii="Times New Roman" w:eastAsia="Times New Roman" w:hAnsi="Times New Roman" w:cs="Times New Roman"/>
          <w:sz w:val="20"/>
          <w:szCs w:val="20"/>
        </w:rPr>
        <w:t xml:space="preserve"> address the </w:t>
      </w:r>
      <w:r w:rsidR="0034023C" w:rsidRPr="00604AF8">
        <w:rPr>
          <w:rFonts w:ascii="Times New Roman" w:eastAsia="Times New Roman" w:hAnsi="Times New Roman" w:cs="Times New Roman"/>
          <w:sz w:val="20"/>
          <w:szCs w:val="20"/>
        </w:rPr>
        <w:t>previous opinion in 2017</w:t>
      </w:r>
      <w:r w:rsidR="00184272" w:rsidRPr="00604AF8">
        <w:rPr>
          <w:rFonts w:ascii="Times New Roman" w:eastAsia="Times New Roman" w:hAnsi="Times New Roman" w:cs="Times New Roman"/>
          <w:sz w:val="20"/>
          <w:szCs w:val="20"/>
        </w:rPr>
        <w:t>.</w:t>
      </w:r>
    </w:p>
    <w:p w14:paraId="6BFA684C" w14:textId="77777777" w:rsidR="00001917" w:rsidRDefault="00001917" w:rsidP="00D50A2F">
      <w:pPr>
        <w:spacing w:after="0" w:line="240" w:lineRule="auto"/>
        <w:jc w:val="both"/>
        <w:rPr>
          <w:rFonts w:ascii="Times New Roman" w:eastAsia="Times New Roman" w:hAnsi="Times New Roman" w:cs="Times New Roman"/>
          <w:sz w:val="20"/>
          <w:szCs w:val="20"/>
        </w:rPr>
      </w:pPr>
    </w:p>
    <w:p w14:paraId="7520C938" w14:textId="07BB1766" w:rsidR="006238D5" w:rsidRDefault="002D2168" w:rsidP="00D50A2F">
      <w:pPr>
        <w:numPr>
          <w:ilvl w:val="0"/>
          <w:numId w:val="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464A6C">
        <w:rPr>
          <w:rFonts w:ascii="Times New Roman" w:eastAsia="Times New Roman" w:hAnsi="Times New Roman" w:cs="Times New Roman"/>
          <w:sz w:val="20"/>
          <w:szCs w:val="20"/>
        </w:rPr>
        <w:t>ased on the scope of work undertaken in 2018, in IAIG</w:t>
      </w:r>
      <w:r w:rsidR="00223723">
        <w:rPr>
          <w:rFonts w:ascii="Times New Roman" w:eastAsia="Times New Roman" w:hAnsi="Times New Roman" w:cs="Times New Roman"/>
          <w:sz w:val="20"/>
          <w:szCs w:val="20"/>
        </w:rPr>
        <w:t>’s</w:t>
      </w:r>
      <w:r w:rsidR="00464A6C">
        <w:rPr>
          <w:rFonts w:ascii="Times New Roman" w:eastAsia="Times New Roman" w:hAnsi="Times New Roman" w:cs="Times New Roman"/>
          <w:sz w:val="20"/>
          <w:szCs w:val="20"/>
        </w:rPr>
        <w:t xml:space="preserve"> opinion, the adequacy and effectiveness of the governance, risk management and control in the reports issued in 2018 were, in aggregate, “partially satisfactory (some improvement needed)”. This means that they were generally established and functioning but needed some improvement. Issues identified do not significantly affect the achievement of the objectives of the organization.</w:t>
      </w:r>
    </w:p>
    <w:p w14:paraId="008AA867" w14:textId="5785EAE3" w:rsidR="006238D5" w:rsidRDefault="006238D5" w:rsidP="00A45584">
      <w:pPr>
        <w:spacing w:after="0" w:line="240" w:lineRule="auto"/>
        <w:jc w:val="both"/>
        <w:rPr>
          <w:rFonts w:ascii="Times New Roman" w:eastAsia="Times New Roman" w:hAnsi="Times New Roman" w:cs="Times New Roman"/>
          <w:sz w:val="20"/>
          <w:szCs w:val="20"/>
        </w:rPr>
      </w:pPr>
    </w:p>
    <w:sectPr w:rsidR="006238D5" w:rsidSect="00A4558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73927" w14:textId="77777777" w:rsidR="007B271D" w:rsidRDefault="007B271D">
      <w:pPr>
        <w:spacing w:after="0" w:line="240" w:lineRule="auto"/>
      </w:pPr>
      <w:r>
        <w:separator/>
      </w:r>
    </w:p>
  </w:endnote>
  <w:endnote w:type="continuationSeparator" w:id="0">
    <w:p w14:paraId="1B67631F" w14:textId="77777777" w:rsidR="007B271D" w:rsidRDefault="007B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9E032" w14:textId="77777777" w:rsidR="008B3724" w:rsidRDefault="008B3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EF22" w14:textId="77777777" w:rsidR="008B3724" w:rsidRDefault="008B3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2E7A" w14:textId="77777777" w:rsidR="008B3724" w:rsidRDefault="008B3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CB052" w14:textId="77777777" w:rsidR="007B271D" w:rsidRDefault="007B271D">
      <w:pPr>
        <w:spacing w:after="0" w:line="240" w:lineRule="auto"/>
      </w:pPr>
      <w:r>
        <w:separator/>
      </w:r>
    </w:p>
  </w:footnote>
  <w:footnote w:type="continuationSeparator" w:id="0">
    <w:p w14:paraId="1A098B66" w14:textId="77777777" w:rsidR="007B271D" w:rsidRDefault="007B271D">
      <w:pPr>
        <w:spacing w:after="0" w:line="240" w:lineRule="auto"/>
      </w:pPr>
      <w:r>
        <w:continuationSeparator/>
      </w:r>
    </w:p>
  </w:footnote>
  <w:footnote w:id="1">
    <w:p w14:paraId="10636908" w14:textId="4705AB2D" w:rsidR="008758EC" w:rsidRPr="00941CFC" w:rsidRDefault="008758EC" w:rsidP="008758EC">
      <w:pPr>
        <w:pStyle w:val="FootnoteText"/>
        <w:tabs>
          <w:tab w:val="clear" w:pos="418"/>
        </w:tabs>
        <w:ind w:left="0" w:firstLine="0"/>
        <w:rPr>
          <w:sz w:val="16"/>
          <w:szCs w:val="16"/>
        </w:rPr>
      </w:pPr>
      <w:r w:rsidRPr="00446F69">
        <w:rPr>
          <w:spacing w:val="4"/>
          <w:w w:val="103"/>
          <w:vertAlign w:val="superscript"/>
        </w:rPr>
        <w:footnoteRef/>
      </w:r>
      <w:r w:rsidRPr="00446F69">
        <w:rPr>
          <w:spacing w:val="4"/>
          <w:w w:val="103"/>
          <w:vertAlign w:val="superscript"/>
        </w:rPr>
        <w:t xml:space="preserve"> </w:t>
      </w:r>
      <w:r>
        <w:rPr>
          <w:sz w:val="16"/>
          <w:szCs w:val="16"/>
        </w:rPr>
        <w:t>The financial impact of project</w:t>
      </w:r>
      <w:r w:rsidR="00592783">
        <w:rPr>
          <w:sz w:val="16"/>
          <w:szCs w:val="16"/>
        </w:rPr>
        <w:t xml:space="preserve"> audits for 2018 relates to</w:t>
      </w:r>
      <w:r>
        <w:rPr>
          <w:sz w:val="16"/>
          <w:szCs w:val="16"/>
        </w:rPr>
        <w:t xml:space="preserve"> one project</w:t>
      </w:r>
      <w:r w:rsidR="00592783">
        <w:rPr>
          <w:sz w:val="16"/>
          <w:szCs w:val="16"/>
        </w:rPr>
        <w:t xml:space="preserve">. Refer to project audit reports: </w:t>
      </w:r>
      <w:hyperlink r:id="rId1" w:history="1">
        <w:r w:rsidR="00592783" w:rsidRPr="00592783">
          <w:rPr>
            <w:rStyle w:val="Hyperlink"/>
            <w:sz w:val="16"/>
            <w:szCs w:val="16"/>
          </w:rPr>
          <w:t>8201</w:t>
        </w:r>
      </w:hyperlink>
      <w:r>
        <w:rPr>
          <w:sz w:val="16"/>
          <w:szCs w:val="16"/>
        </w:rPr>
        <w:t xml:space="preserve"> and </w:t>
      </w:r>
      <w:hyperlink r:id="rId2" w:history="1">
        <w:r w:rsidR="00592783" w:rsidRPr="00592783">
          <w:rPr>
            <w:rStyle w:val="Hyperlink"/>
            <w:sz w:val="16"/>
            <w:szCs w:val="16"/>
          </w:rPr>
          <w:t>8206</w:t>
        </w:r>
      </w:hyperlink>
      <w:r w:rsidR="00592783">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D8DA4" w14:textId="77777777" w:rsidR="008B3724" w:rsidRDefault="008B3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6BFC" w14:textId="77777777" w:rsidR="00001917" w:rsidRDefault="00464A6C">
    <w:r>
      <w:rPr>
        <w:rFonts w:ascii="Arial" w:eastAsia="Arial" w:hAnsi="Arial" w:cs="Arial"/>
        <w:noProof/>
        <w:color w:val="000000"/>
        <w:sz w:val="20"/>
        <w:szCs w:val="20"/>
        <w:lang w:eastAsia="en-GB"/>
      </w:rPr>
      <w:drawing>
        <wp:inline distT="0" distB="0" distL="0" distR="0" wp14:anchorId="435815FA" wp14:editId="254FEDD7">
          <wp:extent cx="2981325" cy="6381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81325" cy="638175"/>
                  </a:xfrm>
                  <a:prstGeom prst="rect">
                    <a:avLst/>
                  </a:prstGeom>
                  <a:ln/>
                </pic:spPr>
              </pic:pic>
            </a:graphicData>
          </a:graphic>
        </wp:inline>
      </w:drawing>
    </w:r>
  </w:p>
  <w:p w14:paraId="4DDF79D6" w14:textId="77777777" w:rsidR="00001917" w:rsidRDefault="00464A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Internal Audit and Investigations Group</w:t>
    </w:r>
  </w:p>
  <w:p w14:paraId="1151F809" w14:textId="08EA64D2" w:rsidR="00001917" w:rsidRDefault="008B3724">
    <w:pPr>
      <w:tabs>
        <w:tab w:val="right" w:pos="8505"/>
      </w:tabs>
      <w:spacing w:after="0" w:line="240" w:lineRule="auto"/>
      <w:rPr>
        <w:rFonts w:ascii="Times New Roman" w:eastAsia="Times New Roman" w:hAnsi="Times New Roman" w:cs="Times New Roman"/>
        <w:b/>
        <w:sz w:val="20"/>
        <w:szCs w:val="20"/>
      </w:rPr>
    </w:pPr>
    <w:r>
      <w:rPr>
        <w:rFonts w:ascii="Times New Roman" w:hAnsi="Times New Roman"/>
        <w:b/>
        <w:sz w:val="20"/>
        <w:szCs w:val="20"/>
      </w:rPr>
      <w:t>I</w:t>
    </w:r>
    <w:r w:rsidRPr="00671768">
      <w:rPr>
        <w:rFonts w:ascii="Times New Roman" w:hAnsi="Times New Roman"/>
        <w:b/>
        <w:sz w:val="20"/>
        <w:szCs w:val="20"/>
      </w:rPr>
      <w:t>nternal audit and investigations activities in 2018</w:t>
    </w:r>
    <w:r w:rsidR="00464A6C">
      <w:rPr>
        <w:rFonts w:ascii="Times New Roman" w:eastAsia="Times New Roman" w:hAnsi="Times New Roman" w:cs="Times New Roman"/>
        <w:b/>
        <w:sz w:val="20"/>
        <w:szCs w:val="20"/>
      </w:rPr>
      <w:tab/>
      <w:t>Annex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FACEA" w14:textId="77777777" w:rsidR="008B3724" w:rsidRDefault="008B3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46B6"/>
    <w:multiLevelType w:val="multilevel"/>
    <w:tmpl w:val="CCB033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7E26C2D"/>
    <w:multiLevelType w:val="hybridMultilevel"/>
    <w:tmpl w:val="524E01DE"/>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BB765F5"/>
    <w:multiLevelType w:val="multilevel"/>
    <w:tmpl w:val="81D67B1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18C0BBB"/>
    <w:multiLevelType w:val="hybridMultilevel"/>
    <w:tmpl w:val="A3D6EC7C"/>
    <w:lvl w:ilvl="0" w:tplc="7BEA6756">
      <w:start w:val="1"/>
      <w:numFmt w:val="lowerLetter"/>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4" w15:restartNumberingAfterBreak="0">
    <w:nsid w:val="31F95D76"/>
    <w:multiLevelType w:val="hybridMultilevel"/>
    <w:tmpl w:val="B7829948"/>
    <w:lvl w:ilvl="0" w:tplc="D9682526">
      <w:start w:val="1"/>
      <w:numFmt w:val="lowerLetter"/>
      <w:lvlText w:val="(%1)"/>
      <w:lvlJc w:val="left"/>
      <w:pPr>
        <w:ind w:left="1636" w:hanging="360"/>
      </w:pPr>
      <w:rPr>
        <w:rFonts w:ascii="Times New Roman" w:hAnsi="Times New Roman" w:cs="Times New Roman" w:hint="default"/>
        <w:sz w:val="20"/>
        <w:szCs w:val="20"/>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5" w15:restartNumberingAfterBreak="0">
    <w:nsid w:val="41D66AD7"/>
    <w:multiLevelType w:val="hybridMultilevel"/>
    <w:tmpl w:val="15C46934"/>
    <w:lvl w:ilvl="0" w:tplc="1892E58E">
      <w:start w:val="1"/>
      <w:numFmt w:val="lowerLetter"/>
      <w:lvlText w:val="%1)"/>
      <w:lvlJc w:val="left"/>
      <w:pPr>
        <w:ind w:left="1624" w:hanging="360"/>
      </w:pPr>
      <w:rPr>
        <w:rFonts w:hint="default"/>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6" w15:restartNumberingAfterBreak="0">
    <w:nsid w:val="52DA3814"/>
    <w:multiLevelType w:val="hybridMultilevel"/>
    <w:tmpl w:val="6EF66740"/>
    <w:lvl w:ilvl="0" w:tplc="5C28BFBE">
      <w:start w:val="1"/>
      <w:numFmt w:val="decimal"/>
      <w:lvlText w:val="%1."/>
      <w:lvlJc w:val="left"/>
      <w:pPr>
        <w:ind w:left="1778" w:hanging="360"/>
      </w:pPr>
      <w:rPr>
        <w:rFonts w:ascii="Times New Roman" w:hAnsi="Times New Roman" w:cs="Times New Roman" w:hint="default"/>
        <w:b w:val="0"/>
        <w:i w:val="0"/>
        <w:color w:val="auto"/>
        <w:sz w:val="20"/>
        <w:szCs w:val="20"/>
      </w:rPr>
    </w:lvl>
    <w:lvl w:ilvl="1" w:tplc="04090017">
      <w:start w:val="1"/>
      <w:numFmt w:val="lowerLetter"/>
      <w:lvlText w:val="%2)"/>
      <w:lvlJc w:val="left"/>
      <w:pPr>
        <w:ind w:left="2347" w:hanging="360"/>
      </w:pPr>
      <w:rPr>
        <w:rFonts w:hint="default"/>
        <w:sz w:val="22"/>
        <w:szCs w:val="22"/>
      </w:r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7" w15:restartNumberingAfterBreak="0">
    <w:nsid w:val="7D557981"/>
    <w:multiLevelType w:val="multilevel"/>
    <w:tmpl w:val="2AA8BF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0"/>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917"/>
    <w:rsid w:val="00001917"/>
    <w:rsid w:val="00040CDD"/>
    <w:rsid w:val="00056D09"/>
    <w:rsid w:val="000B36A7"/>
    <w:rsid w:val="000B5283"/>
    <w:rsid w:val="000E5FF3"/>
    <w:rsid w:val="001113F2"/>
    <w:rsid w:val="00117A4E"/>
    <w:rsid w:val="00184272"/>
    <w:rsid w:val="00184EBF"/>
    <w:rsid w:val="00185849"/>
    <w:rsid w:val="0020391C"/>
    <w:rsid w:val="0021042D"/>
    <w:rsid w:val="002113F8"/>
    <w:rsid w:val="00223723"/>
    <w:rsid w:val="002329A3"/>
    <w:rsid w:val="00240DF2"/>
    <w:rsid w:val="00290A5A"/>
    <w:rsid w:val="002A5F23"/>
    <w:rsid w:val="002B3B43"/>
    <w:rsid w:val="002B5EDF"/>
    <w:rsid w:val="002C441E"/>
    <w:rsid w:val="002D2168"/>
    <w:rsid w:val="002D69C1"/>
    <w:rsid w:val="002E527F"/>
    <w:rsid w:val="002E5C7A"/>
    <w:rsid w:val="003029F2"/>
    <w:rsid w:val="003051AB"/>
    <w:rsid w:val="00306254"/>
    <w:rsid w:val="00333DC1"/>
    <w:rsid w:val="0034023C"/>
    <w:rsid w:val="00367771"/>
    <w:rsid w:val="003A6D20"/>
    <w:rsid w:val="003E146E"/>
    <w:rsid w:val="003F68DE"/>
    <w:rsid w:val="0045472E"/>
    <w:rsid w:val="00464A6C"/>
    <w:rsid w:val="00473D57"/>
    <w:rsid w:val="00490089"/>
    <w:rsid w:val="004D3104"/>
    <w:rsid w:val="0052663C"/>
    <w:rsid w:val="00533DE7"/>
    <w:rsid w:val="00545329"/>
    <w:rsid w:val="005540D7"/>
    <w:rsid w:val="005603B0"/>
    <w:rsid w:val="00575EA0"/>
    <w:rsid w:val="00586398"/>
    <w:rsid w:val="00592783"/>
    <w:rsid w:val="00604AF8"/>
    <w:rsid w:val="0061349E"/>
    <w:rsid w:val="00615824"/>
    <w:rsid w:val="006238D5"/>
    <w:rsid w:val="00625A8D"/>
    <w:rsid w:val="00632899"/>
    <w:rsid w:val="0067657D"/>
    <w:rsid w:val="006A5C1C"/>
    <w:rsid w:val="006A69B0"/>
    <w:rsid w:val="006A78B0"/>
    <w:rsid w:val="006C2A09"/>
    <w:rsid w:val="00716476"/>
    <w:rsid w:val="0073141F"/>
    <w:rsid w:val="0075250B"/>
    <w:rsid w:val="0075446B"/>
    <w:rsid w:val="007565FE"/>
    <w:rsid w:val="007774F8"/>
    <w:rsid w:val="0079532D"/>
    <w:rsid w:val="007B271D"/>
    <w:rsid w:val="007B35F4"/>
    <w:rsid w:val="007B461F"/>
    <w:rsid w:val="007B4E12"/>
    <w:rsid w:val="007C5A6B"/>
    <w:rsid w:val="007E7A9E"/>
    <w:rsid w:val="00853A3D"/>
    <w:rsid w:val="008758EC"/>
    <w:rsid w:val="0087642E"/>
    <w:rsid w:val="0088356A"/>
    <w:rsid w:val="008A2914"/>
    <w:rsid w:val="008B35A0"/>
    <w:rsid w:val="008B3724"/>
    <w:rsid w:val="008C5CAF"/>
    <w:rsid w:val="008F1F1C"/>
    <w:rsid w:val="008F251B"/>
    <w:rsid w:val="0090342E"/>
    <w:rsid w:val="0092328F"/>
    <w:rsid w:val="00967613"/>
    <w:rsid w:val="009929CE"/>
    <w:rsid w:val="00A45584"/>
    <w:rsid w:val="00A47F3F"/>
    <w:rsid w:val="00A51496"/>
    <w:rsid w:val="00A76091"/>
    <w:rsid w:val="00A7770D"/>
    <w:rsid w:val="00AF4F87"/>
    <w:rsid w:val="00B14F00"/>
    <w:rsid w:val="00B157AA"/>
    <w:rsid w:val="00B508D6"/>
    <w:rsid w:val="00B8057D"/>
    <w:rsid w:val="00BC384A"/>
    <w:rsid w:val="00BD75D4"/>
    <w:rsid w:val="00BE49E8"/>
    <w:rsid w:val="00BE5498"/>
    <w:rsid w:val="00C03857"/>
    <w:rsid w:val="00C35F8D"/>
    <w:rsid w:val="00C36C84"/>
    <w:rsid w:val="00C45C1D"/>
    <w:rsid w:val="00C60C71"/>
    <w:rsid w:val="00C60CBD"/>
    <w:rsid w:val="00C973DD"/>
    <w:rsid w:val="00D1129C"/>
    <w:rsid w:val="00D11A46"/>
    <w:rsid w:val="00D15BC3"/>
    <w:rsid w:val="00D46B47"/>
    <w:rsid w:val="00D50A2F"/>
    <w:rsid w:val="00D5523C"/>
    <w:rsid w:val="00D60835"/>
    <w:rsid w:val="00D755CC"/>
    <w:rsid w:val="00D846ED"/>
    <w:rsid w:val="00DB366D"/>
    <w:rsid w:val="00E24935"/>
    <w:rsid w:val="00E31322"/>
    <w:rsid w:val="00E6165B"/>
    <w:rsid w:val="00E7370D"/>
    <w:rsid w:val="00E81021"/>
    <w:rsid w:val="00E92714"/>
    <w:rsid w:val="00EE0843"/>
    <w:rsid w:val="00EE2120"/>
    <w:rsid w:val="00F459D3"/>
    <w:rsid w:val="00F80E80"/>
    <w:rsid w:val="00F825D5"/>
    <w:rsid w:val="00FA067B"/>
    <w:rsid w:val="00FA24B8"/>
    <w:rsid w:val="00FD1018"/>
    <w:rsid w:val="00FD7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9018"/>
  <w15:docId w15:val="{7C9F1951-7F98-418E-B577-906A63E5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157AA"/>
  </w:style>
  <w:style w:type="paragraph" w:styleId="Heading1">
    <w:name w:val="heading 1"/>
    <w:basedOn w:val="Normal"/>
    <w:next w:val="Normal"/>
    <w:rsid w:val="00B157AA"/>
    <w:pPr>
      <w:keepNext/>
      <w:keepLines/>
      <w:spacing w:before="480" w:after="120"/>
      <w:outlineLvl w:val="0"/>
    </w:pPr>
    <w:rPr>
      <w:b/>
      <w:sz w:val="48"/>
      <w:szCs w:val="48"/>
    </w:rPr>
  </w:style>
  <w:style w:type="paragraph" w:styleId="Heading2">
    <w:name w:val="heading 2"/>
    <w:basedOn w:val="Normal"/>
    <w:next w:val="Normal"/>
    <w:rsid w:val="00B157AA"/>
    <w:pPr>
      <w:keepNext/>
      <w:keepLines/>
      <w:spacing w:before="360" w:after="80"/>
      <w:outlineLvl w:val="1"/>
    </w:pPr>
    <w:rPr>
      <w:b/>
      <w:sz w:val="36"/>
      <w:szCs w:val="36"/>
    </w:rPr>
  </w:style>
  <w:style w:type="paragraph" w:styleId="Heading3">
    <w:name w:val="heading 3"/>
    <w:basedOn w:val="Normal"/>
    <w:next w:val="Normal"/>
    <w:rsid w:val="00B157AA"/>
    <w:pPr>
      <w:keepNext/>
      <w:keepLines/>
      <w:spacing w:before="280" w:after="80"/>
      <w:outlineLvl w:val="2"/>
    </w:pPr>
    <w:rPr>
      <w:b/>
      <w:sz w:val="28"/>
      <w:szCs w:val="28"/>
    </w:rPr>
  </w:style>
  <w:style w:type="paragraph" w:styleId="Heading4">
    <w:name w:val="heading 4"/>
    <w:basedOn w:val="Normal"/>
    <w:next w:val="Normal"/>
    <w:rsid w:val="00B157AA"/>
    <w:pPr>
      <w:keepNext/>
      <w:keepLines/>
      <w:spacing w:before="240" w:after="40"/>
      <w:outlineLvl w:val="3"/>
    </w:pPr>
    <w:rPr>
      <w:b/>
      <w:sz w:val="24"/>
      <w:szCs w:val="24"/>
    </w:rPr>
  </w:style>
  <w:style w:type="paragraph" w:styleId="Heading5">
    <w:name w:val="heading 5"/>
    <w:basedOn w:val="Normal"/>
    <w:next w:val="Normal"/>
    <w:rsid w:val="00B157AA"/>
    <w:pPr>
      <w:keepNext/>
      <w:keepLines/>
      <w:spacing w:before="220" w:after="40"/>
      <w:outlineLvl w:val="4"/>
    </w:pPr>
    <w:rPr>
      <w:b/>
    </w:rPr>
  </w:style>
  <w:style w:type="paragraph" w:styleId="Heading6">
    <w:name w:val="heading 6"/>
    <w:basedOn w:val="Normal"/>
    <w:next w:val="Normal"/>
    <w:rsid w:val="00B157A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157AA"/>
    <w:pPr>
      <w:keepNext/>
      <w:keepLines/>
      <w:spacing w:before="480" w:after="120"/>
    </w:pPr>
    <w:rPr>
      <w:b/>
      <w:sz w:val="72"/>
      <w:szCs w:val="72"/>
    </w:rPr>
  </w:style>
  <w:style w:type="paragraph" w:styleId="Subtitle">
    <w:name w:val="Subtitle"/>
    <w:basedOn w:val="Normal"/>
    <w:next w:val="Normal"/>
    <w:rsid w:val="00B157AA"/>
    <w:pPr>
      <w:keepNext/>
      <w:keepLines/>
      <w:spacing w:before="360" w:after="80"/>
    </w:pPr>
    <w:rPr>
      <w:rFonts w:ascii="Georgia" w:eastAsia="Georgia" w:hAnsi="Georgia" w:cs="Georgia"/>
      <w:i/>
      <w:color w:val="666666"/>
      <w:sz w:val="48"/>
      <w:szCs w:val="48"/>
    </w:rPr>
  </w:style>
  <w:style w:type="table" w:customStyle="1" w:styleId="a">
    <w:basedOn w:val="TableNormal"/>
    <w:rsid w:val="00B157AA"/>
    <w:rPr>
      <w:rFonts w:ascii="PT Sans" w:eastAsia="PT Sans" w:hAnsi="PT Sans" w:cs="PT Sans"/>
    </w:rPr>
    <w:tblPr>
      <w:tblStyleRowBandSize w:val="1"/>
      <w:tblStyleColBandSize w:val="1"/>
    </w:tblPr>
  </w:style>
  <w:style w:type="paragraph" w:styleId="ListParagraph">
    <w:name w:val="List Paragraph"/>
    <w:basedOn w:val="Normal"/>
    <w:uiPriority w:val="34"/>
    <w:qFormat/>
    <w:rsid w:val="00D50A2F"/>
    <w:pPr>
      <w:ind w:left="720"/>
      <w:contextualSpacing/>
    </w:pPr>
  </w:style>
  <w:style w:type="paragraph" w:customStyle="1" w:styleId="SingleTxt">
    <w:name w:val="__Single Txt"/>
    <w:basedOn w:val="Normal"/>
    <w:rsid w:val="00D50A2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rPr>
  </w:style>
  <w:style w:type="paragraph" w:styleId="Header">
    <w:name w:val="header"/>
    <w:basedOn w:val="Normal"/>
    <w:link w:val="HeaderChar"/>
    <w:uiPriority w:val="99"/>
    <w:unhideWhenUsed/>
    <w:rsid w:val="00613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49E"/>
  </w:style>
  <w:style w:type="paragraph" w:styleId="Footer">
    <w:name w:val="footer"/>
    <w:basedOn w:val="Normal"/>
    <w:link w:val="FooterChar"/>
    <w:uiPriority w:val="99"/>
    <w:unhideWhenUsed/>
    <w:rsid w:val="00613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49E"/>
  </w:style>
  <w:style w:type="character" w:styleId="CommentReference">
    <w:name w:val="annotation reference"/>
    <w:uiPriority w:val="99"/>
    <w:rsid w:val="00615824"/>
    <w:rPr>
      <w:sz w:val="16"/>
      <w:szCs w:val="16"/>
    </w:rPr>
  </w:style>
  <w:style w:type="paragraph" w:styleId="CommentText">
    <w:name w:val="annotation text"/>
    <w:basedOn w:val="Normal"/>
    <w:link w:val="CommentTextChar"/>
    <w:uiPriority w:val="99"/>
    <w:rsid w:val="0061582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1582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15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8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E5FF3"/>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0E5FF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45C1D"/>
    <w:rPr>
      <w:color w:val="0000FF" w:themeColor="hyperlink"/>
      <w:u w:val="single"/>
    </w:rPr>
  </w:style>
  <w:style w:type="paragraph" w:styleId="FootnoteText">
    <w:name w:val="footnote text"/>
    <w:basedOn w:val="Normal"/>
    <w:link w:val="FootnoteTextChar"/>
    <w:uiPriority w:val="99"/>
    <w:rsid w:val="008758EC"/>
    <w:pPr>
      <w:widowControl w:val="0"/>
      <w:tabs>
        <w:tab w:val="right" w:pos="418"/>
      </w:tabs>
      <w:suppressAutoHyphens/>
      <w:spacing w:after="0" w:line="210" w:lineRule="exact"/>
      <w:ind w:left="475" w:hanging="475"/>
    </w:pPr>
    <w:rPr>
      <w:rFonts w:ascii="Times New Roman" w:eastAsia="Times New Roman" w:hAnsi="Times New Roman" w:cs="Times New Roman"/>
      <w:spacing w:val="5"/>
      <w:w w:val="104"/>
      <w:kern w:val="14"/>
      <w:sz w:val="17"/>
      <w:szCs w:val="17"/>
    </w:rPr>
  </w:style>
  <w:style w:type="character" w:customStyle="1" w:styleId="FootnoteTextChar">
    <w:name w:val="Footnote Text Char"/>
    <w:basedOn w:val="DefaultParagraphFont"/>
    <w:link w:val="FootnoteText"/>
    <w:uiPriority w:val="99"/>
    <w:rsid w:val="008758EC"/>
    <w:rPr>
      <w:rFonts w:ascii="Times New Roman" w:eastAsia="Times New Roman" w:hAnsi="Times New Roman" w:cs="Times New Roman"/>
      <w:spacing w:val="5"/>
      <w:w w:val="104"/>
      <w:kern w:val="14"/>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49786">
      <w:bodyDiv w:val="1"/>
      <w:marLeft w:val="0"/>
      <w:marRight w:val="0"/>
      <w:marTop w:val="0"/>
      <w:marBottom w:val="0"/>
      <w:divBdr>
        <w:top w:val="none" w:sz="0" w:space="0" w:color="auto"/>
        <w:left w:val="none" w:sz="0" w:space="0" w:color="auto"/>
        <w:bottom w:val="none" w:sz="0" w:space="0" w:color="auto"/>
        <w:right w:val="none" w:sz="0" w:space="0" w:color="auto"/>
      </w:divBdr>
    </w:div>
    <w:div w:id="529536026">
      <w:bodyDiv w:val="1"/>
      <w:marLeft w:val="0"/>
      <w:marRight w:val="0"/>
      <w:marTop w:val="0"/>
      <w:marBottom w:val="0"/>
      <w:divBdr>
        <w:top w:val="none" w:sz="0" w:space="0" w:color="auto"/>
        <w:left w:val="none" w:sz="0" w:space="0" w:color="auto"/>
        <w:bottom w:val="none" w:sz="0" w:space="0" w:color="auto"/>
        <w:right w:val="none" w:sz="0" w:space="0" w:color="auto"/>
      </w:divBdr>
    </w:div>
    <w:div w:id="714349962">
      <w:bodyDiv w:val="1"/>
      <w:marLeft w:val="0"/>
      <w:marRight w:val="0"/>
      <w:marTop w:val="0"/>
      <w:marBottom w:val="0"/>
      <w:divBdr>
        <w:top w:val="none" w:sz="0" w:space="0" w:color="auto"/>
        <w:left w:val="none" w:sz="0" w:space="0" w:color="auto"/>
        <w:bottom w:val="none" w:sz="0" w:space="0" w:color="auto"/>
        <w:right w:val="none" w:sz="0" w:space="0" w:color="auto"/>
      </w:divBdr>
    </w:div>
    <w:div w:id="995691944">
      <w:bodyDiv w:val="1"/>
      <w:marLeft w:val="0"/>
      <w:marRight w:val="0"/>
      <w:marTop w:val="0"/>
      <w:marBottom w:val="0"/>
      <w:divBdr>
        <w:top w:val="none" w:sz="0" w:space="0" w:color="auto"/>
        <w:left w:val="none" w:sz="0" w:space="0" w:color="auto"/>
        <w:bottom w:val="none" w:sz="0" w:space="0" w:color="auto"/>
        <w:right w:val="none" w:sz="0" w:space="0" w:color="auto"/>
      </w:divBdr>
    </w:div>
    <w:div w:id="1315181952">
      <w:bodyDiv w:val="1"/>
      <w:marLeft w:val="0"/>
      <w:marRight w:val="0"/>
      <w:marTop w:val="0"/>
      <w:marBottom w:val="0"/>
      <w:divBdr>
        <w:top w:val="none" w:sz="0" w:space="0" w:color="auto"/>
        <w:left w:val="none" w:sz="0" w:space="0" w:color="auto"/>
        <w:bottom w:val="none" w:sz="0" w:space="0" w:color="auto"/>
        <w:right w:val="none" w:sz="0" w:space="0" w:color="auto"/>
      </w:divBdr>
    </w:div>
    <w:div w:id="1420633576">
      <w:bodyDiv w:val="1"/>
      <w:marLeft w:val="0"/>
      <w:marRight w:val="0"/>
      <w:marTop w:val="0"/>
      <w:marBottom w:val="0"/>
      <w:divBdr>
        <w:top w:val="none" w:sz="0" w:space="0" w:color="auto"/>
        <w:left w:val="none" w:sz="0" w:space="0" w:color="auto"/>
        <w:bottom w:val="none" w:sz="0" w:space="0" w:color="auto"/>
        <w:right w:val="none" w:sz="0" w:space="0" w:color="auto"/>
      </w:divBdr>
    </w:div>
    <w:div w:id="1966886705">
      <w:bodyDiv w:val="1"/>
      <w:marLeft w:val="0"/>
      <w:marRight w:val="0"/>
      <w:marTop w:val="0"/>
      <w:marBottom w:val="0"/>
      <w:divBdr>
        <w:top w:val="none" w:sz="0" w:space="0" w:color="auto"/>
        <w:left w:val="none" w:sz="0" w:space="0" w:color="auto"/>
        <w:bottom w:val="none" w:sz="0" w:space="0" w:color="auto"/>
        <w:right w:val="none" w:sz="0" w:space="0" w:color="auto"/>
      </w:divBdr>
    </w:div>
    <w:div w:id="2144811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ontent.unops.org/documents/libraries/iaig/financial-audit-reports/2018/en/IAIG-8206-FAR-2018_EN.pdf?mtime=20180814105757" TargetMode="External"/><Relationship Id="rId1" Type="http://schemas.openxmlformats.org/officeDocument/2006/relationships/hyperlink" Target="https://content.unops.org/documents/libraries/iaig/financial-audit-reports/2018/en/IAIG-8201-FAR-2018_EN.pdf?mtime=2018031516545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C36F7-3FFB-4B97-BDD1-21C318BE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UNOPS - United Nations Office of Project Services</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 Kit YU</dc:creator>
  <cp:lastModifiedBy>Svetlana Iazykova</cp:lastModifiedBy>
  <cp:revision>2</cp:revision>
  <dcterms:created xsi:type="dcterms:W3CDTF">2019-03-29T16:31:00Z</dcterms:created>
  <dcterms:modified xsi:type="dcterms:W3CDTF">2019-03-29T16:31:00Z</dcterms:modified>
</cp:coreProperties>
</file>