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A128C" w14:textId="12F375B8" w:rsidR="00EB7E31" w:rsidRDefault="005D78A0" w:rsidP="00957AD8">
      <w:pPr>
        <w:jc w:val="center"/>
        <w:rPr>
          <w:b/>
          <w:color w:val="4472C4" w:themeColor="accent5"/>
          <w:sz w:val="28"/>
          <w:szCs w:val="28"/>
          <w:lang w:val="en-GB"/>
        </w:rPr>
      </w:pPr>
      <w:r>
        <w:rPr>
          <w:b/>
          <w:color w:val="4472C4" w:themeColor="accent5"/>
          <w:sz w:val="28"/>
          <w:szCs w:val="28"/>
          <w:lang w:val="en-GB"/>
        </w:rPr>
        <w:t xml:space="preserve">Tabulated Response to </w:t>
      </w:r>
      <w:r w:rsidR="00982C20">
        <w:rPr>
          <w:b/>
          <w:color w:val="4472C4" w:themeColor="accent5"/>
          <w:sz w:val="28"/>
          <w:szCs w:val="28"/>
          <w:lang w:val="en-GB"/>
        </w:rPr>
        <w:t xml:space="preserve">Norway: </w:t>
      </w:r>
      <w:r w:rsidR="00395543">
        <w:rPr>
          <w:b/>
          <w:color w:val="4472C4" w:themeColor="accent5"/>
          <w:sz w:val="28"/>
          <w:szCs w:val="28"/>
          <w:lang w:val="en-GB"/>
        </w:rPr>
        <w:t xml:space="preserve">Comments </w:t>
      </w:r>
      <w:r w:rsidR="00982C20">
        <w:rPr>
          <w:b/>
          <w:color w:val="4472C4" w:themeColor="accent5"/>
          <w:sz w:val="28"/>
          <w:szCs w:val="28"/>
          <w:lang w:val="en-GB"/>
        </w:rPr>
        <w:t>on</w:t>
      </w:r>
      <w:r w:rsidR="00395543">
        <w:rPr>
          <w:b/>
          <w:color w:val="4472C4" w:themeColor="accent5"/>
          <w:sz w:val="28"/>
          <w:szCs w:val="28"/>
          <w:lang w:val="en-GB"/>
        </w:rPr>
        <w:t xml:space="preserve"> the </w:t>
      </w:r>
      <w:r w:rsidR="005A0B8E" w:rsidRPr="009D7A93">
        <w:rPr>
          <w:b/>
          <w:color w:val="4472C4" w:themeColor="accent5"/>
          <w:sz w:val="28"/>
          <w:szCs w:val="28"/>
          <w:lang w:val="en-GB"/>
        </w:rPr>
        <w:t xml:space="preserve">Draft </w:t>
      </w:r>
      <w:r w:rsidR="00AB7064">
        <w:rPr>
          <w:b/>
          <w:color w:val="4472C4" w:themeColor="accent5"/>
          <w:sz w:val="28"/>
          <w:szCs w:val="28"/>
          <w:lang w:val="en-GB"/>
        </w:rPr>
        <w:t>CPD Uganda</w:t>
      </w:r>
      <w:r w:rsidR="005A0B8E" w:rsidRPr="009D7A93">
        <w:rPr>
          <w:b/>
          <w:color w:val="4472C4" w:themeColor="accent5"/>
          <w:sz w:val="28"/>
          <w:szCs w:val="28"/>
          <w:lang w:val="en-GB"/>
        </w:rPr>
        <w:t xml:space="preserve"> (201</w:t>
      </w:r>
      <w:r w:rsidR="00AB7064">
        <w:rPr>
          <w:b/>
          <w:color w:val="4472C4" w:themeColor="accent5"/>
          <w:sz w:val="28"/>
          <w:szCs w:val="28"/>
          <w:lang w:val="en-GB"/>
        </w:rPr>
        <w:t>6-2020</w:t>
      </w:r>
      <w:r w:rsidR="005A0B8E" w:rsidRPr="009D7A93">
        <w:rPr>
          <w:b/>
          <w:color w:val="4472C4" w:themeColor="accent5"/>
          <w:sz w:val="28"/>
          <w:szCs w:val="28"/>
          <w:lang w:val="en-GB"/>
        </w:rPr>
        <w:t>)</w:t>
      </w:r>
    </w:p>
    <w:p w14:paraId="5613458F" w14:textId="2DC90A5B" w:rsidR="00982C20" w:rsidRDefault="00AB7064" w:rsidP="00957AD8">
      <w:pPr>
        <w:jc w:val="center"/>
        <w:rPr>
          <w:b/>
          <w:color w:val="4472C4" w:themeColor="accent5"/>
          <w:sz w:val="28"/>
          <w:szCs w:val="28"/>
          <w:lang w:val="en-GB"/>
        </w:rPr>
      </w:pPr>
      <w:r>
        <w:rPr>
          <w:b/>
          <w:color w:val="4472C4" w:themeColor="accent5"/>
          <w:sz w:val="28"/>
          <w:szCs w:val="28"/>
          <w:lang w:val="en-GB"/>
        </w:rPr>
        <w:t>20 March 2015</w:t>
      </w:r>
    </w:p>
    <w:tbl>
      <w:tblPr>
        <w:tblStyle w:val="TableGrid"/>
        <w:tblW w:w="0" w:type="auto"/>
        <w:tblInd w:w="265" w:type="dxa"/>
        <w:tblLook w:val="04A0" w:firstRow="1" w:lastRow="0" w:firstColumn="1" w:lastColumn="0" w:noHBand="0" w:noVBand="1"/>
      </w:tblPr>
      <w:tblGrid>
        <w:gridCol w:w="6930"/>
        <w:gridCol w:w="2134"/>
        <w:gridCol w:w="4665"/>
      </w:tblGrid>
      <w:tr w:rsidR="005D78A0" w14:paraId="54201656" w14:textId="77777777" w:rsidTr="005D78A0">
        <w:tc>
          <w:tcPr>
            <w:tcW w:w="6930" w:type="dxa"/>
          </w:tcPr>
          <w:p w14:paraId="59ABAAA1" w14:textId="50ADB58E" w:rsidR="005D78A0" w:rsidRPr="005D78A0" w:rsidRDefault="005D78A0" w:rsidP="005D78A0">
            <w:pPr>
              <w:rPr>
                <w:b/>
                <w:color w:val="4472C4" w:themeColor="accent5"/>
                <w:sz w:val="28"/>
                <w:szCs w:val="28"/>
                <w:lang w:val="en-GB"/>
              </w:rPr>
            </w:pPr>
            <w:r w:rsidRPr="005D78A0">
              <w:rPr>
                <w:b/>
                <w:color w:val="4472C4" w:themeColor="accent5"/>
                <w:sz w:val="28"/>
                <w:szCs w:val="28"/>
                <w:lang w:val="en-GB"/>
              </w:rPr>
              <w:t xml:space="preserve">Comment </w:t>
            </w:r>
          </w:p>
        </w:tc>
        <w:tc>
          <w:tcPr>
            <w:tcW w:w="2134" w:type="dxa"/>
          </w:tcPr>
          <w:p w14:paraId="29BDCD1D" w14:textId="331AEB6B" w:rsidR="005D78A0" w:rsidRDefault="005D78A0" w:rsidP="00957AD8">
            <w:pPr>
              <w:jc w:val="center"/>
              <w:rPr>
                <w:b/>
                <w:color w:val="4472C4" w:themeColor="accent5"/>
                <w:sz w:val="28"/>
                <w:szCs w:val="28"/>
                <w:lang w:val="en-GB"/>
              </w:rPr>
            </w:pPr>
            <w:r>
              <w:rPr>
                <w:b/>
                <w:color w:val="4472C4" w:themeColor="accent5"/>
                <w:sz w:val="28"/>
                <w:szCs w:val="28"/>
                <w:lang w:val="en-GB"/>
              </w:rPr>
              <w:t xml:space="preserve">Status </w:t>
            </w:r>
          </w:p>
        </w:tc>
        <w:tc>
          <w:tcPr>
            <w:tcW w:w="4665" w:type="dxa"/>
          </w:tcPr>
          <w:p w14:paraId="71729737" w14:textId="1E356810" w:rsidR="005D78A0" w:rsidRDefault="005D78A0" w:rsidP="00957AD8">
            <w:pPr>
              <w:jc w:val="center"/>
              <w:rPr>
                <w:b/>
                <w:color w:val="4472C4" w:themeColor="accent5"/>
                <w:sz w:val="28"/>
                <w:szCs w:val="28"/>
                <w:lang w:val="en-GB"/>
              </w:rPr>
            </w:pPr>
            <w:r>
              <w:rPr>
                <w:b/>
                <w:color w:val="4472C4" w:themeColor="accent5"/>
                <w:sz w:val="28"/>
                <w:szCs w:val="28"/>
                <w:lang w:val="en-GB"/>
              </w:rPr>
              <w:t xml:space="preserve">CO Remarks </w:t>
            </w:r>
          </w:p>
        </w:tc>
      </w:tr>
      <w:tr w:rsidR="005D78A0" w14:paraId="65771F53" w14:textId="77777777" w:rsidTr="005D78A0">
        <w:tc>
          <w:tcPr>
            <w:tcW w:w="6930" w:type="dxa"/>
          </w:tcPr>
          <w:p w14:paraId="7B45DC90" w14:textId="77777777" w:rsidR="005D78A0" w:rsidRDefault="005D78A0" w:rsidP="005D78A0">
            <w:pPr>
              <w:pStyle w:val="ListParagraph"/>
              <w:numPr>
                <w:ilvl w:val="0"/>
                <w:numId w:val="5"/>
              </w:numPr>
              <w:contextualSpacing w:val="0"/>
              <w:jc w:val="both"/>
              <w:rPr>
                <w:lang w:val="en-US" w:eastAsia="zh-CN"/>
              </w:rPr>
            </w:pPr>
            <w:r>
              <w:rPr>
                <w:lang w:val="en-US"/>
              </w:rPr>
              <w:t xml:space="preserve">The CP is well aligned to Uganda’s Second National Development plan (draft) for 2016–20 that focuses on achieving the “Uganda Vision 2040” of transformation from a predominantly peasant and low income to a competitive upper middle income of approximately USD 9,500 by 2045. </w:t>
            </w:r>
            <w:r w:rsidRPr="005D78A0">
              <w:rPr>
                <w:color w:val="FF0000"/>
                <w:lang w:val="en-US"/>
              </w:rPr>
              <w:t xml:space="preserve">The CP could suggest more avenues to combat Uganda’s overarching problems of youth unemployment and high rate </w:t>
            </w:r>
            <w:proofErr w:type="gramStart"/>
            <w:r w:rsidRPr="005D78A0">
              <w:rPr>
                <w:color w:val="FF0000"/>
                <w:lang w:val="en-US"/>
              </w:rPr>
              <w:t>of  population</w:t>
            </w:r>
            <w:proofErr w:type="gramEnd"/>
            <w:r w:rsidRPr="005D78A0">
              <w:rPr>
                <w:color w:val="FF0000"/>
                <w:lang w:val="en-US"/>
              </w:rPr>
              <w:t xml:space="preserve"> growth, as well as addressing the need for more integration of cross cutting issues (especially gender, HIV and anti-corruption and transparency measures) in </w:t>
            </w:r>
            <w:proofErr w:type="spellStart"/>
            <w:r w:rsidRPr="005D78A0">
              <w:rPr>
                <w:color w:val="FF0000"/>
                <w:lang w:val="en-US"/>
              </w:rPr>
              <w:t>sectoral</w:t>
            </w:r>
            <w:proofErr w:type="spellEnd"/>
            <w:r w:rsidRPr="005D78A0">
              <w:rPr>
                <w:color w:val="FF0000"/>
                <w:lang w:val="en-US"/>
              </w:rPr>
              <w:t xml:space="preserve"> plan</w:t>
            </w:r>
            <w:r>
              <w:rPr>
                <w:lang w:val="en-US"/>
              </w:rPr>
              <w:t xml:space="preserve">s. </w:t>
            </w:r>
          </w:p>
          <w:p w14:paraId="6E05B6BC" w14:textId="77777777" w:rsidR="005D78A0" w:rsidRDefault="005D78A0" w:rsidP="00957AD8">
            <w:pPr>
              <w:jc w:val="center"/>
              <w:rPr>
                <w:b/>
                <w:color w:val="4472C4" w:themeColor="accent5"/>
                <w:sz w:val="28"/>
                <w:szCs w:val="28"/>
                <w:lang w:val="en-GB"/>
              </w:rPr>
            </w:pPr>
          </w:p>
        </w:tc>
        <w:tc>
          <w:tcPr>
            <w:tcW w:w="2134" w:type="dxa"/>
          </w:tcPr>
          <w:p w14:paraId="6C402DCD" w14:textId="20F7D87B" w:rsidR="005D78A0" w:rsidRDefault="005D78A0" w:rsidP="00957AD8">
            <w:pPr>
              <w:jc w:val="center"/>
              <w:rPr>
                <w:b/>
                <w:color w:val="4472C4" w:themeColor="accent5"/>
                <w:sz w:val="28"/>
                <w:szCs w:val="28"/>
                <w:lang w:val="en-GB"/>
              </w:rPr>
            </w:pPr>
            <w:r>
              <w:rPr>
                <w:b/>
                <w:color w:val="4472C4" w:themeColor="accent5"/>
                <w:sz w:val="28"/>
                <w:szCs w:val="28"/>
                <w:lang w:val="en-GB"/>
              </w:rPr>
              <w:t xml:space="preserve">Incorporated </w:t>
            </w:r>
          </w:p>
        </w:tc>
        <w:tc>
          <w:tcPr>
            <w:tcW w:w="4665" w:type="dxa"/>
          </w:tcPr>
          <w:p w14:paraId="7529F3B3" w14:textId="43C82564" w:rsidR="005D78A0" w:rsidRDefault="00670048" w:rsidP="00957AD8">
            <w:pPr>
              <w:jc w:val="center"/>
              <w:rPr>
                <w:b/>
                <w:color w:val="4472C4" w:themeColor="accent5"/>
                <w:sz w:val="28"/>
                <w:szCs w:val="28"/>
                <w:lang w:val="en-GB"/>
              </w:rPr>
            </w:pPr>
            <w:r>
              <w:rPr>
                <w:b/>
                <w:color w:val="4472C4" w:themeColor="accent5"/>
                <w:sz w:val="28"/>
                <w:szCs w:val="28"/>
                <w:lang w:val="en-GB"/>
              </w:rPr>
              <w:t>Refer to</w:t>
            </w:r>
            <w:r w:rsidR="00FD06ED">
              <w:rPr>
                <w:b/>
                <w:color w:val="4472C4" w:themeColor="accent5"/>
                <w:sz w:val="28"/>
                <w:szCs w:val="28"/>
                <w:lang w:val="en-GB"/>
              </w:rPr>
              <w:t xml:space="preserve"> paragraph  12 and 17</w:t>
            </w:r>
          </w:p>
        </w:tc>
      </w:tr>
      <w:tr w:rsidR="005D78A0" w14:paraId="1503FB3D" w14:textId="77777777" w:rsidTr="005D78A0">
        <w:tc>
          <w:tcPr>
            <w:tcW w:w="6930" w:type="dxa"/>
          </w:tcPr>
          <w:p w14:paraId="1678C189" w14:textId="77777777" w:rsidR="005D78A0" w:rsidRPr="00670048" w:rsidRDefault="005D78A0" w:rsidP="005D78A0">
            <w:pPr>
              <w:pStyle w:val="ListParagraph"/>
              <w:numPr>
                <w:ilvl w:val="0"/>
                <w:numId w:val="5"/>
              </w:numPr>
              <w:contextualSpacing w:val="0"/>
              <w:jc w:val="both"/>
              <w:rPr>
                <w:b/>
                <w:bCs/>
                <w:color w:val="FF0000"/>
                <w:lang w:val="en-US"/>
              </w:rPr>
            </w:pPr>
            <w:r>
              <w:rPr>
                <w:lang w:val="en-US"/>
              </w:rPr>
              <w:t xml:space="preserve">On Programme priorities II, point 12, UNDP’s plan to enhance government effectiveness through institutional development, transparency and accountability, </w:t>
            </w:r>
            <w:r w:rsidRPr="00734EAA">
              <w:rPr>
                <w:color w:val="FF0000"/>
                <w:lang w:val="en-US"/>
              </w:rPr>
              <w:t>seems lacking in politica</w:t>
            </w:r>
            <w:r>
              <w:rPr>
                <w:lang w:val="en-US"/>
              </w:rPr>
              <w:t xml:space="preserve">l analysis. </w:t>
            </w:r>
            <w:r w:rsidRPr="00670048">
              <w:rPr>
                <w:color w:val="FF0000"/>
                <w:lang w:val="en-US"/>
              </w:rPr>
              <w:t xml:space="preserve">Uganda has good institutions and a solid legal framework in this area, but rather lacks political will at the level of implementation. </w:t>
            </w:r>
          </w:p>
          <w:p w14:paraId="25F99263" w14:textId="77777777" w:rsidR="005D78A0" w:rsidRDefault="005D78A0" w:rsidP="00957AD8">
            <w:pPr>
              <w:jc w:val="center"/>
              <w:rPr>
                <w:b/>
                <w:color w:val="4472C4" w:themeColor="accent5"/>
                <w:sz w:val="28"/>
                <w:szCs w:val="28"/>
                <w:lang w:val="en-GB"/>
              </w:rPr>
            </w:pPr>
          </w:p>
        </w:tc>
        <w:tc>
          <w:tcPr>
            <w:tcW w:w="2134" w:type="dxa"/>
          </w:tcPr>
          <w:p w14:paraId="7271B4A2" w14:textId="6F10513C" w:rsidR="005D78A0" w:rsidRDefault="00FD06ED" w:rsidP="00957AD8">
            <w:pPr>
              <w:jc w:val="center"/>
              <w:rPr>
                <w:b/>
                <w:color w:val="4472C4" w:themeColor="accent5"/>
                <w:sz w:val="28"/>
                <w:szCs w:val="28"/>
                <w:lang w:val="en-GB"/>
              </w:rPr>
            </w:pPr>
            <w:r>
              <w:rPr>
                <w:b/>
                <w:color w:val="4472C4" w:themeColor="accent5"/>
                <w:sz w:val="28"/>
                <w:szCs w:val="28"/>
                <w:lang w:val="en-GB"/>
              </w:rPr>
              <w:t xml:space="preserve">Incorporated </w:t>
            </w:r>
          </w:p>
        </w:tc>
        <w:tc>
          <w:tcPr>
            <w:tcW w:w="4665" w:type="dxa"/>
          </w:tcPr>
          <w:p w14:paraId="0F2B8E6F" w14:textId="2A5CD7D9" w:rsidR="005D78A0" w:rsidRDefault="00670048" w:rsidP="00670048">
            <w:pPr>
              <w:jc w:val="center"/>
              <w:rPr>
                <w:b/>
                <w:color w:val="4472C4" w:themeColor="accent5"/>
                <w:sz w:val="28"/>
                <w:szCs w:val="28"/>
                <w:lang w:val="en-GB"/>
              </w:rPr>
            </w:pPr>
            <w:r>
              <w:rPr>
                <w:b/>
                <w:color w:val="4472C4" w:themeColor="accent5"/>
                <w:sz w:val="28"/>
                <w:szCs w:val="28"/>
                <w:lang w:val="en-GB"/>
              </w:rPr>
              <w:t xml:space="preserve">Refer to </w:t>
            </w:r>
            <w:r w:rsidR="00FD06ED">
              <w:rPr>
                <w:b/>
                <w:color w:val="4472C4" w:themeColor="accent5"/>
                <w:sz w:val="28"/>
                <w:szCs w:val="28"/>
                <w:lang w:val="en-GB"/>
              </w:rPr>
              <w:t>paragraph 12</w:t>
            </w:r>
          </w:p>
        </w:tc>
      </w:tr>
      <w:tr w:rsidR="005D78A0" w14:paraId="49F49A13" w14:textId="77777777" w:rsidTr="005D78A0">
        <w:tc>
          <w:tcPr>
            <w:tcW w:w="6930" w:type="dxa"/>
          </w:tcPr>
          <w:p w14:paraId="6E0B6D4F" w14:textId="476D64AA" w:rsidR="00936451" w:rsidRPr="00936451" w:rsidRDefault="005D78A0" w:rsidP="005D78A0">
            <w:pPr>
              <w:pStyle w:val="ListParagraph"/>
              <w:numPr>
                <w:ilvl w:val="0"/>
                <w:numId w:val="5"/>
              </w:numPr>
              <w:contextualSpacing w:val="0"/>
              <w:jc w:val="both"/>
              <w:rPr>
                <w:b/>
                <w:bCs/>
                <w:lang w:val="en-US"/>
              </w:rPr>
            </w:pPr>
            <w:r>
              <w:rPr>
                <w:lang w:val="en-US"/>
              </w:rPr>
              <w:t>The document points out Uganda’s urgent and priority plans for national capacity development through upstream capacity development and scaling up funding development solutions. Mention of diversifying implementing partners is well thought out, but</w:t>
            </w:r>
            <w:r w:rsidR="00936451">
              <w:rPr>
                <w:lang w:val="en-US"/>
              </w:rPr>
              <w:t>:</w:t>
            </w:r>
          </w:p>
          <w:p w14:paraId="5E29183F" w14:textId="25592ACC" w:rsidR="00936451" w:rsidRPr="00936451" w:rsidRDefault="00936451" w:rsidP="00936451">
            <w:pPr>
              <w:pStyle w:val="ListParagraph"/>
              <w:numPr>
                <w:ilvl w:val="0"/>
                <w:numId w:val="6"/>
              </w:numPr>
              <w:contextualSpacing w:val="0"/>
              <w:jc w:val="both"/>
              <w:rPr>
                <w:b/>
                <w:bCs/>
                <w:lang w:val="en-US"/>
              </w:rPr>
            </w:pPr>
            <w:proofErr w:type="spellStart"/>
            <w:proofErr w:type="gramStart"/>
            <w:r>
              <w:rPr>
                <w:lang w:val="en-US"/>
              </w:rPr>
              <w:t>t</w:t>
            </w:r>
            <w:r w:rsidR="005D78A0" w:rsidRPr="00936451">
              <w:rPr>
                <w:color w:val="FF0000"/>
                <w:lang w:val="en-US"/>
              </w:rPr>
              <w:t>there</w:t>
            </w:r>
            <w:proofErr w:type="spellEnd"/>
            <w:proofErr w:type="gramEnd"/>
            <w:r w:rsidR="005D78A0" w:rsidRPr="00936451">
              <w:rPr>
                <w:color w:val="FF0000"/>
                <w:lang w:val="en-US"/>
              </w:rPr>
              <w:t xml:space="preserve"> could be a stronger emphasis on private sector partnership and development. </w:t>
            </w:r>
          </w:p>
          <w:p w14:paraId="4CBBBF3F" w14:textId="65FD360E" w:rsidR="005D78A0" w:rsidRDefault="005D78A0" w:rsidP="00936451">
            <w:pPr>
              <w:pStyle w:val="ListParagraph"/>
              <w:numPr>
                <w:ilvl w:val="0"/>
                <w:numId w:val="6"/>
              </w:numPr>
              <w:contextualSpacing w:val="0"/>
              <w:jc w:val="both"/>
              <w:rPr>
                <w:b/>
                <w:bCs/>
                <w:lang w:val="en-US"/>
              </w:rPr>
            </w:pPr>
            <w:r w:rsidRPr="00936451">
              <w:rPr>
                <w:color w:val="FF0000"/>
                <w:lang w:val="en-US"/>
              </w:rPr>
              <w:t>The CP should be more specific in its expressed intention in point 16, to support government in scaling up proven innovative approaches</w:t>
            </w:r>
            <w:r>
              <w:rPr>
                <w:lang w:val="en-US"/>
              </w:rPr>
              <w:t xml:space="preserve">. </w:t>
            </w:r>
          </w:p>
          <w:p w14:paraId="59A4C075" w14:textId="77777777" w:rsidR="005D78A0" w:rsidRDefault="005D78A0" w:rsidP="005D78A0">
            <w:pPr>
              <w:jc w:val="both"/>
              <w:rPr>
                <w:lang w:val="en-US"/>
              </w:rPr>
            </w:pPr>
          </w:p>
          <w:p w14:paraId="54CA0E81" w14:textId="77777777" w:rsidR="005D78A0" w:rsidRDefault="005D78A0" w:rsidP="00957AD8">
            <w:pPr>
              <w:jc w:val="center"/>
              <w:rPr>
                <w:b/>
                <w:color w:val="4472C4" w:themeColor="accent5"/>
                <w:sz w:val="28"/>
                <w:szCs w:val="28"/>
                <w:lang w:val="en-GB"/>
              </w:rPr>
            </w:pPr>
          </w:p>
        </w:tc>
        <w:tc>
          <w:tcPr>
            <w:tcW w:w="2134" w:type="dxa"/>
          </w:tcPr>
          <w:p w14:paraId="669B3F4E" w14:textId="57842BED" w:rsidR="005D78A0" w:rsidRDefault="00FD06ED" w:rsidP="00957AD8">
            <w:pPr>
              <w:jc w:val="center"/>
              <w:rPr>
                <w:b/>
                <w:color w:val="4472C4" w:themeColor="accent5"/>
                <w:sz w:val="28"/>
                <w:szCs w:val="28"/>
                <w:lang w:val="en-GB"/>
              </w:rPr>
            </w:pPr>
            <w:r>
              <w:rPr>
                <w:b/>
                <w:color w:val="4472C4" w:themeColor="accent5"/>
                <w:sz w:val="28"/>
                <w:szCs w:val="28"/>
                <w:lang w:val="en-GB"/>
              </w:rPr>
              <w:t xml:space="preserve">Incorporated </w:t>
            </w:r>
          </w:p>
        </w:tc>
        <w:tc>
          <w:tcPr>
            <w:tcW w:w="4665" w:type="dxa"/>
          </w:tcPr>
          <w:p w14:paraId="1F25431A" w14:textId="77777777" w:rsidR="00936451" w:rsidRDefault="00936451" w:rsidP="00957AD8">
            <w:pPr>
              <w:jc w:val="center"/>
              <w:rPr>
                <w:b/>
                <w:color w:val="4472C4" w:themeColor="accent5"/>
                <w:sz w:val="28"/>
                <w:szCs w:val="28"/>
                <w:lang w:val="en-GB"/>
              </w:rPr>
            </w:pPr>
          </w:p>
          <w:p w14:paraId="738C0858" w14:textId="77777777" w:rsidR="00936451" w:rsidRDefault="00936451" w:rsidP="00957AD8">
            <w:pPr>
              <w:jc w:val="center"/>
              <w:rPr>
                <w:b/>
                <w:color w:val="4472C4" w:themeColor="accent5"/>
                <w:sz w:val="28"/>
                <w:szCs w:val="28"/>
                <w:lang w:val="en-GB"/>
              </w:rPr>
            </w:pPr>
          </w:p>
          <w:p w14:paraId="4727687B" w14:textId="77777777" w:rsidR="00936451" w:rsidRDefault="00936451" w:rsidP="00936451">
            <w:pPr>
              <w:rPr>
                <w:b/>
                <w:color w:val="4472C4" w:themeColor="accent5"/>
                <w:sz w:val="28"/>
                <w:szCs w:val="28"/>
                <w:lang w:val="en-GB"/>
              </w:rPr>
            </w:pPr>
          </w:p>
          <w:p w14:paraId="4DE00416" w14:textId="77777777" w:rsidR="00936451" w:rsidRDefault="00936451" w:rsidP="00936451">
            <w:pPr>
              <w:rPr>
                <w:b/>
                <w:color w:val="4472C4" w:themeColor="accent5"/>
                <w:sz w:val="28"/>
                <w:szCs w:val="28"/>
                <w:lang w:val="en-GB"/>
              </w:rPr>
            </w:pPr>
          </w:p>
          <w:p w14:paraId="7F9EED09" w14:textId="60E6359F" w:rsidR="00936451" w:rsidRPr="00936451" w:rsidRDefault="00670048" w:rsidP="00936451">
            <w:pPr>
              <w:pStyle w:val="ListParagraph"/>
              <w:numPr>
                <w:ilvl w:val="0"/>
                <w:numId w:val="8"/>
              </w:numPr>
              <w:rPr>
                <w:b/>
                <w:color w:val="4472C4" w:themeColor="accent5"/>
                <w:sz w:val="28"/>
                <w:szCs w:val="28"/>
                <w:lang w:val="en-GB"/>
              </w:rPr>
            </w:pPr>
            <w:r>
              <w:rPr>
                <w:b/>
                <w:color w:val="4472C4" w:themeColor="accent5"/>
                <w:sz w:val="28"/>
                <w:szCs w:val="28"/>
                <w:lang w:val="en-GB"/>
              </w:rPr>
              <w:t>Refer to</w:t>
            </w:r>
            <w:r w:rsidR="00FD06ED" w:rsidRPr="00936451">
              <w:rPr>
                <w:b/>
                <w:color w:val="4472C4" w:themeColor="accent5"/>
                <w:sz w:val="28"/>
                <w:szCs w:val="28"/>
                <w:lang w:val="en-GB"/>
              </w:rPr>
              <w:t xml:space="preserve"> paragraph</w:t>
            </w:r>
            <w:r w:rsidR="00936451" w:rsidRPr="00936451">
              <w:rPr>
                <w:b/>
                <w:color w:val="4472C4" w:themeColor="accent5"/>
                <w:sz w:val="28"/>
                <w:szCs w:val="28"/>
                <w:lang w:val="en-GB"/>
              </w:rPr>
              <w:t xml:space="preserve"> 17 and 19</w:t>
            </w:r>
          </w:p>
          <w:p w14:paraId="1968AE1B" w14:textId="77777777" w:rsidR="00936451" w:rsidRDefault="00936451" w:rsidP="00936451">
            <w:pPr>
              <w:pStyle w:val="ListParagraph"/>
              <w:rPr>
                <w:b/>
                <w:color w:val="4472C4" w:themeColor="accent5"/>
                <w:sz w:val="28"/>
                <w:szCs w:val="28"/>
                <w:lang w:val="en-GB"/>
              </w:rPr>
            </w:pPr>
          </w:p>
          <w:p w14:paraId="5FEBF3DC" w14:textId="77777777" w:rsidR="00936451" w:rsidRDefault="00936451" w:rsidP="00936451">
            <w:pPr>
              <w:pStyle w:val="ListParagraph"/>
              <w:rPr>
                <w:b/>
                <w:color w:val="4472C4" w:themeColor="accent5"/>
                <w:sz w:val="28"/>
                <w:szCs w:val="28"/>
                <w:lang w:val="en-GB"/>
              </w:rPr>
            </w:pPr>
          </w:p>
          <w:p w14:paraId="79F725A5" w14:textId="00E846C3" w:rsidR="00936451" w:rsidRPr="00936451" w:rsidRDefault="00670048" w:rsidP="00936451">
            <w:pPr>
              <w:pStyle w:val="ListParagraph"/>
              <w:numPr>
                <w:ilvl w:val="0"/>
                <w:numId w:val="8"/>
              </w:numPr>
              <w:rPr>
                <w:b/>
                <w:color w:val="4472C4" w:themeColor="accent5"/>
                <w:sz w:val="28"/>
                <w:szCs w:val="28"/>
                <w:lang w:val="en-GB"/>
              </w:rPr>
            </w:pPr>
            <w:r>
              <w:rPr>
                <w:b/>
                <w:color w:val="4472C4" w:themeColor="accent5"/>
                <w:sz w:val="28"/>
                <w:szCs w:val="28"/>
                <w:lang w:val="en-GB"/>
              </w:rPr>
              <w:t>Refer to</w:t>
            </w:r>
            <w:r w:rsidR="00936451">
              <w:rPr>
                <w:b/>
                <w:color w:val="4472C4" w:themeColor="accent5"/>
                <w:sz w:val="28"/>
                <w:szCs w:val="28"/>
                <w:lang w:val="en-GB"/>
              </w:rPr>
              <w:t xml:space="preserve"> paragraph 16 – last sentence.</w:t>
            </w:r>
          </w:p>
          <w:p w14:paraId="6CD8885F" w14:textId="48BCBA7E" w:rsidR="005D78A0" w:rsidRPr="00936451" w:rsidRDefault="00FD06ED" w:rsidP="00936451">
            <w:pPr>
              <w:rPr>
                <w:b/>
                <w:color w:val="4472C4" w:themeColor="accent5"/>
                <w:sz w:val="28"/>
                <w:szCs w:val="28"/>
                <w:lang w:val="en-GB"/>
              </w:rPr>
            </w:pPr>
            <w:r w:rsidRPr="00936451">
              <w:rPr>
                <w:b/>
                <w:color w:val="4472C4" w:themeColor="accent5"/>
                <w:sz w:val="28"/>
                <w:szCs w:val="28"/>
                <w:lang w:val="en-GB"/>
              </w:rPr>
              <w:t xml:space="preserve"> </w:t>
            </w:r>
          </w:p>
        </w:tc>
      </w:tr>
      <w:tr w:rsidR="005D78A0" w14:paraId="5FC942E7" w14:textId="77777777" w:rsidTr="005D78A0">
        <w:tc>
          <w:tcPr>
            <w:tcW w:w="6930" w:type="dxa"/>
          </w:tcPr>
          <w:p w14:paraId="3CECAE94" w14:textId="0EF865F6" w:rsidR="005D78A0" w:rsidRDefault="005D78A0" w:rsidP="00936451">
            <w:pPr>
              <w:pStyle w:val="ListParagraph"/>
              <w:numPr>
                <w:ilvl w:val="0"/>
                <w:numId w:val="8"/>
              </w:numPr>
              <w:contextualSpacing w:val="0"/>
              <w:jc w:val="both"/>
              <w:rPr>
                <w:lang w:val="en-US"/>
              </w:rPr>
            </w:pPr>
            <w:r>
              <w:rPr>
                <w:lang w:val="en-US"/>
              </w:rPr>
              <w:t xml:space="preserve">UNDP is represented in </w:t>
            </w:r>
            <w:r>
              <w:rPr>
                <w:color w:val="000000"/>
                <w:lang w:val="en-US"/>
              </w:rPr>
              <w:t xml:space="preserve">the Local Donor Partnership Group (LDPG) and in </w:t>
            </w:r>
            <w:r>
              <w:rPr>
                <w:lang w:val="en-US"/>
              </w:rPr>
              <w:t>several development partners’ working groups under the LDPG but could be more forward leaning in engaging with partners and government. The option to engage and partner with the Democratic Governance Facility (DGF) is however a positive  signal of forward looking planning for pertinent partnerships (unfortunately, UNDP has previously displayed little willingness to cooperate with DGF, in spite of their partially overlapping remits). Despite the expressed risk factor of tainting its image in case of support to the country’s electoral cycle, UNDP needs to be seen more articulating Uganda’s need advance inclusive development and the promotion of the rule of law.</w:t>
            </w:r>
          </w:p>
          <w:p w14:paraId="47C7A497" w14:textId="77777777" w:rsidR="005D78A0" w:rsidRDefault="005D78A0" w:rsidP="00957AD8">
            <w:pPr>
              <w:jc w:val="center"/>
              <w:rPr>
                <w:b/>
                <w:color w:val="4472C4" w:themeColor="accent5"/>
                <w:sz w:val="28"/>
                <w:szCs w:val="28"/>
                <w:lang w:val="en-GB"/>
              </w:rPr>
            </w:pPr>
          </w:p>
        </w:tc>
        <w:tc>
          <w:tcPr>
            <w:tcW w:w="2134" w:type="dxa"/>
          </w:tcPr>
          <w:p w14:paraId="51021EF4" w14:textId="173287E8" w:rsidR="005D78A0" w:rsidRDefault="00734EAA" w:rsidP="00957AD8">
            <w:pPr>
              <w:jc w:val="center"/>
              <w:rPr>
                <w:b/>
                <w:color w:val="4472C4" w:themeColor="accent5"/>
                <w:sz w:val="28"/>
                <w:szCs w:val="28"/>
                <w:lang w:val="en-GB"/>
              </w:rPr>
            </w:pPr>
            <w:r>
              <w:rPr>
                <w:b/>
                <w:color w:val="4472C4" w:themeColor="accent5"/>
                <w:sz w:val="28"/>
                <w:szCs w:val="28"/>
                <w:lang w:val="en-GB"/>
              </w:rPr>
              <w:t xml:space="preserve">Noted </w:t>
            </w:r>
            <w:r w:rsidR="00670048">
              <w:rPr>
                <w:b/>
                <w:color w:val="4472C4" w:themeColor="accent5"/>
                <w:sz w:val="28"/>
                <w:szCs w:val="28"/>
                <w:lang w:val="en-GB"/>
              </w:rPr>
              <w:t>with thanks</w:t>
            </w:r>
          </w:p>
        </w:tc>
        <w:tc>
          <w:tcPr>
            <w:tcW w:w="4665" w:type="dxa"/>
          </w:tcPr>
          <w:p w14:paraId="596A5845" w14:textId="6E939A21" w:rsidR="005D78A0" w:rsidRDefault="00734EAA" w:rsidP="00734EAA">
            <w:pPr>
              <w:jc w:val="center"/>
              <w:rPr>
                <w:b/>
                <w:color w:val="4472C4" w:themeColor="accent5"/>
                <w:sz w:val="28"/>
                <w:szCs w:val="28"/>
                <w:lang w:val="en-GB"/>
              </w:rPr>
            </w:pPr>
            <w:r>
              <w:rPr>
                <w:b/>
                <w:color w:val="4472C4" w:themeColor="accent5"/>
                <w:sz w:val="28"/>
                <w:szCs w:val="28"/>
                <w:lang w:val="en-GB"/>
              </w:rPr>
              <w:t xml:space="preserve">It is UNDP’s intention to </w:t>
            </w:r>
            <w:proofErr w:type="gramStart"/>
            <w:r>
              <w:rPr>
                <w:b/>
                <w:color w:val="4472C4" w:themeColor="accent5"/>
                <w:sz w:val="28"/>
                <w:szCs w:val="28"/>
                <w:lang w:val="en-GB"/>
              </w:rPr>
              <w:t>be  more</w:t>
            </w:r>
            <w:proofErr w:type="gramEnd"/>
            <w:r>
              <w:rPr>
                <w:b/>
                <w:color w:val="4472C4" w:themeColor="accent5"/>
                <w:sz w:val="28"/>
                <w:szCs w:val="28"/>
                <w:lang w:val="en-GB"/>
              </w:rPr>
              <w:t xml:space="preserve"> </w:t>
            </w:r>
            <w:proofErr w:type="spellStart"/>
            <w:r w:rsidR="00722FE1">
              <w:rPr>
                <w:b/>
                <w:color w:val="4472C4" w:themeColor="accent5"/>
                <w:sz w:val="28"/>
                <w:szCs w:val="28"/>
                <w:lang w:val="en-GB"/>
              </w:rPr>
              <w:t>foreward</w:t>
            </w:r>
            <w:proofErr w:type="spellEnd"/>
            <w:r w:rsidR="00722FE1">
              <w:rPr>
                <w:b/>
                <w:color w:val="4472C4" w:themeColor="accent5"/>
                <w:sz w:val="28"/>
                <w:szCs w:val="28"/>
                <w:lang w:val="en-GB"/>
              </w:rPr>
              <w:t xml:space="preserve"> leaning, </w:t>
            </w:r>
            <w:r>
              <w:rPr>
                <w:b/>
                <w:color w:val="4472C4" w:themeColor="accent5"/>
                <w:sz w:val="28"/>
                <w:szCs w:val="28"/>
                <w:lang w:val="en-GB"/>
              </w:rPr>
              <w:t xml:space="preserve">active and visible in </w:t>
            </w:r>
            <w:r w:rsidR="00F533F9">
              <w:rPr>
                <w:b/>
                <w:color w:val="4472C4" w:themeColor="accent5"/>
                <w:sz w:val="28"/>
                <w:szCs w:val="28"/>
                <w:lang w:val="en-GB"/>
              </w:rPr>
              <w:t>this next cycle in advancing</w:t>
            </w:r>
            <w:r>
              <w:rPr>
                <w:b/>
                <w:color w:val="4472C4" w:themeColor="accent5"/>
                <w:sz w:val="28"/>
                <w:szCs w:val="28"/>
                <w:lang w:val="en-GB"/>
              </w:rPr>
              <w:t xml:space="preserve"> inclusive development and promote rule of law.</w:t>
            </w:r>
          </w:p>
        </w:tc>
      </w:tr>
      <w:tr w:rsidR="005D78A0" w14:paraId="1007F926" w14:textId="77777777" w:rsidTr="005D78A0">
        <w:tc>
          <w:tcPr>
            <w:tcW w:w="6930" w:type="dxa"/>
          </w:tcPr>
          <w:p w14:paraId="0EFE4BCD" w14:textId="77777777" w:rsidR="005D78A0" w:rsidRDefault="005D78A0" w:rsidP="00936451">
            <w:pPr>
              <w:pStyle w:val="ListParagraph"/>
              <w:numPr>
                <w:ilvl w:val="0"/>
                <w:numId w:val="8"/>
              </w:numPr>
              <w:contextualSpacing w:val="0"/>
              <w:jc w:val="both"/>
              <w:rPr>
                <w:b/>
                <w:bCs/>
                <w:lang w:val="en-US"/>
              </w:rPr>
            </w:pPr>
            <w:bookmarkStart w:id="0" w:name="_GoBack"/>
            <w:bookmarkEnd w:id="0"/>
            <w:r>
              <w:rPr>
                <w:lang w:val="en-US"/>
              </w:rPr>
              <w:t>The indicative country programme outputs are, on the whole, realistic and relevant. However, there is a seeming disconnect between these and the national goals/UNDAF outcomes. For example, “By end 2020, rule of law, separation of powers and constitutional democracy are entrenched in Uganda and all individuals are treated equally under the law and have equitable access to justice” seems unrealistic and it is doubtful that UNDP is capable of making a major impact on this (political) reality.</w:t>
            </w:r>
          </w:p>
          <w:p w14:paraId="47189114" w14:textId="77777777" w:rsidR="005D78A0" w:rsidRDefault="005D78A0" w:rsidP="00957AD8">
            <w:pPr>
              <w:jc w:val="center"/>
              <w:rPr>
                <w:b/>
                <w:color w:val="4472C4" w:themeColor="accent5"/>
                <w:sz w:val="28"/>
                <w:szCs w:val="28"/>
                <w:lang w:val="en-GB"/>
              </w:rPr>
            </w:pPr>
          </w:p>
        </w:tc>
        <w:tc>
          <w:tcPr>
            <w:tcW w:w="2134" w:type="dxa"/>
          </w:tcPr>
          <w:p w14:paraId="14827B18" w14:textId="7BD2B605" w:rsidR="005D78A0" w:rsidRDefault="00734EAA" w:rsidP="00957AD8">
            <w:pPr>
              <w:jc w:val="center"/>
              <w:rPr>
                <w:b/>
                <w:color w:val="4472C4" w:themeColor="accent5"/>
                <w:sz w:val="28"/>
                <w:szCs w:val="28"/>
                <w:lang w:val="en-GB"/>
              </w:rPr>
            </w:pPr>
            <w:r>
              <w:rPr>
                <w:b/>
                <w:color w:val="4472C4" w:themeColor="accent5"/>
                <w:sz w:val="28"/>
                <w:szCs w:val="28"/>
                <w:lang w:val="en-GB"/>
              </w:rPr>
              <w:t>Noted with thanks</w:t>
            </w:r>
          </w:p>
        </w:tc>
        <w:tc>
          <w:tcPr>
            <w:tcW w:w="4665" w:type="dxa"/>
          </w:tcPr>
          <w:p w14:paraId="6CB8FE7D" w14:textId="4B1246CA" w:rsidR="005D78A0" w:rsidRDefault="00670048" w:rsidP="00670048">
            <w:pPr>
              <w:rPr>
                <w:b/>
                <w:color w:val="4472C4" w:themeColor="accent5"/>
                <w:sz w:val="28"/>
                <w:szCs w:val="28"/>
                <w:lang w:val="en-GB"/>
              </w:rPr>
            </w:pPr>
            <w:r>
              <w:rPr>
                <w:b/>
                <w:color w:val="4472C4" w:themeColor="accent5"/>
                <w:sz w:val="28"/>
                <w:szCs w:val="28"/>
                <w:lang w:val="en-GB"/>
              </w:rPr>
              <w:t xml:space="preserve">In </w:t>
            </w:r>
            <w:r w:rsidR="00734EAA">
              <w:rPr>
                <w:b/>
                <w:color w:val="4472C4" w:themeColor="accent5"/>
                <w:sz w:val="28"/>
                <w:szCs w:val="28"/>
                <w:lang w:val="en-GB"/>
              </w:rPr>
              <w:t>line with the CPD theo</w:t>
            </w:r>
            <w:r>
              <w:rPr>
                <w:b/>
                <w:color w:val="4472C4" w:themeColor="accent5"/>
                <w:sz w:val="28"/>
                <w:szCs w:val="28"/>
                <w:lang w:val="en-GB"/>
              </w:rPr>
              <w:t xml:space="preserve">ry of change, the programme outputs are UNDP contributions to the broader national goals/UNDAF outcomes. This is based </w:t>
            </w:r>
            <w:r w:rsidR="00734EAA">
              <w:rPr>
                <w:b/>
                <w:color w:val="4472C4" w:themeColor="accent5"/>
                <w:sz w:val="28"/>
                <w:szCs w:val="28"/>
                <w:lang w:val="en-GB"/>
              </w:rPr>
              <w:t xml:space="preserve">on </w:t>
            </w:r>
            <w:r>
              <w:rPr>
                <w:b/>
                <w:color w:val="4472C4" w:themeColor="accent5"/>
                <w:sz w:val="28"/>
                <w:szCs w:val="28"/>
                <w:lang w:val="en-GB"/>
              </w:rPr>
              <w:t xml:space="preserve">UNDP </w:t>
            </w:r>
            <w:r w:rsidR="00734EAA">
              <w:rPr>
                <w:b/>
                <w:color w:val="4472C4" w:themeColor="accent5"/>
                <w:sz w:val="28"/>
                <w:szCs w:val="28"/>
                <w:lang w:val="en-GB"/>
              </w:rPr>
              <w:t>comparative advantage and UNCT division</w:t>
            </w:r>
            <w:r>
              <w:rPr>
                <w:b/>
                <w:color w:val="4472C4" w:themeColor="accent5"/>
                <w:sz w:val="28"/>
                <w:szCs w:val="28"/>
                <w:lang w:val="en-GB"/>
              </w:rPr>
              <w:t xml:space="preserve"> in Uganda. Indeed if acting in silo, UNDP is unlikely to make any impact. However, the CPD contributions are planned in </w:t>
            </w:r>
            <w:r w:rsidR="00734EAA">
              <w:rPr>
                <w:b/>
                <w:color w:val="4472C4" w:themeColor="accent5"/>
                <w:sz w:val="28"/>
                <w:szCs w:val="28"/>
                <w:lang w:val="en-GB"/>
              </w:rPr>
              <w:t xml:space="preserve">concert and </w:t>
            </w:r>
            <w:proofErr w:type="spellStart"/>
            <w:r w:rsidR="00734EAA">
              <w:rPr>
                <w:b/>
                <w:color w:val="4472C4" w:themeColor="accent5"/>
                <w:sz w:val="28"/>
                <w:szCs w:val="28"/>
                <w:lang w:val="en-GB"/>
              </w:rPr>
              <w:t>syngergistically</w:t>
            </w:r>
            <w:proofErr w:type="spellEnd"/>
            <w:r w:rsidR="00734EAA">
              <w:rPr>
                <w:b/>
                <w:color w:val="4472C4" w:themeColor="accent5"/>
                <w:sz w:val="28"/>
                <w:szCs w:val="28"/>
                <w:lang w:val="en-GB"/>
              </w:rPr>
              <w:t xml:space="preserve"> with other UNCT and development actors, to achieve progress towards the</w:t>
            </w:r>
            <w:r>
              <w:rPr>
                <w:b/>
                <w:color w:val="4472C4" w:themeColor="accent5"/>
                <w:sz w:val="28"/>
                <w:szCs w:val="28"/>
                <w:lang w:val="en-GB"/>
              </w:rPr>
              <w:t xml:space="preserve"> broader national goals/UNDAF outcomes</w:t>
            </w:r>
            <w:r w:rsidR="00734EAA">
              <w:rPr>
                <w:b/>
                <w:color w:val="4472C4" w:themeColor="accent5"/>
                <w:sz w:val="28"/>
                <w:szCs w:val="28"/>
                <w:lang w:val="en-GB"/>
              </w:rPr>
              <w:t xml:space="preserve">.  </w:t>
            </w:r>
          </w:p>
        </w:tc>
      </w:tr>
      <w:tr w:rsidR="005D78A0" w14:paraId="433D5AA8" w14:textId="77777777" w:rsidTr="005D78A0">
        <w:tc>
          <w:tcPr>
            <w:tcW w:w="6930" w:type="dxa"/>
          </w:tcPr>
          <w:p w14:paraId="64360AD9" w14:textId="77777777" w:rsidR="005D78A0" w:rsidRPr="005D78A0" w:rsidRDefault="005D78A0" w:rsidP="00734EAA">
            <w:pPr>
              <w:pStyle w:val="ListParagraph"/>
              <w:jc w:val="both"/>
              <w:rPr>
                <w:lang w:val="en-US"/>
              </w:rPr>
            </w:pPr>
          </w:p>
          <w:p w14:paraId="084B0AF1" w14:textId="77777777" w:rsidR="005D78A0" w:rsidRPr="00AB7064" w:rsidRDefault="005D78A0" w:rsidP="00936451">
            <w:pPr>
              <w:pStyle w:val="ListParagraph"/>
              <w:numPr>
                <w:ilvl w:val="0"/>
                <w:numId w:val="8"/>
              </w:numPr>
              <w:contextualSpacing w:val="0"/>
              <w:jc w:val="both"/>
              <w:rPr>
                <w:lang w:val="en-GB"/>
              </w:rPr>
            </w:pPr>
            <w:r w:rsidRPr="00AB7064">
              <w:rPr>
                <w:lang w:val="en-US"/>
              </w:rPr>
              <w:t>The CP integrates human rights and gender considerations in a satisfactory manner.</w:t>
            </w:r>
          </w:p>
          <w:p w14:paraId="1CEDE479" w14:textId="77777777" w:rsidR="005D78A0" w:rsidRDefault="005D78A0" w:rsidP="00957AD8">
            <w:pPr>
              <w:jc w:val="center"/>
              <w:rPr>
                <w:b/>
                <w:color w:val="4472C4" w:themeColor="accent5"/>
                <w:sz w:val="28"/>
                <w:szCs w:val="28"/>
                <w:lang w:val="en-GB"/>
              </w:rPr>
            </w:pPr>
          </w:p>
        </w:tc>
        <w:tc>
          <w:tcPr>
            <w:tcW w:w="2134" w:type="dxa"/>
          </w:tcPr>
          <w:p w14:paraId="6D62BC3D" w14:textId="779A76F6" w:rsidR="005D78A0" w:rsidRDefault="00734EAA" w:rsidP="00957AD8">
            <w:pPr>
              <w:jc w:val="center"/>
              <w:rPr>
                <w:b/>
                <w:color w:val="4472C4" w:themeColor="accent5"/>
                <w:sz w:val="28"/>
                <w:szCs w:val="28"/>
                <w:lang w:val="en-GB"/>
              </w:rPr>
            </w:pPr>
            <w:proofErr w:type="gramStart"/>
            <w:r>
              <w:rPr>
                <w:b/>
                <w:color w:val="4472C4" w:themeColor="accent5"/>
                <w:sz w:val="28"/>
                <w:szCs w:val="28"/>
                <w:lang w:val="en-GB"/>
              </w:rPr>
              <w:t>Noted  with</w:t>
            </w:r>
            <w:proofErr w:type="gramEnd"/>
            <w:r>
              <w:rPr>
                <w:b/>
                <w:color w:val="4472C4" w:themeColor="accent5"/>
                <w:sz w:val="28"/>
                <w:szCs w:val="28"/>
                <w:lang w:val="en-GB"/>
              </w:rPr>
              <w:t xml:space="preserve"> thanks.</w:t>
            </w:r>
          </w:p>
        </w:tc>
        <w:tc>
          <w:tcPr>
            <w:tcW w:w="4665" w:type="dxa"/>
          </w:tcPr>
          <w:p w14:paraId="7FDC5888" w14:textId="1C07F04D" w:rsidR="005D78A0" w:rsidRDefault="00734EAA" w:rsidP="00734EAA">
            <w:pPr>
              <w:rPr>
                <w:b/>
                <w:color w:val="4472C4" w:themeColor="accent5"/>
                <w:sz w:val="28"/>
                <w:szCs w:val="28"/>
                <w:lang w:val="en-GB"/>
              </w:rPr>
            </w:pPr>
            <w:r>
              <w:rPr>
                <w:b/>
                <w:color w:val="4472C4" w:themeColor="accent5"/>
                <w:sz w:val="28"/>
                <w:szCs w:val="28"/>
                <w:lang w:val="en-GB"/>
              </w:rPr>
              <w:t>no comments</w:t>
            </w:r>
          </w:p>
        </w:tc>
      </w:tr>
    </w:tbl>
    <w:p w14:paraId="75B427DD" w14:textId="77777777" w:rsidR="005D78A0" w:rsidRPr="009D7A93" w:rsidRDefault="005D78A0" w:rsidP="00957AD8">
      <w:pPr>
        <w:jc w:val="center"/>
        <w:rPr>
          <w:b/>
          <w:color w:val="4472C4" w:themeColor="accent5"/>
          <w:sz w:val="28"/>
          <w:szCs w:val="28"/>
          <w:lang w:val="en-GB"/>
        </w:rPr>
      </w:pPr>
    </w:p>
    <w:p w14:paraId="334AA9BC" w14:textId="77777777" w:rsidR="00AB7064" w:rsidRDefault="00AB7064" w:rsidP="00AB7064">
      <w:pPr>
        <w:rPr>
          <w:lang w:eastAsia="en-US"/>
        </w:rPr>
      </w:pPr>
    </w:p>
    <w:p w14:paraId="031BE2A2" w14:textId="77777777" w:rsidR="00670048" w:rsidRDefault="00670048" w:rsidP="00AB7064">
      <w:pPr>
        <w:jc w:val="both"/>
        <w:rPr>
          <w:lang w:val="en-US"/>
        </w:rPr>
      </w:pPr>
      <w:r>
        <w:rPr>
          <w:lang w:val="en-US"/>
        </w:rPr>
        <w:t xml:space="preserve">NB: </w:t>
      </w:r>
    </w:p>
    <w:p w14:paraId="5C2091E5" w14:textId="5FD201BE" w:rsidR="00670048" w:rsidRPr="00670048" w:rsidRDefault="00670048" w:rsidP="00670048">
      <w:pPr>
        <w:pStyle w:val="ListParagraph"/>
        <w:numPr>
          <w:ilvl w:val="0"/>
          <w:numId w:val="9"/>
        </w:numPr>
        <w:jc w:val="both"/>
        <w:rPr>
          <w:lang w:val="en-US"/>
        </w:rPr>
      </w:pPr>
      <w:r w:rsidRPr="00670048">
        <w:rPr>
          <w:lang w:val="en-US"/>
        </w:rPr>
        <w:t xml:space="preserve">We have made editorial changes to other paragraphs in order to accommodate the Norway comments within the 6000 word count. </w:t>
      </w:r>
    </w:p>
    <w:p w14:paraId="0AC554F4" w14:textId="6D124853" w:rsidR="00AB7064" w:rsidRPr="00670048" w:rsidRDefault="00670048" w:rsidP="00670048">
      <w:pPr>
        <w:pStyle w:val="ListParagraph"/>
        <w:numPr>
          <w:ilvl w:val="0"/>
          <w:numId w:val="9"/>
        </w:numPr>
        <w:jc w:val="both"/>
        <w:rPr>
          <w:lang w:val="en-US"/>
        </w:rPr>
      </w:pPr>
      <w:r w:rsidRPr="00670048">
        <w:rPr>
          <w:lang w:val="en-US"/>
        </w:rPr>
        <w:t>Under Natural Resources Man</w:t>
      </w:r>
      <w:r>
        <w:rPr>
          <w:lang w:val="en-US"/>
        </w:rPr>
        <w:t>agement and resilience to climate change and</w:t>
      </w:r>
      <w:r w:rsidRPr="00670048">
        <w:rPr>
          <w:lang w:val="en-US"/>
        </w:rPr>
        <w:t xml:space="preserve"> disaster risk, the element on reduction of ozone depleting emissions, has been deleted because Uganda is no longer one of the priority countries. </w:t>
      </w:r>
    </w:p>
    <w:sectPr w:rsidR="00AB7064" w:rsidRPr="00670048" w:rsidSect="005D78A0">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5F27F" w14:textId="77777777" w:rsidR="00F37FC7" w:rsidRDefault="00F37FC7" w:rsidP="0088722C">
      <w:r>
        <w:separator/>
      </w:r>
    </w:p>
  </w:endnote>
  <w:endnote w:type="continuationSeparator" w:id="0">
    <w:p w14:paraId="6280B190" w14:textId="77777777" w:rsidR="00F37FC7" w:rsidRDefault="00F37FC7" w:rsidP="0088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anmar Text">
    <w:altName w:val="Times New Roman"/>
    <w:charset w:val="00"/>
    <w:family w:val="swiss"/>
    <w:pitch w:val="variable"/>
    <w:sig w:usb0="00000003" w:usb1="00000000" w:usb2="000004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36894"/>
      <w:docPartObj>
        <w:docPartGallery w:val="Page Numbers (Bottom of Page)"/>
        <w:docPartUnique/>
      </w:docPartObj>
    </w:sdtPr>
    <w:sdtEndPr>
      <w:rPr>
        <w:noProof/>
      </w:rPr>
    </w:sdtEndPr>
    <w:sdtContent>
      <w:p w14:paraId="1FFA3B48" w14:textId="4DB5CF5A" w:rsidR="00D357AD" w:rsidRDefault="00D357AD">
        <w:pPr>
          <w:pStyle w:val="Footer"/>
          <w:jc w:val="right"/>
        </w:pPr>
        <w:r>
          <w:fldChar w:fldCharType="begin"/>
        </w:r>
        <w:r>
          <w:instrText xml:space="preserve"> PAGE   \* MERGEFORMAT </w:instrText>
        </w:r>
        <w:r>
          <w:fldChar w:fldCharType="separate"/>
        </w:r>
        <w:r w:rsidR="00D23EF1">
          <w:rPr>
            <w:noProof/>
          </w:rPr>
          <w:t>3</w:t>
        </w:r>
        <w:r>
          <w:rPr>
            <w:noProof/>
          </w:rPr>
          <w:fldChar w:fldCharType="end"/>
        </w:r>
      </w:p>
    </w:sdtContent>
  </w:sdt>
  <w:p w14:paraId="715A03A7" w14:textId="77777777" w:rsidR="00D357AD" w:rsidRDefault="00D35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ABA0" w14:textId="77777777" w:rsidR="00F37FC7" w:rsidRDefault="00F37FC7" w:rsidP="0088722C">
      <w:r>
        <w:separator/>
      </w:r>
    </w:p>
  </w:footnote>
  <w:footnote w:type="continuationSeparator" w:id="0">
    <w:p w14:paraId="76C3BF66" w14:textId="77777777" w:rsidR="00F37FC7" w:rsidRDefault="00F37FC7" w:rsidP="00887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D90"/>
    <w:multiLevelType w:val="hybridMultilevel"/>
    <w:tmpl w:val="7910CE5C"/>
    <w:lvl w:ilvl="0" w:tplc="7F06A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91429"/>
    <w:multiLevelType w:val="hybridMultilevel"/>
    <w:tmpl w:val="EC24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9253D"/>
    <w:multiLevelType w:val="hybridMultilevel"/>
    <w:tmpl w:val="AFD29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6B725B"/>
    <w:multiLevelType w:val="hybridMultilevel"/>
    <w:tmpl w:val="488480FC"/>
    <w:lvl w:ilvl="0" w:tplc="C5085E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03220"/>
    <w:multiLevelType w:val="hybridMultilevel"/>
    <w:tmpl w:val="93826BE8"/>
    <w:lvl w:ilvl="0" w:tplc="DBAE2A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1D2F40"/>
    <w:multiLevelType w:val="hybridMultilevel"/>
    <w:tmpl w:val="6B5C1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556F3868"/>
    <w:multiLevelType w:val="hybridMultilevel"/>
    <w:tmpl w:val="3BD4C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19356B"/>
    <w:multiLevelType w:val="hybridMultilevel"/>
    <w:tmpl w:val="277C3012"/>
    <w:lvl w:ilvl="0" w:tplc="A826234E">
      <w:start w:val="1"/>
      <w:numFmt w:val="decimal"/>
      <w:lvlText w:val="%1."/>
      <w:lvlJc w:val="left"/>
      <w:pPr>
        <w:ind w:left="720" w:hanging="360"/>
      </w:pPr>
      <w:rPr>
        <w:b w:val="0"/>
        <w:color w:val="auto"/>
        <w:lang w:val="es-G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51AFC"/>
    <w:multiLevelType w:val="hybridMultilevel"/>
    <w:tmpl w:val="8E6E8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31"/>
    <w:rsid w:val="00005D71"/>
    <w:rsid w:val="00025033"/>
    <w:rsid w:val="000447D1"/>
    <w:rsid w:val="000565A5"/>
    <w:rsid w:val="0006400D"/>
    <w:rsid w:val="0006667F"/>
    <w:rsid w:val="00067C2C"/>
    <w:rsid w:val="000707EB"/>
    <w:rsid w:val="00074EE0"/>
    <w:rsid w:val="000873FB"/>
    <w:rsid w:val="000B66C1"/>
    <w:rsid w:val="000E3783"/>
    <w:rsid w:val="00101F1B"/>
    <w:rsid w:val="001367FC"/>
    <w:rsid w:val="00137B05"/>
    <w:rsid w:val="0017592D"/>
    <w:rsid w:val="001A03DD"/>
    <w:rsid w:val="001C30FF"/>
    <w:rsid w:val="001D4C4C"/>
    <w:rsid w:val="001D5495"/>
    <w:rsid w:val="0020054B"/>
    <w:rsid w:val="00206249"/>
    <w:rsid w:val="00224B4C"/>
    <w:rsid w:val="0022512C"/>
    <w:rsid w:val="002301B7"/>
    <w:rsid w:val="00233F20"/>
    <w:rsid w:val="002435DF"/>
    <w:rsid w:val="00254820"/>
    <w:rsid w:val="00262AA4"/>
    <w:rsid w:val="00267578"/>
    <w:rsid w:val="00276BA6"/>
    <w:rsid w:val="002A35FC"/>
    <w:rsid w:val="002B7A9C"/>
    <w:rsid w:val="002D708C"/>
    <w:rsid w:val="002E1633"/>
    <w:rsid w:val="002E60A2"/>
    <w:rsid w:val="002F3736"/>
    <w:rsid w:val="00311E16"/>
    <w:rsid w:val="00331130"/>
    <w:rsid w:val="0033333F"/>
    <w:rsid w:val="00334DFD"/>
    <w:rsid w:val="00340D7A"/>
    <w:rsid w:val="00395543"/>
    <w:rsid w:val="003A2B67"/>
    <w:rsid w:val="003A343D"/>
    <w:rsid w:val="003B0CC0"/>
    <w:rsid w:val="003C35C5"/>
    <w:rsid w:val="003D3D44"/>
    <w:rsid w:val="004008CB"/>
    <w:rsid w:val="00423F6B"/>
    <w:rsid w:val="004832F4"/>
    <w:rsid w:val="004A3D00"/>
    <w:rsid w:val="004B47FF"/>
    <w:rsid w:val="00535E9C"/>
    <w:rsid w:val="00585EDE"/>
    <w:rsid w:val="005872E1"/>
    <w:rsid w:val="005A0B8E"/>
    <w:rsid w:val="005A7895"/>
    <w:rsid w:val="005B11E2"/>
    <w:rsid w:val="005B2457"/>
    <w:rsid w:val="005B4EAE"/>
    <w:rsid w:val="005D78A0"/>
    <w:rsid w:val="005F0FB2"/>
    <w:rsid w:val="005F6D2C"/>
    <w:rsid w:val="006002DB"/>
    <w:rsid w:val="006063D1"/>
    <w:rsid w:val="00607CD4"/>
    <w:rsid w:val="00621F43"/>
    <w:rsid w:val="00632597"/>
    <w:rsid w:val="0065048B"/>
    <w:rsid w:val="00670048"/>
    <w:rsid w:val="00671922"/>
    <w:rsid w:val="0068231B"/>
    <w:rsid w:val="006970A4"/>
    <w:rsid w:val="006B0E0F"/>
    <w:rsid w:val="006D1FD2"/>
    <w:rsid w:val="006D3F5C"/>
    <w:rsid w:val="006D4F82"/>
    <w:rsid w:val="00716286"/>
    <w:rsid w:val="00722FE1"/>
    <w:rsid w:val="00730520"/>
    <w:rsid w:val="00734EAA"/>
    <w:rsid w:val="00740091"/>
    <w:rsid w:val="007429A0"/>
    <w:rsid w:val="00746F49"/>
    <w:rsid w:val="007530E8"/>
    <w:rsid w:val="007738A1"/>
    <w:rsid w:val="007E55C2"/>
    <w:rsid w:val="007F51C2"/>
    <w:rsid w:val="008127D4"/>
    <w:rsid w:val="00812C38"/>
    <w:rsid w:val="00814014"/>
    <w:rsid w:val="00817ED2"/>
    <w:rsid w:val="00820C78"/>
    <w:rsid w:val="008312C4"/>
    <w:rsid w:val="00837DEE"/>
    <w:rsid w:val="008460E2"/>
    <w:rsid w:val="008528FC"/>
    <w:rsid w:val="00853344"/>
    <w:rsid w:val="008617EC"/>
    <w:rsid w:val="0086642A"/>
    <w:rsid w:val="00885635"/>
    <w:rsid w:val="0088722C"/>
    <w:rsid w:val="00896C05"/>
    <w:rsid w:val="008A7D4A"/>
    <w:rsid w:val="008B3E63"/>
    <w:rsid w:val="008B6D33"/>
    <w:rsid w:val="008D4076"/>
    <w:rsid w:val="00902E6F"/>
    <w:rsid w:val="00921E05"/>
    <w:rsid w:val="00923E16"/>
    <w:rsid w:val="00936451"/>
    <w:rsid w:val="00957AD8"/>
    <w:rsid w:val="00971DAA"/>
    <w:rsid w:val="00982C20"/>
    <w:rsid w:val="00984E04"/>
    <w:rsid w:val="009856AC"/>
    <w:rsid w:val="009B11AE"/>
    <w:rsid w:val="009B5894"/>
    <w:rsid w:val="009D7A93"/>
    <w:rsid w:val="009F0976"/>
    <w:rsid w:val="009F3BF5"/>
    <w:rsid w:val="00A071A6"/>
    <w:rsid w:val="00A2279B"/>
    <w:rsid w:val="00A437B0"/>
    <w:rsid w:val="00A65ED7"/>
    <w:rsid w:val="00A80671"/>
    <w:rsid w:val="00A90F92"/>
    <w:rsid w:val="00AA4AC5"/>
    <w:rsid w:val="00AB1C2D"/>
    <w:rsid w:val="00AB62EF"/>
    <w:rsid w:val="00AB7064"/>
    <w:rsid w:val="00AD55A1"/>
    <w:rsid w:val="00AF139B"/>
    <w:rsid w:val="00B41296"/>
    <w:rsid w:val="00B5010B"/>
    <w:rsid w:val="00BA6529"/>
    <w:rsid w:val="00BA6758"/>
    <w:rsid w:val="00BC67A2"/>
    <w:rsid w:val="00BD5244"/>
    <w:rsid w:val="00BF6DA0"/>
    <w:rsid w:val="00BF7F15"/>
    <w:rsid w:val="00C40F33"/>
    <w:rsid w:val="00C44A7A"/>
    <w:rsid w:val="00C75303"/>
    <w:rsid w:val="00C85A04"/>
    <w:rsid w:val="00C91672"/>
    <w:rsid w:val="00CA10F3"/>
    <w:rsid w:val="00CC1742"/>
    <w:rsid w:val="00CE3EFC"/>
    <w:rsid w:val="00D007E5"/>
    <w:rsid w:val="00D16FAD"/>
    <w:rsid w:val="00D21BD9"/>
    <w:rsid w:val="00D2270D"/>
    <w:rsid w:val="00D23EF1"/>
    <w:rsid w:val="00D30DC0"/>
    <w:rsid w:val="00D357AD"/>
    <w:rsid w:val="00D626CE"/>
    <w:rsid w:val="00D806FD"/>
    <w:rsid w:val="00D911F3"/>
    <w:rsid w:val="00D97B53"/>
    <w:rsid w:val="00DA110B"/>
    <w:rsid w:val="00DC1B97"/>
    <w:rsid w:val="00DC54A8"/>
    <w:rsid w:val="00DD3045"/>
    <w:rsid w:val="00DF1915"/>
    <w:rsid w:val="00E10D72"/>
    <w:rsid w:val="00E223C6"/>
    <w:rsid w:val="00E24B35"/>
    <w:rsid w:val="00E262B5"/>
    <w:rsid w:val="00E4071C"/>
    <w:rsid w:val="00E66FF5"/>
    <w:rsid w:val="00E71B74"/>
    <w:rsid w:val="00E759E2"/>
    <w:rsid w:val="00E80C86"/>
    <w:rsid w:val="00E80D3A"/>
    <w:rsid w:val="00E85D4B"/>
    <w:rsid w:val="00E86988"/>
    <w:rsid w:val="00EB4821"/>
    <w:rsid w:val="00EB6D6F"/>
    <w:rsid w:val="00EB7E31"/>
    <w:rsid w:val="00EC3F98"/>
    <w:rsid w:val="00F1190B"/>
    <w:rsid w:val="00F14DB4"/>
    <w:rsid w:val="00F2212F"/>
    <w:rsid w:val="00F22628"/>
    <w:rsid w:val="00F2442D"/>
    <w:rsid w:val="00F37FC7"/>
    <w:rsid w:val="00F479F0"/>
    <w:rsid w:val="00F533F9"/>
    <w:rsid w:val="00F65330"/>
    <w:rsid w:val="00F70B4E"/>
    <w:rsid w:val="00F93E85"/>
    <w:rsid w:val="00FA2F8E"/>
    <w:rsid w:val="00FC12F4"/>
    <w:rsid w:val="00FC7606"/>
    <w:rsid w:val="00FD06ED"/>
    <w:rsid w:val="00FD149D"/>
    <w:rsid w:val="00FD14F9"/>
    <w:rsid w:val="00FE534C"/>
    <w:rsid w:val="00FF2EEE"/>
    <w:rsid w:val="00FF46BB"/>
  </w:rsids>
  <m:mathPr>
    <m:mathFont m:val="Cambria Math"/>
    <m:brkBin m:val="before"/>
    <m:brkBinSub m:val="--"/>
    <m:smallFrac m:val="0"/>
    <m:dispDef/>
    <m:lMargin m:val="0"/>
    <m:rMargin m:val="0"/>
    <m:defJc m:val="centerGroup"/>
    <m:wrapIndent m:val="1440"/>
    <m:intLim m:val="subSup"/>
    <m:naryLim m:val="undOvr"/>
  </m:mathPr>
  <w:themeFontLang w:val="es-GT"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9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GT"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722C"/>
  </w:style>
  <w:style w:type="character" w:customStyle="1" w:styleId="FootnoteTextChar">
    <w:name w:val="Footnote Text Char"/>
    <w:basedOn w:val="DefaultParagraphFont"/>
    <w:link w:val="FootnoteText"/>
    <w:uiPriority w:val="99"/>
    <w:rsid w:val="0088722C"/>
  </w:style>
  <w:style w:type="character" w:styleId="FootnoteReference">
    <w:name w:val="footnote reference"/>
    <w:basedOn w:val="DefaultParagraphFont"/>
    <w:uiPriority w:val="99"/>
    <w:unhideWhenUsed/>
    <w:rsid w:val="0088722C"/>
    <w:rPr>
      <w:vertAlign w:val="superscript"/>
    </w:rPr>
  </w:style>
  <w:style w:type="paragraph" w:styleId="BalloonText">
    <w:name w:val="Balloon Text"/>
    <w:basedOn w:val="Normal"/>
    <w:link w:val="BalloonTextChar"/>
    <w:uiPriority w:val="99"/>
    <w:semiHidden/>
    <w:unhideWhenUsed/>
    <w:rsid w:val="0088722C"/>
    <w:rPr>
      <w:rFonts w:ascii="Helvetica" w:hAnsi="Helvetica"/>
      <w:sz w:val="18"/>
      <w:szCs w:val="18"/>
    </w:rPr>
  </w:style>
  <w:style w:type="character" w:customStyle="1" w:styleId="BalloonTextChar">
    <w:name w:val="Balloon Text Char"/>
    <w:basedOn w:val="DefaultParagraphFont"/>
    <w:link w:val="BalloonText"/>
    <w:uiPriority w:val="99"/>
    <w:semiHidden/>
    <w:rsid w:val="0088722C"/>
    <w:rPr>
      <w:rFonts w:ascii="Helvetica" w:hAnsi="Helvetica"/>
      <w:sz w:val="18"/>
      <w:szCs w:val="18"/>
    </w:rPr>
  </w:style>
  <w:style w:type="paragraph" w:styleId="Header">
    <w:name w:val="header"/>
    <w:basedOn w:val="Normal"/>
    <w:link w:val="HeaderChar"/>
    <w:uiPriority w:val="99"/>
    <w:unhideWhenUsed/>
    <w:rsid w:val="00923E16"/>
    <w:pPr>
      <w:tabs>
        <w:tab w:val="center" w:pos="4536"/>
        <w:tab w:val="right" w:pos="9072"/>
      </w:tabs>
    </w:pPr>
  </w:style>
  <w:style w:type="character" w:customStyle="1" w:styleId="HeaderChar">
    <w:name w:val="Header Char"/>
    <w:basedOn w:val="DefaultParagraphFont"/>
    <w:link w:val="Header"/>
    <w:uiPriority w:val="99"/>
    <w:rsid w:val="00923E16"/>
  </w:style>
  <w:style w:type="paragraph" w:styleId="Footer">
    <w:name w:val="footer"/>
    <w:basedOn w:val="Normal"/>
    <w:link w:val="FooterChar"/>
    <w:uiPriority w:val="99"/>
    <w:unhideWhenUsed/>
    <w:rsid w:val="00923E16"/>
    <w:pPr>
      <w:tabs>
        <w:tab w:val="center" w:pos="4536"/>
        <w:tab w:val="right" w:pos="9072"/>
      </w:tabs>
    </w:pPr>
  </w:style>
  <w:style w:type="character" w:customStyle="1" w:styleId="FooterChar">
    <w:name w:val="Footer Char"/>
    <w:basedOn w:val="DefaultParagraphFont"/>
    <w:link w:val="Footer"/>
    <w:uiPriority w:val="99"/>
    <w:rsid w:val="00923E16"/>
  </w:style>
  <w:style w:type="paragraph" w:styleId="ListParagraph">
    <w:name w:val="List Paragraph"/>
    <w:basedOn w:val="Normal"/>
    <w:uiPriority w:val="34"/>
    <w:qFormat/>
    <w:rsid w:val="003D3D44"/>
    <w:pPr>
      <w:ind w:left="720"/>
      <w:contextualSpacing/>
    </w:pPr>
  </w:style>
  <w:style w:type="table" w:styleId="TableGrid">
    <w:name w:val="Table Grid"/>
    <w:basedOn w:val="TableNormal"/>
    <w:uiPriority w:val="39"/>
    <w:rsid w:val="005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2015-04-16T18:42:00Z</dcterms:created>
  <dcterms:modified xsi:type="dcterms:W3CDTF">2015-04-16T18:42:00Z</dcterms:modified>
</cp:coreProperties>
</file>