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4F10" w14:textId="77777777" w:rsidR="00503084" w:rsidRPr="00A1399E" w:rsidRDefault="00503084" w:rsidP="005030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b/>
          <w:color w:val="000000"/>
          <w:sz w:val="20"/>
          <w:szCs w:val="20"/>
          <w:lang w:eastAsia="en-US"/>
        </w:rPr>
      </w:pPr>
      <w:r w:rsidRPr="00A1399E">
        <w:rPr>
          <w:rFonts w:eastAsia="Times New Roman"/>
          <w:b/>
          <w:color w:val="000000"/>
          <w:sz w:val="20"/>
          <w:szCs w:val="20"/>
          <w:lang w:eastAsia="en-US"/>
        </w:rPr>
        <w:t>First regular session 2021</w:t>
      </w:r>
    </w:p>
    <w:p w14:paraId="274EC1C3" w14:textId="476BBB13" w:rsidR="00503084" w:rsidRPr="00A1399E" w:rsidRDefault="00503084" w:rsidP="005030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bCs/>
          <w:color w:val="000000"/>
          <w:sz w:val="20"/>
          <w:szCs w:val="20"/>
          <w:lang w:eastAsia="en-US"/>
        </w:rPr>
      </w:pPr>
      <w:r w:rsidRPr="00A1399E">
        <w:rPr>
          <w:rFonts w:eastAsia="Times New Roman"/>
          <w:bCs/>
          <w:color w:val="000000"/>
          <w:sz w:val="20"/>
          <w:szCs w:val="20"/>
          <w:lang w:eastAsia="en-US"/>
        </w:rPr>
        <w:t>1</w:t>
      </w:r>
      <w:r w:rsidR="00F20093" w:rsidRPr="00A1399E">
        <w:rPr>
          <w:rFonts w:eastAsia="Times New Roman"/>
          <w:bCs/>
          <w:color w:val="000000"/>
          <w:sz w:val="20"/>
          <w:szCs w:val="20"/>
          <w:lang w:eastAsia="en-US"/>
        </w:rPr>
        <w:t xml:space="preserve"> to </w:t>
      </w:r>
      <w:r w:rsidRPr="00A1399E">
        <w:rPr>
          <w:rFonts w:eastAsia="Times New Roman"/>
          <w:bCs/>
          <w:color w:val="000000"/>
          <w:sz w:val="20"/>
          <w:szCs w:val="20"/>
          <w:lang w:eastAsia="en-US"/>
        </w:rPr>
        <w:t>4 February 2021, New York</w:t>
      </w:r>
    </w:p>
    <w:p w14:paraId="136C26BA" w14:textId="77777777" w:rsidR="00503084" w:rsidRPr="00A1399E" w:rsidRDefault="00503084" w:rsidP="005030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sz w:val="20"/>
          <w:szCs w:val="20"/>
          <w:lang w:eastAsia="en-US"/>
        </w:rPr>
      </w:pPr>
      <w:r w:rsidRPr="00A1399E">
        <w:rPr>
          <w:rFonts w:eastAsia="Times New Roman"/>
          <w:color w:val="000000"/>
          <w:sz w:val="20"/>
          <w:szCs w:val="20"/>
          <w:lang w:eastAsia="en-US"/>
        </w:rPr>
        <w:t>Item 5 of the provisional agenda</w:t>
      </w:r>
    </w:p>
    <w:p w14:paraId="37167757" w14:textId="77777777" w:rsidR="00503084" w:rsidRPr="00A1399E" w:rsidRDefault="00503084" w:rsidP="00503084">
      <w:pPr>
        <w:tabs>
          <w:tab w:val="left" w:pos="5573"/>
        </w:tabs>
        <w:ind w:right="1260"/>
        <w:rPr>
          <w:rFonts w:eastAsia="Times New Roman"/>
          <w:b/>
          <w:color w:val="000000"/>
          <w:sz w:val="20"/>
          <w:szCs w:val="20"/>
          <w:lang w:eastAsia="en-US"/>
        </w:rPr>
      </w:pPr>
      <w:r w:rsidRPr="00A1399E">
        <w:rPr>
          <w:rFonts w:eastAsia="Times New Roman"/>
          <w:b/>
          <w:color w:val="000000"/>
          <w:sz w:val="20"/>
          <w:szCs w:val="20"/>
          <w:lang w:eastAsia="en-US"/>
        </w:rPr>
        <w:t>Country programmes and related matters</w:t>
      </w:r>
    </w:p>
    <w:p w14:paraId="73ED048E" w14:textId="77777777" w:rsidR="00503084" w:rsidRPr="00A1399E" w:rsidRDefault="00503084" w:rsidP="00503084">
      <w:pPr>
        <w:keepNext/>
        <w:keepLines/>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380"/>
        </w:tabs>
        <w:suppressAutoHyphens/>
        <w:spacing w:after="120"/>
        <w:ind w:left="1267" w:right="1260" w:hanging="1267"/>
        <w:outlineLvl w:val="0"/>
        <w:rPr>
          <w:rFonts w:eastAsia="Times New Roman"/>
          <w:b/>
          <w:color w:val="000000"/>
          <w:spacing w:val="-2"/>
          <w:w w:val="103"/>
          <w:kern w:val="14"/>
          <w:sz w:val="28"/>
          <w:szCs w:val="20"/>
          <w:lang w:eastAsia="en-US"/>
        </w:rPr>
      </w:pPr>
    </w:p>
    <w:p w14:paraId="66D4A9BA" w14:textId="77777777" w:rsidR="00503084" w:rsidRPr="00A1399E" w:rsidRDefault="00503084" w:rsidP="00503084">
      <w:pPr>
        <w:keepNext/>
        <w:keepLines/>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0" w:hanging="1267"/>
        <w:outlineLvl w:val="0"/>
        <w:rPr>
          <w:rFonts w:eastAsia="Times New Roman"/>
          <w:b/>
          <w:color w:val="000000"/>
          <w:spacing w:val="-2"/>
          <w:w w:val="103"/>
          <w:kern w:val="14"/>
          <w:sz w:val="28"/>
          <w:szCs w:val="20"/>
          <w:lang w:eastAsia="en-US"/>
        </w:rPr>
      </w:pPr>
    </w:p>
    <w:p w14:paraId="07804560" w14:textId="6E82E4D9" w:rsidR="00503084" w:rsidRPr="00A1399E" w:rsidRDefault="00F20093" w:rsidP="00F4641E">
      <w:pPr>
        <w:keepNext/>
        <w:keepLines/>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810" w:right="20" w:hanging="810"/>
        <w:outlineLvl w:val="0"/>
        <w:rPr>
          <w:rFonts w:eastAsia="Times New Roman"/>
          <w:b/>
          <w:color w:val="000000"/>
          <w:spacing w:val="-2"/>
          <w:w w:val="103"/>
          <w:kern w:val="14"/>
          <w:sz w:val="28"/>
          <w:szCs w:val="20"/>
          <w:lang w:eastAsia="en-US"/>
        </w:rPr>
      </w:pPr>
      <w:r w:rsidRPr="00A1399E">
        <w:rPr>
          <w:rFonts w:eastAsia="Times New Roman"/>
          <w:b/>
          <w:color w:val="000000"/>
          <w:spacing w:val="-2"/>
          <w:w w:val="103"/>
          <w:kern w:val="14"/>
          <w:sz w:val="28"/>
          <w:szCs w:val="20"/>
          <w:lang w:eastAsia="en-US"/>
        </w:rPr>
        <w:tab/>
      </w:r>
      <w:r w:rsidRPr="00A1399E">
        <w:rPr>
          <w:rFonts w:eastAsia="Times New Roman"/>
          <w:b/>
          <w:color w:val="000000"/>
          <w:spacing w:val="-2"/>
          <w:w w:val="103"/>
          <w:kern w:val="14"/>
          <w:sz w:val="28"/>
          <w:szCs w:val="20"/>
          <w:lang w:eastAsia="en-US"/>
        </w:rPr>
        <w:tab/>
      </w:r>
      <w:r w:rsidR="00503084" w:rsidRPr="00A1399E">
        <w:rPr>
          <w:rFonts w:eastAsia="Times New Roman"/>
          <w:b/>
          <w:color w:val="000000"/>
          <w:spacing w:val="-2"/>
          <w:w w:val="103"/>
          <w:kern w:val="14"/>
          <w:sz w:val="28"/>
          <w:szCs w:val="20"/>
          <w:lang w:eastAsia="en-US"/>
        </w:rPr>
        <w:t xml:space="preserve">Draft country programme document for </w:t>
      </w:r>
      <w:r w:rsidR="00777F9E" w:rsidRPr="00A1399E">
        <w:rPr>
          <w:rFonts w:eastAsia="Times New Roman"/>
          <w:b/>
          <w:color w:val="000000"/>
          <w:spacing w:val="-2"/>
          <w:w w:val="103"/>
          <w:kern w:val="14"/>
          <w:sz w:val="28"/>
          <w:szCs w:val="20"/>
          <w:lang w:eastAsia="en-US"/>
        </w:rPr>
        <w:t>Somalia</w:t>
      </w:r>
      <w:r w:rsidR="00503084" w:rsidRPr="00A1399E">
        <w:rPr>
          <w:rFonts w:eastAsia="Times New Roman"/>
          <w:b/>
          <w:color w:val="000000"/>
          <w:spacing w:val="-2"/>
          <w:w w:val="103"/>
          <w:kern w:val="14"/>
          <w:sz w:val="28"/>
          <w:szCs w:val="20"/>
          <w:lang w:eastAsia="en-US"/>
        </w:rPr>
        <w:t xml:space="preserve"> (2021-2025)</w:t>
      </w:r>
    </w:p>
    <w:p w14:paraId="5EF23091" w14:textId="77777777" w:rsidR="00503084" w:rsidRPr="00A1399E" w:rsidRDefault="00503084" w:rsidP="00503084">
      <w:pPr>
        <w:keepNext/>
        <w:keepLines/>
        <w:tabs>
          <w:tab w:val="left" w:pos="1620"/>
        </w:tabs>
        <w:suppressAutoHyphens/>
        <w:spacing w:after="120"/>
        <w:outlineLvl w:val="0"/>
        <w:rPr>
          <w:rFonts w:eastAsia="Times New Roman"/>
          <w:color w:val="000000"/>
          <w:spacing w:val="-2"/>
          <w:w w:val="103"/>
          <w:kern w:val="14"/>
          <w:sz w:val="20"/>
          <w:szCs w:val="20"/>
          <w:lang w:eastAsia="en-US"/>
        </w:rPr>
      </w:pPr>
      <w:r w:rsidRPr="00A1399E">
        <w:rPr>
          <w:rFonts w:eastAsia="Times New Roman"/>
          <w:color w:val="000000"/>
          <w:spacing w:val="-2"/>
          <w:w w:val="103"/>
          <w:kern w:val="14"/>
          <w:sz w:val="20"/>
          <w:szCs w:val="20"/>
          <w:lang w:eastAsia="en-US"/>
        </w:rPr>
        <w:t xml:space="preserve"> </w:t>
      </w:r>
    </w:p>
    <w:p w14:paraId="0C3E0977" w14:textId="77777777" w:rsidR="00503084" w:rsidRPr="00A1399E" w:rsidRDefault="00503084" w:rsidP="00503084">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ind w:right="328"/>
        <w:outlineLvl w:val="0"/>
        <w:rPr>
          <w:rFonts w:eastAsia="Times New Roman"/>
          <w:color w:val="000000"/>
          <w:lang w:eastAsia="fr-FR"/>
        </w:rPr>
      </w:pPr>
      <w:r w:rsidRPr="00A1399E">
        <w:rPr>
          <w:rFonts w:eastAsia="Times New Roman"/>
          <w:color w:val="000000"/>
          <w:kern w:val="14"/>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503084" w:rsidRPr="00A1399E" w14:paraId="7ABEA0D0" w14:textId="77777777" w:rsidTr="00F20093">
        <w:tc>
          <w:tcPr>
            <w:tcW w:w="1060" w:type="dxa"/>
            <w:shd w:val="clear" w:color="auto" w:fill="auto"/>
          </w:tcPr>
          <w:p w14:paraId="42FDC517" w14:textId="77777777" w:rsidR="00503084" w:rsidRPr="00A1399E" w:rsidRDefault="00503084" w:rsidP="00503084">
            <w:pPr>
              <w:tabs>
                <w:tab w:val="left" w:pos="1620"/>
              </w:tabs>
              <w:suppressAutoHyphens/>
              <w:spacing w:after="120"/>
              <w:jc w:val="right"/>
              <w:rPr>
                <w:rFonts w:eastAsia="Times New Roman"/>
                <w:i/>
                <w:color w:val="000000"/>
                <w:spacing w:val="4"/>
                <w:w w:val="103"/>
                <w:kern w:val="14"/>
                <w:sz w:val="14"/>
                <w:szCs w:val="20"/>
                <w:lang w:eastAsia="fr-FR"/>
              </w:rPr>
            </w:pPr>
          </w:p>
        </w:tc>
        <w:tc>
          <w:tcPr>
            <w:tcW w:w="8480" w:type="dxa"/>
            <w:gridSpan w:val="2"/>
            <w:shd w:val="clear" w:color="auto" w:fill="auto"/>
          </w:tcPr>
          <w:p w14:paraId="1C7ED94D" w14:textId="77777777" w:rsidR="00503084" w:rsidRPr="00A1399E" w:rsidRDefault="00503084" w:rsidP="00503084">
            <w:pPr>
              <w:tabs>
                <w:tab w:val="left" w:pos="1620"/>
              </w:tabs>
              <w:suppressAutoHyphens/>
              <w:spacing w:after="120"/>
              <w:ind w:left="20"/>
              <w:rPr>
                <w:rFonts w:eastAsia="Times New Roman"/>
                <w:i/>
                <w:color w:val="000000"/>
                <w:spacing w:val="4"/>
                <w:w w:val="103"/>
                <w:kern w:val="14"/>
                <w:sz w:val="14"/>
                <w:szCs w:val="20"/>
                <w:lang w:eastAsia="fr-FR"/>
              </w:rPr>
            </w:pPr>
          </w:p>
        </w:tc>
        <w:tc>
          <w:tcPr>
            <w:tcW w:w="362" w:type="dxa"/>
            <w:shd w:val="clear" w:color="auto" w:fill="auto"/>
          </w:tcPr>
          <w:p w14:paraId="49631F90" w14:textId="77777777" w:rsidR="00503084" w:rsidRPr="00A1399E" w:rsidRDefault="00503084" w:rsidP="00503084">
            <w:pPr>
              <w:tabs>
                <w:tab w:val="left" w:pos="1620"/>
              </w:tabs>
              <w:suppressAutoHyphens/>
              <w:spacing w:after="120"/>
              <w:jc w:val="right"/>
              <w:rPr>
                <w:rFonts w:eastAsia="Times New Roman"/>
                <w:i/>
                <w:color w:val="000000"/>
                <w:spacing w:val="4"/>
                <w:w w:val="103"/>
                <w:kern w:val="14"/>
                <w:sz w:val="14"/>
                <w:szCs w:val="20"/>
                <w:lang w:eastAsia="fr-FR"/>
              </w:rPr>
            </w:pPr>
            <w:r w:rsidRPr="00A1399E">
              <w:rPr>
                <w:rFonts w:eastAsia="Times New Roman"/>
                <w:i/>
                <w:iCs/>
                <w:color w:val="000000"/>
                <w:kern w:val="14"/>
                <w:sz w:val="14"/>
                <w:szCs w:val="20"/>
                <w:lang w:eastAsia="fr-FR"/>
              </w:rPr>
              <w:t>Page</w:t>
            </w:r>
          </w:p>
        </w:tc>
      </w:tr>
      <w:tr w:rsidR="00503084" w:rsidRPr="00A1399E" w14:paraId="4AB519F8" w14:textId="77777777" w:rsidTr="00F20093">
        <w:tc>
          <w:tcPr>
            <w:tcW w:w="9540" w:type="dxa"/>
            <w:gridSpan w:val="3"/>
            <w:shd w:val="clear" w:color="auto" w:fill="auto"/>
          </w:tcPr>
          <w:p w14:paraId="7E2C5308" w14:textId="77777777" w:rsidR="00503084" w:rsidRPr="00A1399E" w:rsidRDefault="00503084" w:rsidP="00503084">
            <w:pPr>
              <w:numPr>
                <w:ilvl w:val="0"/>
                <w:numId w:val="23"/>
              </w:numPr>
              <w:tabs>
                <w:tab w:val="right" w:pos="1080"/>
                <w:tab w:val="left" w:pos="1296"/>
                <w:tab w:val="left" w:pos="1620"/>
                <w:tab w:val="left" w:pos="2160"/>
                <w:tab w:val="left" w:pos="2592"/>
                <w:tab w:val="right" w:leader="dot" w:pos="9090"/>
              </w:tabs>
              <w:suppressAutoHyphens/>
              <w:spacing w:after="120"/>
              <w:jc w:val="both"/>
              <w:rPr>
                <w:rFonts w:eastAsia="Times New Roman"/>
                <w:color w:val="000000"/>
                <w:spacing w:val="4"/>
                <w:w w:val="103"/>
                <w:kern w:val="14"/>
                <w:sz w:val="20"/>
                <w:szCs w:val="20"/>
                <w:lang w:eastAsia="fr-FR"/>
              </w:rPr>
            </w:pPr>
            <w:r w:rsidRPr="00A1399E">
              <w:rPr>
                <w:rFonts w:eastAsia="Times New Roman"/>
                <w:color w:val="000000"/>
                <w:kern w:val="14"/>
                <w:sz w:val="20"/>
                <w:szCs w:val="20"/>
                <w:lang w:eastAsia="fr-FR"/>
              </w:rPr>
              <w:tab/>
              <w:t>UNDP within the United Nations Sustainable Development Cooperation Framework</w:t>
            </w:r>
            <w:r w:rsidRPr="00A1399E">
              <w:rPr>
                <w:rFonts w:eastAsia="Times New Roman"/>
                <w:color w:val="000000"/>
                <w:lang w:eastAsia="fr-FR"/>
              </w:rPr>
              <w:tab/>
            </w:r>
          </w:p>
        </w:tc>
        <w:tc>
          <w:tcPr>
            <w:tcW w:w="362" w:type="dxa"/>
            <w:vMerge w:val="restart"/>
            <w:shd w:val="clear" w:color="auto" w:fill="auto"/>
            <w:vAlign w:val="bottom"/>
          </w:tcPr>
          <w:p w14:paraId="057A4356" w14:textId="77777777" w:rsidR="00503084" w:rsidRPr="00A1399E" w:rsidRDefault="00503084" w:rsidP="00503084">
            <w:pPr>
              <w:tabs>
                <w:tab w:val="left" w:pos="1620"/>
              </w:tabs>
              <w:suppressAutoHyphens/>
              <w:spacing w:after="120"/>
              <w:jc w:val="right"/>
              <w:rPr>
                <w:rFonts w:eastAsia="Times New Roman"/>
                <w:color w:val="000000"/>
                <w:spacing w:val="4"/>
                <w:w w:val="103"/>
                <w:kern w:val="14"/>
                <w:sz w:val="20"/>
                <w:szCs w:val="20"/>
                <w:lang w:eastAsia="fr-FR"/>
              </w:rPr>
            </w:pPr>
            <w:r w:rsidRPr="00A1399E">
              <w:rPr>
                <w:rFonts w:eastAsia="Times New Roman"/>
                <w:color w:val="000000"/>
                <w:kern w:val="14"/>
                <w:sz w:val="20"/>
                <w:szCs w:val="20"/>
                <w:lang w:eastAsia="fr-FR"/>
              </w:rPr>
              <w:t>2</w:t>
            </w:r>
          </w:p>
          <w:p w14:paraId="3E75DD3C" w14:textId="1313ACD6" w:rsidR="00503084" w:rsidRPr="00A1399E" w:rsidRDefault="003A04E5" w:rsidP="00503084">
            <w:pPr>
              <w:tabs>
                <w:tab w:val="left" w:pos="1620"/>
              </w:tabs>
              <w:suppressAutoHyphens/>
              <w:spacing w:after="120"/>
              <w:jc w:val="right"/>
              <w:rPr>
                <w:rFonts w:eastAsia="Times New Roman"/>
                <w:color w:val="000000"/>
                <w:spacing w:val="4"/>
                <w:w w:val="103"/>
                <w:kern w:val="14"/>
                <w:sz w:val="20"/>
                <w:szCs w:val="20"/>
                <w:lang w:eastAsia="fr-FR"/>
              </w:rPr>
            </w:pPr>
            <w:r w:rsidRPr="00A1399E">
              <w:rPr>
                <w:rFonts w:eastAsia="Times New Roman"/>
                <w:color w:val="000000"/>
                <w:spacing w:val="4"/>
                <w:w w:val="103"/>
                <w:kern w:val="14"/>
                <w:sz w:val="20"/>
                <w:szCs w:val="20"/>
                <w:lang w:eastAsia="fr-FR"/>
              </w:rPr>
              <w:t>4</w:t>
            </w:r>
          </w:p>
        </w:tc>
      </w:tr>
      <w:tr w:rsidR="00503084" w:rsidRPr="00A1399E" w14:paraId="320754BD" w14:textId="77777777" w:rsidTr="00F20093">
        <w:tc>
          <w:tcPr>
            <w:tcW w:w="9540" w:type="dxa"/>
            <w:gridSpan w:val="3"/>
            <w:shd w:val="clear" w:color="auto" w:fill="auto"/>
          </w:tcPr>
          <w:p w14:paraId="20B20A66" w14:textId="77777777" w:rsidR="00503084" w:rsidRPr="00A1399E" w:rsidRDefault="00503084" w:rsidP="00503084">
            <w:pPr>
              <w:numPr>
                <w:ilvl w:val="0"/>
                <w:numId w:val="2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jc w:val="both"/>
              <w:rPr>
                <w:rFonts w:eastAsia="Times New Roman"/>
                <w:color w:val="000000"/>
                <w:spacing w:val="4"/>
                <w:w w:val="103"/>
                <w:kern w:val="14"/>
                <w:sz w:val="20"/>
                <w:szCs w:val="20"/>
                <w:lang w:eastAsia="fr-FR"/>
              </w:rPr>
            </w:pPr>
            <w:r w:rsidRPr="00A1399E">
              <w:rPr>
                <w:rFonts w:eastAsia="Times New Roman"/>
                <w:color w:val="000000"/>
                <w:kern w:val="14"/>
                <w:sz w:val="20"/>
                <w:szCs w:val="20"/>
                <w:lang w:eastAsia="fr-FR"/>
              </w:rPr>
              <w:tab/>
              <w:t>Programme priorities and partnerships</w:t>
            </w:r>
            <w:r w:rsidRPr="00A1399E">
              <w:rPr>
                <w:rFonts w:eastAsia="Times New Roman"/>
                <w:color w:val="000000"/>
                <w:sz w:val="20"/>
                <w:szCs w:val="20"/>
                <w:lang w:eastAsia="fr-FR"/>
              </w:rPr>
              <w:t>………………………………………………….</w:t>
            </w:r>
            <w:r w:rsidRPr="00A1399E">
              <w:rPr>
                <w:rFonts w:eastAsia="Times New Roman"/>
                <w:color w:val="000000"/>
                <w:sz w:val="20"/>
                <w:szCs w:val="20"/>
                <w:lang w:eastAsia="fr-FR"/>
              </w:rPr>
              <w:tab/>
              <w:t>……….…</w:t>
            </w:r>
          </w:p>
        </w:tc>
        <w:tc>
          <w:tcPr>
            <w:tcW w:w="362" w:type="dxa"/>
            <w:vMerge/>
            <w:shd w:val="clear" w:color="auto" w:fill="auto"/>
            <w:vAlign w:val="bottom"/>
          </w:tcPr>
          <w:p w14:paraId="6945B395" w14:textId="77777777" w:rsidR="00503084" w:rsidRPr="00A1399E" w:rsidRDefault="00503084" w:rsidP="00503084">
            <w:pPr>
              <w:tabs>
                <w:tab w:val="left" w:pos="1620"/>
              </w:tabs>
              <w:suppressAutoHyphens/>
              <w:spacing w:after="120"/>
              <w:jc w:val="right"/>
              <w:rPr>
                <w:rFonts w:eastAsia="Times New Roman"/>
                <w:color w:val="000000"/>
                <w:spacing w:val="4"/>
                <w:w w:val="103"/>
                <w:kern w:val="14"/>
                <w:sz w:val="20"/>
                <w:szCs w:val="20"/>
                <w:lang w:eastAsia="fr-FR"/>
              </w:rPr>
            </w:pPr>
          </w:p>
        </w:tc>
      </w:tr>
      <w:tr w:rsidR="00503084" w:rsidRPr="00A1399E" w14:paraId="33EB099F" w14:textId="77777777" w:rsidTr="00F20093">
        <w:tc>
          <w:tcPr>
            <w:tcW w:w="9540" w:type="dxa"/>
            <w:gridSpan w:val="3"/>
            <w:shd w:val="clear" w:color="auto" w:fill="auto"/>
          </w:tcPr>
          <w:p w14:paraId="5E4AA8EE" w14:textId="77777777" w:rsidR="00503084" w:rsidRPr="00A1399E" w:rsidRDefault="00503084" w:rsidP="00503084">
            <w:pPr>
              <w:numPr>
                <w:ilvl w:val="0"/>
                <w:numId w:val="23"/>
              </w:numPr>
              <w:tabs>
                <w:tab w:val="right" w:pos="1080"/>
                <w:tab w:val="left" w:pos="1296"/>
                <w:tab w:val="left" w:pos="1620"/>
                <w:tab w:val="left" w:pos="2160"/>
                <w:tab w:val="left" w:pos="2592"/>
                <w:tab w:val="left" w:pos="3024"/>
                <w:tab w:val="right" w:leader="dot" w:pos="9090"/>
              </w:tabs>
              <w:suppressAutoHyphens/>
              <w:spacing w:after="120"/>
              <w:jc w:val="both"/>
              <w:rPr>
                <w:rFonts w:eastAsia="Times New Roman"/>
                <w:color w:val="000000"/>
                <w:spacing w:val="4"/>
                <w:w w:val="103"/>
                <w:kern w:val="14"/>
                <w:sz w:val="20"/>
                <w:szCs w:val="20"/>
                <w:lang w:eastAsia="fr-FR"/>
              </w:rPr>
            </w:pPr>
            <w:r w:rsidRPr="00A1399E">
              <w:rPr>
                <w:rFonts w:eastAsia="Times New Roman"/>
                <w:color w:val="000000"/>
                <w:kern w:val="14"/>
                <w:sz w:val="20"/>
                <w:szCs w:val="20"/>
                <w:lang w:eastAsia="fr-FR"/>
              </w:rPr>
              <w:tab/>
              <w:t>Programme and risk management</w:t>
            </w:r>
            <w:r w:rsidRPr="00A1399E">
              <w:rPr>
                <w:rFonts w:eastAsia="Times New Roman"/>
                <w:color w:val="000000"/>
                <w:lang w:eastAsia="fr-FR"/>
              </w:rPr>
              <w:tab/>
            </w:r>
          </w:p>
        </w:tc>
        <w:tc>
          <w:tcPr>
            <w:tcW w:w="362" w:type="dxa"/>
            <w:vMerge w:val="restart"/>
            <w:shd w:val="clear" w:color="auto" w:fill="auto"/>
            <w:vAlign w:val="bottom"/>
          </w:tcPr>
          <w:p w14:paraId="713F9D3B" w14:textId="780424F9" w:rsidR="00503084" w:rsidRPr="00A1399E" w:rsidRDefault="003A04E5" w:rsidP="00503084">
            <w:pPr>
              <w:tabs>
                <w:tab w:val="left" w:pos="1620"/>
              </w:tabs>
              <w:suppressAutoHyphens/>
              <w:spacing w:after="120"/>
              <w:jc w:val="right"/>
              <w:rPr>
                <w:rFonts w:eastAsia="Times New Roman"/>
                <w:color w:val="000000"/>
                <w:spacing w:val="4"/>
                <w:w w:val="103"/>
                <w:kern w:val="14"/>
                <w:sz w:val="20"/>
                <w:szCs w:val="20"/>
                <w:lang w:eastAsia="fr-FR"/>
              </w:rPr>
            </w:pPr>
            <w:r w:rsidRPr="00A1399E">
              <w:rPr>
                <w:rFonts w:eastAsia="Times New Roman"/>
                <w:color w:val="000000"/>
                <w:spacing w:val="4"/>
                <w:w w:val="103"/>
                <w:kern w:val="14"/>
                <w:sz w:val="20"/>
                <w:szCs w:val="20"/>
                <w:lang w:eastAsia="fr-FR"/>
              </w:rPr>
              <w:t>7</w:t>
            </w:r>
          </w:p>
          <w:p w14:paraId="307FDA6B" w14:textId="18B189B3" w:rsidR="00503084" w:rsidRPr="00A1399E" w:rsidRDefault="003A04E5" w:rsidP="00503084">
            <w:pPr>
              <w:tabs>
                <w:tab w:val="left" w:pos="1620"/>
              </w:tabs>
              <w:suppressAutoHyphens/>
              <w:spacing w:after="120"/>
              <w:jc w:val="right"/>
              <w:rPr>
                <w:rFonts w:eastAsia="Times New Roman"/>
                <w:color w:val="000000"/>
                <w:spacing w:val="4"/>
                <w:w w:val="103"/>
                <w:kern w:val="14"/>
                <w:sz w:val="20"/>
                <w:szCs w:val="20"/>
                <w:lang w:eastAsia="fr-FR"/>
              </w:rPr>
            </w:pPr>
            <w:r w:rsidRPr="00A1399E">
              <w:rPr>
                <w:rFonts w:eastAsia="Times New Roman"/>
                <w:color w:val="000000"/>
                <w:spacing w:val="4"/>
                <w:w w:val="103"/>
                <w:kern w:val="14"/>
                <w:sz w:val="20"/>
                <w:szCs w:val="20"/>
                <w:lang w:eastAsia="fr-FR"/>
              </w:rPr>
              <w:t>8</w:t>
            </w:r>
          </w:p>
        </w:tc>
      </w:tr>
      <w:tr w:rsidR="00503084" w:rsidRPr="00A1399E" w14:paraId="33D67525" w14:textId="77777777" w:rsidTr="00F20093">
        <w:tc>
          <w:tcPr>
            <w:tcW w:w="9540" w:type="dxa"/>
            <w:gridSpan w:val="3"/>
            <w:shd w:val="clear" w:color="auto" w:fill="auto"/>
          </w:tcPr>
          <w:p w14:paraId="5ADCEEEE" w14:textId="77777777" w:rsidR="00503084" w:rsidRPr="00A1399E" w:rsidRDefault="00503084" w:rsidP="00503084">
            <w:pPr>
              <w:numPr>
                <w:ilvl w:val="0"/>
                <w:numId w:val="23"/>
              </w:numPr>
              <w:tabs>
                <w:tab w:val="right" w:pos="1080"/>
                <w:tab w:val="left" w:pos="1296"/>
                <w:tab w:val="left" w:pos="1620"/>
                <w:tab w:val="left" w:pos="2160"/>
                <w:tab w:val="left" w:pos="2592"/>
                <w:tab w:val="left" w:pos="3024"/>
                <w:tab w:val="left" w:pos="3420"/>
                <w:tab w:val="left" w:pos="3456"/>
                <w:tab w:val="left" w:pos="9090"/>
              </w:tabs>
              <w:suppressAutoHyphens/>
              <w:spacing w:after="120"/>
              <w:jc w:val="both"/>
              <w:rPr>
                <w:rFonts w:eastAsia="Times New Roman"/>
                <w:color w:val="000000"/>
                <w:spacing w:val="4"/>
                <w:w w:val="103"/>
                <w:kern w:val="14"/>
                <w:sz w:val="20"/>
                <w:szCs w:val="20"/>
                <w:lang w:eastAsia="fr-FR"/>
              </w:rPr>
            </w:pPr>
            <w:r w:rsidRPr="00A1399E">
              <w:rPr>
                <w:rFonts w:eastAsia="Times New Roman"/>
                <w:color w:val="000000"/>
                <w:kern w:val="14"/>
                <w:sz w:val="20"/>
                <w:szCs w:val="20"/>
                <w:lang w:eastAsia="fr-FR"/>
              </w:rPr>
              <w:tab/>
              <w:t>Monitoring and evaluation</w:t>
            </w:r>
            <w:r w:rsidRPr="00A1399E">
              <w:rPr>
                <w:rFonts w:eastAsia="Times New Roman"/>
                <w:color w:val="000000"/>
                <w:lang w:eastAsia="fr-FR"/>
              </w:rPr>
              <w:tab/>
            </w:r>
            <w:r w:rsidRPr="00A1399E">
              <w:rPr>
                <w:rFonts w:eastAsia="Times New Roman"/>
                <w:color w:val="000000"/>
                <w:sz w:val="20"/>
                <w:szCs w:val="20"/>
                <w:lang w:eastAsia="fr-FR"/>
              </w:rPr>
              <w:t>…………………………………………………….……………………</w:t>
            </w:r>
          </w:p>
        </w:tc>
        <w:tc>
          <w:tcPr>
            <w:tcW w:w="362" w:type="dxa"/>
            <w:vMerge/>
            <w:shd w:val="clear" w:color="auto" w:fill="auto"/>
            <w:vAlign w:val="bottom"/>
          </w:tcPr>
          <w:p w14:paraId="68C6F5F4" w14:textId="77777777" w:rsidR="00503084" w:rsidRPr="00A1399E" w:rsidRDefault="00503084" w:rsidP="00503084">
            <w:pPr>
              <w:tabs>
                <w:tab w:val="left" w:pos="1620"/>
              </w:tabs>
              <w:suppressAutoHyphens/>
              <w:spacing w:after="120"/>
              <w:jc w:val="right"/>
              <w:rPr>
                <w:rFonts w:eastAsia="Times New Roman"/>
                <w:color w:val="000000"/>
                <w:spacing w:val="4"/>
                <w:w w:val="103"/>
                <w:kern w:val="14"/>
                <w:sz w:val="20"/>
                <w:szCs w:val="20"/>
                <w:lang w:eastAsia="fr-FR"/>
              </w:rPr>
            </w:pPr>
          </w:p>
        </w:tc>
      </w:tr>
      <w:tr w:rsidR="00503084" w:rsidRPr="00A1399E" w14:paraId="612AD728" w14:textId="77777777" w:rsidTr="00F20093">
        <w:tc>
          <w:tcPr>
            <w:tcW w:w="9369" w:type="dxa"/>
            <w:gridSpan w:val="2"/>
            <w:shd w:val="clear" w:color="auto" w:fill="auto"/>
          </w:tcPr>
          <w:p w14:paraId="4558EEAC" w14:textId="77777777" w:rsidR="00503084" w:rsidRPr="00A1399E" w:rsidRDefault="00503084" w:rsidP="00503084">
            <w:pPr>
              <w:tabs>
                <w:tab w:val="right" w:pos="1080"/>
                <w:tab w:val="left" w:pos="1296"/>
                <w:tab w:val="left" w:pos="1620"/>
                <w:tab w:val="right" w:pos="1714"/>
                <w:tab w:val="left" w:pos="2160"/>
                <w:tab w:val="left" w:pos="2592"/>
                <w:tab w:val="left" w:pos="3024"/>
                <w:tab w:val="left" w:pos="3456"/>
              </w:tabs>
              <w:suppressAutoHyphens/>
              <w:spacing w:after="120"/>
              <w:ind w:left="475"/>
              <w:rPr>
                <w:rFonts w:eastAsia="Times New Roman"/>
                <w:color w:val="000000"/>
                <w:spacing w:val="4"/>
                <w:w w:val="103"/>
                <w:kern w:val="14"/>
                <w:sz w:val="20"/>
                <w:szCs w:val="20"/>
                <w:lang w:eastAsia="fr-FR"/>
              </w:rPr>
            </w:pPr>
            <w:r w:rsidRPr="00A1399E">
              <w:rPr>
                <w:rFonts w:eastAsia="Times New Roman"/>
                <w:color w:val="000000"/>
                <w:kern w:val="14"/>
                <w:sz w:val="20"/>
                <w:szCs w:val="20"/>
                <w:lang w:eastAsia="fr-FR"/>
              </w:rPr>
              <w:t>Annex</w:t>
            </w:r>
          </w:p>
        </w:tc>
        <w:tc>
          <w:tcPr>
            <w:tcW w:w="533" w:type="dxa"/>
            <w:gridSpan w:val="2"/>
            <w:shd w:val="clear" w:color="auto" w:fill="auto"/>
            <w:vAlign w:val="bottom"/>
          </w:tcPr>
          <w:p w14:paraId="7FC91B57" w14:textId="77777777" w:rsidR="00503084" w:rsidRPr="00A1399E" w:rsidRDefault="00503084" w:rsidP="00503084">
            <w:pPr>
              <w:tabs>
                <w:tab w:val="left" w:pos="1620"/>
              </w:tabs>
              <w:suppressAutoHyphens/>
              <w:spacing w:after="120"/>
              <w:jc w:val="right"/>
              <w:rPr>
                <w:rFonts w:eastAsia="Times New Roman"/>
                <w:color w:val="000000"/>
                <w:spacing w:val="4"/>
                <w:w w:val="103"/>
                <w:kern w:val="14"/>
                <w:sz w:val="20"/>
                <w:szCs w:val="20"/>
                <w:lang w:eastAsia="fr-FR"/>
              </w:rPr>
            </w:pPr>
          </w:p>
        </w:tc>
      </w:tr>
      <w:tr w:rsidR="00503084" w:rsidRPr="00A1399E" w14:paraId="41B9B513" w14:textId="77777777" w:rsidTr="00F20093">
        <w:tc>
          <w:tcPr>
            <w:tcW w:w="9369" w:type="dxa"/>
            <w:gridSpan w:val="2"/>
            <w:shd w:val="clear" w:color="auto" w:fill="auto"/>
          </w:tcPr>
          <w:p w14:paraId="438D11CB" w14:textId="03AA6677" w:rsidR="00503084" w:rsidRPr="00A1399E" w:rsidRDefault="00503084" w:rsidP="00503084">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rFonts w:eastAsia="Times New Roman"/>
                <w:color w:val="000000"/>
                <w:spacing w:val="60"/>
                <w:w w:val="103"/>
                <w:kern w:val="14"/>
                <w:sz w:val="17"/>
                <w:szCs w:val="20"/>
                <w:lang w:eastAsia="fr-FR"/>
              </w:rPr>
            </w:pPr>
            <w:r w:rsidRPr="00A1399E">
              <w:rPr>
                <w:rFonts w:eastAsia="Times New Roman"/>
                <w:color w:val="000000"/>
                <w:kern w:val="14"/>
                <w:sz w:val="20"/>
                <w:szCs w:val="20"/>
                <w:lang w:eastAsia="fr-FR"/>
              </w:rPr>
              <w:t xml:space="preserve">Results and resources framework for </w:t>
            </w:r>
            <w:r w:rsidR="00777F9E" w:rsidRPr="00A1399E">
              <w:rPr>
                <w:rFonts w:eastAsia="Times New Roman"/>
                <w:color w:val="000000"/>
                <w:kern w:val="14"/>
                <w:sz w:val="20"/>
                <w:szCs w:val="20"/>
                <w:lang w:eastAsia="fr-FR"/>
              </w:rPr>
              <w:t>Somalia</w:t>
            </w:r>
            <w:r w:rsidRPr="00A1399E">
              <w:rPr>
                <w:rFonts w:eastAsia="Times New Roman"/>
                <w:color w:val="000000"/>
                <w:kern w:val="14"/>
                <w:sz w:val="20"/>
                <w:szCs w:val="20"/>
                <w:lang w:eastAsia="fr-FR"/>
              </w:rPr>
              <w:t xml:space="preserve"> (2021-2025)</w:t>
            </w:r>
          </w:p>
        </w:tc>
        <w:tc>
          <w:tcPr>
            <w:tcW w:w="533" w:type="dxa"/>
            <w:gridSpan w:val="2"/>
            <w:shd w:val="clear" w:color="auto" w:fill="auto"/>
            <w:vAlign w:val="bottom"/>
          </w:tcPr>
          <w:p w14:paraId="15F060AE" w14:textId="02738AD7" w:rsidR="00503084" w:rsidRPr="00A1399E" w:rsidRDefault="003A04E5" w:rsidP="00503084">
            <w:pPr>
              <w:tabs>
                <w:tab w:val="left" w:pos="1620"/>
              </w:tabs>
              <w:suppressAutoHyphens/>
              <w:spacing w:after="120"/>
              <w:jc w:val="right"/>
              <w:rPr>
                <w:rFonts w:eastAsia="Times New Roman"/>
                <w:color w:val="000000"/>
                <w:spacing w:val="4"/>
                <w:w w:val="103"/>
                <w:kern w:val="14"/>
                <w:sz w:val="20"/>
                <w:szCs w:val="20"/>
                <w:lang w:eastAsia="fr-FR"/>
              </w:rPr>
            </w:pPr>
            <w:r w:rsidRPr="00A1399E">
              <w:rPr>
                <w:rFonts w:eastAsia="Times New Roman"/>
                <w:color w:val="000000"/>
                <w:kern w:val="14"/>
                <w:sz w:val="20"/>
                <w:szCs w:val="20"/>
                <w:lang w:eastAsia="fr-FR"/>
              </w:rPr>
              <w:t>9</w:t>
            </w:r>
          </w:p>
        </w:tc>
      </w:tr>
    </w:tbl>
    <w:p w14:paraId="421D28F0" w14:textId="017F4D05" w:rsidR="00B96024" w:rsidRPr="00A1399E" w:rsidRDefault="00B96024" w:rsidP="00B96024"/>
    <w:p w14:paraId="0BBA69E6" w14:textId="77777777" w:rsidR="00503084" w:rsidRPr="00A1399E" w:rsidRDefault="00503084" w:rsidP="00B96024"/>
    <w:p w14:paraId="73B855A7" w14:textId="5A851C0C" w:rsidR="00B96024" w:rsidRPr="00A1399E" w:rsidRDefault="00B96024" w:rsidP="00B96024">
      <w:pPr>
        <w:sectPr w:rsidR="00B96024" w:rsidRPr="00A1399E" w:rsidSect="00BA1533">
          <w:headerReference w:type="even" r:id="rId11"/>
          <w:headerReference w:type="default" r:id="rId12"/>
          <w:footerReference w:type="even" r:id="rId13"/>
          <w:footerReference w:type="default" r:id="rId14"/>
          <w:headerReference w:type="first" r:id="rId15"/>
          <w:pgSz w:w="11900" w:h="16840"/>
          <w:pgMar w:top="1440" w:right="1440" w:bottom="1440" w:left="1440" w:header="720" w:footer="720" w:gutter="0"/>
          <w:cols w:space="720"/>
          <w:titlePg/>
          <w:docGrid w:linePitch="360"/>
        </w:sectPr>
      </w:pPr>
    </w:p>
    <w:p w14:paraId="33E19A72" w14:textId="754F1C05" w:rsidR="00D12A23" w:rsidRPr="00A1399E" w:rsidRDefault="00777F9E" w:rsidP="00DE3F5C">
      <w:pPr>
        <w:pStyle w:val="Heading1"/>
        <w:spacing w:line="240" w:lineRule="exact"/>
        <w:ind w:left="720" w:hanging="360"/>
        <w:rPr>
          <w:sz w:val="24"/>
          <w:szCs w:val="24"/>
        </w:rPr>
      </w:pPr>
      <w:bookmarkStart w:id="0" w:name="_Toc49181079"/>
      <w:r w:rsidRPr="00A1399E">
        <w:rPr>
          <w:sz w:val="24"/>
          <w:szCs w:val="24"/>
        </w:rPr>
        <w:lastRenderedPageBreak/>
        <w:t xml:space="preserve">I. </w:t>
      </w:r>
      <w:r w:rsidRPr="00A1399E">
        <w:rPr>
          <w:sz w:val="24"/>
          <w:szCs w:val="24"/>
        </w:rPr>
        <w:tab/>
        <w:t xml:space="preserve">UNDP within the </w:t>
      </w:r>
      <w:bookmarkEnd w:id="0"/>
      <w:r w:rsidR="00DE3F5C" w:rsidRPr="00A1399E">
        <w:rPr>
          <w:sz w:val="24"/>
          <w:szCs w:val="24"/>
        </w:rPr>
        <w:t>United Nations Sustainable Development Cooperation Framework</w:t>
      </w:r>
    </w:p>
    <w:p w14:paraId="6C812D3C" w14:textId="77777777" w:rsidR="00ED5568" w:rsidRPr="00A1399E" w:rsidRDefault="00ED5568" w:rsidP="00DE3F5C">
      <w:pPr>
        <w:spacing w:line="240" w:lineRule="exact"/>
        <w:ind w:left="720"/>
        <w:jc w:val="both"/>
        <w:rPr>
          <w:b/>
          <w:bCs/>
          <w:color w:val="000000"/>
          <w:sz w:val="20"/>
          <w:szCs w:val="20"/>
        </w:rPr>
      </w:pPr>
    </w:p>
    <w:p w14:paraId="2753F619" w14:textId="7FCAFF34" w:rsidR="0090034B" w:rsidRPr="00A1399E" w:rsidRDefault="00AB7D06" w:rsidP="00F704ED">
      <w:pPr>
        <w:pStyle w:val="NormalWeb"/>
        <w:shd w:val="clear" w:color="auto" w:fill="FAFAFA"/>
        <w:spacing w:before="0" w:beforeAutospacing="0" w:after="120" w:afterAutospacing="0" w:line="240" w:lineRule="exact"/>
        <w:ind w:left="720"/>
        <w:jc w:val="both"/>
        <w:textAlignment w:val="baseline"/>
        <w:rPr>
          <w:sz w:val="20"/>
          <w:szCs w:val="20"/>
        </w:rPr>
      </w:pPr>
      <w:r w:rsidRPr="00A1399E">
        <w:rPr>
          <w:rFonts w:eastAsia="Times New Roman"/>
          <w:bCs/>
          <w:sz w:val="20"/>
          <w:szCs w:val="20"/>
        </w:rPr>
        <w:t xml:space="preserve">1. </w:t>
      </w:r>
      <w:r w:rsidR="00C400B8" w:rsidRPr="00A1399E">
        <w:rPr>
          <w:sz w:val="20"/>
          <w:szCs w:val="20"/>
        </w:rPr>
        <w:t xml:space="preserve">The UNDP </w:t>
      </w:r>
      <w:r w:rsidR="00F20093" w:rsidRPr="00A1399E">
        <w:rPr>
          <w:sz w:val="20"/>
          <w:szCs w:val="20"/>
        </w:rPr>
        <w:t>c</w:t>
      </w:r>
      <w:r w:rsidR="00C400B8" w:rsidRPr="00A1399E">
        <w:rPr>
          <w:sz w:val="20"/>
          <w:szCs w:val="20"/>
        </w:rPr>
        <w:t xml:space="preserve">ountry </w:t>
      </w:r>
      <w:r w:rsidR="00F20093" w:rsidRPr="00A1399E">
        <w:rPr>
          <w:sz w:val="20"/>
          <w:szCs w:val="20"/>
        </w:rPr>
        <w:t>p</w:t>
      </w:r>
      <w:r w:rsidR="00C400B8" w:rsidRPr="00A1399E">
        <w:rPr>
          <w:sz w:val="20"/>
          <w:szCs w:val="20"/>
        </w:rPr>
        <w:t xml:space="preserve">rogramme </w:t>
      </w:r>
      <w:r w:rsidR="00F20093" w:rsidRPr="00A1399E">
        <w:rPr>
          <w:sz w:val="20"/>
          <w:szCs w:val="20"/>
        </w:rPr>
        <w:t>d</w:t>
      </w:r>
      <w:r w:rsidR="00C400B8" w:rsidRPr="00A1399E">
        <w:rPr>
          <w:sz w:val="20"/>
          <w:szCs w:val="20"/>
        </w:rPr>
        <w:t>ocument (CPD)</w:t>
      </w:r>
      <w:r w:rsidR="00F20093" w:rsidRPr="00A1399E">
        <w:rPr>
          <w:sz w:val="20"/>
          <w:szCs w:val="20"/>
        </w:rPr>
        <w:t>,</w:t>
      </w:r>
      <w:r w:rsidR="00C400B8" w:rsidRPr="00A1399E">
        <w:rPr>
          <w:sz w:val="20"/>
          <w:szCs w:val="20"/>
        </w:rPr>
        <w:t xml:space="preserve"> 2021-2025</w:t>
      </w:r>
      <w:r w:rsidR="00F20093" w:rsidRPr="00A1399E">
        <w:rPr>
          <w:sz w:val="20"/>
          <w:szCs w:val="20"/>
        </w:rPr>
        <w:t>,</w:t>
      </w:r>
      <w:r w:rsidR="00C400B8" w:rsidRPr="00A1399E">
        <w:rPr>
          <w:sz w:val="20"/>
          <w:szCs w:val="20"/>
        </w:rPr>
        <w:t xml:space="preserve"> is </w:t>
      </w:r>
      <w:r w:rsidR="00F20093" w:rsidRPr="00A1399E">
        <w:rPr>
          <w:sz w:val="20"/>
          <w:szCs w:val="20"/>
        </w:rPr>
        <w:t xml:space="preserve">designed to </w:t>
      </w:r>
      <w:r w:rsidR="00C400B8" w:rsidRPr="00A1399E">
        <w:rPr>
          <w:sz w:val="20"/>
          <w:szCs w:val="20"/>
        </w:rPr>
        <w:t xml:space="preserve">support </w:t>
      </w:r>
      <w:r w:rsidR="00F20093" w:rsidRPr="00A1399E">
        <w:rPr>
          <w:sz w:val="20"/>
          <w:szCs w:val="20"/>
        </w:rPr>
        <w:t xml:space="preserve">the efforts of </w:t>
      </w:r>
      <w:r w:rsidR="00A410E2" w:rsidRPr="00A1399E">
        <w:rPr>
          <w:sz w:val="20"/>
          <w:szCs w:val="20"/>
        </w:rPr>
        <w:t xml:space="preserve">Somalia </w:t>
      </w:r>
      <w:r w:rsidR="00C400B8" w:rsidRPr="00A1399E">
        <w:rPr>
          <w:sz w:val="20"/>
          <w:szCs w:val="20"/>
        </w:rPr>
        <w:t>to</w:t>
      </w:r>
      <w:r w:rsidR="00F20093" w:rsidRPr="00A1399E">
        <w:rPr>
          <w:sz w:val="20"/>
          <w:szCs w:val="20"/>
        </w:rPr>
        <w:t xml:space="preserve"> achieve </w:t>
      </w:r>
      <w:r w:rsidR="00C400B8" w:rsidRPr="00A1399E">
        <w:rPr>
          <w:sz w:val="20"/>
          <w:szCs w:val="20"/>
        </w:rPr>
        <w:t xml:space="preserve">the </w:t>
      </w:r>
      <w:r w:rsidR="00F20093" w:rsidRPr="00A1399E">
        <w:rPr>
          <w:sz w:val="20"/>
          <w:szCs w:val="20"/>
        </w:rPr>
        <w:t xml:space="preserve">Sustainable Development Goals </w:t>
      </w:r>
      <w:r w:rsidR="00C400B8" w:rsidRPr="00A1399E">
        <w:rPr>
          <w:sz w:val="20"/>
          <w:szCs w:val="20"/>
        </w:rPr>
        <w:t xml:space="preserve">as </w:t>
      </w:r>
      <w:r w:rsidR="00A410E2" w:rsidRPr="00A1399E">
        <w:rPr>
          <w:sz w:val="20"/>
          <w:szCs w:val="20"/>
        </w:rPr>
        <w:t xml:space="preserve">articulated </w:t>
      </w:r>
      <w:r w:rsidR="00C400B8" w:rsidRPr="00A1399E">
        <w:rPr>
          <w:sz w:val="20"/>
          <w:szCs w:val="20"/>
        </w:rPr>
        <w:t xml:space="preserve">in the </w:t>
      </w:r>
      <w:r w:rsidR="00CE0D86" w:rsidRPr="00A1399E">
        <w:rPr>
          <w:sz w:val="20"/>
          <w:szCs w:val="20"/>
        </w:rPr>
        <w:t>National Development Plan</w:t>
      </w:r>
      <w:r w:rsidR="00F20093" w:rsidRPr="00A1399E">
        <w:rPr>
          <w:sz w:val="20"/>
          <w:szCs w:val="20"/>
        </w:rPr>
        <w:t>,</w:t>
      </w:r>
      <w:r w:rsidR="00CE0D86" w:rsidRPr="00A1399E">
        <w:rPr>
          <w:sz w:val="20"/>
          <w:szCs w:val="20"/>
        </w:rPr>
        <w:t xml:space="preserve"> 2020-2024 (</w:t>
      </w:r>
      <w:r w:rsidR="00C400B8" w:rsidRPr="00A1399E">
        <w:rPr>
          <w:sz w:val="20"/>
          <w:szCs w:val="20"/>
        </w:rPr>
        <w:t>NDP-9</w:t>
      </w:r>
      <w:r w:rsidR="00CE0D86" w:rsidRPr="00A1399E">
        <w:rPr>
          <w:sz w:val="20"/>
          <w:szCs w:val="20"/>
        </w:rPr>
        <w:t>)</w:t>
      </w:r>
      <w:r w:rsidR="004036C8" w:rsidRPr="00A1399E">
        <w:rPr>
          <w:sz w:val="20"/>
          <w:szCs w:val="20"/>
        </w:rPr>
        <w:t>. Th</w:t>
      </w:r>
      <w:r w:rsidR="00C400B8" w:rsidRPr="00A1399E">
        <w:rPr>
          <w:sz w:val="20"/>
          <w:szCs w:val="20"/>
        </w:rPr>
        <w:t>e CPD is aligned</w:t>
      </w:r>
      <w:r w:rsidR="00D524B6" w:rsidRPr="00A1399E">
        <w:rPr>
          <w:sz w:val="20"/>
          <w:szCs w:val="20"/>
        </w:rPr>
        <w:t xml:space="preserve"> </w:t>
      </w:r>
      <w:r w:rsidR="00F20093" w:rsidRPr="00A1399E">
        <w:rPr>
          <w:sz w:val="20"/>
          <w:szCs w:val="20"/>
        </w:rPr>
        <w:t xml:space="preserve">with </w:t>
      </w:r>
      <w:r w:rsidR="00C400B8" w:rsidRPr="00A1399E">
        <w:rPr>
          <w:sz w:val="20"/>
          <w:szCs w:val="20"/>
        </w:rPr>
        <w:t>the United Nations Sustainable Development Cooperation Framework (UNSDCF</w:t>
      </w:r>
      <w:r w:rsidR="00826E17" w:rsidRPr="00A1399E">
        <w:rPr>
          <w:sz w:val="20"/>
          <w:szCs w:val="20"/>
        </w:rPr>
        <w:t>)</w:t>
      </w:r>
      <w:r w:rsidR="000E2383" w:rsidRPr="00A1399E">
        <w:rPr>
          <w:sz w:val="20"/>
          <w:szCs w:val="20"/>
        </w:rPr>
        <w:t xml:space="preserve"> in content, structure and timelines. UNDP co-leads </w:t>
      </w:r>
      <w:r w:rsidR="00F20093" w:rsidRPr="00A1399E">
        <w:rPr>
          <w:sz w:val="20"/>
          <w:szCs w:val="20"/>
        </w:rPr>
        <w:t xml:space="preserve">three </w:t>
      </w:r>
      <w:r w:rsidR="000E2383" w:rsidRPr="00A1399E">
        <w:rPr>
          <w:sz w:val="20"/>
          <w:szCs w:val="20"/>
        </w:rPr>
        <w:t xml:space="preserve">of the </w:t>
      </w:r>
      <w:r w:rsidR="00F20093" w:rsidRPr="00A1399E">
        <w:rPr>
          <w:sz w:val="20"/>
          <w:szCs w:val="20"/>
        </w:rPr>
        <w:t xml:space="preserve">four </w:t>
      </w:r>
      <w:r w:rsidR="007F41FF" w:rsidRPr="00A1399E">
        <w:rPr>
          <w:sz w:val="20"/>
          <w:szCs w:val="20"/>
        </w:rPr>
        <w:t>UNSDCF</w:t>
      </w:r>
      <w:r w:rsidR="000E2383" w:rsidRPr="00A1399E">
        <w:rPr>
          <w:sz w:val="20"/>
          <w:szCs w:val="20"/>
        </w:rPr>
        <w:t xml:space="preserve"> </w:t>
      </w:r>
      <w:r w:rsidR="00F20093" w:rsidRPr="00A1399E">
        <w:rPr>
          <w:sz w:val="20"/>
          <w:szCs w:val="20"/>
        </w:rPr>
        <w:t>p</w:t>
      </w:r>
      <w:r w:rsidR="000E2383" w:rsidRPr="00A1399E">
        <w:rPr>
          <w:sz w:val="20"/>
          <w:szCs w:val="20"/>
        </w:rPr>
        <w:t xml:space="preserve">illar </w:t>
      </w:r>
      <w:r w:rsidR="00F20093" w:rsidRPr="00A1399E">
        <w:rPr>
          <w:sz w:val="20"/>
          <w:szCs w:val="20"/>
        </w:rPr>
        <w:t>w</w:t>
      </w:r>
      <w:r w:rsidR="000E2383" w:rsidRPr="00A1399E">
        <w:rPr>
          <w:sz w:val="20"/>
          <w:szCs w:val="20"/>
        </w:rPr>
        <w:t xml:space="preserve">orking </w:t>
      </w:r>
      <w:r w:rsidR="00F20093" w:rsidRPr="00A1399E">
        <w:rPr>
          <w:sz w:val="20"/>
          <w:szCs w:val="20"/>
        </w:rPr>
        <w:t>g</w:t>
      </w:r>
      <w:r w:rsidR="000E2383" w:rsidRPr="00A1399E">
        <w:rPr>
          <w:sz w:val="20"/>
          <w:szCs w:val="20"/>
        </w:rPr>
        <w:t xml:space="preserve">roups. </w:t>
      </w:r>
    </w:p>
    <w:p w14:paraId="76F44D95" w14:textId="025ABED2" w:rsidR="00C171CC" w:rsidRPr="00A1399E" w:rsidRDefault="00C171CC" w:rsidP="00F704ED">
      <w:pPr>
        <w:shd w:val="clear" w:color="auto" w:fill="FFFFFF" w:themeFill="background1"/>
        <w:spacing w:after="120" w:line="240" w:lineRule="exact"/>
        <w:ind w:left="720"/>
        <w:jc w:val="both"/>
        <w:rPr>
          <w:sz w:val="20"/>
          <w:szCs w:val="20"/>
        </w:rPr>
      </w:pPr>
      <w:r w:rsidRPr="00A1399E">
        <w:rPr>
          <w:sz w:val="20"/>
          <w:szCs w:val="20"/>
        </w:rPr>
        <w:t xml:space="preserve">2. </w:t>
      </w:r>
      <w:r w:rsidR="002B4BA6" w:rsidRPr="00A1399E">
        <w:rPr>
          <w:sz w:val="20"/>
          <w:szCs w:val="20"/>
        </w:rPr>
        <w:t>T</w:t>
      </w:r>
      <w:r w:rsidRPr="00A1399E">
        <w:rPr>
          <w:sz w:val="20"/>
          <w:szCs w:val="20"/>
        </w:rPr>
        <w:t>he NDP-9 identifie</w:t>
      </w:r>
      <w:r w:rsidR="001C3A68" w:rsidRPr="00A1399E">
        <w:rPr>
          <w:sz w:val="20"/>
          <w:szCs w:val="20"/>
        </w:rPr>
        <w:t>s</w:t>
      </w:r>
      <w:r w:rsidRPr="00A1399E">
        <w:rPr>
          <w:sz w:val="20"/>
          <w:szCs w:val="20"/>
        </w:rPr>
        <w:t xml:space="preserve"> four pillars </w:t>
      </w:r>
      <w:r w:rsidR="0082437A" w:rsidRPr="00A1399E">
        <w:rPr>
          <w:sz w:val="20"/>
          <w:szCs w:val="20"/>
        </w:rPr>
        <w:t>and define</w:t>
      </w:r>
      <w:r w:rsidR="00F20093" w:rsidRPr="00A1399E">
        <w:rPr>
          <w:sz w:val="20"/>
          <w:szCs w:val="20"/>
        </w:rPr>
        <w:t>s</w:t>
      </w:r>
      <w:r w:rsidRPr="00A1399E">
        <w:rPr>
          <w:sz w:val="20"/>
          <w:szCs w:val="20"/>
        </w:rPr>
        <w:t xml:space="preserve"> roadmaps </w:t>
      </w:r>
      <w:r w:rsidR="00F20093" w:rsidRPr="00A1399E">
        <w:rPr>
          <w:sz w:val="20"/>
          <w:szCs w:val="20"/>
        </w:rPr>
        <w:t>for i</w:t>
      </w:r>
      <w:r w:rsidRPr="00A1399E">
        <w:rPr>
          <w:sz w:val="20"/>
          <w:szCs w:val="20"/>
        </w:rPr>
        <w:t xml:space="preserve">nclusive </w:t>
      </w:r>
      <w:r w:rsidR="00F20093" w:rsidRPr="00A1399E">
        <w:rPr>
          <w:sz w:val="20"/>
          <w:szCs w:val="20"/>
        </w:rPr>
        <w:t>p</w:t>
      </w:r>
      <w:r w:rsidRPr="00A1399E">
        <w:rPr>
          <w:sz w:val="20"/>
          <w:szCs w:val="20"/>
        </w:rPr>
        <w:t>olitics</w:t>
      </w:r>
      <w:r w:rsidR="00F20093" w:rsidRPr="00A1399E">
        <w:rPr>
          <w:sz w:val="20"/>
          <w:szCs w:val="20"/>
        </w:rPr>
        <w:t>,</w:t>
      </w:r>
      <w:r w:rsidR="008A1B74" w:rsidRPr="00A1399E">
        <w:rPr>
          <w:sz w:val="20"/>
          <w:szCs w:val="20"/>
        </w:rPr>
        <w:t xml:space="preserve"> </w:t>
      </w:r>
      <w:r w:rsidR="00F20093" w:rsidRPr="00A1399E">
        <w:rPr>
          <w:sz w:val="20"/>
          <w:szCs w:val="20"/>
        </w:rPr>
        <w:t>s</w:t>
      </w:r>
      <w:r w:rsidRPr="00A1399E">
        <w:rPr>
          <w:sz w:val="20"/>
          <w:szCs w:val="20"/>
        </w:rPr>
        <w:t xml:space="preserve">ecurity and </w:t>
      </w:r>
      <w:r w:rsidR="00F20093" w:rsidRPr="00A1399E">
        <w:rPr>
          <w:sz w:val="20"/>
          <w:szCs w:val="20"/>
        </w:rPr>
        <w:t>j</w:t>
      </w:r>
      <w:r w:rsidRPr="00A1399E">
        <w:rPr>
          <w:sz w:val="20"/>
          <w:szCs w:val="20"/>
        </w:rPr>
        <w:t>ustice</w:t>
      </w:r>
      <w:r w:rsidR="00F20093" w:rsidRPr="00A1399E">
        <w:rPr>
          <w:sz w:val="20"/>
          <w:szCs w:val="20"/>
        </w:rPr>
        <w:t>,</w:t>
      </w:r>
      <w:r w:rsidR="008A1B74" w:rsidRPr="00A1399E">
        <w:rPr>
          <w:sz w:val="20"/>
          <w:szCs w:val="20"/>
        </w:rPr>
        <w:t xml:space="preserve"> </w:t>
      </w:r>
      <w:r w:rsidRPr="00A1399E">
        <w:rPr>
          <w:sz w:val="20"/>
          <w:szCs w:val="20"/>
        </w:rPr>
        <w:t xml:space="preserve">and </w:t>
      </w:r>
      <w:r w:rsidR="00F20093" w:rsidRPr="00A1399E">
        <w:rPr>
          <w:sz w:val="20"/>
          <w:szCs w:val="20"/>
        </w:rPr>
        <w:t>e</w:t>
      </w:r>
      <w:r w:rsidRPr="00A1399E">
        <w:rPr>
          <w:sz w:val="20"/>
          <w:szCs w:val="20"/>
        </w:rPr>
        <w:t xml:space="preserve">conomic </w:t>
      </w:r>
      <w:r w:rsidR="00F20093" w:rsidRPr="00A1399E">
        <w:rPr>
          <w:sz w:val="20"/>
          <w:szCs w:val="20"/>
        </w:rPr>
        <w:t>d</w:t>
      </w:r>
      <w:r w:rsidRPr="00A1399E">
        <w:rPr>
          <w:sz w:val="20"/>
          <w:szCs w:val="20"/>
        </w:rPr>
        <w:t>evelopment</w:t>
      </w:r>
      <w:r w:rsidR="00106449" w:rsidRPr="00A1399E">
        <w:rPr>
          <w:sz w:val="20"/>
          <w:szCs w:val="20"/>
        </w:rPr>
        <w:t>, against which CPD programme prio</w:t>
      </w:r>
      <w:r w:rsidR="00271F1B" w:rsidRPr="00A1399E">
        <w:rPr>
          <w:sz w:val="20"/>
          <w:szCs w:val="20"/>
        </w:rPr>
        <w:t>r</w:t>
      </w:r>
      <w:r w:rsidR="00106449" w:rsidRPr="00A1399E">
        <w:rPr>
          <w:sz w:val="20"/>
          <w:szCs w:val="20"/>
        </w:rPr>
        <w:t>ities are aligned</w:t>
      </w:r>
      <w:r w:rsidRPr="00A1399E">
        <w:rPr>
          <w:sz w:val="20"/>
          <w:szCs w:val="20"/>
        </w:rPr>
        <w:t xml:space="preserve">. </w:t>
      </w:r>
      <w:r w:rsidR="006C1E91" w:rsidRPr="00A1399E">
        <w:rPr>
          <w:sz w:val="20"/>
          <w:szCs w:val="20"/>
        </w:rPr>
        <w:t xml:space="preserve">The NDP-9 is considered the country’s </w:t>
      </w:r>
      <w:r w:rsidR="00F20093" w:rsidRPr="00A1399E">
        <w:rPr>
          <w:sz w:val="20"/>
          <w:szCs w:val="20"/>
        </w:rPr>
        <w:t>i</w:t>
      </w:r>
      <w:r w:rsidR="00BE08D6" w:rsidRPr="00A1399E">
        <w:rPr>
          <w:sz w:val="20"/>
          <w:szCs w:val="20"/>
        </w:rPr>
        <w:t xml:space="preserve">nterim </w:t>
      </w:r>
      <w:r w:rsidR="00F20093" w:rsidRPr="00A1399E">
        <w:rPr>
          <w:sz w:val="20"/>
          <w:szCs w:val="20"/>
        </w:rPr>
        <w:t>p</w:t>
      </w:r>
      <w:r w:rsidR="00BE08D6" w:rsidRPr="00A1399E">
        <w:rPr>
          <w:sz w:val="20"/>
          <w:szCs w:val="20"/>
        </w:rPr>
        <w:t xml:space="preserve">overty </w:t>
      </w:r>
      <w:r w:rsidR="00F20093" w:rsidRPr="00A1399E">
        <w:rPr>
          <w:sz w:val="20"/>
          <w:szCs w:val="20"/>
        </w:rPr>
        <w:t>r</w:t>
      </w:r>
      <w:r w:rsidR="00BE08D6" w:rsidRPr="00A1399E">
        <w:rPr>
          <w:sz w:val="20"/>
          <w:szCs w:val="20"/>
        </w:rPr>
        <w:t xml:space="preserve">eduction </w:t>
      </w:r>
      <w:r w:rsidR="00F20093" w:rsidRPr="00A1399E">
        <w:rPr>
          <w:sz w:val="20"/>
          <w:szCs w:val="20"/>
        </w:rPr>
        <w:t>s</w:t>
      </w:r>
      <w:r w:rsidR="00BE08D6" w:rsidRPr="00A1399E">
        <w:rPr>
          <w:sz w:val="20"/>
          <w:szCs w:val="20"/>
        </w:rPr>
        <w:t xml:space="preserve">trategy </w:t>
      </w:r>
      <w:r w:rsidR="00F20093" w:rsidRPr="00A1399E">
        <w:rPr>
          <w:sz w:val="20"/>
          <w:szCs w:val="20"/>
        </w:rPr>
        <w:t>p</w:t>
      </w:r>
      <w:r w:rsidR="00BE08D6" w:rsidRPr="00A1399E">
        <w:rPr>
          <w:sz w:val="20"/>
          <w:szCs w:val="20"/>
        </w:rPr>
        <w:t>aper</w:t>
      </w:r>
      <w:r w:rsidR="00F20093" w:rsidRPr="00A1399E">
        <w:rPr>
          <w:sz w:val="20"/>
          <w:szCs w:val="20"/>
        </w:rPr>
        <w:t xml:space="preserve"> (PRSP)</w:t>
      </w:r>
      <w:r w:rsidR="00835C1B" w:rsidRPr="00A1399E">
        <w:rPr>
          <w:sz w:val="20"/>
          <w:szCs w:val="20"/>
        </w:rPr>
        <w:t xml:space="preserve"> and</w:t>
      </w:r>
      <w:r w:rsidR="00F20093" w:rsidRPr="00A1399E">
        <w:rPr>
          <w:sz w:val="20"/>
          <w:szCs w:val="20"/>
        </w:rPr>
        <w:t>,</w:t>
      </w:r>
      <w:r w:rsidR="00835C1B" w:rsidRPr="00A1399E">
        <w:rPr>
          <w:sz w:val="20"/>
          <w:szCs w:val="20"/>
        </w:rPr>
        <w:t xml:space="preserve"> alongside other </w:t>
      </w:r>
      <w:r w:rsidR="00835C1B" w:rsidRPr="00A1399E">
        <w:rPr>
          <w:bCs/>
          <w:sz w:val="20"/>
          <w:szCs w:val="20"/>
        </w:rPr>
        <w:t>key requirements</w:t>
      </w:r>
      <w:r w:rsidR="00835C1B" w:rsidRPr="00A1399E">
        <w:rPr>
          <w:sz w:val="20"/>
          <w:szCs w:val="20"/>
        </w:rPr>
        <w:t xml:space="preserve">, </w:t>
      </w:r>
      <w:r w:rsidR="00F20093" w:rsidRPr="00A1399E">
        <w:rPr>
          <w:sz w:val="20"/>
          <w:szCs w:val="20"/>
        </w:rPr>
        <w:t xml:space="preserve">has </w:t>
      </w:r>
      <w:r w:rsidR="00835C1B" w:rsidRPr="00A1399E">
        <w:rPr>
          <w:sz w:val="20"/>
          <w:szCs w:val="20"/>
        </w:rPr>
        <w:t xml:space="preserve">led to </w:t>
      </w:r>
      <w:r w:rsidRPr="00A1399E">
        <w:rPr>
          <w:bCs/>
          <w:sz w:val="20"/>
          <w:szCs w:val="20"/>
        </w:rPr>
        <w:t>Somalia reach</w:t>
      </w:r>
      <w:r w:rsidR="00835C1B" w:rsidRPr="00A1399E">
        <w:rPr>
          <w:bCs/>
          <w:sz w:val="20"/>
          <w:szCs w:val="20"/>
        </w:rPr>
        <w:t xml:space="preserve">ing </w:t>
      </w:r>
      <w:r w:rsidR="00523925" w:rsidRPr="00A1399E">
        <w:rPr>
          <w:bCs/>
          <w:sz w:val="20"/>
          <w:szCs w:val="20"/>
        </w:rPr>
        <w:t xml:space="preserve">its </w:t>
      </w:r>
      <w:r w:rsidRPr="00A1399E">
        <w:rPr>
          <w:bCs/>
          <w:sz w:val="20"/>
          <w:szCs w:val="20"/>
        </w:rPr>
        <w:t xml:space="preserve">decision point under </w:t>
      </w:r>
      <w:r w:rsidR="00523925" w:rsidRPr="00A1399E">
        <w:rPr>
          <w:bCs/>
          <w:sz w:val="20"/>
          <w:szCs w:val="20"/>
        </w:rPr>
        <w:t xml:space="preserve">the </w:t>
      </w:r>
      <w:r w:rsidR="00274FB4" w:rsidRPr="00A1399E">
        <w:rPr>
          <w:bCs/>
          <w:sz w:val="20"/>
          <w:szCs w:val="20"/>
        </w:rPr>
        <w:t xml:space="preserve">Heavily </w:t>
      </w:r>
      <w:r w:rsidRPr="00A1399E">
        <w:rPr>
          <w:bCs/>
          <w:sz w:val="20"/>
          <w:szCs w:val="20"/>
        </w:rPr>
        <w:t>Indebted Poor Countries (HIPC) Initiative</w:t>
      </w:r>
      <w:r w:rsidR="00795418" w:rsidRPr="00A1399E">
        <w:rPr>
          <w:bCs/>
          <w:sz w:val="20"/>
          <w:szCs w:val="20"/>
        </w:rPr>
        <w:t>.</w:t>
      </w:r>
      <w:r w:rsidRPr="00A1399E">
        <w:rPr>
          <w:bCs/>
          <w:sz w:val="20"/>
          <w:szCs w:val="20"/>
        </w:rPr>
        <w:t xml:space="preserve"> </w:t>
      </w:r>
    </w:p>
    <w:p w14:paraId="6E37FBF9" w14:textId="3F13710C" w:rsidR="0085782A" w:rsidRPr="00A1399E" w:rsidRDefault="00AE5BE6" w:rsidP="00F704ED">
      <w:pPr>
        <w:pStyle w:val="NormalWeb"/>
        <w:shd w:val="clear" w:color="auto" w:fill="FFFFFF" w:themeFill="background1"/>
        <w:spacing w:before="0" w:beforeAutospacing="0" w:after="120" w:afterAutospacing="0" w:line="240" w:lineRule="exact"/>
        <w:ind w:left="720"/>
        <w:jc w:val="both"/>
        <w:textAlignment w:val="baseline"/>
        <w:rPr>
          <w:rFonts w:eastAsia="Times New Roman"/>
          <w:bCs/>
          <w:sz w:val="20"/>
          <w:szCs w:val="20"/>
        </w:rPr>
      </w:pPr>
      <w:r w:rsidRPr="00A1399E">
        <w:rPr>
          <w:sz w:val="20"/>
          <w:szCs w:val="20"/>
        </w:rPr>
        <w:t xml:space="preserve">3. </w:t>
      </w:r>
      <w:r w:rsidR="00523925" w:rsidRPr="00A1399E">
        <w:rPr>
          <w:sz w:val="20"/>
          <w:szCs w:val="20"/>
        </w:rPr>
        <w:t xml:space="preserve">The country’s </w:t>
      </w:r>
      <w:r w:rsidR="00AB7D06" w:rsidRPr="00A1399E">
        <w:rPr>
          <w:sz w:val="20"/>
          <w:szCs w:val="20"/>
        </w:rPr>
        <w:t xml:space="preserve">socioeconomic transformation is </w:t>
      </w:r>
      <w:r w:rsidR="009541BB" w:rsidRPr="00A1399E">
        <w:rPr>
          <w:sz w:val="20"/>
          <w:szCs w:val="20"/>
        </w:rPr>
        <w:t xml:space="preserve">occurring </w:t>
      </w:r>
      <w:r w:rsidR="00523925" w:rsidRPr="00A1399E">
        <w:rPr>
          <w:sz w:val="20"/>
          <w:szCs w:val="20"/>
        </w:rPr>
        <w:t xml:space="preserve">within </w:t>
      </w:r>
      <w:r w:rsidR="00AB7D06" w:rsidRPr="00A1399E">
        <w:rPr>
          <w:sz w:val="20"/>
          <w:szCs w:val="20"/>
        </w:rPr>
        <w:t xml:space="preserve">a challenging </w:t>
      </w:r>
      <w:r w:rsidR="00523925" w:rsidRPr="00A1399E">
        <w:rPr>
          <w:sz w:val="20"/>
          <w:szCs w:val="20"/>
        </w:rPr>
        <w:t xml:space="preserve">national </w:t>
      </w:r>
      <w:r w:rsidR="00AB7D06" w:rsidRPr="00A1399E">
        <w:rPr>
          <w:sz w:val="20"/>
          <w:szCs w:val="20"/>
        </w:rPr>
        <w:t>context</w:t>
      </w:r>
      <w:r w:rsidR="00523925" w:rsidRPr="00A1399E">
        <w:rPr>
          <w:sz w:val="20"/>
          <w:szCs w:val="20"/>
        </w:rPr>
        <w:t>,</w:t>
      </w:r>
      <w:r w:rsidR="00AB7D06" w:rsidRPr="00A1399E">
        <w:rPr>
          <w:sz w:val="20"/>
          <w:szCs w:val="20"/>
        </w:rPr>
        <w:t xml:space="preserve"> characterized by a contested political environment, conflict and instability</w:t>
      </w:r>
      <w:r w:rsidR="00523925" w:rsidRPr="00A1399E">
        <w:rPr>
          <w:sz w:val="20"/>
          <w:szCs w:val="20"/>
        </w:rPr>
        <w:t>,</w:t>
      </w:r>
      <w:r w:rsidR="00AB7D06" w:rsidRPr="00A1399E">
        <w:rPr>
          <w:sz w:val="20"/>
          <w:szCs w:val="20"/>
        </w:rPr>
        <w:t xml:space="preserve"> </w:t>
      </w:r>
      <w:r w:rsidR="00523925" w:rsidRPr="00A1399E">
        <w:rPr>
          <w:sz w:val="20"/>
          <w:szCs w:val="20"/>
        </w:rPr>
        <w:t xml:space="preserve">and </w:t>
      </w:r>
      <w:r w:rsidR="00AB7D06" w:rsidRPr="00A1399E">
        <w:rPr>
          <w:sz w:val="20"/>
          <w:szCs w:val="20"/>
        </w:rPr>
        <w:t>complex regional politics</w:t>
      </w:r>
      <w:r w:rsidR="00523925" w:rsidRPr="00A1399E">
        <w:rPr>
          <w:sz w:val="20"/>
          <w:szCs w:val="20"/>
        </w:rPr>
        <w:t>,</w:t>
      </w:r>
      <w:r w:rsidR="00AB7D06" w:rsidRPr="00A1399E">
        <w:rPr>
          <w:sz w:val="20"/>
          <w:szCs w:val="20"/>
        </w:rPr>
        <w:t xml:space="preserve"> including rivalry among </w:t>
      </w:r>
      <w:r w:rsidR="009541BB" w:rsidRPr="00A1399E">
        <w:rPr>
          <w:sz w:val="20"/>
          <w:szCs w:val="20"/>
        </w:rPr>
        <w:t>clans</w:t>
      </w:r>
      <w:r w:rsidR="00AB7D06" w:rsidRPr="00A1399E">
        <w:rPr>
          <w:sz w:val="20"/>
          <w:szCs w:val="20"/>
        </w:rPr>
        <w:t>, which has largely destroyed the country´s infrastructure and institutions</w:t>
      </w:r>
      <w:r w:rsidR="00523925" w:rsidRPr="00A1399E">
        <w:rPr>
          <w:sz w:val="20"/>
          <w:szCs w:val="20"/>
        </w:rPr>
        <w:t xml:space="preserve"> and </w:t>
      </w:r>
      <w:r w:rsidR="00AB7D06" w:rsidRPr="00A1399E">
        <w:rPr>
          <w:sz w:val="20"/>
          <w:szCs w:val="20"/>
        </w:rPr>
        <w:t>led to continued insecurity, insurgency and violation of human rights</w:t>
      </w:r>
      <w:r w:rsidR="00865C2E" w:rsidRPr="00A1399E">
        <w:rPr>
          <w:sz w:val="20"/>
          <w:szCs w:val="20"/>
        </w:rPr>
        <w:t xml:space="preserve">, with </w:t>
      </w:r>
      <w:r w:rsidR="00865C2E" w:rsidRPr="00A1399E">
        <w:rPr>
          <w:color w:val="101010"/>
          <w:sz w:val="20"/>
          <w:szCs w:val="20"/>
        </w:rPr>
        <w:t xml:space="preserve">women </w:t>
      </w:r>
      <w:r w:rsidR="00865C2E" w:rsidRPr="00A1399E">
        <w:rPr>
          <w:color w:val="000000"/>
          <w:sz w:val="20"/>
          <w:szCs w:val="20"/>
        </w:rPr>
        <w:t xml:space="preserve">largely excluded from peacebuilding processes owing to structural constraints and </w:t>
      </w:r>
      <w:r w:rsidR="009541BB" w:rsidRPr="00A1399E">
        <w:rPr>
          <w:color w:val="000000"/>
          <w:sz w:val="20"/>
          <w:szCs w:val="20"/>
        </w:rPr>
        <w:t xml:space="preserve">male-dominated </w:t>
      </w:r>
      <w:r w:rsidR="00865C2E" w:rsidRPr="00A1399E">
        <w:rPr>
          <w:color w:val="000000"/>
          <w:sz w:val="20"/>
          <w:szCs w:val="20"/>
        </w:rPr>
        <w:t>political systems</w:t>
      </w:r>
      <w:r w:rsidR="00AB7D06" w:rsidRPr="00A1399E">
        <w:rPr>
          <w:sz w:val="20"/>
          <w:szCs w:val="20"/>
        </w:rPr>
        <w:t>.</w:t>
      </w:r>
      <w:r w:rsidR="00AB7D06" w:rsidRPr="00A1399E">
        <w:rPr>
          <w:rStyle w:val="FootnoteReference"/>
          <w:rFonts w:cs="Times New Roman"/>
          <w:sz w:val="20"/>
          <w:szCs w:val="20"/>
        </w:rPr>
        <w:footnoteReference w:id="1"/>
      </w:r>
      <w:r w:rsidR="00AB7D06" w:rsidRPr="00A1399E">
        <w:rPr>
          <w:sz w:val="20"/>
          <w:szCs w:val="20"/>
        </w:rPr>
        <w:t xml:space="preserve"> </w:t>
      </w:r>
      <w:r w:rsidR="008A5D91" w:rsidRPr="00A1399E">
        <w:rPr>
          <w:color w:val="101010"/>
          <w:sz w:val="20"/>
          <w:szCs w:val="20"/>
        </w:rPr>
        <w:t>Some parts of the country</w:t>
      </w:r>
      <w:r w:rsidR="009655E9" w:rsidRPr="00A1399E">
        <w:rPr>
          <w:color w:val="101010"/>
          <w:sz w:val="20"/>
          <w:szCs w:val="20"/>
        </w:rPr>
        <w:t xml:space="preserve"> and</w:t>
      </w:r>
      <w:r w:rsidR="008A5D91" w:rsidRPr="00A1399E">
        <w:rPr>
          <w:color w:val="101010"/>
          <w:sz w:val="20"/>
          <w:szCs w:val="20"/>
        </w:rPr>
        <w:t xml:space="preserve"> major roads are under the control of terrorist groups/Al Shabab</w:t>
      </w:r>
      <w:r w:rsidR="00523925" w:rsidRPr="00A1399E">
        <w:rPr>
          <w:color w:val="101010"/>
          <w:sz w:val="20"/>
          <w:szCs w:val="20"/>
        </w:rPr>
        <w:t>.</w:t>
      </w:r>
      <w:r w:rsidR="008A5D91" w:rsidRPr="00A1399E">
        <w:rPr>
          <w:rStyle w:val="FootnoteReference"/>
          <w:rFonts w:cs="Times New Roman"/>
          <w:color w:val="101010"/>
          <w:sz w:val="20"/>
          <w:szCs w:val="20"/>
        </w:rPr>
        <w:footnoteReference w:id="2"/>
      </w:r>
      <w:r w:rsidR="008A5D91" w:rsidRPr="00A1399E">
        <w:rPr>
          <w:color w:val="101010"/>
          <w:sz w:val="20"/>
          <w:szCs w:val="20"/>
        </w:rPr>
        <w:t xml:space="preserve"> </w:t>
      </w:r>
      <w:r w:rsidR="006936AA" w:rsidRPr="00A1399E">
        <w:rPr>
          <w:rFonts w:eastAsia="Times New Roman"/>
          <w:bCs/>
          <w:sz w:val="20"/>
          <w:szCs w:val="20"/>
        </w:rPr>
        <w:t>G</w:t>
      </w:r>
      <w:r w:rsidR="00AB7D06" w:rsidRPr="00A1399E">
        <w:rPr>
          <w:rFonts w:eastAsia="Times New Roman"/>
          <w:bCs/>
          <w:sz w:val="20"/>
          <w:szCs w:val="20"/>
        </w:rPr>
        <w:t xml:space="preserve">iven its location within the </w:t>
      </w:r>
      <w:r w:rsidR="009655E9" w:rsidRPr="00A1399E">
        <w:rPr>
          <w:rFonts w:eastAsia="Times New Roman"/>
          <w:bCs/>
          <w:sz w:val="20"/>
          <w:szCs w:val="20"/>
        </w:rPr>
        <w:t>H</w:t>
      </w:r>
      <w:r w:rsidR="00AB7D06" w:rsidRPr="00A1399E">
        <w:rPr>
          <w:rFonts w:eastAsia="Times New Roman"/>
          <w:bCs/>
          <w:sz w:val="20"/>
          <w:szCs w:val="20"/>
        </w:rPr>
        <w:t>orn of Af</w:t>
      </w:r>
      <w:r w:rsidR="006936AA" w:rsidRPr="00A1399E">
        <w:rPr>
          <w:rFonts w:eastAsia="Times New Roman"/>
          <w:bCs/>
          <w:sz w:val="20"/>
          <w:szCs w:val="20"/>
        </w:rPr>
        <w:t xml:space="preserve">rica, </w:t>
      </w:r>
      <w:r w:rsidR="00AB7D06" w:rsidRPr="00A1399E">
        <w:rPr>
          <w:rFonts w:eastAsia="Times New Roman"/>
          <w:bCs/>
          <w:sz w:val="20"/>
          <w:szCs w:val="20"/>
        </w:rPr>
        <w:t>events in Somalia ha</w:t>
      </w:r>
      <w:r w:rsidR="006936AA" w:rsidRPr="00A1399E">
        <w:rPr>
          <w:rFonts w:eastAsia="Times New Roman"/>
          <w:bCs/>
          <w:sz w:val="20"/>
          <w:szCs w:val="20"/>
        </w:rPr>
        <w:t>ve</w:t>
      </w:r>
      <w:r w:rsidR="00EE4839" w:rsidRPr="00A1399E">
        <w:rPr>
          <w:rFonts w:eastAsia="Times New Roman"/>
          <w:bCs/>
          <w:sz w:val="20"/>
          <w:szCs w:val="20"/>
        </w:rPr>
        <w:t xml:space="preserve"> </w:t>
      </w:r>
      <w:r w:rsidR="00AB7D06" w:rsidRPr="00A1399E">
        <w:rPr>
          <w:rFonts w:eastAsia="Times New Roman"/>
          <w:bCs/>
          <w:sz w:val="20"/>
          <w:szCs w:val="20"/>
        </w:rPr>
        <w:t xml:space="preserve">security, economic, trade, social and environmental implications </w:t>
      </w:r>
      <w:r w:rsidR="00BE08D6" w:rsidRPr="00A1399E">
        <w:rPr>
          <w:rFonts w:eastAsia="Times New Roman"/>
          <w:bCs/>
          <w:sz w:val="20"/>
          <w:szCs w:val="20"/>
        </w:rPr>
        <w:t xml:space="preserve">for </w:t>
      </w:r>
      <w:r w:rsidR="00AB7D06" w:rsidRPr="00A1399E">
        <w:rPr>
          <w:rFonts w:eastAsia="Times New Roman"/>
          <w:bCs/>
          <w:sz w:val="20"/>
          <w:szCs w:val="20"/>
        </w:rPr>
        <w:t>neighbouring countries</w:t>
      </w:r>
      <w:r w:rsidR="006936AA" w:rsidRPr="00A1399E">
        <w:rPr>
          <w:rFonts w:eastAsia="Times New Roman"/>
          <w:bCs/>
          <w:sz w:val="20"/>
          <w:szCs w:val="20"/>
        </w:rPr>
        <w:t>.</w:t>
      </w:r>
    </w:p>
    <w:p w14:paraId="055D8016" w14:textId="4906BC5E" w:rsidR="0085782A" w:rsidRPr="00A1399E" w:rsidRDefault="00AE5BE6" w:rsidP="00F704ED">
      <w:pPr>
        <w:pStyle w:val="NormalWeb"/>
        <w:shd w:val="clear" w:color="auto" w:fill="FFFFFF" w:themeFill="background1"/>
        <w:spacing w:before="0" w:beforeAutospacing="0" w:after="120" w:afterAutospacing="0" w:line="240" w:lineRule="exact"/>
        <w:ind w:left="720"/>
        <w:jc w:val="both"/>
        <w:textAlignment w:val="baseline"/>
        <w:rPr>
          <w:sz w:val="20"/>
          <w:szCs w:val="20"/>
        </w:rPr>
      </w:pPr>
      <w:r w:rsidRPr="00A1399E">
        <w:rPr>
          <w:sz w:val="20"/>
          <w:szCs w:val="20"/>
        </w:rPr>
        <w:t>4</w:t>
      </w:r>
      <w:r w:rsidR="00AB7D06" w:rsidRPr="00A1399E">
        <w:rPr>
          <w:sz w:val="20"/>
          <w:szCs w:val="20"/>
        </w:rPr>
        <w:t xml:space="preserve">.  After more than two decades of civil war and conflict, </w:t>
      </w:r>
      <w:r w:rsidR="008D6B2B" w:rsidRPr="00A1399E">
        <w:rPr>
          <w:sz w:val="20"/>
          <w:szCs w:val="20"/>
        </w:rPr>
        <w:t xml:space="preserve">Somalia </w:t>
      </w:r>
      <w:r w:rsidR="00AB7D06" w:rsidRPr="00A1399E">
        <w:rPr>
          <w:sz w:val="20"/>
          <w:szCs w:val="20"/>
        </w:rPr>
        <w:t>has made progress towards political and security stabilization. The establishment of the Federal Government of Somalia in 2012</w:t>
      </w:r>
      <w:r w:rsidR="00A43D87" w:rsidRPr="00A1399E">
        <w:rPr>
          <w:sz w:val="20"/>
          <w:szCs w:val="20"/>
        </w:rPr>
        <w:t>,</w:t>
      </w:r>
      <w:r w:rsidR="00AB7D06" w:rsidRPr="00A1399E">
        <w:rPr>
          <w:sz w:val="20"/>
          <w:szCs w:val="20"/>
        </w:rPr>
        <w:t xml:space="preserve"> </w:t>
      </w:r>
      <w:r w:rsidR="006936AA" w:rsidRPr="00A1399E">
        <w:rPr>
          <w:sz w:val="20"/>
          <w:szCs w:val="20"/>
        </w:rPr>
        <w:t>the first national elections in 2016</w:t>
      </w:r>
      <w:r w:rsidR="00A43D87" w:rsidRPr="00A1399E">
        <w:rPr>
          <w:sz w:val="20"/>
          <w:szCs w:val="20"/>
        </w:rPr>
        <w:t xml:space="preserve"> and</w:t>
      </w:r>
      <w:r w:rsidR="008A5D91" w:rsidRPr="00A1399E">
        <w:rPr>
          <w:sz w:val="20"/>
          <w:szCs w:val="20"/>
        </w:rPr>
        <w:t xml:space="preserve"> the provisional constitution</w:t>
      </w:r>
      <w:r w:rsidR="006936AA" w:rsidRPr="00A1399E">
        <w:rPr>
          <w:sz w:val="20"/>
          <w:szCs w:val="20"/>
        </w:rPr>
        <w:t xml:space="preserve"> </w:t>
      </w:r>
      <w:r w:rsidR="008D6B2B" w:rsidRPr="00A1399E">
        <w:rPr>
          <w:sz w:val="20"/>
          <w:szCs w:val="20"/>
        </w:rPr>
        <w:t xml:space="preserve">have </w:t>
      </w:r>
      <w:r w:rsidR="006936AA" w:rsidRPr="00A1399E">
        <w:rPr>
          <w:sz w:val="20"/>
          <w:szCs w:val="20"/>
        </w:rPr>
        <w:t xml:space="preserve">provided </w:t>
      </w:r>
      <w:r w:rsidR="00AB7D06" w:rsidRPr="00A1399E">
        <w:rPr>
          <w:sz w:val="20"/>
          <w:szCs w:val="20"/>
        </w:rPr>
        <w:t>an opportunity f</w:t>
      </w:r>
      <w:r w:rsidR="006936AA" w:rsidRPr="00A1399E">
        <w:rPr>
          <w:sz w:val="20"/>
          <w:szCs w:val="20"/>
        </w:rPr>
        <w:t xml:space="preserve">or stability, peace, </w:t>
      </w:r>
      <w:r w:rsidR="00AB7D06" w:rsidRPr="00A1399E">
        <w:rPr>
          <w:sz w:val="20"/>
          <w:szCs w:val="20"/>
        </w:rPr>
        <w:t>security and sustainable development</w:t>
      </w:r>
      <w:r w:rsidR="008D6B2B" w:rsidRPr="00A1399E">
        <w:rPr>
          <w:sz w:val="20"/>
          <w:szCs w:val="20"/>
        </w:rPr>
        <w:t>.</w:t>
      </w:r>
      <w:r w:rsidR="008A5D91" w:rsidRPr="00A1399E">
        <w:rPr>
          <w:rStyle w:val="FootnoteReference"/>
          <w:rFonts w:cs="Times New Roman"/>
          <w:sz w:val="20"/>
          <w:szCs w:val="20"/>
        </w:rPr>
        <w:footnoteReference w:id="3"/>
      </w:r>
      <w:r w:rsidR="00EB2CE2" w:rsidRPr="00A1399E">
        <w:rPr>
          <w:sz w:val="20"/>
          <w:szCs w:val="20"/>
        </w:rPr>
        <w:t xml:space="preserve"> </w:t>
      </w:r>
      <w:r w:rsidR="00826E17" w:rsidRPr="00A1399E">
        <w:rPr>
          <w:sz w:val="20"/>
          <w:szCs w:val="20"/>
        </w:rPr>
        <w:t>Despite progress</w:t>
      </w:r>
      <w:r w:rsidR="00EB2CE2" w:rsidRPr="00A1399E">
        <w:rPr>
          <w:sz w:val="20"/>
          <w:szCs w:val="20"/>
        </w:rPr>
        <w:t xml:space="preserve">, </w:t>
      </w:r>
      <w:r w:rsidR="00826E17" w:rsidRPr="00A1399E">
        <w:rPr>
          <w:sz w:val="20"/>
          <w:szCs w:val="20"/>
        </w:rPr>
        <w:t>Somalia</w:t>
      </w:r>
      <w:r w:rsidR="00EB2CE2" w:rsidRPr="00A1399E">
        <w:rPr>
          <w:sz w:val="20"/>
          <w:szCs w:val="20"/>
        </w:rPr>
        <w:t xml:space="preserve"> remains a fragile state and face</w:t>
      </w:r>
      <w:r w:rsidR="004E48CD" w:rsidRPr="00A1399E">
        <w:rPr>
          <w:sz w:val="20"/>
          <w:szCs w:val="20"/>
        </w:rPr>
        <w:t>s</w:t>
      </w:r>
      <w:r w:rsidR="00EB2CE2" w:rsidRPr="00A1399E">
        <w:rPr>
          <w:sz w:val="20"/>
          <w:szCs w:val="20"/>
        </w:rPr>
        <w:t xml:space="preserve"> various challenges </w:t>
      </w:r>
      <w:r w:rsidR="008D6B2B" w:rsidRPr="00A1399E">
        <w:rPr>
          <w:sz w:val="20"/>
          <w:szCs w:val="20"/>
        </w:rPr>
        <w:t xml:space="preserve">in efforts to </w:t>
      </w:r>
      <w:r w:rsidR="00EB2CE2" w:rsidRPr="00A1399E">
        <w:rPr>
          <w:sz w:val="20"/>
          <w:szCs w:val="20"/>
        </w:rPr>
        <w:t>achiev</w:t>
      </w:r>
      <w:r w:rsidR="008D6B2B" w:rsidRPr="00A1399E">
        <w:rPr>
          <w:sz w:val="20"/>
          <w:szCs w:val="20"/>
        </w:rPr>
        <w:t>e</w:t>
      </w:r>
      <w:r w:rsidR="00EB2CE2" w:rsidRPr="00A1399E">
        <w:rPr>
          <w:sz w:val="20"/>
          <w:szCs w:val="20"/>
        </w:rPr>
        <w:t xml:space="preserve"> the Sustainable Development Goals.</w:t>
      </w:r>
      <w:r w:rsidR="00EB2CE2" w:rsidRPr="00A1399E">
        <w:rPr>
          <w:sz w:val="20"/>
          <w:szCs w:val="20"/>
          <w:vertAlign w:val="superscript"/>
        </w:rPr>
        <w:footnoteReference w:id="4"/>
      </w:r>
    </w:p>
    <w:p w14:paraId="4A03C88A" w14:textId="42DCA96B" w:rsidR="00AB7D06" w:rsidRPr="00A1399E" w:rsidRDefault="00865C2E" w:rsidP="00F704ED">
      <w:pPr>
        <w:spacing w:after="120" w:line="240" w:lineRule="exact"/>
        <w:ind w:left="720"/>
        <w:jc w:val="both"/>
        <w:rPr>
          <w:sz w:val="20"/>
          <w:szCs w:val="20"/>
        </w:rPr>
      </w:pPr>
      <w:r w:rsidRPr="00A1399E">
        <w:rPr>
          <w:sz w:val="20"/>
          <w:szCs w:val="20"/>
        </w:rPr>
        <w:t>5</w:t>
      </w:r>
      <w:r w:rsidR="00AB7D06" w:rsidRPr="00A1399E">
        <w:rPr>
          <w:sz w:val="20"/>
          <w:szCs w:val="20"/>
        </w:rPr>
        <w:t>.</w:t>
      </w:r>
      <w:r w:rsidR="00BE08D6" w:rsidRPr="00A1399E">
        <w:rPr>
          <w:sz w:val="20"/>
          <w:szCs w:val="20"/>
        </w:rPr>
        <w:t xml:space="preserve"> </w:t>
      </w:r>
      <w:r w:rsidR="00826E17" w:rsidRPr="00A1399E">
        <w:rPr>
          <w:sz w:val="20"/>
          <w:szCs w:val="20"/>
        </w:rPr>
        <w:t>G</w:t>
      </w:r>
      <w:r w:rsidR="00AB7D06" w:rsidRPr="00A1399E">
        <w:rPr>
          <w:sz w:val="20"/>
          <w:szCs w:val="20"/>
        </w:rPr>
        <w:t>rowing at an average of 2.5</w:t>
      </w:r>
      <w:r w:rsidR="000841E5" w:rsidRPr="00A1399E">
        <w:rPr>
          <w:sz w:val="20"/>
          <w:szCs w:val="20"/>
        </w:rPr>
        <w:t xml:space="preserve"> </w:t>
      </w:r>
      <w:r w:rsidR="00A01D44" w:rsidRPr="00A1399E">
        <w:rPr>
          <w:sz w:val="20"/>
          <w:szCs w:val="20"/>
        </w:rPr>
        <w:t>per cent</w:t>
      </w:r>
      <w:r w:rsidR="00AB7D06" w:rsidRPr="00A1399E">
        <w:rPr>
          <w:sz w:val="20"/>
          <w:szCs w:val="20"/>
        </w:rPr>
        <w:t xml:space="preserve"> </w:t>
      </w:r>
      <w:r w:rsidR="000841E5" w:rsidRPr="00A1399E">
        <w:rPr>
          <w:sz w:val="20"/>
          <w:szCs w:val="20"/>
        </w:rPr>
        <w:t xml:space="preserve">in </w:t>
      </w:r>
      <w:r w:rsidR="00AB7D06" w:rsidRPr="00A1399E">
        <w:rPr>
          <w:sz w:val="20"/>
          <w:szCs w:val="20"/>
        </w:rPr>
        <w:t>2012-2019</w:t>
      </w:r>
      <w:r w:rsidR="00826E17" w:rsidRPr="00A1399E">
        <w:rPr>
          <w:sz w:val="20"/>
          <w:szCs w:val="20"/>
        </w:rPr>
        <w:t xml:space="preserve">, </w:t>
      </w:r>
      <w:r w:rsidR="000841E5" w:rsidRPr="00A1399E">
        <w:rPr>
          <w:sz w:val="20"/>
          <w:szCs w:val="20"/>
        </w:rPr>
        <w:t xml:space="preserve">the </w:t>
      </w:r>
      <w:r w:rsidR="00826E17" w:rsidRPr="00A1399E">
        <w:rPr>
          <w:sz w:val="20"/>
          <w:szCs w:val="20"/>
        </w:rPr>
        <w:t>economy is susceptible to multiple shocks,</w:t>
      </w:r>
      <w:r w:rsidR="00AB7D06" w:rsidRPr="00A1399E">
        <w:rPr>
          <w:rStyle w:val="FootnoteReference"/>
          <w:rFonts w:cs="Times New Roman"/>
          <w:sz w:val="20"/>
          <w:szCs w:val="20"/>
        </w:rPr>
        <w:footnoteReference w:id="5"/>
      </w:r>
      <w:r w:rsidR="00AB7D06" w:rsidRPr="00A1399E">
        <w:rPr>
          <w:sz w:val="20"/>
          <w:szCs w:val="20"/>
        </w:rPr>
        <w:t xml:space="preserve"> includ</w:t>
      </w:r>
      <w:r w:rsidR="00826E17" w:rsidRPr="00A1399E">
        <w:rPr>
          <w:sz w:val="20"/>
          <w:szCs w:val="20"/>
        </w:rPr>
        <w:t>ing</w:t>
      </w:r>
      <w:r w:rsidR="00AB7D06" w:rsidRPr="00A1399E">
        <w:rPr>
          <w:sz w:val="20"/>
          <w:szCs w:val="20"/>
        </w:rPr>
        <w:t xml:space="preserve"> recurrent floods and droughts and</w:t>
      </w:r>
      <w:r w:rsidR="000841E5" w:rsidRPr="00A1399E">
        <w:rPr>
          <w:sz w:val="20"/>
          <w:szCs w:val="20"/>
        </w:rPr>
        <w:t>,</w:t>
      </w:r>
      <w:r w:rsidR="00AB7D06" w:rsidRPr="00A1399E">
        <w:rPr>
          <w:sz w:val="20"/>
          <w:szCs w:val="20"/>
        </w:rPr>
        <w:t xml:space="preserve"> most recently</w:t>
      </w:r>
      <w:r w:rsidR="000841E5" w:rsidRPr="00A1399E">
        <w:rPr>
          <w:sz w:val="20"/>
          <w:szCs w:val="20"/>
        </w:rPr>
        <w:t>,</w:t>
      </w:r>
      <w:r w:rsidR="00AB7D06" w:rsidRPr="00A1399E">
        <w:rPr>
          <w:sz w:val="20"/>
          <w:szCs w:val="20"/>
        </w:rPr>
        <w:t xml:space="preserve"> locust infestation, exacerbated by </w:t>
      </w:r>
      <w:r w:rsidR="00AB7D06" w:rsidRPr="00A1399E">
        <w:rPr>
          <w:color w:val="000000" w:themeColor="text1"/>
          <w:sz w:val="20"/>
          <w:szCs w:val="20"/>
        </w:rPr>
        <w:t xml:space="preserve">limited capacities of </w:t>
      </w:r>
      <w:r w:rsidR="00AB7D06" w:rsidRPr="00A1399E">
        <w:rPr>
          <w:sz w:val="20"/>
          <w:szCs w:val="20"/>
        </w:rPr>
        <w:t xml:space="preserve">government institutions to deliver services, inadequate infrastructure, and frailties in </w:t>
      </w:r>
      <w:r w:rsidR="000841E5" w:rsidRPr="00A1399E">
        <w:rPr>
          <w:sz w:val="20"/>
          <w:szCs w:val="20"/>
        </w:rPr>
        <w:t xml:space="preserve">the </w:t>
      </w:r>
      <w:r w:rsidR="00AB7D06" w:rsidRPr="00A1399E">
        <w:rPr>
          <w:sz w:val="20"/>
          <w:szCs w:val="20"/>
        </w:rPr>
        <w:t>public financial management system.</w:t>
      </w:r>
      <w:r w:rsidR="00AB7D06" w:rsidRPr="00A1399E">
        <w:rPr>
          <w:rStyle w:val="FootnoteReference"/>
          <w:rFonts w:cs="Times New Roman"/>
          <w:sz w:val="20"/>
          <w:szCs w:val="20"/>
        </w:rPr>
        <w:footnoteReference w:id="6"/>
      </w:r>
      <w:r w:rsidR="00AB7D06" w:rsidRPr="00A1399E">
        <w:rPr>
          <w:sz w:val="20"/>
          <w:szCs w:val="20"/>
        </w:rPr>
        <w:t xml:space="preserve"> The country’s fragility </w:t>
      </w:r>
      <w:r w:rsidR="000841E5" w:rsidRPr="00A1399E">
        <w:rPr>
          <w:sz w:val="20"/>
          <w:szCs w:val="20"/>
        </w:rPr>
        <w:t xml:space="preserve">has been </w:t>
      </w:r>
      <w:r w:rsidR="00AB7D06" w:rsidRPr="00A1399E">
        <w:rPr>
          <w:sz w:val="20"/>
          <w:szCs w:val="20"/>
        </w:rPr>
        <w:t xml:space="preserve">further compounded by </w:t>
      </w:r>
      <w:r w:rsidR="000841E5" w:rsidRPr="00A1399E">
        <w:rPr>
          <w:sz w:val="20"/>
          <w:szCs w:val="20"/>
        </w:rPr>
        <w:t xml:space="preserve">the </w:t>
      </w:r>
      <w:r w:rsidR="00AB7D06" w:rsidRPr="00A1399E">
        <w:rPr>
          <w:sz w:val="20"/>
          <w:szCs w:val="20"/>
        </w:rPr>
        <w:t xml:space="preserve">COVID-19 pandemic, </w:t>
      </w:r>
      <w:r w:rsidR="000841E5" w:rsidRPr="00A1399E">
        <w:rPr>
          <w:sz w:val="20"/>
          <w:szCs w:val="20"/>
        </w:rPr>
        <w:t xml:space="preserve">which has </w:t>
      </w:r>
      <w:r w:rsidR="00AB7D06" w:rsidRPr="00A1399E">
        <w:rPr>
          <w:sz w:val="20"/>
          <w:szCs w:val="20"/>
        </w:rPr>
        <w:t>impact</w:t>
      </w:r>
      <w:r w:rsidR="000841E5" w:rsidRPr="00A1399E">
        <w:rPr>
          <w:sz w:val="20"/>
          <w:szCs w:val="20"/>
        </w:rPr>
        <w:t>ed</w:t>
      </w:r>
      <w:r w:rsidR="00AB7D06" w:rsidRPr="00A1399E">
        <w:rPr>
          <w:sz w:val="20"/>
          <w:szCs w:val="20"/>
        </w:rPr>
        <w:t xml:space="preserve"> economic growth, food security, employment, remittance</w:t>
      </w:r>
      <w:r w:rsidR="000841E5" w:rsidRPr="00A1399E">
        <w:rPr>
          <w:sz w:val="20"/>
          <w:szCs w:val="20"/>
        </w:rPr>
        <w:t>s</w:t>
      </w:r>
      <w:r w:rsidR="00DF3494" w:rsidRPr="00A1399E">
        <w:rPr>
          <w:sz w:val="20"/>
          <w:szCs w:val="20"/>
        </w:rPr>
        <w:t xml:space="preserve"> and</w:t>
      </w:r>
      <w:r w:rsidR="00AB7D06" w:rsidRPr="00A1399E">
        <w:rPr>
          <w:sz w:val="20"/>
          <w:szCs w:val="20"/>
        </w:rPr>
        <w:t xml:space="preserve"> fiscal revenue.</w:t>
      </w:r>
      <w:r w:rsidR="00AB7D06" w:rsidRPr="00A1399E">
        <w:rPr>
          <w:rStyle w:val="FootnoteReference"/>
          <w:rFonts w:cs="Times New Roman"/>
          <w:sz w:val="20"/>
          <w:szCs w:val="20"/>
        </w:rPr>
        <w:footnoteReference w:id="7"/>
      </w:r>
      <w:r w:rsidR="00A73DB4" w:rsidRPr="00A1399E">
        <w:rPr>
          <w:sz w:val="20"/>
          <w:szCs w:val="20"/>
        </w:rPr>
        <w:t xml:space="preserve"> </w:t>
      </w:r>
    </w:p>
    <w:p w14:paraId="10800FD4" w14:textId="579CA970" w:rsidR="00AB7D06" w:rsidRPr="00A1399E" w:rsidRDefault="00865C2E" w:rsidP="00F704ED">
      <w:pPr>
        <w:spacing w:after="120" w:line="240" w:lineRule="exact"/>
        <w:ind w:left="720"/>
        <w:jc w:val="both"/>
        <w:rPr>
          <w:sz w:val="20"/>
          <w:szCs w:val="20"/>
        </w:rPr>
      </w:pPr>
      <w:r w:rsidRPr="00A1399E">
        <w:rPr>
          <w:sz w:val="20"/>
          <w:szCs w:val="20"/>
        </w:rPr>
        <w:t>6</w:t>
      </w:r>
      <w:r w:rsidR="009655E9" w:rsidRPr="00A1399E">
        <w:rPr>
          <w:sz w:val="20"/>
          <w:szCs w:val="20"/>
        </w:rPr>
        <w:t>.</w:t>
      </w:r>
      <w:r w:rsidR="00AB7D06" w:rsidRPr="00A1399E">
        <w:rPr>
          <w:sz w:val="20"/>
          <w:szCs w:val="20"/>
        </w:rPr>
        <w:t xml:space="preserve"> </w:t>
      </w:r>
      <w:r w:rsidR="00AB7D06" w:rsidRPr="00A1399E">
        <w:rPr>
          <w:iCs/>
          <w:sz w:val="20"/>
          <w:szCs w:val="20"/>
        </w:rPr>
        <w:t>More than 5.2 million people in Somalia, mostly pastoralist</w:t>
      </w:r>
      <w:r w:rsidR="00454B87" w:rsidRPr="00A1399E">
        <w:rPr>
          <w:iCs/>
          <w:sz w:val="20"/>
          <w:szCs w:val="20"/>
        </w:rPr>
        <w:t>s</w:t>
      </w:r>
      <w:r w:rsidR="00AB7D06" w:rsidRPr="00A1399E">
        <w:rPr>
          <w:iCs/>
          <w:sz w:val="20"/>
          <w:szCs w:val="20"/>
        </w:rPr>
        <w:t xml:space="preserve"> and agro-pastoralists, need humanitarian assistance due to the multiple shocks;</w:t>
      </w:r>
      <w:r w:rsidR="00AB7D06" w:rsidRPr="00A1399E">
        <w:rPr>
          <w:sz w:val="20"/>
          <w:szCs w:val="20"/>
        </w:rPr>
        <w:t xml:space="preserve"> 2.6 million have been displaced primarily </w:t>
      </w:r>
      <w:r w:rsidR="006C5333" w:rsidRPr="00A1399E">
        <w:rPr>
          <w:sz w:val="20"/>
          <w:szCs w:val="20"/>
        </w:rPr>
        <w:t xml:space="preserve">owing </w:t>
      </w:r>
      <w:r w:rsidR="00AB7D06" w:rsidRPr="00A1399E">
        <w:rPr>
          <w:sz w:val="20"/>
          <w:szCs w:val="20"/>
        </w:rPr>
        <w:t>to conflicts and climate-related emergencies.</w:t>
      </w:r>
      <w:r w:rsidR="00AB7D06" w:rsidRPr="00A1399E">
        <w:rPr>
          <w:rStyle w:val="FootnoteReference"/>
          <w:rFonts w:cs="Times New Roman"/>
          <w:sz w:val="20"/>
          <w:szCs w:val="20"/>
        </w:rPr>
        <w:footnoteReference w:id="8"/>
      </w:r>
      <w:r w:rsidR="009655E9" w:rsidRPr="00A1399E">
        <w:rPr>
          <w:sz w:val="20"/>
          <w:szCs w:val="20"/>
        </w:rPr>
        <w:t xml:space="preserve"> </w:t>
      </w:r>
      <w:r w:rsidR="00591144" w:rsidRPr="00A1399E">
        <w:rPr>
          <w:sz w:val="20"/>
          <w:szCs w:val="20"/>
        </w:rPr>
        <w:t>S</w:t>
      </w:r>
      <w:r w:rsidR="00AB7D06" w:rsidRPr="00A1399E">
        <w:rPr>
          <w:sz w:val="20"/>
          <w:szCs w:val="20"/>
        </w:rPr>
        <w:t>ome 877,000 Somali refugees live in neighbouring countries, making them one of the largest refugee population</w:t>
      </w:r>
      <w:r w:rsidR="006C5333" w:rsidRPr="00A1399E">
        <w:rPr>
          <w:sz w:val="20"/>
          <w:szCs w:val="20"/>
        </w:rPr>
        <w:t>s</w:t>
      </w:r>
      <w:r w:rsidR="00AB7D06" w:rsidRPr="00A1399E">
        <w:rPr>
          <w:sz w:val="20"/>
          <w:szCs w:val="20"/>
        </w:rPr>
        <w:t xml:space="preserve"> in the world.</w:t>
      </w:r>
      <w:r w:rsidR="00AB7D06" w:rsidRPr="00A1399E">
        <w:rPr>
          <w:rStyle w:val="FootnoteReference"/>
          <w:rFonts w:cs="Times New Roman"/>
          <w:sz w:val="20"/>
          <w:szCs w:val="20"/>
        </w:rPr>
        <w:footnoteReference w:id="9"/>
      </w:r>
      <w:r w:rsidR="00AB7D06" w:rsidRPr="00A1399E">
        <w:rPr>
          <w:sz w:val="20"/>
          <w:szCs w:val="20"/>
        </w:rPr>
        <w:t xml:space="preserve"> This has exposed people, especially women, youth, persons with disabilities and internally displaced persons (IDPs)</w:t>
      </w:r>
      <w:r w:rsidR="006C5333" w:rsidRPr="00A1399E">
        <w:rPr>
          <w:sz w:val="20"/>
          <w:szCs w:val="20"/>
        </w:rPr>
        <w:t>,</w:t>
      </w:r>
      <w:r w:rsidR="00AB7D06" w:rsidRPr="00A1399E">
        <w:rPr>
          <w:sz w:val="20"/>
          <w:szCs w:val="20"/>
        </w:rPr>
        <w:t xml:space="preserve"> to </w:t>
      </w:r>
      <w:r w:rsidR="00A73DB4" w:rsidRPr="00A1399E">
        <w:rPr>
          <w:sz w:val="20"/>
          <w:szCs w:val="20"/>
        </w:rPr>
        <w:t xml:space="preserve">increased sexual and gender-based violence, food insecurity, </w:t>
      </w:r>
      <w:r w:rsidR="00AB7D06" w:rsidRPr="00A1399E">
        <w:rPr>
          <w:sz w:val="20"/>
          <w:szCs w:val="20"/>
        </w:rPr>
        <w:t>loss of livelihood</w:t>
      </w:r>
      <w:r w:rsidR="00A73DB4" w:rsidRPr="00A1399E">
        <w:rPr>
          <w:sz w:val="20"/>
          <w:szCs w:val="20"/>
        </w:rPr>
        <w:t xml:space="preserve"> and economic</w:t>
      </w:r>
      <w:r w:rsidR="00AB7D06" w:rsidRPr="00A1399E">
        <w:rPr>
          <w:sz w:val="20"/>
          <w:szCs w:val="20"/>
        </w:rPr>
        <w:t xml:space="preserve"> insecurity</w:t>
      </w:r>
      <w:r w:rsidR="00DF3494" w:rsidRPr="00A1399E">
        <w:rPr>
          <w:sz w:val="20"/>
          <w:szCs w:val="20"/>
        </w:rPr>
        <w:t>.</w:t>
      </w:r>
      <w:r w:rsidR="00AB7D06" w:rsidRPr="00A1399E">
        <w:rPr>
          <w:rStyle w:val="FootnoteReference"/>
          <w:rFonts w:cs="Times New Roman"/>
          <w:sz w:val="20"/>
          <w:szCs w:val="20"/>
        </w:rPr>
        <w:footnoteReference w:id="10"/>
      </w:r>
      <w:r w:rsidR="00AB7D06" w:rsidRPr="00A1399E">
        <w:rPr>
          <w:sz w:val="20"/>
          <w:szCs w:val="20"/>
        </w:rPr>
        <w:t xml:space="preserve"> While progress is being made </w:t>
      </w:r>
      <w:r w:rsidR="006C5333" w:rsidRPr="00A1399E">
        <w:rPr>
          <w:sz w:val="20"/>
          <w:szCs w:val="20"/>
        </w:rPr>
        <w:t xml:space="preserve">to </w:t>
      </w:r>
      <w:r w:rsidR="00AB7D06" w:rsidRPr="00A1399E">
        <w:rPr>
          <w:sz w:val="20"/>
          <w:szCs w:val="20"/>
        </w:rPr>
        <w:t xml:space="preserve">strengthen the investment climate, </w:t>
      </w:r>
      <w:r w:rsidR="00AB1046" w:rsidRPr="00A1399E">
        <w:rPr>
          <w:sz w:val="20"/>
          <w:szCs w:val="20"/>
        </w:rPr>
        <w:t>t</w:t>
      </w:r>
      <w:r w:rsidR="00AB7D06" w:rsidRPr="00A1399E">
        <w:rPr>
          <w:sz w:val="20"/>
          <w:szCs w:val="20"/>
        </w:rPr>
        <w:t xml:space="preserve">here is </w:t>
      </w:r>
      <w:r w:rsidR="00BE08D6" w:rsidRPr="00A1399E">
        <w:rPr>
          <w:sz w:val="20"/>
          <w:szCs w:val="20"/>
        </w:rPr>
        <w:t xml:space="preserve">an </w:t>
      </w:r>
      <w:r w:rsidR="00AB7D06" w:rsidRPr="00A1399E">
        <w:rPr>
          <w:sz w:val="20"/>
          <w:szCs w:val="20"/>
        </w:rPr>
        <w:t xml:space="preserve">absence </w:t>
      </w:r>
      <w:r w:rsidR="00AB7D06" w:rsidRPr="00A1399E">
        <w:rPr>
          <w:sz w:val="20"/>
          <w:szCs w:val="20"/>
        </w:rPr>
        <w:lastRenderedPageBreak/>
        <w:t xml:space="preserve">of </w:t>
      </w:r>
      <w:r w:rsidR="00AB7D06" w:rsidRPr="00A1399E">
        <w:rPr>
          <w:bCs/>
          <w:sz w:val="20"/>
          <w:szCs w:val="20"/>
        </w:rPr>
        <w:t>adequate</w:t>
      </w:r>
      <w:r w:rsidR="00BE08D6" w:rsidRPr="00A1399E">
        <w:rPr>
          <w:bCs/>
          <w:sz w:val="20"/>
          <w:szCs w:val="20"/>
        </w:rPr>
        <w:t xml:space="preserve"> </w:t>
      </w:r>
      <w:r w:rsidR="00AB7D06" w:rsidRPr="00A1399E">
        <w:rPr>
          <w:bCs/>
          <w:sz w:val="20"/>
          <w:szCs w:val="20"/>
        </w:rPr>
        <w:t xml:space="preserve">policies and regulatory frameworks </w:t>
      </w:r>
      <w:r w:rsidR="00AB7D06" w:rsidRPr="00A1399E">
        <w:rPr>
          <w:sz w:val="20"/>
          <w:szCs w:val="20"/>
        </w:rPr>
        <w:t>to promote private sector development</w:t>
      </w:r>
      <w:r w:rsidR="00A73DB4" w:rsidRPr="00A1399E">
        <w:rPr>
          <w:sz w:val="20"/>
          <w:szCs w:val="20"/>
        </w:rPr>
        <w:t>,</w:t>
      </w:r>
      <w:r w:rsidR="00AB7D06" w:rsidRPr="00A1399E">
        <w:rPr>
          <w:sz w:val="20"/>
          <w:szCs w:val="20"/>
        </w:rPr>
        <w:t xml:space="preserve"> domestic and foreign investment, and regional trade.</w:t>
      </w:r>
      <w:r w:rsidR="00AB7D06" w:rsidRPr="00A1399E">
        <w:rPr>
          <w:rStyle w:val="FootnoteReference"/>
          <w:rFonts w:cs="Times New Roman"/>
          <w:sz w:val="20"/>
          <w:szCs w:val="20"/>
        </w:rPr>
        <w:footnoteReference w:id="11"/>
      </w:r>
    </w:p>
    <w:p w14:paraId="48118BC7" w14:textId="4812665F" w:rsidR="00AB7D06" w:rsidRPr="00A1399E" w:rsidRDefault="00865C2E" w:rsidP="00F704ED">
      <w:pPr>
        <w:spacing w:after="120" w:line="240" w:lineRule="exact"/>
        <w:ind w:left="720"/>
        <w:jc w:val="both"/>
        <w:rPr>
          <w:sz w:val="20"/>
          <w:szCs w:val="20"/>
        </w:rPr>
      </w:pPr>
      <w:r w:rsidRPr="00A1399E">
        <w:rPr>
          <w:sz w:val="20"/>
          <w:szCs w:val="20"/>
        </w:rPr>
        <w:t>7</w:t>
      </w:r>
      <w:r w:rsidR="00AB7D06" w:rsidRPr="00A1399E">
        <w:rPr>
          <w:sz w:val="20"/>
          <w:szCs w:val="20"/>
        </w:rPr>
        <w:t xml:space="preserve">. </w:t>
      </w:r>
      <w:r w:rsidR="009A6A17" w:rsidRPr="00A1399E">
        <w:rPr>
          <w:sz w:val="20"/>
          <w:szCs w:val="20"/>
        </w:rPr>
        <w:t>The</w:t>
      </w:r>
      <w:r w:rsidR="00AB7D06" w:rsidRPr="00A1399E">
        <w:rPr>
          <w:sz w:val="20"/>
          <w:szCs w:val="20"/>
        </w:rPr>
        <w:t xml:space="preserve"> Somalia Poverty and Vulnerability Assessment</w:t>
      </w:r>
      <w:r w:rsidR="00340A20" w:rsidRPr="00A1399E">
        <w:rPr>
          <w:sz w:val="20"/>
          <w:szCs w:val="20"/>
        </w:rPr>
        <w:t xml:space="preserve">, 2017-2018, </w:t>
      </w:r>
      <w:r w:rsidR="00AB7D06" w:rsidRPr="00A1399E">
        <w:rPr>
          <w:sz w:val="20"/>
          <w:szCs w:val="20"/>
        </w:rPr>
        <w:t>indicates that 77</w:t>
      </w:r>
      <w:r w:rsidR="00340A20" w:rsidRPr="00A1399E">
        <w:rPr>
          <w:sz w:val="20"/>
          <w:szCs w:val="20"/>
        </w:rPr>
        <w:t xml:space="preserve"> </w:t>
      </w:r>
      <w:r w:rsidR="00A01D44" w:rsidRPr="00A1399E">
        <w:rPr>
          <w:sz w:val="20"/>
          <w:szCs w:val="20"/>
        </w:rPr>
        <w:t>per cent</w:t>
      </w:r>
      <w:r w:rsidR="00AB7D06" w:rsidRPr="00A1399E">
        <w:rPr>
          <w:sz w:val="20"/>
          <w:szCs w:val="20"/>
        </w:rPr>
        <w:t xml:space="preserve"> of </w:t>
      </w:r>
      <w:r w:rsidR="00340A20" w:rsidRPr="00A1399E">
        <w:rPr>
          <w:sz w:val="20"/>
          <w:szCs w:val="20"/>
        </w:rPr>
        <w:t>the country’</w:t>
      </w:r>
      <w:r w:rsidR="00AB7D06" w:rsidRPr="00A1399E">
        <w:rPr>
          <w:sz w:val="20"/>
          <w:szCs w:val="20"/>
        </w:rPr>
        <w:t>s population</w:t>
      </w:r>
      <w:r w:rsidR="009601D5" w:rsidRPr="00A1399E">
        <w:rPr>
          <w:rStyle w:val="FootnoteReference"/>
          <w:rFonts w:cs="Times New Roman"/>
          <w:sz w:val="20"/>
          <w:szCs w:val="20"/>
        </w:rPr>
        <w:footnoteReference w:id="12"/>
      </w:r>
      <w:r w:rsidR="00AB7D06" w:rsidRPr="00A1399E">
        <w:rPr>
          <w:sz w:val="20"/>
          <w:szCs w:val="20"/>
        </w:rPr>
        <w:t xml:space="preserve"> live below the poverty line </w:t>
      </w:r>
      <w:r w:rsidR="009541BB" w:rsidRPr="00A1399E">
        <w:rPr>
          <w:sz w:val="20"/>
          <w:szCs w:val="20"/>
        </w:rPr>
        <w:t>(</w:t>
      </w:r>
      <w:r w:rsidR="00AB7D06" w:rsidRPr="00A1399E">
        <w:rPr>
          <w:sz w:val="20"/>
          <w:szCs w:val="20"/>
        </w:rPr>
        <w:t>$1.90 per capita</w:t>
      </w:r>
      <w:r w:rsidR="009541BB" w:rsidRPr="00A1399E">
        <w:rPr>
          <w:sz w:val="20"/>
          <w:szCs w:val="20"/>
        </w:rPr>
        <w:t>/</w:t>
      </w:r>
      <w:r w:rsidR="00AB7D06" w:rsidRPr="00A1399E">
        <w:rPr>
          <w:sz w:val="20"/>
          <w:szCs w:val="20"/>
        </w:rPr>
        <w:t>day</w:t>
      </w:r>
      <w:r w:rsidR="009541BB" w:rsidRPr="00A1399E">
        <w:rPr>
          <w:sz w:val="20"/>
          <w:szCs w:val="20"/>
        </w:rPr>
        <w:t>)</w:t>
      </w:r>
      <w:r w:rsidR="00AB7D06" w:rsidRPr="00A1399E">
        <w:rPr>
          <w:sz w:val="20"/>
          <w:szCs w:val="20"/>
        </w:rPr>
        <w:t>.</w:t>
      </w:r>
      <w:r w:rsidR="00AB7D06" w:rsidRPr="00A1399E">
        <w:rPr>
          <w:rStyle w:val="FootnoteReference"/>
          <w:rFonts w:cs="Times New Roman"/>
          <w:sz w:val="20"/>
          <w:szCs w:val="20"/>
        </w:rPr>
        <w:footnoteReference w:id="13"/>
      </w:r>
      <w:r w:rsidR="00AB7D06" w:rsidRPr="00A1399E">
        <w:rPr>
          <w:sz w:val="20"/>
          <w:szCs w:val="20"/>
        </w:rPr>
        <w:t xml:space="preserve"> Poverty incidence is highest </w:t>
      </w:r>
      <w:r w:rsidR="00664A15" w:rsidRPr="00A1399E">
        <w:rPr>
          <w:sz w:val="20"/>
          <w:szCs w:val="20"/>
        </w:rPr>
        <w:t>(</w:t>
      </w:r>
      <w:r w:rsidR="009A6A17" w:rsidRPr="00A1399E">
        <w:rPr>
          <w:sz w:val="20"/>
          <w:szCs w:val="20"/>
        </w:rPr>
        <w:t>more than 80</w:t>
      </w:r>
      <w:r w:rsidR="00340A20" w:rsidRPr="00A1399E">
        <w:rPr>
          <w:sz w:val="20"/>
          <w:szCs w:val="20"/>
        </w:rPr>
        <w:t xml:space="preserve"> </w:t>
      </w:r>
      <w:r w:rsidR="00A01D44" w:rsidRPr="00A1399E">
        <w:rPr>
          <w:sz w:val="20"/>
          <w:szCs w:val="20"/>
        </w:rPr>
        <w:t>per cent</w:t>
      </w:r>
      <w:r w:rsidR="00664A15" w:rsidRPr="00A1399E">
        <w:rPr>
          <w:sz w:val="20"/>
          <w:szCs w:val="20"/>
        </w:rPr>
        <w:t>)</w:t>
      </w:r>
      <w:r w:rsidR="00AB7D06" w:rsidRPr="00A1399E">
        <w:rPr>
          <w:sz w:val="20"/>
          <w:szCs w:val="20"/>
        </w:rPr>
        <w:t xml:space="preserve"> in the </w:t>
      </w:r>
      <w:r w:rsidR="00340A20" w:rsidRPr="00A1399E">
        <w:rPr>
          <w:sz w:val="20"/>
          <w:szCs w:val="20"/>
        </w:rPr>
        <w:t>n</w:t>
      </w:r>
      <w:r w:rsidR="00AB7D06" w:rsidRPr="00A1399E">
        <w:rPr>
          <w:sz w:val="20"/>
          <w:szCs w:val="20"/>
        </w:rPr>
        <w:t>orth</w:t>
      </w:r>
      <w:r w:rsidR="00747836" w:rsidRPr="00A1399E">
        <w:rPr>
          <w:sz w:val="20"/>
          <w:szCs w:val="20"/>
        </w:rPr>
        <w:t>,</w:t>
      </w:r>
      <w:r w:rsidR="00AB7D06" w:rsidRPr="00A1399E">
        <w:rPr>
          <w:sz w:val="20"/>
          <w:szCs w:val="20"/>
        </w:rPr>
        <w:t xml:space="preserve"> </w:t>
      </w:r>
      <w:r w:rsidR="00340A20" w:rsidRPr="00A1399E">
        <w:rPr>
          <w:sz w:val="20"/>
          <w:szCs w:val="20"/>
        </w:rPr>
        <w:t>s</w:t>
      </w:r>
      <w:r w:rsidR="00AB7D06" w:rsidRPr="00A1399E">
        <w:rPr>
          <w:sz w:val="20"/>
          <w:szCs w:val="20"/>
        </w:rPr>
        <w:t>outh</w:t>
      </w:r>
      <w:r w:rsidR="00340A20" w:rsidRPr="00A1399E">
        <w:rPr>
          <w:sz w:val="20"/>
          <w:szCs w:val="20"/>
        </w:rPr>
        <w:t>-w</w:t>
      </w:r>
      <w:r w:rsidR="00AB7D06" w:rsidRPr="00A1399E">
        <w:rPr>
          <w:sz w:val="20"/>
          <w:szCs w:val="20"/>
        </w:rPr>
        <w:t>est and in some districts of Mudug and Galguduud</w:t>
      </w:r>
      <w:r w:rsidR="00664A15" w:rsidRPr="00A1399E">
        <w:rPr>
          <w:sz w:val="20"/>
          <w:szCs w:val="20"/>
        </w:rPr>
        <w:t>.</w:t>
      </w:r>
      <w:r w:rsidR="00AB7D06" w:rsidRPr="00A1399E">
        <w:rPr>
          <w:sz w:val="20"/>
          <w:szCs w:val="20"/>
        </w:rPr>
        <w:t xml:space="preserve"> Households located in IDP </w:t>
      </w:r>
      <w:r w:rsidR="009A6A17" w:rsidRPr="00A1399E">
        <w:rPr>
          <w:sz w:val="20"/>
          <w:szCs w:val="20"/>
        </w:rPr>
        <w:t xml:space="preserve">settlements and urban areas </w:t>
      </w:r>
      <w:r w:rsidR="00AB7D06" w:rsidRPr="00A1399E">
        <w:rPr>
          <w:sz w:val="20"/>
          <w:szCs w:val="20"/>
        </w:rPr>
        <w:t xml:space="preserve">have </w:t>
      </w:r>
      <w:r w:rsidR="00340A20" w:rsidRPr="00A1399E">
        <w:rPr>
          <w:sz w:val="20"/>
          <w:szCs w:val="20"/>
        </w:rPr>
        <w:t xml:space="preserve">the </w:t>
      </w:r>
      <w:r w:rsidR="00AB7D06" w:rsidRPr="00A1399E">
        <w:rPr>
          <w:sz w:val="20"/>
          <w:szCs w:val="20"/>
        </w:rPr>
        <w:t>highest incidence of poverty at 75.6</w:t>
      </w:r>
      <w:r w:rsidR="00340A20" w:rsidRPr="00A1399E">
        <w:rPr>
          <w:sz w:val="20"/>
          <w:szCs w:val="20"/>
        </w:rPr>
        <w:t xml:space="preserve"> </w:t>
      </w:r>
      <w:r w:rsidR="00AB7D06" w:rsidRPr="00A1399E">
        <w:rPr>
          <w:sz w:val="20"/>
          <w:szCs w:val="20"/>
        </w:rPr>
        <w:t>and 73.7</w:t>
      </w:r>
      <w:r w:rsidR="00340A20" w:rsidRPr="00A1399E">
        <w:rPr>
          <w:sz w:val="20"/>
          <w:szCs w:val="20"/>
        </w:rPr>
        <w:t xml:space="preserve"> </w:t>
      </w:r>
      <w:r w:rsidR="00A01D44" w:rsidRPr="00A1399E">
        <w:rPr>
          <w:sz w:val="20"/>
          <w:szCs w:val="20"/>
        </w:rPr>
        <w:t>per cent</w:t>
      </w:r>
      <w:r w:rsidR="00340A20" w:rsidRPr="00A1399E">
        <w:rPr>
          <w:sz w:val="20"/>
          <w:szCs w:val="20"/>
        </w:rPr>
        <w:t>,</w:t>
      </w:r>
      <w:r w:rsidR="00AB7D06" w:rsidRPr="00A1399E">
        <w:rPr>
          <w:sz w:val="20"/>
          <w:szCs w:val="20"/>
        </w:rPr>
        <w:t xml:space="preserve"> respectively.</w:t>
      </w:r>
      <w:r w:rsidR="00AB7D06" w:rsidRPr="00A1399E">
        <w:rPr>
          <w:rStyle w:val="FootnoteReference"/>
          <w:rFonts w:cs="Times New Roman"/>
          <w:sz w:val="20"/>
          <w:szCs w:val="20"/>
        </w:rPr>
        <w:footnoteReference w:id="14"/>
      </w:r>
      <w:r w:rsidR="00AB7D06" w:rsidRPr="00A1399E">
        <w:rPr>
          <w:sz w:val="20"/>
          <w:szCs w:val="20"/>
        </w:rPr>
        <w:t xml:space="preserve"> </w:t>
      </w:r>
    </w:p>
    <w:p w14:paraId="14C9A5AF" w14:textId="08069063" w:rsidR="00AB7D06" w:rsidRPr="00A1399E" w:rsidRDefault="00865C2E" w:rsidP="00F704ED">
      <w:pPr>
        <w:spacing w:after="120" w:line="240" w:lineRule="exact"/>
        <w:ind w:left="720"/>
        <w:jc w:val="both"/>
        <w:rPr>
          <w:color w:val="000000"/>
          <w:sz w:val="20"/>
          <w:szCs w:val="20"/>
          <w:lang w:eastAsia="en-US"/>
        </w:rPr>
      </w:pPr>
      <w:r w:rsidRPr="00A1399E">
        <w:rPr>
          <w:rFonts w:eastAsia="Times New Roman"/>
          <w:bCs/>
          <w:sz w:val="20"/>
          <w:szCs w:val="20"/>
        </w:rPr>
        <w:t>8</w:t>
      </w:r>
      <w:r w:rsidR="00AB7D06" w:rsidRPr="00A1399E">
        <w:rPr>
          <w:rFonts w:eastAsia="Times New Roman"/>
          <w:bCs/>
          <w:sz w:val="20"/>
          <w:szCs w:val="20"/>
        </w:rPr>
        <w:t xml:space="preserve">. </w:t>
      </w:r>
      <w:r w:rsidR="00AB7D06" w:rsidRPr="00A1399E">
        <w:rPr>
          <w:iCs/>
          <w:sz w:val="20"/>
          <w:szCs w:val="20"/>
        </w:rPr>
        <w:t xml:space="preserve">Women represent nearly half the population and head </w:t>
      </w:r>
      <w:r w:rsidR="00210946" w:rsidRPr="00A1399E">
        <w:rPr>
          <w:iCs/>
          <w:sz w:val="20"/>
          <w:szCs w:val="20"/>
        </w:rPr>
        <w:t xml:space="preserve">five </w:t>
      </w:r>
      <w:r w:rsidR="00AB7D06" w:rsidRPr="00A1399E">
        <w:rPr>
          <w:iCs/>
          <w:sz w:val="20"/>
          <w:szCs w:val="20"/>
        </w:rPr>
        <w:t xml:space="preserve">out of </w:t>
      </w:r>
      <w:r w:rsidR="00747836" w:rsidRPr="00A1399E">
        <w:rPr>
          <w:iCs/>
          <w:sz w:val="20"/>
          <w:szCs w:val="20"/>
        </w:rPr>
        <w:t xml:space="preserve">ten </w:t>
      </w:r>
      <w:r w:rsidR="00AB7D06" w:rsidRPr="00A1399E">
        <w:rPr>
          <w:iCs/>
          <w:sz w:val="20"/>
          <w:szCs w:val="20"/>
        </w:rPr>
        <w:t>households</w:t>
      </w:r>
      <w:r w:rsidR="00AB7D06" w:rsidRPr="00A1399E">
        <w:rPr>
          <w:i/>
          <w:sz w:val="20"/>
          <w:szCs w:val="20"/>
        </w:rPr>
        <w:t>.</w:t>
      </w:r>
      <w:r w:rsidR="00AB7D06" w:rsidRPr="00A1399E">
        <w:rPr>
          <w:rStyle w:val="FootnoteReference"/>
          <w:rFonts w:cs="Times New Roman"/>
          <w:sz w:val="20"/>
          <w:szCs w:val="20"/>
        </w:rPr>
        <w:footnoteReference w:id="15"/>
      </w:r>
      <w:r w:rsidR="00AB7D06" w:rsidRPr="00A1399E">
        <w:rPr>
          <w:sz w:val="20"/>
          <w:szCs w:val="20"/>
        </w:rPr>
        <w:t xml:space="preserve"> </w:t>
      </w:r>
      <w:r w:rsidR="00A01D44" w:rsidRPr="00A1399E">
        <w:rPr>
          <w:sz w:val="20"/>
          <w:szCs w:val="20"/>
        </w:rPr>
        <w:t>Women-headed h</w:t>
      </w:r>
      <w:r w:rsidR="00AB7D06" w:rsidRPr="00A1399E">
        <w:rPr>
          <w:sz w:val="20"/>
          <w:szCs w:val="20"/>
        </w:rPr>
        <w:t xml:space="preserve">ouseholds have poverty incidence </w:t>
      </w:r>
      <w:r w:rsidR="00210946" w:rsidRPr="00A1399E">
        <w:rPr>
          <w:sz w:val="20"/>
          <w:szCs w:val="20"/>
        </w:rPr>
        <w:t xml:space="preserve">six percentage </w:t>
      </w:r>
      <w:r w:rsidR="00AB7D06" w:rsidRPr="00A1399E">
        <w:rPr>
          <w:sz w:val="20"/>
          <w:szCs w:val="20"/>
        </w:rPr>
        <w:t xml:space="preserve">points </w:t>
      </w:r>
      <w:r w:rsidR="00C01A7B" w:rsidRPr="00A1399E">
        <w:rPr>
          <w:sz w:val="20"/>
          <w:szCs w:val="20"/>
        </w:rPr>
        <w:t>high</w:t>
      </w:r>
      <w:r w:rsidR="00AB7D06" w:rsidRPr="00A1399E">
        <w:rPr>
          <w:sz w:val="20"/>
          <w:szCs w:val="20"/>
        </w:rPr>
        <w:t xml:space="preserve">er </w:t>
      </w:r>
      <w:r w:rsidR="00093001" w:rsidRPr="00A1399E">
        <w:rPr>
          <w:sz w:val="20"/>
          <w:szCs w:val="20"/>
        </w:rPr>
        <w:t>(72</w:t>
      </w:r>
      <w:r w:rsidR="00210946" w:rsidRPr="00A1399E">
        <w:rPr>
          <w:sz w:val="20"/>
          <w:szCs w:val="20"/>
        </w:rPr>
        <w:t xml:space="preserve"> </w:t>
      </w:r>
      <w:r w:rsidR="00A01D44" w:rsidRPr="00A1399E">
        <w:rPr>
          <w:sz w:val="20"/>
          <w:szCs w:val="20"/>
        </w:rPr>
        <w:t>per cent</w:t>
      </w:r>
      <w:r w:rsidR="00093001" w:rsidRPr="00A1399E">
        <w:rPr>
          <w:sz w:val="20"/>
          <w:szCs w:val="20"/>
        </w:rPr>
        <w:t xml:space="preserve">) </w:t>
      </w:r>
      <w:r w:rsidR="00AB7D06" w:rsidRPr="00A1399E">
        <w:rPr>
          <w:sz w:val="20"/>
          <w:szCs w:val="20"/>
        </w:rPr>
        <w:t>than those headed b</w:t>
      </w:r>
      <w:r w:rsidR="00C01A7B" w:rsidRPr="00A1399E">
        <w:rPr>
          <w:sz w:val="20"/>
          <w:szCs w:val="20"/>
        </w:rPr>
        <w:t>y men (66</w:t>
      </w:r>
      <w:r w:rsidR="00210946" w:rsidRPr="00A1399E">
        <w:rPr>
          <w:sz w:val="20"/>
          <w:szCs w:val="20"/>
        </w:rPr>
        <w:t xml:space="preserve"> </w:t>
      </w:r>
      <w:r w:rsidR="00A01D44" w:rsidRPr="00A1399E">
        <w:rPr>
          <w:sz w:val="20"/>
          <w:szCs w:val="20"/>
        </w:rPr>
        <w:t>per cent</w:t>
      </w:r>
      <w:r w:rsidR="00AB7D06" w:rsidRPr="00A1399E">
        <w:rPr>
          <w:sz w:val="20"/>
          <w:szCs w:val="20"/>
        </w:rPr>
        <w:t xml:space="preserve">). </w:t>
      </w:r>
      <w:r w:rsidR="00BE08D6" w:rsidRPr="00A1399E">
        <w:rPr>
          <w:sz w:val="20"/>
          <w:szCs w:val="20"/>
        </w:rPr>
        <w:t xml:space="preserve">The </w:t>
      </w:r>
      <w:r w:rsidR="00AB7D06" w:rsidRPr="00A1399E">
        <w:rPr>
          <w:sz w:val="20"/>
          <w:szCs w:val="20"/>
        </w:rPr>
        <w:t xml:space="preserve">Somalia Health and Demographic Survey 2020 </w:t>
      </w:r>
      <w:r w:rsidR="00210946" w:rsidRPr="00A1399E">
        <w:rPr>
          <w:sz w:val="20"/>
          <w:szCs w:val="20"/>
        </w:rPr>
        <w:t>showed</w:t>
      </w:r>
      <w:r w:rsidR="00AB7D06" w:rsidRPr="00A1399E">
        <w:rPr>
          <w:sz w:val="20"/>
          <w:szCs w:val="20"/>
        </w:rPr>
        <w:t xml:space="preserve"> that only 9</w:t>
      </w:r>
      <w:r w:rsidR="00210946" w:rsidRPr="00A1399E">
        <w:rPr>
          <w:sz w:val="20"/>
          <w:szCs w:val="20"/>
        </w:rPr>
        <w:t xml:space="preserve"> </w:t>
      </w:r>
      <w:r w:rsidR="00A01D44" w:rsidRPr="00A1399E">
        <w:rPr>
          <w:sz w:val="20"/>
          <w:szCs w:val="20"/>
        </w:rPr>
        <w:t>per cent</w:t>
      </w:r>
      <w:r w:rsidR="00AB7D06" w:rsidRPr="00A1399E">
        <w:rPr>
          <w:sz w:val="20"/>
          <w:szCs w:val="20"/>
        </w:rPr>
        <w:t xml:space="preserve"> of ever-married women were employed at </w:t>
      </w:r>
      <w:r w:rsidR="00A01D44" w:rsidRPr="00A1399E">
        <w:rPr>
          <w:sz w:val="20"/>
          <w:szCs w:val="20"/>
        </w:rPr>
        <w:t xml:space="preserve">survey </w:t>
      </w:r>
      <w:r w:rsidR="00AB7D06" w:rsidRPr="00A1399E">
        <w:rPr>
          <w:sz w:val="20"/>
          <w:szCs w:val="20"/>
        </w:rPr>
        <w:t>time</w:t>
      </w:r>
      <w:r w:rsidR="00210946" w:rsidRPr="00A1399E">
        <w:rPr>
          <w:sz w:val="20"/>
          <w:szCs w:val="20"/>
        </w:rPr>
        <w:t>,</w:t>
      </w:r>
      <w:r w:rsidR="00AB7D06" w:rsidRPr="00A1399E">
        <w:rPr>
          <w:sz w:val="20"/>
          <w:szCs w:val="20"/>
        </w:rPr>
        <w:t xml:space="preserve"> while 18</w:t>
      </w:r>
      <w:r w:rsidR="00210946" w:rsidRPr="00A1399E">
        <w:rPr>
          <w:sz w:val="20"/>
          <w:szCs w:val="20"/>
        </w:rPr>
        <w:t xml:space="preserve"> </w:t>
      </w:r>
      <w:r w:rsidR="00A01D44" w:rsidRPr="00A1399E">
        <w:rPr>
          <w:sz w:val="20"/>
          <w:szCs w:val="20"/>
        </w:rPr>
        <w:t>per cent</w:t>
      </w:r>
      <w:r w:rsidR="009A6A17" w:rsidRPr="00A1399E">
        <w:rPr>
          <w:sz w:val="20"/>
          <w:szCs w:val="20"/>
        </w:rPr>
        <w:t xml:space="preserve"> </w:t>
      </w:r>
      <w:r w:rsidR="00AB7D06" w:rsidRPr="00A1399E">
        <w:rPr>
          <w:sz w:val="20"/>
          <w:szCs w:val="20"/>
        </w:rPr>
        <w:t xml:space="preserve">were not paid for work. </w:t>
      </w:r>
      <w:r w:rsidR="00AB7D06" w:rsidRPr="00A1399E">
        <w:rPr>
          <w:color w:val="000000"/>
          <w:sz w:val="20"/>
          <w:szCs w:val="20"/>
          <w:lang w:eastAsia="en-US"/>
        </w:rPr>
        <w:t>Somali women are engaged in the informal sector and micro-enterprises, agricultural production and livestock activities.</w:t>
      </w:r>
      <w:r w:rsidR="00AB7D06" w:rsidRPr="00A1399E">
        <w:rPr>
          <w:rStyle w:val="FootnoteReference"/>
          <w:rFonts w:cs="Times New Roman"/>
          <w:color w:val="000000"/>
          <w:sz w:val="20"/>
          <w:szCs w:val="20"/>
          <w:lang w:eastAsia="en-US"/>
        </w:rPr>
        <w:footnoteReference w:id="16"/>
      </w:r>
      <w:r w:rsidR="00AB7D06" w:rsidRPr="00A1399E">
        <w:rPr>
          <w:color w:val="000000"/>
          <w:position w:val="10"/>
          <w:sz w:val="20"/>
          <w:szCs w:val="20"/>
          <w:lang w:eastAsia="en-US"/>
        </w:rPr>
        <w:t xml:space="preserve"> </w:t>
      </w:r>
      <w:r w:rsidR="00AB7D06" w:rsidRPr="00A1399E">
        <w:rPr>
          <w:color w:val="000000"/>
          <w:sz w:val="20"/>
          <w:szCs w:val="20"/>
          <w:lang w:eastAsia="en-US"/>
        </w:rPr>
        <w:t xml:space="preserve">Women </w:t>
      </w:r>
      <w:r w:rsidR="009541BB" w:rsidRPr="00A1399E">
        <w:rPr>
          <w:color w:val="000000"/>
          <w:sz w:val="20"/>
          <w:szCs w:val="20"/>
          <w:lang w:eastAsia="en-US"/>
        </w:rPr>
        <w:t xml:space="preserve">comprise over </w:t>
      </w:r>
      <w:r w:rsidR="00AB7D06" w:rsidRPr="00A1399E">
        <w:rPr>
          <w:color w:val="000000"/>
          <w:sz w:val="20"/>
          <w:szCs w:val="20"/>
          <w:lang w:eastAsia="en-US"/>
        </w:rPr>
        <w:t>60</w:t>
      </w:r>
      <w:r w:rsidR="00210946" w:rsidRPr="00A1399E">
        <w:rPr>
          <w:color w:val="000000"/>
          <w:sz w:val="20"/>
          <w:szCs w:val="20"/>
          <w:lang w:eastAsia="en-US"/>
        </w:rPr>
        <w:t xml:space="preserve"> </w:t>
      </w:r>
      <w:r w:rsidR="00A01D44" w:rsidRPr="00A1399E">
        <w:rPr>
          <w:color w:val="000000"/>
          <w:sz w:val="20"/>
          <w:szCs w:val="20"/>
          <w:lang w:eastAsia="en-US"/>
        </w:rPr>
        <w:t>per cent</w:t>
      </w:r>
      <w:r w:rsidR="00AB7D06" w:rsidRPr="00A1399E">
        <w:rPr>
          <w:color w:val="000000"/>
          <w:sz w:val="20"/>
          <w:szCs w:val="20"/>
          <w:lang w:eastAsia="en-US"/>
        </w:rPr>
        <w:t xml:space="preserve"> of business owners, </w:t>
      </w:r>
      <w:r w:rsidR="00210946" w:rsidRPr="00A1399E">
        <w:rPr>
          <w:color w:val="000000"/>
          <w:sz w:val="20"/>
          <w:szCs w:val="20"/>
          <w:lang w:eastAsia="en-US"/>
        </w:rPr>
        <w:t xml:space="preserve">the </w:t>
      </w:r>
      <w:r w:rsidR="00AB7D06" w:rsidRPr="00A1399E">
        <w:rPr>
          <w:color w:val="000000"/>
          <w:sz w:val="20"/>
          <w:szCs w:val="20"/>
          <w:lang w:eastAsia="en-US"/>
        </w:rPr>
        <w:t xml:space="preserve">majority </w:t>
      </w:r>
      <w:r w:rsidR="009541BB" w:rsidRPr="00A1399E">
        <w:rPr>
          <w:color w:val="000000"/>
          <w:sz w:val="20"/>
          <w:szCs w:val="20"/>
          <w:lang w:eastAsia="en-US"/>
        </w:rPr>
        <w:t xml:space="preserve">being </w:t>
      </w:r>
      <w:r w:rsidR="00AB7D06" w:rsidRPr="00A1399E">
        <w:rPr>
          <w:color w:val="000000"/>
          <w:sz w:val="20"/>
          <w:szCs w:val="20"/>
          <w:lang w:eastAsia="en-US"/>
        </w:rPr>
        <w:t xml:space="preserve">micro-enterprises. COVID-19 has </w:t>
      </w:r>
      <w:r w:rsidR="00303C70" w:rsidRPr="00A1399E">
        <w:rPr>
          <w:color w:val="000000"/>
          <w:sz w:val="20"/>
          <w:szCs w:val="20"/>
          <w:lang w:eastAsia="en-US"/>
        </w:rPr>
        <w:t xml:space="preserve">exacerbated </w:t>
      </w:r>
      <w:r w:rsidR="00BE08D6" w:rsidRPr="00A1399E">
        <w:rPr>
          <w:color w:val="000000"/>
          <w:sz w:val="20"/>
          <w:szCs w:val="20"/>
          <w:lang w:eastAsia="en-US"/>
        </w:rPr>
        <w:t xml:space="preserve">the </w:t>
      </w:r>
      <w:r w:rsidR="00CB2CCE" w:rsidRPr="00A1399E">
        <w:rPr>
          <w:color w:val="000000"/>
          <w:sz w:val="20"/>
          <w:szCs w:val="20"/>
          <w:lang w:eastAsia="en-US"/>
        </w:rPr>
        <w:t>vulnerability of</w:t>
      </w:r>
      <w:r w:rsidR="00AB7D06" w:rsidRPr="00A1399E">
        <w:rPr>
          <w:color w:val="000000"/>
          <w:sz w:val="20"/>
          <w:szCs w:val="20"/>
          <w:lang w:eastAsia="en-US"/>
        </w:rPr>
        <w:t xml:space="preserve"> women in small-scale business, reducing their income and destroying livelihood</w:t>
      </w:r>
      <w:r w:rsidR="00093001" w:rsidRPr="00A1399E">
        <w:rPr>
          <w:color w:val="000000"/>
          <w:sz w:val="20"/>
          <w:szCs w:val="20"/>
          <w:lang w:eastAsia="en-US"/>
        </w:rPr>
        <w:t>s</w:t>
      </w:r>
      <w:r w:rsidR="00A01D44" w:rsidRPr="00A1399E">
        <w:rPr>
          <w:color w:val="000000"/>
          <w:sz w:val="20"/>
          <w:szCs w:val="20"/>
          <w:lang w:eastAsia="en-US"/>
        </w:rPr>
        <w:t>.</w:t>
      </w:r>
      <w:r w:rsidR="00747836" w:rsidRPr="00A1399E">
        <w:rPr>
          <w:rStyle w:val="FootnoteReference"/>
          <w:color w:val="000000"/>
          <w:sz w:val="20"/>
          <w:szCs w:val="20"/>
          <w:lang w:eastAsia="en-US"/>
        </w:rPr>
        <w:footnoteReference w:id="17"/>
      </w:r>
      <w:r w:rsidR="00AB7D06" w:rsidRPr="00A1399E">
        <w:rPr>
          <w:color w:val="000000"/>
          <w:sz w:val="20"/>
          <w:szCs w:val="20"/>
          <w:lang w:eastAsia="en-US"/>
        </w:rPr>
        <w:t xml:space="preserve"> </w:t>
      </w:r>
      <w:r w:rsidR="00AB7D06" w:rsidRPr="00A1399E">
        <w:rPr>
          <w:sz w:val="20"/>
          <w:szCs w:val="20"/>
        </w:rPr>
        <w:t>Poor access to finance (86.9</w:t>
      </w:r>
      <w:r w:rsidR="00210946" w:rsidRPr="00A1399E">
        <w:rPr>
          <w:sz w:val="20"/>
          <w:szCs w:val="20"/>
        </w:rPr>
        <w:t xml:space="preserve"> </w:t>
      </w:r>
      <w:r w:rsidR="00A01D44" w:rsidRPr="00A1399E">
        <w:rPr>
          <w:sz w:val="20"/>
          <w:szCs w:val="20"/>
        </w:rPr>
        <w:t>per cent</w:t>
      </w:r>
      <w:r w:rsidR="00AB7D06" w:rsidRPr="00A1399E">
        <w:rPr>
          <w:sz w:val="20"/>
          <w:szCs w:val="20"/>
        </w:rPr>
        <w:t>), dwindling sales (38.9</w:t>
      </w:r>
      <w:r w:rsidR="00210946" w:rsidRPr="00A1399E">
        <w:rPr>
          <w:sz w:val="20"/>
          <w:szCs w:val="20"/>
        </w:rPr>
        <w:t xml:space="preserve"> </w:t>
      </w:r>
      <w:r w:rsidR="00A01D44" w:rsidRPr="00A1399E">
        <w:rPr>
          <w:sz w:val="20"/>
          <w:szCs w:val="20"/>
        </w:rPr>
        <w:t>per cent</w:t>
      </w:r>
      <w:r w:rsidR="00AB7D06" w:rsidRPr="00A1399E">
        <w:rPr>
          <w:sz w:val="20"/>
          <w:szCs w:val="20"/>
        </w:rPr>
        <w:t xml:space="preserve">), </w:t>
      </w:r>
      <w:r w:rsidR="00210946" w:rsidRPr="00A1399E">
        <w:rPr>
          <w:sz w:val="20"/>
          <w:szCs w:val="20"/>
        </w:rPr>
        <w:t xml:space="preserve">inability to </w:t>
      </w:r>
      <w:r w:rsidR="00AB7D06" w:rsidRPr="00A1399E">
        <w:rPr>
          <w:sz w:val="20"/>
          <w:szCs w:val="20"/>
        </w:rPr>
        <w:t>benefit from government tax relief (87.7</w:t>
      </w:r>
      <w:r w:rsidR="00210946" w:rsidRPr="00A1399E">
        <w:rPr>
          <w:sz w:val="20"/>
          <w:szCs w:val="20"/>
        </w:rPr>
        <w:t xml:space="preserve"> </w:t>
      </w:r>
      <w:r w:rsidR="00A01D44" w:rsidRPr="00A1399E">
        <w:rPr>
          <w:sz w:val="20"/>
          <w:szCs w:val="20"/>
        </w:rPr>
        <w:t>per cent</w:t>
      </w:r>
      <w:r w:rsidR="00AB7D06" w:rsidRPr="00A1399E">
        <w:rPr>
          <w:sz w:val="20"/>
          <w:szCs w:val="20"/>
        </w:rPr>
        <w:t>), and reduced remittances (90</w:t>
      </w:r>
      <w:r w:rsidR="00210946" w:rsidRPr="00A1399E">
        <w:rPr>
          <w:sz w:val="20"/>
          <w:szCs w:val="20"/>
        </w:rPr>
        <w:t xml:space="preserve"> </w:t>
      </w:r>
      <w:r w:rsidR="00A01D44" w:rsidRPr="00A1399E">
        <w:rPr>
          <w:sz w:val="20"/>
          <w:szCs w:val="20"/>
        </w:rPr>
        <w:t>per cent</w:t>
      </w:r>
      <w:r w:rsidR="00AB7D06" w:rsidRPr="00A1399E">
        <w:rPr>
          <w:sz w:val="20"/>
          <w:szCs w:val="20"/>
        </w:rPr>
        <w:t>) are obstacles to women</w:t>
      </w:r>
      <w:r w:rsidR="00A01D44" w:rsidRPr="00A1399E">
        <w:rPr>
          <w:sz w:val="20"/>
          <w:szCs w:val="20"/>
        </w:rPr>
        <w:t>’</w:t>
      </w:r>
      <w:r w:rsidR="00AB7D06" w:rsidRPr="00A1399E">
        <w:rPr>
          <w:sz w:val="20"/>
          <w:szCs w:val="20"/>
        </w:rPr>
        <w:t>s entrepreneurial development.</w:t>
      </w:r>
      <w:r w:rsidR="00AB7D06" w:rsidRPr="00A1399E">
        <w:rPr>
          <w:rStyle w:val="FootnoteReference"/>
          <w:rFonts w:cs="Times New Roman"/>
          <w:sz w:val="20"/>
          <w:szCs w:val="20"/>
        </w:rPr>
        <w:footnoteReference w:id="18"/>
      </w:r>
      <w:r w:rsidR="00AB7D06" w:rsidRPr="00A1399E">
        <w:rPr>
          <w:sz w:val="20"/>
          <w:szCs w:val="20"/>
        </w:rPr>
        <w:t xml:space="preserve"> </w:t>
      </w:r>
    </w:p>
    <w:p w14:paraId="10C4F35A" w14:textId="48B69FB8" w:rsidR="00AB7D06" w:rsidRPr="00A1399E" w:rsidRDefault="00865C2E" w:rsidP="00F704ED">
      <w:pPr>
        <w:spacing w:after="120" w:line="240" w:lineRule="exact"/>
        <w:ind w:left="720"/>
        <w:jc w:val="both"/>
        <w:rPr>
          <w:iCs/>
          <w:color w:val="000000"/>
          <w:sz w:val="20"/>
          <w:szCs w:val="20"/>
        </w:rPr>
      </w:pPr>
      <w:r w:rsidRPr="00A1399E">
        <w:rPr>
          <w:color w:val="000000"/>
          <w:sz w:val="20"/>
          <w:szCs w:val="20"/>
        </w:rPr>
        <w:t>9</w:t>
      </w:r>
      <w:r w:rsidR="00AB7D06" w:rsidRPr="00A1399E">
        <w:rPr>
          <w:color w:val="000000"/>
          <w:sz w:val="20"/>
          <w:szCs w:val="20"/>
        </w:rPr>
        <w:t xml:space="preserve">. Young people </w:t>
      </w:r>
      <w:r w:rsidR="009541BB" w:rsidRPr="00A1399E">
        <w:rPr>
          <w:color w:val="000000"/>
          <w:sz w:val="20"/>
          <w:szCs w:val="20"/>
        </w:rPr>
        <w:t xml:space="preserve">aged </w:t>
      </w:r>
      <w:r w:rsidR="00AB7D06" w:rsidRPr="00A1399E">
        <w:rPr>
          <w:color w:val="000000"/>
          <w:sz w:val="20"/>
          <w:szCs w:val="20"/>
        </w:rPr>
        <w:t xml:space="preserve">under 35 and 24 </w:t>
      </w:r>
      <w:r w:rsidR="00A01D44" w:rsidRPr="00A1399E">
        <w:rPr>
          <w:color w:val="000000"/>
          <w:sz w:val="20"/>
          <w:szCs w:val="20"/>
        </w:rPr>
        <w:t xml:space="preserve">comprise </w:t>
      </w:r>
      <w:r w:rsidR="00AB7D06" w:rsidRPr="00A1399E">
        <w:rPr>
          <w:color w:val="000000"/>
          <w:sz w:val="20"/>
          <w:szCs w:val="20"/>
        </w:rPr>
        <w:t>about 75</w:t>
      </w:r>
      <w:r w:rsidR="00C16F29" w:rsidRPr="00A1399E">
        <w:rPr>
          <w:color w:val="000000"/>
          <w:sz w:val="20"/>
          <w:szCs w:val="20"/>
        </w:rPr>
        <w:t xml:space="preserve"> </w:t>
      </w:r>
      <w:r w:rsidR="00A01D44" w:rsidRPr="00A1399E">
        <w:rPr>
          <w:color w:val="000000"/>
          <w:sz w:val="20"/>
          <w:szCs w:val="20"/>
        </w:rPr>
        <w:t>per cent</w:t>
      </w:r>
      <w:r w:rsidR="00AB7D06" w:rsidRPr="00A1399E">
        <w:rPr>
          <w:color w:val="000000"/>
          <w:sz w:val="20"/>
          <w:szCs w:val="20"/>
        </w:rPr>
        <w:t xml:space="preserve"> and 63</w:t>
      </w:r>
      <w:r w:rsidR="00C16F29" w:rsidRPr="00A1399E">
        <w:rPr>
          <w:color w:val="000000"/>
          <w:sz w:val="20"/>
          <w:szCs w:val="20"/>
        </w:rPr>
        <w:t xml:space="preserve"> </w:t>
      </w:r>
      <w:r w:rsidR="00A01D44" w:rsidRPr="00A1399E">
        <w:rPr>
          <w:color w:val="000000"/>
          <w:sz w:val="20"/>
          <w:szCs w:val="20"/>
        </w:rPr>
        <w:t>per cent</w:t>
      </w:r>
      <w:r w:rsidR="00C16F29" w:rsidRPr="00A1399E">
        <w:rPr>
          <w:color w:val="000000"/>
          <w:sz w:val="20"/>
          <w:szCs w:val="20"/>
        </w:rPr>
        <w:t>,</w:t>
      </w:r>
      <w:r w:rsidR="00AB7D06" w:rsidRPr="00A1399E">
        <w:rPr>
          <w:color w:val="000000"/>
          <w:sz w:val="20"/>
          <w:szCs w:val="20"/>
        </w:rPr>
        <w:t xml:space="preserve"> respectively</w:t>
      </w:r>
      <w:r w:rsidR="00C16F29" w:rsidRPr="00A1399E">
        <w:rPr>
          <w:color w:val="000000"/>
          <w:sz w:val="20"/>
          <w:szCs w:val="20"/>
        </w:rPr>
        <w:t>,</w:t>
      </w:r>
      <w:r w:rsidR="00AB7D06" w:rsidRPr="00A1399E">
        <w:rPr>
          <w:color w:val="000000"/>
          <w:sz w:val="20"/>
          <w:szCs w:val="20"/>
        </w:rPr>
        <w:t xml:space="preserve"> of </w:t>
      </w:r>
      <w:r w:rsidR="00C16F29" w:rsidRPr="00A1399E">
        <w:rPr>
          <w:color w:val="000000"/>
          <w:sz w:val="20"/>
          <w:szCs w:val="20"/>
        </w:rPr>
        <w:t xml:space="preserve">the country’s </w:t>
      </w:r>
      <w:r w:rsidR="00AB7D06" w:rsidRPr="00A1399E">
        <w:rPr>
          <w:color w:val="000000"/>
          <w:sz w:val="20"/>
          <w:szCs w:val="20"/>
        </w:rPr>
        <w:t xml:space="preserve">estimated </w:t>
      </w:r>
      <w:r w:rsidR="00C16F29" w:rsidRPr="00A1399E">
        <w:rPr>
          <w:color w:val="000000"/>
          <w:sz w:val="20"/>
          <w:szCs w:val="20"/>
        </w:rPr>
        <w:t xml:space="preserve">population of </w:t>
      </w:r>
      <w:r w:rsidR="00AB7D06" w:rsidRPr="00A1399E">
        <w:rPr>
          <w:color w:val="000000"/>
          <w:sz w:val="20"/>
          <w:szCs w:val="20"/>
        </w:rPr>
        <w:t>15 million</w:t>
      </w:r>
      <w:r w:rsidR="00C16F29" w:rsidRPr="00A1399E">
        <w:rPr>
          <w:color w:val="000000"/>
          <w:sz w:val="20"/>
          <w:szCs w:val="20"/>
        </w:rPr>
        <w:t>.</w:t>
      </w:r>
      <w:r w:rsidR="00AB7D06" w:rsidRPr="00A1399E">
        <w:rPr>
          <w:rStyle w:val="FootnoteReference"/>
          <w:rFonts w:cs="Times New Roman"/>
          <w:bCs/>
          <w:sz w:val="20"/>
          <w:szCs w:val="20"/>
        </w:rPr>
        <w:footnoteReference w:id="19"/>
      </w:r>
      <w:r w:rsidR="00AB7D06" w:rsidRPr="00A1399E">
        <w:rPr>
          <w:rFonts w:eastAsia="Times New Roman"/>
          <w:bCs/>
          <w:sz w:val="20"/>
          <w:szCs w:val="20"/>
        </w:rPr>
        <w:t xml:space="preserve"> </w:t>
      </w:r>
      <w:r w:rsidR="00FB289D" w:rsidRPr="00A1399E">
        <w:rPr>
          <w:rFonts w:eastAsia="Times New Roman"/>
          <w:bCs/>
          <w:sz w:val="20"/>
          <w:szCs w:val="20"/>
        </w:rPr>
        <w:t xml:space="preserve">The </w:t>
      </w:r>
      <w:r w:rsidR="00AB7D06" w:rsidRPr="00A1399E">
        <w:rPr>
          <w:sz w:val="20"/>
          <w:szCs w:val="20"/>
        </w:rPr>
        <w:t xml:space="preserve">Somalia Youth Assessment Report indicates that </w:t>
      </w:r>
      <w:r w:rsidR="00AB7D06" w:rsidRPr="00A1399E">
        <w:rPr>
          <w:iCs/>
          <w:color w:val="000000"/>
          <w:sz w:val="20"/>
          <w:szCs w:val="20"/>
        </w:rPr>
        <w:t>two out of three youth (</w:t>
      </w:r>
      <w:r w:rsidR="009541BB" w:rsidRPr="00A1399E">
        <w:rPr>
          <w:iCs/>
          <w:color w:val="000000"/>
          <w:sz w:val="20"/>
          <w:szCs w:val="20"/>
        </w:rPr>
        <w:t xml:space="preserve">aged </w:t>
      </w:r>
      <w:r w:rsidR="00AB7D06" w:rsidRPr="00A1399E">
        <w:rPr>
          <w:iCs/>
          <w:color w:val="000000"/>
          <w:sz w:val="20"/>
          <w:szCs w:val="20"/>
        </w:rPr>
        <w:t>15</w:t>
      </w:r>
      <w:r w:rsidR="00E70538" w:rsidRPr="00A1399E">
        <w:rPr>
          <w:iCs/>
          <w:color w:val="000000"/>
          <w:sz w:val="20"/>
          <w:szCs w:val="20"/>
        </w:rPr>
        <w:t xml:space="preserve"> to </w:t>
      </w:r>
      <w:r w:rsidR="00AB7D06" w:rsidRPr="00A1399E">
        <w:rPr>
          <w:iCs/>
          <w:color w:val="000000"/>
          <w:sz w:val="20"/>
          <w:szCs w:val="20"/>
        </w:rPr>
        <w:t>30) live in poverty with food insecurity.</w:t>
      </w:r>
      <w:r w:rsidR="00AB7D06" w:rsidRPr="00A1399E">
        <w:rPr>
          <w:rStyle w:val="FootnoteReference"/>
          <w:rFonts w:cs="Times New Roman"/>
          <w:iCs/>
          <w:color w:val="000000"/>
          <w:sz w:val="20"/>
          <w:szCs w:val="20"/>
        </w:rPr>
        <w:footnoteReference w:id="20"/>
      </w:r>
      <w:r w:rsidR="00AB7D06" w:rsidRPr="00A1399E">
        <w:rPr>
          <w:iCs/>
          <w:color w:val="000000"/>
          <w:sz w:val="20"/>
          <w:szCs w:val="20"/>
        </w:rPr>
        <w:t xml:space="preserve"> More than half of Somali youth are illiterate; two out of three have no formal education or have dropped out of school and </w:t>
      </w:r>
      <w:r w:rsidR="00460CE7" w:rsidRPr="00A1399E">
        <w:rPr>
          <w:iCs/>
          <w:color w:val="000000"/>
          <w:sz w:val="20"/>
          <w:szCs w:val="20"/>
        </w:rPr>
        <w:t>73</w:t>
      </w:r>
      <w:r w:rsidR="00E70538" w:rsidRPr="00A1399E">
        <w:rPr>
          <w:iCs/>
          <w:color w:val="000000"/>
          <w:sz w:val="20"/>
          <w:szCs w:val="20"/>
        </w:rPr>
        <w:t xml:space="preserve"> </w:t>
      </w:r>
      <w:r w:rsidR="00A01D44" w:rsidRPr="00A1399E">
        <w:rPr>
          <w:iCs/>
          <w:color w:val="000000"/>
          <w:sz w:val="20"/>
          <w:szCs w:val="20"/>
        </w:rPr>
        <w:t>per cent</w:t>
      </w:r>
      <w:r w:rsidR="00460CE7" w:rsidRPr="00A1399E">
        <w:rPr>
          <w:iCs/>
          <w:color w:val="000000"/>
          <w:sz w:val="20"/>
          <w:szCs w:val="20"/>
        </w:rPr>
        <w:t xml:space="preserve"> </w:t>
      </w:r>
      <w:r w:rsidR="00AB7D06" w:rsidRPr="00A1399E">
        <w:rPr>
          <w:iCs/>
          <w:color w:val="000000"/>
          <w:sz w:val="20"/>
          <w:szCs w:val="20"/>
        </w:rPr>
        <w:t>are unemployed (42</w:t>
      </w:r>
      <w:r w:rsidR="00E70538" w:rsidRPr="00A1399E">
        <w:rPr>
          <w:iCs/>
          <w:color w:val="000000"/>
          <w:sz w:val="20"/>
          <w:szCs w:val="20"/>
        </w:rPr>
        <w:t xml:space="preserve"> </w:t>
      </w:r>
      <w:r w:rsidR="00A01D44" w:rsidRPr="00A1399E">
        <w:rPr>
          <w:iCs/>
          <w:color w:val="000000"/>
          <w:sz w:val="20"/>
          <w:szCs w:val="20"/>
        </w:rPr>
        <w:t>per cent</w:t>
      </w:r>
      <w:r w:rsidR="00AB7D06" w:rsidRPr="00A1399E">
        <w:rPr>
          <w:iCs/>
          <w:color w:val="000000"/>
          <w:sz w:val="20"/>
          <w:szCs w:val="20"/>
        </w:rPr>
        <w:t xml:space="preserve"> </w:t>
      </w:r>
      <w:r w:rsidR="00460CE7" w:rsidRPr="00A1399E">
        <w:rPr>
          <w:iCs/>
          <w:color w:val="000000"/>
          <w:sz w:val="20"/>
          <w:szCs w:val="20"/>
        </w:rPr>
        <w:t xml:space="preserve">male; </w:t>
      </w:r>
      <w:r w:rsidR="00AB7D06" w:rsidRPr="00A1399E">
        <w:rPr>
          <w:iCs/>
          <w:color w:val="000000"/>
          <w:sz w:val="20"/>
          <w:szCs w:val="20"/>
        </w:rPr>
        <w:t>58</w:t>
      </w:r>
      <w:r w:rsidR="00E70538" w:rsidRPr="00A1399E">
        <w:rPr>
          <w:iCs/>
          <w:color w:val="000000"/>
          <w:sz w:val="20"/>
          <w:szCs w:val="20"/>
        </w:rPr>
        <w:t xml:space="preserve"> </w:t>
      </w:r>
      <w:r w:rsidR="00A01D44" w:rsidRPr="00A1399E">
        <w:rPr>
          <w:iCs/>
          <w:color w:val="000000"/>
          <w:sz w:val="20"/>
          <w:szCs w:val="20"/>
        </w:rPr>
        <w:t>per cent</w:t>
      </w:r>
      <w:r w:rsidR="00460CE7" w:rsidRPr="00A1399E">
        <w:rPr>
          <w:iCs/>
          <w:color w:val="000000"/>
          <w:sz w:val="20"/>
          <w:szCs w:val="20"/>
        </w:rPr>
        <w:t xml:space="preserve"> female</w:t>
      </w:r>
      <w:r w:rsidR="00AB7D06" w:rsidRPr="00A1399E">
        <w:rPr>
          <w:iCs/>
          <w:color w:val="000000"/>
          <w:sz w:val="20"/>
          <w:szCs w:val="20"/>
        </w:rPr>
        <w:t>).</w:t>
      </w:r>
      <w:r w:rsidR="00AB7D06" w:rsidRPr="00A1399E">
        <w:rPr>
          <w:rStyle w:val="FootnoteReference"/>
          <w:rFonts w:cs="Times New Roman"/>
          <w:iCs/>
          <w:color w:val="000000"/>
          <w:sz w:val="20"/>
          <w:szCs w:val="20"/>
        </w:rPr>
        <w:footnoteReference w:id="21"/>
      </w:r>
      <w:r w:rsidR="00AB7D06" w:rsidRPr="00A1399E">
        <w:rPr>
          <w:iCs/>
          <w:color w:val="000000"/>
          <w:sz w:val="20"/>
          <w:szCs w:val="20"/>
        </w:rPr>
        <w:t xml:space="preserve"> </w:t>
      </w:r>
      <w:r w:rsidR="00E70538" w:rsidRPr="00A1399E">
        <w:rPr>
          <w:iCs/>
          <w:color w:val="000000"/>
          <w:sz w:val="20"/>
          <w:szCs w:val="20"/>
        </w:rPr>
        <w:t>H</w:t>
      </w:r>
      <w:r w:rsidR="00460CE7" w:rsidRPr="00A1399E">
        <w:rPr>
          <w:iCs/>
          <w:color w:val="000000"/>
          <w:sz w:val="20"/>
          <w:szCs w:val="20"/>
        </w:rPr>
        <w:t>igh</w:t>
      </w:r>
      <w:r w:rsidR="00AB7D06" w:rsidRPr="00A1399E">
        <w:rPr>
          <w:iCs/>
          <w:color w:val="000000"/>
          <w:sz w:val="20"/>
          <w:szCs w:val="20"/>
        </w:rPr>
        <w:t xml:space="preserve"> youth unemployment is a threat to inclusive prosperity</w:t>
      </w:r>
      <w:r w:rsidR="0023646E" w:rsidRPr="00A1399E">
        <w:rPr>
          <w:iCs/>
          <w:color w:val="000000"/>
          <w:sz w:val="20"/>
          <w:szCs w:val="20"/>
        </w:rPr>
        <w:t>, stability</w:t>
      </w:r>
      <w:r w:rsidR="00AB7D06" w:rsidRPr="00A1399E">
        <w:rPr>
          <w:iCs/>
          <w:color w:val="000000"/>
          <w:sz w:val="20"/>
          <w:szCs w:val="20"/>
        </w:rPr>
        <w:t xml:space="preserve"> and security</w:t>
      </w:r>
      <w:r w:rsidR="00AB1046" w:rsidRPr="00A1399E">
        <w:rPr>
          <w:iCs/>
          <w:color w:val="000000"/>
          <w:sz w:val="20"/>
          <w:szCs w:val="20"/>
        </w:rPr>
        <w:t>, with m</w:t>
      </w:r>
      <w:r w:rsidR="00460CE7" w:rsidRPr="00A1399E">
        <w:rPr>
          <w:iCs/>
          <w:color w:val="000000"/>
          <w:sz w:val="20"/>
          <w:szCs w:val="20"/>
        </w:rPr>
        <w:t xml:space="preserve">ale youth </w:t>
      </w:r>
      <w:r w:rsidR="00AB1046" w:rsidRPr="00A1399E">
        <w:rPr>
          <w:iCs/>
          <w:color w:val="000000"/>
          <w:sz w:val="20"/>
          <w:szCs w:val="20"/>
        </w:rPr>
        <w:t xml:space="preserve">likely to </w:t>
      </w:r>
      <w:r w:rsidR="00460CE7" w:rsidRPr="00A1399E">
        <w:rPr>
          <w:iCs/>
          <w:color w:val="000000"/>
          <w:sz w:val="20"/>
          <w:szCs w:val="20"/>
        </w:rPr>
        <w:t xml:space="preserve">be recruited into violent extremist organizations </w:t>
      </w:r>
      <w:r w:rsidR="00AB1046" w:rsidRPr="00A1399E">
        <w:rPr>
          <w:iCs/>
          <w:color w:val="000000"/>
          <w:sz w:val="20"/>
          <w:szCs w:val="20"/>
        </w:rPr>
        <w:t xml:space="preserve">and </w:t>
      </w:r>
      <w:r w:rsidR="00460CE7" w:rsidRPr="00A1399E">
        <w:rPr>
          <w:iCs/>
          <w:color w:val="000000"/>
          <w:sz w:val="20"/>
          <w:szCs w:val="20"/>
        </w:rPr>
        <w:t>girls forced into early marriage a</w:t>
      </w:r>
      <w:r w:rsidR="005E5F48" w:rsidRPr="00A1399E">
        <w:rPr>
          <w:iCs/>
          <w:color w:val="000000"/>
          <w:sz w:val="20"/>
          <w:szCs w:val="20"/>
        </w:rPr>
        <w:t>nd experienc</w:t>
      </w:r>
      <w:r w:rsidR="00680085" w:rsidRPr="00A1399E">
        <w:rPr>
          <w:iCs/>
          <w:color w:val="000000"/>
          <w:sz w:val="20"/>
          <w:szCs w:val="20"/>
        </w:rPr>
        <w:t>ing</w:t>
      </w:r>
      <w:r w:rsidR="005E5F48" w:rsidRPr="00A1399E">
        <w:rPr>
          <w:iCs/>
          <w:color w:val="000000"/>
          <w:sz w:val="20"/>
          <w:szCs w:val="20"/>
        </w:rPr>
        <w:t xml:space="preserve"> </w:t>
      </w:r>
      <w:r w:rsidR="00E70538" w:rsidRPr="00A1399E">
        <w:rPr>
          <w:iCs/>
          <w:color w:val="000000"/>
          <w:sz w:val="20"/>
          <w:szCs w:val="20"/>
        </w:rPr>
        <w:t>sexual and gender-based violence</w:t>
      </w:r>
      <w:r w:rsidR="00460CE7" w:rsidRPr="00A1399E">
        <w:rPr>
          <w:iCs/>
          <w:color w:val="000000"/>
          <w:sz w:val="20"/>
          <w:szCs w:val="20"/>
        </w:rPr>
        <w:t>, which affects one out of four women in Somalia</w:t>
      </w:r>
      <w:r w:rsidR="00E70538" w:rsidRPr="00A1399E">
        <w:rPr>
          <w:iCs/>
          <w:color w:val="000000"/>
          <w:sz w:val="20"/>
          <w:szCs w:val="20"/>
        </w:rPr>
        <w:t>;</w:t>
      </w:r>
      <w:r w:rsidR="00940296" w:rsidRPr="00A1399E">
        <w:rPr>
          <w:iCs/>
          <w:color w:val="000000"/>
          <w:sz w:val="20"/>
          <w:szCs w:val="20"/>
        </w:rPr>
        <w:t xml:space="preserve"> 99</w:t>
      </w:r>
      <w:r w:rsidR="00E70538" w:rsidRPr="00A1399E">
        <w:rPr>
          <w:iCs/>
          <w:color w:val="000000"/>
          <w:sz w:val="20"/>
          <w:szCs w:val="20"/>
        </w:rPr>
        <w:t xml:space="preserve"> </w:t>
      </w:r>
      <w:r w:rsidR="00A01D44" w:rsidRPr="00A1399E">
        <w:rPr>
          <w:iCs/>
          <w:color w:val="000000"/>
          <w:sz w:val="20"/>
          <w:szCs w:val="20"/>
        </w:rPr>
        <w:t>per cent</w:t>
      </w:r>
      <w:r w:rsidR="00940296" w:rsidRPr="00A1399E">
        <w:rPr>
          <w:iCs/>
          <w:color w:val="000000"/>
          <w:sz w:val="20"/>
          <w:szCs w:val="20"/>
        </w:rPr>
        <w:t xml:space="preserve"> of </w:t>
      </w:r>
      <w:r w:rsidR="00F71052" w:rsidRPr="00A1399E">
        <w:rPr>
          <w:iCs/>
          <w:color w:val="000000"/>
          <w:sz w:val="20"/>
          <w:szCs w:val="20"/>
        </w:rPr>
        <w:t xml:space="preserve">Somali </w:t>
      </w:r>
      <w:r w:rsidR="00940296" w:rsidRPr="00A1399E">
        <w:rPr>
          <w:iCs/>
          <w:color w:val="000000"/>
          <w:sz w:val="20"/>
          <w:szCs w:val="20"/>
        </w:rPr>
        <w:t xml:space="preserve">women </w:t>
      </w:r>
      <w:r w:rsidR="00F71052" w:rsidRPr="00A1399E">
        <w:rPr>
          <w:iCs/>
          <w:color w:val="000000"/>
          <w:sz w:val="20"/>
          <w:szCs w:val="20"/>
        </w:rPr>
        <w:t>aged 15</w:t>
      </w:r>
      <w:r w:rsidR="00E70538" w:rsidRPr="00A1399E">
        <w:rPr>
          <w:iCs/>
          <w:color w:val="000000"/>
          <w:sz w:val="20"/>
          <w:szCs w:val="20"/>
        </w:rPr>
        <w:t xml:space="preserve"> to </w:t>
      </w:r>
      <w:r w:rsidR="00F71052" w:rsidRPr="00A1399E">
        <w:rPr>
          <w:iCs/>
          <w:color w:val="000000"/>
          <w:sz w:val="20"/>
          <w:szCs w:val="20"/>
        </w:rPr>
        <w:t xml:space="preserve">49 </w:t>
      </w:r>
      <w:r w:rsidR="001E1E4F" w:rsidRPr="00A1399E">
        <w:rPr>
          <w:iCs/>
          <w:color w:val="000000"/>
          <w:sz w:val="20"/>
          <w:szCs w:val="20"/>
        </w:rPr>
        <w:t>have undergone circumcision</w:t>
      </w:r>
      <w:r w:rsidR="00E70538" w:rsidRPr="00A1399E">
        <w:rPr>
          <w:iCs/>
          <w:color w:val="000000"/>
          <w:sz w:val="20"/>
          <w:szCs w:val="20"/>
        </w:rPr>
        <w:t>.</w:t>
      </w:r>
      <w:r w:rsidR="00524259" w:rsidRPr="00A1399E">
        <w:rPr>
          <w:rStyle w:val="FootnoteReference"/>
          <w:rFonts w:cs="Times New Roman"/>
          <w:iCs/>
          <w:color w:val="000000"/>
          <w:sz w:val="20"/>
          <w:szCs w:val="20"/>
        </w:rPr>
        <w:footnoteReference w:id="22"/>
      </w:r>
    </w:p>
    <w:p w14:paraId="0771F673" w14:textId="23ADE3A3" w:rsidR="00AB7D06" w:rsidRPr="00A1399E" w:rsidRDefault="00AE5BE6" w:rsidP="00F704ED">
      <w:pPr>
        <w:spacing w:after="120" w:line="240" w:lineRule="exact"/>
        <w:ind w:left="720"/>
        <w:jc w:val="both"/>
        <w:rPr>
          <w:sz w:val="20"/>
          <w:szCs w:val="20"/>
        </w:rPr>
      </w:pPr>
      <w:r w:rsidRPr="00A1399E">
        <w:rPr>
          <w:sz w:val="20"/>
          <w:szCs w:val="20"/>
        </w:rPr>
        <w:t>1</w:t>
      </w:r>
      <w:r w:rsidR="00F52919" w:rsidRPr="00A1399E">
        <w:rPr>
          <w:sz w:val="20"/>
          <w:szCs w:val="20"/>
        </w:rPr>
        <w:t>0</w:t>
      </w:r>
      <w:r w:rsidR="00AB7D06" w:rsidRPr="00A1399E">
        <w:rPr>
          <w:sz w:val="20"/>
          <w:szCs w:val="20"/>
        </w:rPr>
        <w:t xml:space="preserve">. </w:t>
      </w:r>
      <w:r w:rsidR="00AB7D06" w:rsidRPr="00A1399E">
        <w:rPr>
          <w:iCs/>
          <w:sz w:val="20"/>
          <w:szCs w:val="20"/>
        </w:rPr>
        <w:t>Recurrent disasters</w:t>
      </w:r>
      <w:r w:rsidR="00945158" w:rsidRPr="00A1399E">
        <w:rPr>
          <w:iCs/>
          <w:sz w:val="20"/>
          <w:szCs w:val="20"/>
        </w:rPr>
        <w:t xml:space="preserve">, </w:t>
      </w:r>
      <w:r w:rsidR="00AB7D06" w:rsidRPr="00A1399E">
        <w:rPr>
          <w:iCs/>
          <w:sz w:val="20"/>
          <w:szCs w:val="20"/>
        </w:rPr>
        <w:t xml:space="preserve">climate emergencies, </w:t>
      </w:r>
      <w:r w:rsidR="00945158" w:rsidRPr="00A1399E">
        <w:rPr>
          <w:iCs/>
          <w:sz w:val="20"/>
          <w:szCs w:val="20"/>
        </w:rPr>
        <w:t xml:space="preserve">and </w:t>
      </w:r>
      <w:r w:rsidR="00AB7D06" w:rsidRPr="00A1399E">
        <w:rPr>
          <w:iCs/>
          <w:sz w:val="20"/>
          <w:szCs w:val="20"/>
        </w:rPr>
        <w:t>unsustainable exploitation of natural resources</w:t>
      </w:r>
      <w:r w:rsidR="00945158" w:rsidRPr="00A1399E">
        <w:rPr>
          <w:iCs/>
          <w:sz w:val="20"/>
          <w:szCs w:val="20"/>
        </w:rPr>
        <w:t>,</w:t>
      </w:r>
      <w:r w:rsidR="00AB7D06" w:rsidRPr="00A1399E">
        <w:rPr>
          <w:iCs/>
          <w:sz w:val="20"/>
          <w:szCs w:val="20"/>
        </w:rPr>
        <w:t xml:space="preserve"> combined with weak environmental governance</w:t>
      </w:r>
      <w:r w:rsidR="00945158" w:rsidRPr="00A1399E">
        <w:rPr>
          <w:iCs/>
          <w:sz w:val="20"/>
          <w:szCs w:val="20"/>
        </w:rPr>
        <w:t>,</w:t>
      </w:r>
      <w:r w:rsidR="00AB7D06" w:rsidRPr="00A1399E">
        <w:rPr>
          <w:iCs/>
          <w:sz w:val="20"/>
          <w:szCs w:val="20"/>
        </w:rPr>
        <w:t xml:space="preserve"> have resulted in degradation of the natural resource base</w:t>
      </w:r>
      <w:r w:rsidR="00A01D44" w:rsidRPr="00A1399E">
        <w:rPr>
          <w:iCs/>
          <w:sz w:val="20"/>
          <w:szCs w:val="20"/>
        </w:rPr>
        <w:t>.</w:t>
      </w:r>
      <w:r w:rsidR="0094083F" w:rsidRPr="00A1399E">
        <w:rPr>
          <w:rStyle w:val="FootnoteReference"/>
          <w:iCs/>
          <w:sz w:val="20"/>
          <w:szCs w:val="20"/>
        </w:rPr>
        <w:footnoteReference w:id="23"/>
      </w:r>
      <w:r w:rsidR="00AB7D06" w:rsidRPr="00A1399E">
        <w:rPr>
          <w:sz w:val="20"/>
          <w:szCs w:val="20"/>
        </w:rPr>
        <w:t xml:space="preserve"> </w:t>
      </w:r>
      <w:r w:rsidR="00AB7D06" w:rsidRPr="00A1399E">
        <w:rPr>
          <w:color w:val="000000" w:themeColor="text1"/>
          <w:sz w:val="20"/>
          <w:szCs w:val="20"/>
        </w:rPr>
        <w:t xml:space="preserve">The 2016-2017 drought </w:t>
      </w:r>
      <w:r w:rsidR="00AB7D06" w:rsidRPr="00A1399E">
        <w:rPr>
          <w:sz w:val="20"/>
          <w:szCs w:val="20"/>
        </w:rPr>
        <w:t>plunged the majority of the population</w:t>
      </w:r>
      <w:r w:rsidR="008068E3" w:rsidRPr="00A1399E">
        <w:rPr>
          <w:sz w:val="20"/>
          <w:szCs w:val="20"/>
        </w:rPr>
        <w:t xml:space="preserve"> </w:t>
      </w:r>
      <w:r w:rsidR="00AB7D06" w:rsidRPr="00A1399E">
        <w:rPr>
          <w:sz w:val="20"/>
          <w:szCs w:val="20"/>
        </w:rPr>
        <w:t xml:space="preserve">into food insecurity, with an estimated 6.7 million people acutely food insecure at the </w:t>
      </w:r>
      <w:r w:rsidR="00680085" w:rsidRPr="00A1399E">
        <w:rPr>
          <w:sz w:val="20"/>
          <w:szCs w:val="20"/>
        </w:rPr>
        <w:t xml:space="preserve">drought’s </w:t>
      </w:r>
      <w:r w:rsidR="00AB7D06" w:rsidRPr="00A1399E">
        <w:rPr>
          <w:sz w:val="20"/>
          <w:szCs w:val="20"/>
        </w:rPr>
        <w:t>peak.</w:t>
      </w:r>
      <w:r w:rsidR="00AB7D06" w:rsidRPr="00A1399E">
        <w:rPr>
          <w:rStyle w:val="FootnoteReference"/>
          <w:rFonts w:cs="Times New Roman"/>
          <w:sz w:val="20"/>
          <w:szCs w:val="20"/>
        </w:rPr>
        <w:footnoteReference w:id="24"/>
      </w:r>
      <w:r w:rsidR="00AB7D06" w:rsidRPr="00A1399E">
        <w:rPr>
          <w:sz w:val="20"/>
          <w:szCs w:val="20"/>
        </w:rPr>
        <w:t xml:space="preserve"> </w:t>
      </w:r>
      <w:r w:rsidR="00501800" w:rsidRPr="00A1399E">
        <w:rPr>
          <w:color w:val="000000"/>
          <w:sz w:val="20"/>
          <w:szCs w:val="20"/>
        </w:rPr>
        <w:t xml:space="preserve">The </w:t>
      </w:r>
      <w:r w:rsidR="00747836" w:rsidRPr="00A1399E">
        <w:rPr>
          <w:color w:val="000000"/>
          <w:sz w:val="20"/>
          <w:szCs w:val="20"/>
        </w:rPr>
        <w:t xml:space="preserve">2018 </w:t>
      </w:r>
      <w:r w:rsidR="00501800" w:rsidRPr="00A1399E">
        <w:rPr>
          <w:color w:val="000000"/>
          <w:sz w:val="20"/>
          <w:szCs w:val="20"/>
        </w:rPr>
        <w:t xml:space="preserve">Somalia Drought Impact and Needs Assessment  </w:t>
      </w:r>
      <w:r w:rsidR="00241C12" w:rsidRPr="00A1399E">
        <w:rPr>
          <w:color w:val="000000"/>
          <w:sz w:val="20"/>
          <w:szCs w:val="20"/>
        </w:rPr>
        <w:t xml:space="preserve">showed </w:t>
      </w:r>
      <w:r w:rsidR="00501800" w:rsidRPr="00A1399E">
        <w:rPr>
          <w:color w:val="000000"/>
          <w:sz w:val="20"/>
          <w:szCs w:val="20"/>
        </w:rPr>
        <w:t>there had been over $3</w:t>
      </w:r>
      <w:r w:rsidR="00241C12" w:rsidRPr="00A1399E">
        <w:rPr>
          <w:color w:val="000000"/>
          <w:sz w:val="20"/>
          <w:szCs w:val="20"/>
        </w:rPr>
        <w:t> </w:t>
      </w:r>
      <w:r w:rsidR="00501800" w:rsidRPr="00A1399E">
        <w:rPr>
          <w:color w:val="000000"/>
          <w:sz w:val="20"/>
          <w:szCs w:val="20"/>
        </w:rPr>
        <w:t>billion (over 50</w:t>
      </w:r>
      <w:r w:rsidR="00241C12" w:rsidRPr="00A1399E">
        <w:rPr>
          <w:color w:val="000000"/>
          <w:sz w:val="20"/>
          <w:szCs w:val="20"/>
        </w:rPr>
        <w:t xml:space="preserve"> </w:t>
      </w:r>
      <w:r w:rsidR="00A01D44" w:rsidRPr="00A1399E">
        <w:rPr>
          <w:color w:val="000000"/>
          <w:sz w:val="20"/>
          <w:szCs w:val="20"/>
        </w:rPr>
        <w:t>per cent</w:t>
      </w:r>
      <w:r w:rsidR="00501800" w:rsidRPr="00A1399E">
        <w:rPr>
          <w:color w:val="000000"/>
          <w:sz w:val="20"/>
          <w:szCs w:val="20"/>
        </w:rPr>
        <w:t xml:space="preserve"> of annual </w:t>
      </w:r>
      <w:r w:rsidR="00241C12" w:rsidRPr="00A1399E">
        <w:rPr>
          <w:color w:val="000000"/>
          <w:sz w:val="20"/>
          <w:szCs w:val="20"/>
        </w:rPr>
        <w:t xml:space="preserve">gross domestic product </w:t>
      </w:r>
      <w:r w:rsidR="00CE5975" w:rsidRPr="00A1399E">
        <w:rPr>
          <w:color w:val="000000"/>
          <w:sz w:val="20"/>
          <w:szCs w:val="20"/>
        </w:rPr>
        <w:t>(</w:t>
      </w:r>
      <w:r w:rsidR="00501800" w:rsidRPr="00A1399E">
        <w:rPr>
          <w:color w:val="000000"/>
          <w:sz w:val="20"/>
          <w:szCs w:val="20"/>
        </w:rPr>
        <w:t>GDP)</w:t>
      </w:r>
      <w:r w:rsidR="00CE5975" w:rsidRPr="00A1399E">
        <w:rPr>
          <w:color w:val="000000"/>
          <w:sz w:val="20"/>
          <w:szCs w:val="20"/>
        </w:rPr>
        <w:t>)</w:t>
      </w:r>
      <w:r w:rsidR="00501800" w:rsidRPr="00A1399E">
        <w:rPr>
          <w:color w:val="000000"/>
          <w:sz w:val="20"/>
          <w:szCs w:val="20"/>
        </w:rPr>
        <w:t xml:space="preserve"> in </w:t>
      </w:r>
      <w:r w:rsidR="00680085" w:rsidRPr="00A1399E">
        <w:rPr>
          <w:color w:val="000000"/>
          <w:sz w:val="20"/>
          <w:szCs w:val="20"/>
        </w:rPr>
        <w:t xml:space="preserve">drought-related </w:t>
      </w:r>
      <w:r w:rsidR="00501800" w:rsidRPr="00A1399E">
        <w:rPr>
          <w:color w:val="000000"/>
          <w:sz w:val="20"/>
          <w:szCs w:val="20"/>
        </w:rPr>
        <w:t xml:space="preserve">damages </w:t>
      </w:r>
      <w:r w:rsidR="00FB289D" w:rsidRPr="00A1399E">
        <w:rPr>
          <w:color w:val="000000"/>
          <w:sz w:val="20"/>
          <w:szCs w:val="20"/>
        </w:rPr>
        <w:t xml:space="preserve">and </w:t>
      </w:r>
      <w:r w:rsidR="00501800" w:rsidRPr="00A1399E">
        <w:rPr>
          <w:color w:val="000000"/>
          <w:sz w:val="20"/>
          <w:szCs w:val="20"/>
        </w:rPr>
        <w:t>losses. Multi-sectoral recovery and resilience</w:t>
      </w:r>
      <w:r w:rsidR="00CE5975" w:rsidRPr="00A1399E">
        <w:rPr>
          <w:color w:val="000000"/>
          <w:sz w:val="20"/>
          <w:szCs w:val="20"/>
        </w:rPr>
        <w:t>-</w:t>
      </w:r>
      <w:r w:rsidR="00501800" w:rsidRPr="00A1399E">
        <w:rPr>
          <w:color w:val="000000"/>
          <w:sz w:val="20"/>
          <w:szCs w:val="20"/>
        </w:rPr>
        <w:t>building needs were estimated at nearly $1.8</w:t>
      </w:r>
      <w:r w:rsidR="00CE5975" w:rsidRPr="00A1399E">
        <w:rPr>
          <w:color w:val="000000"/>
          <w:sz w:val="20"/>
          <w:szCs w:val="20"/>
        </w:rPr>
        <w:t> </w:t>
      </w:r>
      <w:r w:rsidR="00501800" w:rsidRPr="00A1399E">
        <w:rPr>
          <w:color w:val="000000"/>
          <w:sz w:val="20"/>
          <w:szCs w:val="20"/>
        </w:rPr>
        <w:t>billion.</w:t>
      </w:r>
      <w:r w:rsidR="00501800" w:rsidRPr="00A1399E">
        <w:rPr>
          <w:rStyle w:val="FootnoteReference"/>
          <w:rFonts w:cs="Times New Roman"/>
          <w:sz w:val="20"/>
          <w:szCs w:val="20"/>
        </w:rPr>
        <w:footnoteReference w:id="25"/>
      </w:r>
      <w:r w:rsidR="0078204A" w:rsidRPr="00A1399E">
        <w:rPr>
          <w:color w:val="000000"/>
          <w:sz w:val="20"/>
          <w:szCs w:val="20"/>
        </w:rPr>
        <w:t xml:space="preserve"> </w:t>
      </w:r>
      <w:r w:rsidR="00AB7D06" w:rsidRPr="00A1399E">
        <w:rPr>
          <w:sz w:val="20"/>
          <w:szCs w:val="20"/>
        </w:rPr>
        <w:t>Food insecurity</w:t>
      </w:r>
      <w:r w:rsidR="00664A15" w:rsidRPr="00A1399E">
        <w:rPr>
          <w:sz w:val="20"/>
          <w:szCs w:val="20"/>
        </w:rPr>
        <w:t xml:space="preserve">, </w:t>
      </w:r>
      <w:r w:rsidR="00AB7D06" w:rsidRPr="00A1399E">
        <w:rPr>
          <w:sz w:val="20"/>
          <w:szCs w:val="20"/>
        </w:rPr>
        <w:lastRenderedPageBreak/>
        <w:t>scarcity of drinking water</w:t>
      </w:r>
      <w:r w:rsidR="00680085" w:rsidRPr="00A1399E">
        <w:rPr>
          <w:sz w:val="20"/>
          <w:szCs w:val="20"/>
        </w:rPr>
        <w:t>,</w:t>
      </w:r>
      <w:r w:rsidR="00664A15" w:rsidRPr="00A1399E">
        <w:rPr>
          <w:sz w:val="20"/>
          <w:szCs w:val="20"/>
        </w:rPr>
        <w:t xml:space="preserve"> and </w:t>
      </w:r>
      <w:r w:rsidR="00AB7D06" w:rsidRPr="00A1399E">
        <w:rPr>
          <w:sz w:val="20"/>
          <w:szCs w:val="20"/>
        </w:rPr>
        <w:t>displacement</w:t>
      </w:r>
      <w:r w:rsidR="00664A15" w:rsidRPr="00A1399E">
        <w:rPr>
          <w:sz w:val="20"/>
          <w:szCs w:val="20"/>
        </w:rPr>
        <w:t xml:space="preserve"> </w:t>
      </w:r>
      <w:r w:rsidR="00AB7D06" w:rsidRPr="00A1399E">
        <w:rPr>
          <w:sz w:val="20"/>
          <w:szCs w:val="20"/>
        </w:rPr>
        <w:t>contributed to a stark rise in malnutrition and water-borne diseases</w:t>
      </w:r>
      <w:r w:rsidR="00680085" w:rsidRPr="00A1399E">
        <w:rPr>
          <w:sz w:val="20"/>
          <w:szCs w:val="20"/>
        </w:rPr>
        <w:t xml:space="preserve">, all </w:t>
      </w:r>
      <w:r w:rsidR="00AB7D06" w:rsidRPr="00A1399E">
        <w:rPr>
          <w:sz w:val="20"/>
          <w:szCs w:val="20"/>
        </w:rPr>
        <w:t>a source of conflict.</w:t>
      </w:r>
      <w:r w:rsidR="00AB7D06" w:rsidRPr="00A1399E">
        <w:rPr>
          <w:rStyle w:val="FootnoteReference"/>
          <w:rFonts w:cs="Times New Roman"/>
          <w:sz w:val="20"/>
          <w:szCs w:val="20"/>
        </w:rPr>
        <w:footnoteReference w:id="26"/>
      </w:r>
      <w:r w:rsidR="00AB7D06" w:rsidRPr="00A1399E">
        <w:rPr>
          <w:sz w:val="20"/>
          <w:szCs w:val="20"/>
        </w:rPr>
        <w:t xml:space="preserve"> </w:t>
      </w:r>
    </w:p>
    <w:p w14:paraId="6660B578" w14:textId="027101B3" w:rsidR="00795418" w:rsidRPr="00A1399E" w:rsidRDefault="00EB2CE2" w:rsidP="00F704ED">
      <w:pPr>
        <w:spacing w:after="120" w:line="240" w:lineRule="exact"/>
        <w:ind w:left="720"/>
        <w:jc w:val="both"/>
        <w:rPr>
          <w:sz w:val="20"/>
          <w:szCs w:val="20"/>
        </w:rPr>
      </w:pPr>
      <w:r w:rsidRPr="00A1399E">
        <w:rPr>
          <w:sz w:val="20"/>
          <w:szCs w:val="20"/>
        </w:rPr>
        <w:t>1</w:t>
      </w:r>
      <w:r w:rsidR="00F52919" w:rsidRPr="00A1399E">
        <w:rPr>
          <w:sz w:val="20"/>
          <w:szCs w:val="20"/>
        </w:rPr>
        <w:t>1</w:t>
      </w:r>
      <w:r w:rsidR="00AB7D06" w:rsidRPr="00A1399E">
        <w:rPr>
          <w:sz w:val="20"/>
          <w:szCs w:val="20"/>
        </w:rPr>
        <w:t xml:space="preserve">. Amid these challenges, </w:t>
      </w:r>
      <w:r w:rsidR="00015B55" w:rsidRPr="00A1399E">
        <w:rPr>
          <w:sz w:val="20"/>
          <w:szCs w:val="20"/>
        </w:rPr>
        <w:t>opportunities</w:t>
      </w:r>
      <w:r w:rsidR="00AB7D06" w:rsidRPr="00A1399E">
        <w:rPr>
          <w:sz w:val="20"/>
          <w:szCs w:val="20"/>
        </w:rPr>
        <w:t xml:space="preserve"> </w:t>
      </w:r>
      <w:r w:rsidR="001F11E3" w:rsidRPr="00A1399E">
        <w:rPr>
          <w:sz w:val="20"/>
          <w:szCs w:val="20"/>
        </w:rPr>
        <w:t xml:space="preserve">exist </w:t>
      </w:r>
      <w:r w:rsidR="00AB7D06" w:rsidRPr="00A1399E">
        <w:rPr>
          <w:sz w:val="20"/>
          <w:szCs w:val="20"/>
        </w:rPr>
        <w:t>in the political, economic, social and environmental fronts</w:t>
      </w:r>
      <w:r w:rsidR="00CE5975" w:rsidRPr="00A1399E">
        <w:rPr>
          <w:sz w:val="20"/>
          <w:szCs w:val="20"/>
        </w:rPr>
        <w:t xml:space="preserve"> that </w:t>
      </w:r>
      <w:r w:rsidR="00015B55" w:rsidRPr="00A1399E">
        <w:rPr>
          <w:sz w:val="20"/>
          <w:szCs w:val="20"/>
        </w:rPr>
        <w:t xml:space="preserve">serve as </w:t>
      </w:r>
      <w:r w:rsidR="00680085" w:rsidRPr="00A1399E">
        <w:rPr>
          <w:sz w:val="20"/>
          <w:szCs w:val="20"/>
        </w:rPr>
        <w:t xml:space="preserve">CPD </w:t>
      </w:r>
      <w:r w:rsidR="00015B55" w:rsidRPr="00A1399E">
        <w:rPr>
          <w:sz w:val="20"/>
          <w:szCs w:val="20"/>
        </w:rPr>
        <w:t>entry points</w:t>
      </w:r>
      <w:r w:rsidR="00AB7D06" w:rsidRPr="00A1399E">
        <w:rPr>
          <w:sz w:val="20"/>
          <w:szCs w:val="20"/>
        </w:rPr>
        <w:t xml:space="preserve">. Somalia has ratified </w:t>
      </w:r>
      <w:r w:rsidR="00AB7D06" w:rsidRPr="00A1399E">
        <w:rPr>
          <w:bCs/>
          <w:sz w:val="20"/>
          <w:szCs w:val="20"/>
        </w:rPr>
        <w:t>various international human rights</w:t>
      </w:r>
      <w:r w:rsidR="00080732" w:rsidRPr="00A1399E">
        <w:rPr>
          <w:bCs/>
          <w:sz w:val="20"/>
          <w:szCs w:val="20"/>
        </w:rPr>
        <w:t xml:space="preserve"> instruments</w:t>
      </w:r>
      <w:r w:rsidR="00080732" w:rsidRPr="00A1399E">
        <w:rPr>
          <w:rStyle w:val="FootnoteReference"/>
          <w:bCs/>
          <w:sz w:val="20"/>
          <w:szCs w:val="20"/>
        </w:rPr>
        <w:footnoteReference w:id="27"/>
      </w:r>
      <w:r w:rsidR="00AB7D06" w:rsidRPr="00A1399E">
        <w:rPr>
          <w:bCs/>
          <w:sz w:val="20"/>
          <w:szCs w:val="20"/>
        </w:rPr>
        <w:t xml:space="preserve"> </w:t>
      </w:r>
      <w:r w:rsidR="00080732" w:rsidRPr="00A1399E">
        <w:rPr>
          <w:bCs/>
          <w:sz w:val="20"/>
          <w:szCs w:val="20"/>
        </w:rPr>
        <w:t>and</w:t>
      </w:r>
      <w:r w:rsidR="00AB7D06" w:rsidRPr="00A1399E">
        <w:rPr>
          <w:bCs/>
          <w:sz w:val="20"/>
          <w:szCs w:val="20"/>
        </w:rPr>
        <w:t xml:space="preserve"> developed </w:t>
      </w:r>
      <w:r w:rsidR="00A01D44" w:rsidRPr="00A1399E">
        <w:rPr>
          <w:bCs/>
          <w:sz w:val="20"/>
          <w:szCs w:val="20"/>
        </w:rPr>
        <w:t>several</w:t>
      </w:r>
      <w:r w:rsidR="00AB7D06" w:rsidRPr="00A1399E">
        <w:rPr>
          <w:bCs/>
          <w:sz w:val="20"/>
          <w:szCs w:val="20"/>
        </w:rPr>
        <w:t xml:space="preserve"> policy and legal frameworks</w:t>
      </w:r>
      <w:r w:rsidR="002076C8" w:rsidRPr="00A1399E">
        <w:rPr>
          <w:bCs/>
          <w:sz w:val="20"/>
          <w:szCs w:val="20"/>
        </w:rPr>
        <w:t>.</w:t>
      </w:r>
      <w:r w:rsidR="00080732" w:rsidRPr="00A1399E">
        <w:rPr>
          <w:rStyle w:val="FootnoteReference"/>
          <w:bCs/>
          <w:sz w:val="20"/>
          <w:szCs w:val="20"/>
        </w:rPr>
        <w:footnoteReference w:id="28"/>
      </w:r>
      <w:r w:rsidR="008F2231" w:rsidRPr="00A1399E">
        <w:rPr>
          <w:sz w:val="20"/>
          <w:szCs w:val="20"/>
        </w:rPr>
        <w:t xml:space="preserve"> </w:t>
      </w:r>
      <w:r w:rsidR="00795418" w:rsidRPr="00A1399E">
        <w:rPr>
          <w:bCs/>
          <w:sz w:val="20"/>
          <w:szCs w:val="20"/>
        </w:rPr>
        <w:t xml:space="preserve">The refinement of aid </w:t>
      </w:r>
      <w:r w:rsidR="00795418" w:rsidRPr="00A1399E">
        <w:rPr>
          <w:sz w:val="20"/>
          <w:szCs w:val="20"/>
        </w:rPr>
        <w:t xml:space="preserve">coordination structures </w:t>
      </w:r>
      <w:r w:rsidR="00A70E2E" w:rsidRPr="00A1399E">
        <w:rPr>
          <w:sz w:val="20"/>
          <w:szCs w:val="20"/>
        </w:rPr>
        <w:t>provides</w:t>
      </w:r>
      <w:r w:rsidR="00795418" w:rsidRPr="00A1399E">
        <w:rPr>
          <w:sz w:val="20"/>
          <w:szCs w:val="20"/>
        </w:rPr>
        <w:t xml:space="preserve"> a</w:t>
      </w:r>
      <w:r w:rsidR="00B44AD6" w:rsidRPr="00A1399E">
        <w:rPr>
          <w:sz w:val="20"/>
          <w:szCs w:val="20"/>
        </w:rPr>
        <w:t xml:space="preserve">n </w:t>
      </w:r>
      <w:r w:rsidR="00795418" w:rsidRPr="00A1399E">
        <w:rPr>
          <w:sz w:val="20"/>
          <w:szCs w:val="20"/>
        </w:rPr>
        <w:t>opportunity for the country’s continued positive trajectory.</w:t>
      </w:r>
    </w:p>
    <w:p w14:paraId="7F9CB321" w14:textId="6D151C1D" w:rsidR="000130B0" w:rsidRPr="00A1399E" w:rsidRDefault="00AB7D06" w:rsidP="00F704ED">
      <w:pPr>
        <w:spacing w:after="120" w:line="240" w:lineRule="exact"/>
        <w:ind w:left="720"/>
        <w:jc w:val="both"/>
        <w:rPr>
          <w:sz w:val="20"/>
          <w:szCs w:val="20"/>
        </w:rPr>
      </w:pPr>
      <w:r w:rsidRPr="00A1399E">
        <w:rPr>
          <w:sz w:val="20"/>
          <w:szCs w:val="20"/>
        </w:rPr>
        <w:t>1</w:t>
      </w:r>
      <w:r w:rsidR="00F52919" w:rsidRPr="00A1399E">
        <w:rPr>
          <w:sz w:val="20"/>
          <w:szCs w:val="20"/>
        </w:rPr>
        <w:t>2</w:t>
      </w:r>
      <w:r w:rsidRPr="00A1399E">
        <w:rPr>
          <w:sz w:val="20"/>
          <w:szCs w:val="20"/>
        </w:rPr>
        <w:t xml:space="preserve">. </w:t>
      </w:r>
      <w:r w:rsidR="007A7653" w:rsidRPr="00A1399E">
        <w:rPr>
          <w:sz w:val="20"/>
          <w:szCs w:val="20"/>
        </w:rPr>
        <w:t xml:space="preserve">The </w:t>
      </w:r>
      <w:r w:rsidR="000130B0" w:rsidRPr="00A1399E">
        <w:rPr>
          <w:sz w:val="20"/>
          <w:szCs w:val="20"/>
        </w:rPr>
        <w:t xml:space="preserve">UNDP </w:t>
      </w:r>
      <w:r w:rsidR="00634ED0" w:rsidRPr="00A1399E">
        <w:rPr>
          <w:sz w:val="20"/>
          <w:szCs w:val="20"/>
        </w:rPr>
        <w:t xml:space="preserve">country office in </w:t>
      </w:r>
      <w:r w:rsidR="000130B0" w:rsidRPr="00A1399E">
        <w:rPr>
          <w:sz w:val="20"/>
          <w:szCs w:val="20"/>
        </w:rPr>
        <w:t>Somalia</w:t>
      </w:r>
      <w:r w:rsidR="00FB289D" w:rsidRPr="00A1399E">
        <w:rPr>
          <w:sz w:val="20"/>
          <w:szCs w:val="20"/>
        </w:rPr>
        <w:t xml:space="preserve"> is </w:t>
      </w:r>
      <w:r w:rsidR="000130B0" w:rsidRPr="00A1399E">
        <w:rPr>
          <w:sz w:val="20"/>
          <w:szCs w:val="20"/>
        </w:rPr>
        <w:t xml:space="preserve">a trusted partner </w:t>
      </w:r>
      <w:r w:rsidR="00B44AD6" w:rsidRPr="00A1399E">
        <w:rPr>
          <w:sz w:val="20"/>
          <w:szCs w:val="20"/>
        </w:rPr>
        <w:t xml:space="preserve">and convenor </w:t>
      </w:r>
      <w:r w:rsidR="000130B0" w:rsidRPr="00A1399E">
        <w:rPr>
          <w:sz w:val="20"/>
          <w:szCs w:val="20"/>
        </w:rPr>
        <w:t>for gover</w:t>
      </w:r>
      <w:r w:rsidR="00485DEA" w:rsidRPr="00A1399E">
        <w:rPr>
          <w:sz w:val="20"/>
          <w:szCs w:val="20"/>
        </w:rPr>
        <w:t>nmental and non-governmental ac</w:t>
      </w:r>
      <w:r w:rsidR="000130B0" w:rsidRPr="00A1399E">
        <w:rPr>
          <w:sz w:val="20"/>
          <w:szCs w:val="20"/>
        </w:rPr>
        <w:t>tors</w:t>
      </w:r>
      <w:r w:rsidR="00FB289D" w:rsidRPr="00A1399E">
        <w:rPr>
          <w:sz w:val="20"/>
          <w:szCs w:val="20"/>
        </w:rPr>
        <w:t xml:space="preserve">, </w:t>
      </w:r>
      <w:r w:rsidR="00634ED0" w:rsidRPr="00A1399E">
        <w:rPr>
          <w:sz w:val="20"/>
          <w:szCs w:val="20"/>
        </w:rPr>
        <w:t xml:space="preserve">able </w:t>
      </w:r>
      <w:r w:rsidR="000130B0" w:rsidRPr="00A1399E">
        <w:rPr>
          <w:sz w:val="20"/>
          <w:szCs w:val="20"/>
        </w:rPr>
        <w:t xml:space="preserve">to facilitate community and citizen engagement, </w:t>
      </w:r>
      <w:r w:rsidR="002821B9" w:rsidRPr="00A1399E">
        <w:rPr>
          <w:sz w:val="20"/>
          <w:szCs w:val="20"/>
        </w:rPr>
        <w:t>and is</w:t>
      </w:r>
      <w:r w:rsidR="00FB289D" w:rsidRPr="00A1399E">
        <w:rPr>
          <w:sz w:val="20"/>
          <w:szCs w:val="20"/>
        </w:rPr>
        <w:t xml:space="preserve"> impartial </w:t>
      </w:r>
      <w:r w:rsidR="000130B0" w:rsidRPr="00A1399E">
        <w:rPr>
          <w:sz w:val="20"/>
          <w:szCs w:val="20"/>
        </w:rPr>
        <w:t>in addressing sensitive issues</w:t>
      </w:r>
      <w:r w:rsidR="00634ED0" w:rsidRPr="00A1399E">
        <w:rPr>
          <w:sz w:val="20"/>
          <w:szCs w:val="20"/>
        </w:rPr>
        <w:t>,</w:t>
      </w:r>
      <w:r w:rsidR="000130B0" w:rsidRPr="00A1399E">
        <w:rPr>
          <w:sz w:val="20"/>
          <w:szCs w:val="20"/>
        </w:rPr>
        <w:t xml:space="preserve"> </w:t>
      </w:r>
      <w:r w:rsidR="00634ED0" w:rsidRPr="00A1399E">
        <w:rPr>
          <w:sz w:val="20"/>
          <w:szCs w:val="20"/>
        </w:rPr>
        <w:t xml:space="preserve">such as </w:t>
      </w:r>
      <w:r w:rsidR="000130B0" w:rsidRPr="00A1399E">
        <w:rPr>
          <w:sz w:val="20"/>
          <w:szCs w:val="20"/>
        </w:rPr>
        <w:t xml:space="preserve">human rights and gender </w:t>
      </w:r>
      <w:r w:rsidR="00485DEA" w:rsidRPr="00A1399E">
        <w:rPr>
          <w:sz w:val="20"/>
          <w:szCs w:val="20"/>
        </w:rPr>
        <w:t>in</w:t>
      </w:r>
      <w:r w:rsidR="000130B0" w:rsidRPr="00A1399E">
        <w:rPr>
          <w:sz w:val="20"/>
          <w:szCs w:val="20"/>
        </w:rPr>
        <w:t>equalit</w:t>
      </w:r>
      <w:r w:rsidR="00485DEA" w:rsidRPr="00A1399E">
        <w:rPr>
          <w:sz w:val="20"/>
          <w:szCs w:val="20"/>
        </w:rPr>
        <w:t>ies</w:t>
      </w:r>
      <w:r w:rsidR="00FB289D" w:rsidRPr="00A1399E">
        <w:rPr>
          <w:sz w:val="20"/>
          <w:szCs w:val="20"/>
        </w:rPr>
        <w:t>. Given these comparative advantage</w:t>
      </w:r>
      <w:r w:rsidR="00634ED0" w:rsidRPr="00A1399E">
        <w:rPr>
          <w:sz w:val="20"/>
          <w:szCs w:val="20"/>
        </w:rPr>
        <w:t>s,</w:t>
      </w:r>
      <w:r w:rsidR="00485DEA" w:rsidRPr="00A1399E">
        <w:rPr>
          <w:sz w:val="20"/>
          <w:szCs w:val="20"/>
        </w:rPr>
        <w:t xml:space="preserve"> </w:t>
      </w:r>
      <w:r w:rsidR="000130B0" w:rsidRPr="00A1399E">
        <w:rPr>
          <w:sz w:val="20"/>
          <w:szCs w:val="20"/>
        </w:rPr>
        <w:t>UNDP will work with government at federal, state and local levels, civil society organizations</w:t>
      </w:r>
      <w:r w:rsidR="00911D1D" w:rsidRPr="00A1399E">
        <w:rPr>
          <w:sz w:val="20"/>
          <w:szCs w:val="20"/>
        </w:rPr>
        <w:t xml:space="preserve"> (CSOs)</w:t>
      </w:r>
      <w:r w:rsidR="000130B0" w:rsidRPr="00A1399E">
        <w:rPr>
          <w:sz w:val="20"/>
          <w:szCs w:val="20"/>
        </w:rPr>
        <w:t xml:space="preserve">, </w:t>
      </w:r>
      <w:r w:rsidR="00634ED0" w:rsidRPr="00A1399E">
        <w:rPr>
          <w:sz w:val="20"/>
          <w:szCs w:val="20"/>
        </w:rPr>
        <w:t xml:space="preserve">the </w:t>
      </w:r>
      <w:r w:rsidR="000130B0" w:rsidRPr="00A1399E">
        <w:rPr>
          <w:sz w:val="20"/>
          <w:szCs w:val="20"/>
        </w:rPr>
        <w:t xml:space="preserve">private sector, </w:t>
      </w:r>
      <w:r w:rsidR="00634ED0" w:rsidRPr="00A1399E">
        <w:rPr>
          <w:sz w:val="20"/>
          <w:szCs w:val="20"/>
        </w:rPr>
        <w:t xml:space="preserve">the </w:t>
      </w:r>
      <w:r w:rsidR="000130B0" w:rsidRPr="00A1399E">
        <w:rPr>
          <w:sz w:val="20"/>
          <w:szCs w:val="20"/>
        </w:rPr>
        <w:t>U</w:t>
      </w:r>
      <w:r w:rsidR="00634ED0" w:rsidRPr="00A1399E">
        <w:rPr>
          <w:sz w:val="20"/>
          <w:szCs w:val="20"/>
        </w:rPr>
        <w:t xml:space="preserve">nited </w:t>
      </w:r>
      <w:r w:rsidR="000130B0" w:rsidRPr="00A1399E">
        <w:rPr>
          <w:sz w:val="20"/>
          <w:szCs w:val="20"/>
        </w:rPr>
        <w:t>N</w:t>
      </w:r>
      <w:r w:rsidR="00634ED0" w:rsidRPr="00A1399E">
        <w:rPr>
          <w:sz w:val="20"/>
          <w:szCs w:val="20"/>
        </w:rPr>
        <w:t>ations</w:t>
      </w:r>
      <w:r w:rsidR="000130B0" w:rsidRPr="00A1399E">
        <w:rPr>
          <w:sz w:val="20"/>
          <w:szCs w:val="20"/>
        </w:rPr>
        <w:t xml:space="preserve"> system and other development partners</w:t>
      </w:r>
      <w:r w:rsidR="00634ED0" w:rsidRPr="00A1399E">
        <w:rPr>
          <w:sz w:val="20"/>
          <w:szCs w:val="20"/>
        </w:rPr>
        <w:t>,</w:t>
      </w:r>
      <w:r w:rsidR="000130B0" w:rsidRPr="00A1399E">
        <w:rPr>
          <w:sz w:val="20"/>
          <w:szCs w:val="20"/>
        </w:rPr>
        <w:t xml:space="preserve"> in support</w:t>
      </w:r>
      <w:r w:rsidR="002076C8" w:rsidRPr="00A1399E">
        <w:rPr>
          <w:sz w:val="20"/>
          <w:szCs w:val="20"/>
        </w:rPr>
        <w:t xml:space="preserve">ing </w:t>
      </w:r>
      <w:r w:rsidR="000130B0" w:rsidRPr="00A1399E">
        <w:rPr>
          <w:sz w:val="20"/>
          <w:szCs w:val="20"/>
        </w:rPr>
        <w:t>national efforts to address the</w:t>
      </w:r>
      <w:r w:rsidR="00680085" w:rsidRPr="00A1399E">
        <w:rPr>
          <w:sz w:val="20"/>
          <w:szCs w:val="20"/>
        </w:rPr>
        <w:t xml:space="preserve">se </w:t>
      </w:r>
      <w:r w:rsidR="000130B0" w:rsidRPr="00A1399E">
        <w:rPr>
          <w:sz w:val="20"/>
          <w:szCs w:val="20"/>
        </w:rPr>
        <w:t xml:space="preserve">challenges. </w:t>
      </w:r>
    </w:p>
    <w:p w14:paraId="5784E6FE" w14:textId="75AA7927" w:rsidR="00FA3A50" w:rsidRPr="00A1399E" w:rsidRDefault="00BB12D8" w:rsidP="00F704ED">
      <w:pPr>
        <w:spacing w:after="120" w:line="240" w:lineRule="exact"/>
        <w:ind w:left="720"/>
        <w:jc w:val="both"/>
        <w:rPr>
          <w:sz w:val="20"/>
          <w:szCs w:val="20"/>
          <w:lang w:eastAsia="en-US"/>
        </w:rPr>
      </w:pPr>
      <w:r w:rsidRPr="00A1399E">
        <w:rPr>
          <w:sz w:val="20"/>
          <w:szCs w:val="20"/>
        </w:rPr>
        <w:t>1</w:t>
      </w:r>
      <w:r w:rsidR="00F52919" w:rsidRPr="00A1399E">
        <w:rPr>
          <w:sz w:val="20"/>
          <w:szCs w:val="20"/>
        </w:rPr>
        <w:t>3</w:t>
      </w:r>
      <w:r w:rsidRPr="00A1399E">
        <w:rPr>
          <w:sz w:val="20"/>
          <w:szCs w:val="20"/>
        </w:rPr>
        <w:t xml:space="preserve">. </w:t>
      </w:r>
      <w:r w:rsidR="00FA3A50" w:rsidRPr="00A1399E">
        <w:rPr>
          <w:rFonts w:eastAsia="Times New Roman"/>
          <w:bCs/>
          <w:sz w:val="20"/>
          <w:szCs w:val="20"/>
        </w:rPr>
        <w:t>Aligned to the UNSDCF theory of change</w:t>
      </w:r>
      <w:r w:rsidR="007A7653" w:rsidRPr="00A1399E">
        <w:rPr>
          <w:rFonts w:eastAsia="Times New Roman"/>
          <w:bCs/>
          <w:sz w:val="20"/>
          <w:szCs w:val="20"/>
        </w:rPr>
        <w:t>,</w:t>
      </w:r>
      <w:r w:rsidR="0027680F" w:rsidRPr="00A1399E">
        <w:rPr>
          <w:rStyle w:val="FootnoteReference"/>
          <w:rFonts w:eastAsia="Times New Roman" w:cs="Times New Roman"/>
          <w:bCs/>
          <w:sz w:val="20"/>
          <w:szCs w:val="20"/>
        </w:rPr>
        <w:footnoteReference w:id="29"/>
      </w:r>
      <w:r w:rsidR="00FA3A50" w:rsidRPr="00A1399E">
        <w:rPr>
          <w:rFonts w:eastAsia="Times New Roman"/>
          <w:bCs/>
          <w:sz w:val="20"/>
          <w:szCs w:val="20"/>
        </w:rPr>
        <w:t xml:space="preserve"> the CPD is based on the logic that transformative and inclusive politics and reconciliation, including deepening </w:t>
      </w:r>
      <w:r w:rsidR="007A7653" w:rsidRPr="00A1399E">
        <w:rPr>
          <w:rFonts w:eastAsia="Times New Roman"/>
          <w:bCs/>
          <w:sz w:val="20"/>
          <w:szCs w:val="20"/>
        </w:rPr>
        <w:t xml:space="preserve">the </w:t>
      </w:r>
      <w:r w:rsidR="00FA3A50" w:rsidRPr="00A1399E">
        <w:rPr>
          <w:rFonts w:eastAsia="Times New Roman"/>
          <w:bCs/>
          <w:sz w:val="20"/>
          <w:szCs w:val="20"/>
        </w:rPr>
        <w:t xml:space="preserve">federalization process and </w:t>
      </w:r>
      <w:r w:rsidR="00680085" w:rsidRPr="00A1399E">
        <w:rPr>
          <w:rFonts w:eastAsia="Times New Roman"/>
          <w:bCs/>
          <w:sz w:val="20"/>
          <w:szCs w:val="20"/>
        </w:rPr>
        <w:t xml:space="preserve">establishing </w:t>
      </w:r>
      <w:r w:rsidR="00FA3A50" w:rsidRPr="00A1399E">
        <w:rPr>
          <w:rFonts w:eastAsia="Times New Roman"/>
          <w:bCs/>
          <w:sz w:val="20"/>
          <w:szCs w:val="20"/>
        </w:rPr>
        <w:t xml:space="preserve">a </w:t>
      </w:r>
      <w:r w:rsidR="007A7653" w:rsidRPr="00A1399E">
        <w:rPr>
          <w:rFonts w:eastAsia="Times New Roman"/>
          <w:bCs/>
          <w:sz w:val="20"/>
          <w:szCs w:val="20"/>
        </w:rPr>
        <w:t>c</w:t>
      </w:r>
      <w:r w:rsidR="00FA3A50" w:rsidRPr="00A1399E">
        <w:rPr>
          <w:rFonts w:eastAsia="Times New Roman"/>
          <w:bCs/>
          <w:sz w:val="20"/>
          <w:szCs w:val="20"/>
        </w:rPr>
        <w:t xml:space="preserve">onstitution, </w:t>
      </w:r>
      <w:r w:rsidR="002076C8" w:rsidRPr="00A1399E">
        <w:rPr>
          <w:rFonts w:eastAsia="Times New Roman"/>
          <w:bCs/>
          <w:sz w:val="20"/>
          <w:szCs w:val="20"/>
        </w:rPr>
        <w:t xml:space="preserve">are </w:t>
      </w:r>
      <w:r w:rsidR="00FA3A50" w:rsidRPr="00A1399E">
        <w:rPr>
          <w:rFonts w:eastAsia="Times New Roman"/>
          <w:bCs/>
          <w:sz w:val="20"/>
          <w:szCs w:val="20"/>
        </w:rPr>
        <w:t>precondition</w:t>
      </w:r>
      <w:r w:rsidR="002076C8" w:rsidRPr="00A1399E">
        <w:rPr>
          <w:rFonts w:eastAsia="Times New Roman"/>
          <w:bCs/>
          <w:sz w:val="20"/>
          <w:szCs w:val="20"/>
        </w:rPr>
        <w:t>s</w:t>
      </w:r>
      <w:r w:rsidR="00FA3A50" w:rsidRPr="00A1399E">
        <w:rPr>
          <w:rFonts w:eastAsia="Times New Roman"/>
          <w:bCs/>
          <w:sz w:val="20"/>
          <w:szCs w:val="20"/>
        </w:rPr>
        <w:t xml:space="preserve"> </w:t>
      </w:r>
      <w:r w:rsidR="00C52A4F" w:rsidRPr="00A1399E">
        <w:rPr>
          <w:rFonts w:eastAsia="Times New Roman"/>
          <w:bCs/>
          <w:sz w:val="20"/>
          <w:szCs w:val="20"/>
        </w:rPr>
        <w:t xml:space="preserve">for </w:t>
      </w:r>
      <w:r w:rsidR="00FA3A50" w:rsidRPr="00A1399E">
        <w:rPr>
          <w:rFonts w:eastAsia="Times New Roman"/>
          <w:bCs/>
          <w:sz w:val="20"/>
          <w:szCs w:val="20"/>
        </w:rPr>
        <w:t>realiz</w:t>
      </w:r>
      <w:r w:rsidR="00036418" w:rsidRPr="00A1399E">
        <w:rPr>
          <w:rFonts w:eastAsia="Times New Roman"/>
          <w:bCs/>
          <w:sz w:val="20"/>
          <w:szCs w:val="20"/>
        </w:rPr>
        <w:t>ing</w:t>
      </w:r>
      <w:r w:rsidR="00FA3A50" w:rsidRPr="00A1399E">
        <w:rPr>
          <w:rFonts w:eastAsia="Times New Roman"/>
          <w:bCs/>
          <w:sz w:val="20"/>
          <w:szCs w:val="20"/>
        </w:rPr>
        <w:t xml:space="preserve"> sustained security</w:t>
      </w:r>
      <w:r w:rsidR="00680085" w:rsidRPr="00A1399E">
        <w:rPr>
          <w:rFonts w:eastAsia="Times New Roman"/>
          <w:bCs/>
          <w:sz w:val="20"/>
          <w:szCs w:val="20"/>
        </w:rPr>
        <w:t xml:space="preserve">, ensuring </w:t>
      </w:r>
      <w:r w:rsidR="00FA3A50" w:rsidRPr="00A1399E">
        <w:rPr>
          <w:rFonts w:eastAsia="Times New Roman"/>
          <w:bCs/>
          <w:sz w:val="20"/>
          <w:szCs w:val="20"/>
        </w:rPr>
        <w:t xml:space="preserve">access </w:t>
      </w:r>
      <w:r w:rsidR="00680085" w:rsidRPr="00A1399E">
        <w:rPr>
          <w:rFonts w:eastAsia="Times New Roman"/>
          <w:bCs/>
          <w:sz w:val="20"/>
          <w:szCs w:val="20"/>
        </w:rPr>
        <w:t xml:space="preserve">to </w:t>
      </w:r>
      <w:r w:rsidR="00FA3A50" w:rsidRPr="00A1399E">
        <w:rPr>
          <w:rFonts w:eastAsia="Times New Roman"/>
          <w:bCs/>
          <w:sz w:val="20"/>
          <w:szCs w:val="20"/>
        </w:rPr>
        <w:t>justice and rule of law</w:t>
      </w:r>
      <w:r w:rsidR="002076C8" w:rsidRPr="00A1399E">
        <w:rPr>
          <w:rFonts w:eastAsia="Times New Roman"/>
          <w:bCs/>
          <w:sz w:val="20"/>
          <w:szCs w:val="20"/>
        </w:rPr>
        <w:t>,</w:t>
      </w:r>
      <w:r w:rsidR="00663F77" w:rsidRPr="00A1399E">
        <w:rPr>
          <w:rFonts w:eastAsia="Times New Roman"/>
          <w:bCs/>
          <w:sz w:val="20"/>
          <w:szCs w:val="20"/>
        </w:rPr>
        <w:t xml:space="preserve"> attain</w:t>
      </w:r>
      <w:r w:rsidR="00680085" w:rsidRPr="00A1399E">
        <w:rPr>
          <w:rFonts w:eastAsia="Times New Roman"/>
          <w:bCs/>
          <w:sz w:val="20"/>
          <w:szCs w:val="20"/>
        </w:rPr>
        <w:t>ing</w:t>
      </w:r>
      <w:r w:rsidR="00663F77" w:rsidRPr="00A1399E">
        <w:rPr>
          <w:rFonts w:eastAsia="Times New Roman"/>
          <w:bCs/>
          <w:sz w:val="20"/>
          <w:szCs w:val="20"/>
        </w:rPr>
        <w:t xml:space="preserve"> </w:t>
      </w:r>
      <w:r w:rsidR="00FA3A50" w:rsidRPr="00A1399E">
        <w:rPr>
          <w:rFonts w:eastAsia="Times New Roman"/>
          <w:bCs/>
          <w:sz w:val="20"/>
          <w:szCs w:val="20"/>
        </w:rPr>
        <w:t>inclusive economic recovery</w:t>
      </w:r>
      <w:r w:rsidR="002076C8" w:rsidRPr="00A1399E">
        <w:rPr>
          <w:rFonts w:eastAsia="Times New Roman"/>
          <w:bCs/>
          <w:sz w:val="20"/>
          <w:szCs w:val="20"/>
        </w:rPr>
        <w:t>,</w:t>
      </w:r>
      <w:r w:rsidR="00FA3A50" w:rsidRPr="00A1399E">
        <w:rPr>
          <w:rFonts w:eastAsia="Times New Roman"/>
          <w:bCs/>
          <w:sz w:val="20"/>
          <w:szCs w:val="20"/>
        </w:rPr>
        <w:t xml:space="preserve"> and building</w:t>
      </w:r>
      <w:r w:rsidR="00036418" w:rsidRPr="00A1399E">
        <w:rPr>
          <w:rFonts w:eastAsia="Times New Roman"/>
          <w:bCs/>
          <w:sz w:val="20"/>
          <w:szCs w:val="20"/>
        </w:rPr>
        <w:t xml:space="preserve"> </w:t>
      </w:r>
      <w:r w:rsidR="00FA3A50" w:rsidRPr="00A1399E">
        <w:rPr>
          <w:rFonts w:eastAsia="Times New Roman"/>
          <w:bCs/>
          <w:sz w:val="20"/>
          <w:szCs w:val="20"/>
        </w:rPr>
        <w:t xml:space="preserve">resilience in a sustainably managed environment for the </w:t>
      </w:r>
      <w:r w:rsidR="00680085" w:rsidRPr="00A1399E">
        <w:rPr>
          <w:rFonts w:eastAsia="Times New Roman"/>
          <w:bCs/>
          <w:sz w:val="20"/>
          <w:szCs w:val="20"/>
        </w:rPr>
        <w:t xml:space="preserve">people’s </w:t>
      </w:r>
      <w:r w:rsidR="00FA3A50" w:rsidRPr="00A1399E">
        <w:rPr>
          <w:rFonts w:eastAsia="Times New Roman"/>
          <w:bCs/>
          <w:sz w:val="20"/>
          <w:szCs w:val="20"/>
        </w:rPr>
        <w:t>benefit.</w:t>
      </w:r>
    </w:p>
    <w:p w14:paraId="639F3D9A" w14:textId="0671B17B" w:rsidR="00FA3A50" w:rsidRPr="00A1399E" w:rsidRDefault="00BB12D8" w:rsidP="00021BF6">
      <w:pPr>
        <w:pStyle w:val="NormalWeb"/>
        <w:shd w:val="clear" w:color="auto" w:fill="FFFFFF" w:themeFill="background1"/>
        <w:spacing w:before="0" w:beforeAutospacing="0" w:after="0" w:afterAutospacing="0" w:line="240" w:lineRule="exact"/>
        <w:ind w:left="720"/>
        <w:jc w:val="both"/>
        <w:textAlignment w:val="baseline"/>
        <w:rPr>
          <w:sz w:val="20"/>
          <w:szCs w:val="20"/>
        </w:rPr>
      </w:pPr>
      <w:r w:rsidRPr="00A1399E">
        <w:rPr>
          <w:sz w:val="20"/>
          <w:szCs w:val="20"/>
        </w:rPr>
        <w:t>1</w:t>
      </w:r>
      <w:r w:rsidR="00F52919" w:rsidRPr="00A1399E">
        <w:rPr>
          <w:sz w:val="20"/>
          <w:szCs w:val="20"/>
        </w:rPr>
        <w:t>4</w:t>
      </w:r>
      <w:r w:rsidR="00780E34" w:rsidRPr="00A1399E">
        <w:rPr>
          <w:sz w:val="20"/>
          <w:szCs w:val="20"/>
        </w:rPr>
        <w:t xml:space="preserve">. </w:t>
      </w:r>
      <w:r w:rsidR="00FB289D" w:rsidRPr="00A1399E">
        <w:rPr>
          <w:sz w:val="20"/>
          <w:szCs w:val="20"/>
        </w:rPr>
        <w:t>The CPD is i</w:t>
      </w:r>
      <w:r w:rsidR="00FA3A50" w:rsidRPr="00A1399E">
        <w:rPr>
          <w:sz w:val="20"/>
          <w:szCs w:val="20"/>
        </w:rPr>
        <w:t xml:space="preserve">nformed by lessons learned </w:t>
      </w:r>
      <w:r w:rsidR="00036418" w:rsidRPr="00A1399E">
        <w:rPr>
          <w:sz w:val="20"/>
          <w:szCs w:val="20"/>
        </w:rPr>
        <w:t xml:space="preserve">from </w:t>
      </w:r>
      <w:r w:rsidR="00FA3A50" w:rsidRPr="00A1399E">
        <w:rPr>
          <w:sz w:val="20"/>
          <w:szCs w:val="20"/>
        </w:rPr>
        <w:t>previous programming periods</w:t>
      </w:r>
      <w:r w:rsidR="00036418" w:rsidRPr="00A1399E">
        <w:rPr>
          <w:sz w:val="20"/>
          <w:szCs w:val="20"/>
        </w:rPr>
        <w:t>,</w:t>
      </w:r>
      <w:r w:rsidR="00FA3A50" w:rsidRPr="00A1399E">
        <w:rPr>
          <w:sz w:val="20"/>
          <w:szCs w:val="20"/>
        </w:rPr>
        <w:t xml:space="preserve"> the </w:t>
      </w:r>
      <w:r w:rsidR="00036418" w:rsidRPr="00A1399E">
        <w:rPr>
          <w:sz w:val="20"/>
          <w:szCs w:val="20"/>
        </w:rPr>
        <w:t>i</w:t>
      </w:r>
      <w:r w:rsidR="00FA3A50" w:rsidRPr="00A1399E">
        <w:rPr>
          <w:sz w:val="20"/>
          <w:szCs w:val="20"/>
        </w:rPr>
        <w:t xml:space="preserve">ndependent </w:t>
      </w:r>
      <w:r w:rsidR="00036418" w:rsidRPr="00A1399E">
        <w:rPr>
          <w:sz w:val="20"/>
          <w:szCs w:val="20"/>
        </w:rPr>
        <w:t>c</w:t>
      </w:r>
      <w:r w:rsidR="00FA3A50" w:rsidRPr="00A1399E">
        <w:rPr>
          <w:sz w:val="20"/>
          <w:szCs w:val="20"/>
        </w:rPr>
        <w:t xml:space="preserve">ountry </w:t>
      </w:r>
      <w:r w:rsidR="00036418" w:rsidRPr="00A1399E">
        <w:rPr>
          <w:sz w:val="20"/>
          <w:szCs w:val="20"/>
        </w:rPr>
        <w:t>p</w:t>
      </w:r>
      <w:r w:rsidR="00FA3A50" w:rsidRPr="00A1399E">
        <w:rPr>
          <w:sz w:val="20"/>
          <w:szCs w:val="20"/>
        </w:rPr>
        <w:t xml:space="preserve">rogramme </w:t>
      </w:r>
      <w:r w:rsidR="00036418" w:rsidRPr="00A1399E">
        <w:rPr>
          <w:sz w:val="20"/>
          <w:szCs w:val="20"/>
        </w:rPr>
        <w:t>e</w:t>
      </w:r>
      <w:r w:rsidR="00FA3A50" w:rsidRPr="00A1399E">
        <w:rPr>
          <w:sz w:val="20"/>
          <w:szCs w:val="20"/>
        </w:rPr>
        <w:t>valuation</w:t>
      </w:r>
      <w:r w:rsidR="00036418" w:rsidRPr="00A1399E">
        <w:rPr>
          <w:sz w:val="20"/>
          <w:szCs w:val="20"/>
        </w:rPr>
        <w:t xml:space="preserve"> </w:t>
      </w:r>
      <w:r w:rsidR="00FA3A50" w:rsidRPr="00A1399E">
        <w:rPr>
          <w:sz w:val="20"/>
          <w:szCs w:val="20"/>
        </w:rPr>
        <w:t>2019</w:t>
      </w:r>
      <w:r w:rsidR="00036418" w:rsidRPr="00A1399E">
        <w:rPr>
          <w:sz w:val="20"/>
          <w:szCs w:val="20"/>
        </w:rPr>
        <w:t>,</w:t>
      </w:r>
      <w:r w:rsidR="00FA3A50" w:rsidRPr="00A1399E">
        <w:rPr>
          <w:sz w:val="20"/>
          <w:szCs w:val="20"/>
        </w:rPr>
        <w:t xml:space="preserve"> and sector</w:t>
      </w:r>
      <w:r w:rsidR="00036418" w:rsidRPr="00A1399E">
        <w:rPr>
          <w:sz w:val="20"/>
          <w:szCs w:val="20"/>
        </w:rPr>
        <w:t>-</w:t>
      </w:r>
      <w:r w:rsidR="00FA3A50" w:rsidRPr="00A1399E">
        <w:rPr>
          <w:sz w:val="20"/>
          <w:szCs w:val="20"/>
        </w:rPr>
        <w:t>specific plans</w:t>
      </w:r>
      <w:r w:rsidR="002076C8" w:rsidRPr="00A1399E">
        <w:rPr>
          <w:sz w:val="20"/>
          <w:szCs w:val="20"/>
        </w:rPr>
        <w:t>.</w:t>
      </w:r>
      <w:r w:rsidR="00FA3A50" w:rsidRPr="00A1399E">
        <w:rPr>
          <w:sz w:val="20"/>
          <w:szCs w:val="20"/>
        </w:rPr>
        <w:t xml:space="preserve"> UNDP will build on successes collectively realized in support of key national processes on elections, federalism, community engagement</w:t>
      </w:r>
      <w:r w:rsidR="00036418" w:rsidRPr="00A1399E">
        <w:rPr>
          <w:sz w:val="20"/>
          <w:szCs w:val="20"/>
        </w:rPr>
        <w:t xml:space="preserve">, women’s </w:t>
      </w:r>
      <w:r w:rsidR="00FA3A50" w:rsidRPr="00A1399E">
        <w:rPr>
          <w:sz w:val="20"/>
          <w:szCs w:val="20"/>
        </w:rPr>
        <w:t xml:space="preserve">role in peace and security, economic recovery, </w:t>
      </w:r>
      <w:r w:rsidR="00036418" w:rsidRPr="00A1399E">
        <w:rPr>
          <w:sz w:val="20"/>
          <w:szCs w:val="20"/>
        </w:rPr>
        <w:t xml:space="preserve">and </w:t>
      </w:r>
      <w:r w:rsidR="00FA3A50" w:rsidRPr="00A1399E">
        <w:rPr>
          <w:sz w:val="20"/>
          <w:szCs w:val="20"/>
        </w:rPr>
        <w:t>natural resource management</w:t>
      </w:r>
      <w:r w:rsidR="00F374BC" w:rsidRPr="00A1399E">
        <w:rPr>
          <w:sz w:val="20"/>
          <w:szCs w:val="20"/>
        </w:rPr>
        <w:t xml:space="preserve">. UNDP will </w:t>
      </w:r>
      <w:r w:rsidR="00BF352E" w:rsidRPr="00A1399E">
        <w:rPr>
          <w:sz w:val="20"/>
          <w:szCs w:val="20"/>
        </w:rPr>
        <w:t xml:space="preserve">adopt </w:t>
      </w:r>
      <w:r w:rsidR="00FA3A50" w:rsidRPr="00A1399E">
        <w:rPr>
          <w:sz w:val="20"/>
          <w:szCs w:val="20"/>
        </w:rPr>
        <w:t>strategies</w:t>
      </w:r>
      <w:r w:rsidR="00036418" w:rsidRPr="00A1399E">
        <w:rPr>
          <w:sz w:val="20"/>
          <w:szCs w:val="20"/>
        </w:rPr>
        <w:t>,</w:t>
      </w:r>
      <w:r w:rsidR="00FA3A50" w:rsidRPr="00A1399E">
        <w:rPr>
          <w:sz w:val="20"/>
          <w:szCs w:val="20"/>
        </w:rPr>
        <w:t xml:space="preserve"> such as capacity development, </w:t>
      </w:r>
      <w:r w:rsidR="002076C8" w:rsidRPr="00A1399E">
        <w:rPr>
          <w:sz w:val="20"/>
          <w:szCs w:val="20"/>
        </w:rPr>
        <w:t xml:space="preserve">and </w:t>
      </w:r>
      <w:r w:rsidR="00E21735" w:rsidRPr="00A1399E">
        <w:rPr>
          <w:sz w:val="20"/>
          <w:szCs w:val="20"/>
        </w:rPr>
        <w:t>area</w:t>
      </w:r>
      <w:r w:rsidR="00036418" w:rsidRPr="00A1399E">
        <w:rPr>
          <w:sz w:val="20"/>
          <w:szCs w:val="20"/>
        </w:rPr>
        <w:t>-</w:t>
      </w:r>
      <w:r w:rsidR="00E21735" w:rsidRPr="00A1399E">
        <w:rPr>
          <w:sz w:val="20"/>
          <w:szCs w:val="20"/>
        </w:rPr>
        <w:t>based</w:t>
      </w:r>
      <w:r w:rsidR="00FA3A50" w:rsidRPr="00A1399E">
        <w:rPr>
          <w:sz w:val="20"/>
          <w:szCs w:val="20"/>
        </w:rPr>
        <w:t xml:space="preserve"> and joint programming modalities</w:t>
      </w:r>
      <w:r w:rsidR="00697449" w:rsidRPr="00A1399E">
        <w:rPr>
          <w:sz w:val="20"/>
          <w:szCs w:val="20"/>
        </w:rPr>
        <w:t>,</w:t>
      </w:r>
      <w:r w:rsidR="00A82FBA" w:rsidRPr="00A1399E">
        <w:rPr>
          <w:sz w:val="20"/>
          <w:szCs w:val="20"/>
        </w:rPr>
        <w:t xml:space="preserve"> to deliver the CPD</w:t>
      </w:r>
      <w:r w:rsidR="00FA3A50" w:rsidRPr="00A1399E">
        <w:rPr>
          <w:sz w:val="20"/>
          <w:szCs w:val="20"/>
        </w:rPr>
        <w:t xml:space="preserve">. </w:t>
      </w:r>
      <w:r w:rsidR="00F62236" w:rsidRPr="00A1399E">
        <w:rPr>
          <w:sz w:val="20"/>
          <w:szCs w:val="20"/>
        </w:rPr>
        <w:t>S</w:t>
      </w:r>
      <w:r w:rsidR="003D230D" w:rsidRPr="00A1399E">
        <w:rPr>
          <w:sz w:val="20"/>
          <w:szCs w:val="20"/>
        </w:rPr>
        <w:t>uccessful</w:t>
      </w:r>
      <w:r w:rsidR="00FA3A50" w:rsidRPr="00A1399E">
        <w:rPr>
          <w:sz w:val="20"/>
          <w:szCs w:val="20"/>
        </w:rPr>
        <w:t xml:space="preserve"> innovation</w:t>
      </w:r>
      <w:r w:rsidR="003D230D" w:rsidRPr="00A1399E">
        <w:rPr>
          <w:sz w:val="20"/>
          <w:szCs w:val="20"/>
        </w:rPr>
        <w:t xml:space="preserve"> pilot</w:t>
      </w:r>
      <w:r w:rsidR="00FA3A50" w:rsidRPr="00A1399E">
        <w:rPr>
          <w:sz w:val="20"/>
          <w:szCs w:val="20"/>
        </w:rPr>
        <w:t xml:space="preserve">s generated through the </w:t>
      </w:r>
      <w:r w:rsidR="00036418" w:rsidRPr="00A1399E">
        <w:rPr>
          <w:sz w:val="20"/>
          <w:szCs w:val="20"/>
        </w:rPr>
        <w:t>UNDP a</w:t>
      </w:r>
      <w:r w:rsidR="00FA3A50" w:rsidRPr="00A1399E">
        <w:rPr>
          <w:sz w:val="20"/>
          <w:szCs w:val="20"/>
        </w:rPr>
        <w:t xml:space="preserve">ccelerator </w:t>
      </w:r>
      <w:r w:rsidR="00036418" w:rsidRPr="00A1399E">
        <w:rPr>
          <w:sz w:val="20"/>
          <w:szCs w:val="20"/>
        </w:rPr>
        <w:t>l</w:t>
      </w:r>
      <w:r w:rsidR="00FA3A50" w:rsidRPr="00A1399E">
        <w:rPr>
          <w:sz w:val="20"/>
          <w:szCs w:val="20"/>
        </w:rPr>
        <w:t xml:space="preserve">ab will inform programme design and implementation. </w:t>
      </w:r>
    </w:p>
    <w:p w14:paraId="3A23E41E" w14:textId="77777777" w:rsidR="00FA3A50" w:rsidRPr="00A1399E" w:rsidRDefault="00FA3A50" w:rsidP="00021BF6">
      <w:pPr>
        <w:spacing w:line="240" w:lineRule="exact"/>
        <w:ind w:left="720"/>
        <w:jc w:val="both"/>
        <w:rPr>
          <w:sz w:val="20"/>
          <w:szCs w:val="20"/>
        </w:rPr>
      </w:pPr>
    </w:p>
    <w:p w14:paraId="7D52CA5F" w14:textId="78C95917" w:rsidR="007E6994" w:rsidRPr="00A1399E" w:rsidRDefault="00041367" w:rsidP="00DE3F5C">
      <w:pPr>
        <w:pStyle w:val="Heading1"/>
        <w:spacing w:after="120" w:line="240" w:lineRule="exact"/>
        <w:ind w:left="720" w:hanging="540"/>
        <w:rPr>
          <w:sz w:val="24"/>
          <w:szCs w:val="24"/>
        </w:rPr>
      </w:pPr>
      <w:bookmarkStart w:id="1" w:name="_Toc49181080"/>
      <w:r w:rsidRPr="00A1399E">
        <w:rPr>
          <w:sz w:val="24"/>
          <w:szCs w:val="24"/>
        </w:rPr>
        <w:t>II</w:t>
      </w:r>
      <w:r w:rsidR="00024E1C" w:rsidRPr="00A1399E">
        <w:rPr>
          <w:sz w:val="24"/>
          <w:szCs w:val="24"/>
        </w:rPr>
        <w:t>.</w:t>
      </w:r>
      <w:r w:rsidR="00DE3F5C" w:rsidRPr="00A1399E">
        <w:rPr>
          <w:sz w:val="24"/>
          <w:szCs w:val="24"/>
        </w:rPr>
        <w:tab/>
        <w:t>Programme priorities and partnership</w:t>
      </w:r>
      <w:bookmarkEnd w:id="1"/>
    </w:p>
    <w:p w14:paraId="6C2A9E69" w14:textId="77777777" w:rsidR="007E6994" w:rsidRPr="00A1399E" w:rsidRDefault="007E6994" w:rsidP="00021BF6">
      <w:pPr>
        <w:spacing w:line="240" w:lineRule="exact"/>
        <w:ind w:left="720"/>
        <w:jc w:val="both"/>
        <w:rPr>
          <w:b/>
          <w:sz w:val="20"/>
          <w:szCs w:val="20"/>
        </w:rPr>
      </w:pPr>
    </w:p>
    <w:p w14:paraId="1B5EF4CE" w14:textId="052D1624" w:rsidR="004A391E" w:rsidRPr="00A1399E" w:rsidRDefault="00973E9A" w:rsidP="00F704ED">
      <w:pPr>
        <w:spacing w:after="120" w:line="240" w:lineRule="exact"/>
        <w:ind w:left="720"/>
        <w:jc w:val="both"/>
        <w:rPr>
          <w:rFonts w:eastAsia="Times New Roman"/>
          <w:sz w:val="20"/>
          <w:szCs w:val="20"/>
        </w:rPr>
      </w:pPr>
      <w:r w:rsidRPr="00A1399E">
        <w:rPr>
          <w:rFonts w:eastAsia="Times New Roman"/>
          <w:bCs/>
          <w:sz w:val="20"/>
          <w:szCs w:val="20"/>
        </w:rPr>
        <w:t>1</w:t>
      </w:r>
      <w:r w:rsidR="00F52919" w:rsidRPr="00A1399E">
        <w:rPr>
          <w:rFonts w:eastAsia="Times New Roman"/>
          <w:bCs/>
          <w:sz w:val="20"/>
          <w:szCs w:val="20"/>
        </w:rPr>
        <w:t>5</w:t>
      </w:r>
      <w:r w:rsidR="00C43C9F" w:rsidRPr="00A1399E">
        <w:rPr>
          <w:rFonts w:eastAsia="Times New Roman"/>
          <w:bCs/>
          <w:sz w:val="20"/>
          <w:szCs w:val="20"/>
        </w:rPr>
        <w:t xml:space="preserve">. </w:t>
      </w:r>
      <w:r w:rsidR="00F374BC" w:rsidRPr="00A1399E">
        <w:rPr>
          <w:rFonts w:eastAsia="Times New Roman"/>
          <w:bCs/>
          <w:sz w:val="20"/>
          <w:szCs w:val="20"/>
        </w:rPr>
        <w:t xml:space="preserve">The </w:t>
      </w:r>
      <w:r w:rsidR="002E4567" w:rsidRPr="00A1399E">
        <w:rPr>
          <w:rFonts w:eastAsia="Times New Roman"/>
          <w:bCs/>
          <w:sz w:val="20"/>
          <w:szCs w:val="20"/>
        </w:rPr>
        <w:t xml:space="preserve">CPD, </w:t>
      </w:r>
      <w:r w:rsidR="00A41AF5" w:rsidRPr="00A1399E">
        <w:rPr>
          <w:rFonts w:eastAsia="Times New Roman"/>
          <w:sz w:val="20"/>
          <w:szCs w:val="20"/>
        </w:rPr>
        <w:t>2021-2025</w:t>
      </w:r>
      <w:r w:rsidR="00CE6AD5" w:rsidRPr="00A1399E">
        <w:rPr>
          <w:rFonts w:eastAsia="Times New Roman"/>
          <w:sz w:val="20"/>
          <w:szCs w:val="20"/>
        </w:rPr>
        <w:t xml:space="preserve">, </w:t>
      </w:r>
      <w:r w:rsidR="00F374BC" w:rsidRPr="00A1399E">
        <w:rPr>
          <w:rFonts w:eastAsia="Times New Roman"/>
          <w:sz w:val="20"/>
          <w:szCs w:val="20"/>
        </w:rPr>
        <w:t xml:space="preserve">was </w:t>
      </w:r>
      <w:r w:rsidR="00CE6AD5" w:rsidRPr="00A1399E">
        <w:rPr>
          <w:rFonts w:eastAsia="Times New Roman"/>
          <w:sz w:val="20"/>
          <w:szCs w:val="20"/>
        </w:rPr>
        <w:t>developed through an inclusive</w:t>
      </w:r>
      <w:r w:rsidR="002E4567" w:rsidRPr="00A1399E">
        <w:rPr>
          <w:rFonts w:eastAsia="Times New Roman"/>
          <w:sz w:val="20"/>
          <w:szCs w:val="20"/>
        </w:rPr>
        <w:t xml:space="preserve">, </w:t>
      </w:r>
      <w:r w:rsidR="00CE6AD5" w:rsidRPr="00A1399E">
        <w:rPr>
          <w:rFonts w:eastAsia="Times New Roman"/>
          <w:sz w:val="20"/>
          <w:szCs w:val="20"/>
        </w:rPr>
        <w:t>consultative process</w:t>
      </w:r>
      <w:r w:rsidR="002E4567" w:rsidRPr="00A1399E">
        <w:rPr>
          <w:rFonts w:eastAsia="Times New Roman"/>
          <w:sz w:val="20"/>
          <w:szCs w:val="20"/>
        </w:rPr>
        <w:t>.</w:t>
      </w:r>
      <w:r w:rsidR="00B66BF3" w:rsidRPr="00A1399E">
        <w:rPr>
          <w:rStyle w:val="FootnoteReference"/>
          <w:rFonts w:cs="Times New Roman"/>
          <w:sz w:val="20"/>
          <w:szCs w:val="20"/>
        </w:rPr>
        <w:footnoteReference w:id="30"/>
      </w:r>
      <w:r w:rsidR="00CE6AD5" w:rsidRPr="00A1399E">
        <w:rPr>
          <w:rFonts w:eastAsia="Times New Roman"/>
          <w:sz w:val="20"/>
          <w:szCs w:val="20"/>
        </w:rPr>
        <w:t xml:space="preserve"> </w:t>
      </w:r>
      <w:r w:rsidR="00A41AF5" w:rsidRPr="00A1399E">
        <w:rPr>
          <w:rFonts w:eastAsia="Times New Roman"/>
          <w:sz w:val="20"/>
          <w:szCs w:val="20"/>
        </w:rPr>
        <w:t>The programme is guided by</w:t>
      </w:r>
      <w:r w:rsidR="00F6495A" w:rsidRPr="00A1399E">
        <w:rPr>
          <w:rFonts w:eastAsia="Times New Roman"/>
          <w:sz w:val="20"/>
          <w:szCs w:val="20"/>
        </w:rPr>
        <w:t xml:space="preserve"> the</w:t>
      </w:r>
      <w:r w:rsidR="00A41AF5" w:rsidRPr="00A1399E">
        <w:rPr>
          <w:rFonts w:eastAsia="Times New Roman"/>
          <w:sz w:val="20"/>
          <w:szCs w:val="20"/>
        </w:rPr>
        <w:t xml:space="preserve"> 2030 Agenda </w:t>
      </w:r>
      <w:r w:rsidR="002E4567" w:rsidRPr="00A1399E">
        <w:rPr>
          <w:rFonts w:eastAsia="Times New Roman"/>
          <w:sz w:val="20"/>
          <w:szCs w:val="20"/>
        </w:rPr>
        <w:t>for Sustainab</w:t>
      </w:r>
      <w:r w:rsidR="00663171" w:rsidRPr="00A1399E">
        <w:rPr>
          <w:rFonts w:eastAsia="Times New Roman"/>
          <w:sz w:val="20"/>
          <w:szCs w:val="20"/>
        </w:rPr>
        <w:t xml:space="preserve">le Development </w:t>
      </w:r>
      <w:r w:rsidR="00A41AF5" w:rsidRPr="00A1399E">
        <w:rPr>
          <w:rFonts w:eastAsia="Times New Roman"/>
          <w:sz w:val="20"/>
          <w:szCs w:val="20"/>
        </w:rPr>
        <w:t>and the six signature solutions</w:t>
      </w:r>
      <w:r w:rsidRPr="00A1399E">
        <w:rPr>
          <w:rStyle w:val="FootnoteReference"/>
          <w:rFonts w:eastAsia="Times New Roman" w:cs="Times New Roman"/>
          <w:sz w:val="20"/>
          <w:szCs w:val="20"/>
        </w:rPr>
        <w:footnoteReference w:id="31"/>
      </w:r>
      <w:r w:rsidR="00E835B8" w:rsidRPr="00A1399E">
        <w:rPr>
          <w:rFonts w:eastAsia="Times New Roman"/>
          <w:sz w:val="20"/>
          <w:szCs w:val="20"/>
        </w:rPr>
        <w:t xml:space="preserve"> </w:t>
      </w:r>
      <w:r w:rsidRPr="00A1399E">
        <w:rPr>
          <w:rFonts w:eastAsia="Times New Roman"/>
          <w:sz w:val="20"/>
          <w:szCs w:val="20"/>
        </w:rPr>
        <w:t>of the UNDP Strategic Plan</w:t>
      </w:r>
      <w:r w:rsidR="00663171" w:rsidRPr="00A1399E">
        <w:rPr>
          <w:rFonts w:eastAsia="Times New Roman"/>
          <w:sz w:val="20"/>
          <w:szCs w:val="20"/>
        </w:rPr>
        <w:t xml:space="preserve">, 2018-2021, </w:t>
      </w:r>
      <w:r w:rsidRPr="00A1399E">
        <w:rPr>
          <w:rFonts w:eastAsia="Times New Roman"/>
          <w:sz w:val="20"/>
          <w:szCs w:val="20"/>
        </w:rPr>
        <w:t>and will be realign</w:t>
      </w:r>
      <w:r w:rsidR="00EE0E51" w:rsidRPr="00A1399E">
        <w:rPr>
          <w:rFonts w:eastAsia="Times New Roman"/>
          <w:sz w:val="20"/>
          <w:szCs w:val="20"/>
        </w:rPr>
        <w:t>ed</w:t>
      </w:r>
      <w:r w:rsidRPr="00A1399E">
        <w:rPr>
          <w:rFonts w:eastAsia="Times New Roman"/>
          <w:sz w:val="20"/>
          <w:szCs w:val="20"/>
        </w:rPr>
        <w:t xml:space="preserve"> to the </w:t>
      </w:r>
      <w:r w:rsidR="00663171" w:rsidRPr="00A1399E">
        <w:rPr>
          <w:rFonts w:eastAsia="Times New Roman"/>
          <w:sz w:val="20"/>
          <w:szCs w:val="20"/>
        </w:rPr>
        <w:t>forthcoming s</w:t>
      </w:r>
      <w:r w:rsidR="00553F1C" w:rsidRPr="00A1399E">
        <w:rPr>
          <w:rFonts w:eastAsia="Times New Roman"/>
          <w:sz w:val="20"/>
          <w:szCs w:val="20"/>
        </w:rPr>
        <w:t xml:space="preserve">trategic </w:t>
      </w:r>
      <w:r w:rsidR="00663171" w:rsidRPr="00A1399E">
        <w:rPr>
          <w:rFonts w:eastAsia="Times New Roman"/>
          <w:sz w:val="20"/>
          <w:szCs w:val="20"/>
        </w:rPr>
        <w:t>p</w:t>
      </w:r>
      <w:r w:rsidR="00553F1C" w:rsidRPr="00A1399E">
        <w:rPr>
          <w:rFonts w:eastAsia="Times New Roman"/>
          <w:sz w:val="20"/>
          <w:szCs w:val="20"/>
        </w:rPr>
        <w:t>lan</w:t>
      </w:r>
      <w:r w:rsidRPr="00A1399E">
        <w:rPr>
          <w:rFonts w:eastAsia="Times New Roman"/>
          <w:sz w:val="20"/>
          <w:szCs w:val="20"/>
        </w:rPr>
        <w:t xml:space="preserve">.  </w:t>
      </w:r>
    </w:p>
    <w:p w14:paraId="6D72A68D" w14:textId="000206EC" w:rsidR="005642E2" w:rsidRPr="00A1399E" w:rsidRDefault="00973E9A" w:rsidP="00F704ED">
      <w:pPr>
        <w:spacing w:after="120" w:line="240" w:lineRule="exact"/>
        <w:ind w:left="720"/>
        <w:jc w:val="both"/>
        <w:rPr>
          <w:bCs/>
          <w:sz w:val="20"/>
          <w:szCs w:val="20"/>
        </w:rPr>
      </w:pPr>
      <w:r w:rsidRPr="00A1399E">
        <w:rPr>
          <w:rFonts w:eastAsia="Times New Roman"/>
          <w:bCs/>
          <w:sz w:val="20"/>
          <w:szCs w:val="20"/>
        </w:rPr>
        <w:t>1</w:t>
      </w:r>
      <w:r w:rsidR="00F52919" w:rsidRPr="00A1399E">
        <w:rPr>
          <w:rFonts w:eastAsia="Times New Roman"/>
          <w:bCs/>
          <w:sz w:val="20"/>
          <w:szCs w:val="20"/>
        </w:rPr>
        <w:t>6</w:t>
      </w:r>
      <w:r w:rsidR="00240C2B" w:rsidRPr="00A1399E">
        <w:rPr>
          <w:rFonts w:eastAsia="Times New Roman"/>
          <w:bCs/>
          <w:sz w:val="20"/>
          <w:szCs w:val="20"/>
        </w:rPr>
        <w:t xml:space="preserve">. </w:t>
      </w:r>
      <w:r w:rsidR="008E0AF2" w:rsidRPr="00A1399E">
        <w:rPr>
          <w:rFonts w:eastAsia="Times New Roman"/>
          <w:bCs/>
          <w:sz w:val="20"/>
          <w:szCs w:val="20"/>
        </w:rPr>
        <w:t>The CPD</w:t>
      </w:r>
      <w:r w:rsidR="00696814" w:rsidRPr="00A1399E">
        <w:rPr>
          <w:rFonts w:eastAsia="Times New Roman"/>
          <w:bCs/>
          <w:sz w:val="20"/>
          <w:szCs w:val="20"/>
        </w:rPr>
        <w:t xml:space="preserve"> will </w:t>
      </w:r>
      <w:r w:rsidR="008E0AF2" w:rsidRPr="00A1399E">
        <w:rPr>
          <w:rFonts w:eastAsia="Times New Roman"/>
          <w:bCs/>
          <w:sz w:val="20"/>
          <w:szCs w:val="20"/>
        </w:rPr>
        <w:t>contribute to national development priorities</w:t>
      </w:r>
      <w:r w:rsidR="004A391E" w:rsidRPr="00A1399E">
        <w:rPr>
          <w:rFonts w:eastAsia="Times New Roman"/>
          <w:bCs/>
          <w:sz w:val="20"/>
          <w:szCs w:val="20"/>
        </w:rPr>
        <w:t xml:space="preserve"> </w:t>
      </w:r>
      <w:r w:rsidR="00EB530C" w:rsidRPr="00A1399E">
        <w:rPr>
          <w:rFonts w:eastAsia="Times New Roman"/>
          <w:bCs/>
          <w:sz w:val="20"/>
          <w:szCs w:val="20"/>
        </w:rPr>
        <w:t>through three</w:t>
      </w:r>
      <w:r w:rsidR="008F2C4A" w:rsidRPr="00A1399E">
        <w:rPr>
          <w:rFonts w:eastAsia="Times New Roman"/>
          <w:bCs/>
          <w:sz w:val="20"/>
          <w:szCs w:val="20"/>
        </w:rPr>
        <w:t xml:space="preserve"> interlinked </w:t>
      </w:r>
      <w:r w:rsidR="00783C82" w:rsidRPr="00A1399E">
        <w:rPr>
          <w:rFonts w:eastAsia="Times New Roman"/>
          <w:bCs/>
          <w:sz w:val="20"/>
          <w:szCs w:val="20"/>
        </w:rPr>
        <w:t>development results</w:t>
      </w:r>
      <w:bookmarkStart w:id="2" w:name="_Toc49181081"/>
      <w:r w:rsidR="00D94EAF" w:rsidRPr="00A1399E">
        <w:rPr>
          <w:bCs/>
          <w:sz w:val="20"/>
          <w:szCs w:val="20"/>
        </w:rPr>
        <w:t xml:space="preserve">: </w:t>
      </w:r>
      <w:r w:rsidR="00663171" w:rsidRPr="00A1399E">
        <w:rPr>
          <w:bCs/>
          <w:sz w:val="20"/>
          <w:szCs w:val="20"/>
        </w:rPr>
        <w:t>(a) e</w:t>
      </w:r>
      <w:r w:rsidR="00783C82" w:rsidRPr="00A1399E">
        <w:rPr>
          <w:bCs/>
          <w:sz w:val="20"/>
          <w:szCs w:val="20"/>
        </w:rPr>
        <w:t xml:space="preserve">ffective </w:t>
      </w:r>
      <w:r w:rsidR="00663171" w:rsidRPr="00A1399E">
        <w:rPr>
          <w:bCs/>
          <w:sz w:val="20"/>
          <w:szCs w:val="20"/>
        </w:rPr>
        <w:t>g</w:t>
      </w:r>
      <w:r w:rsidR="00D94EAF" w:rsidRPr="00A1399E">
        <w:rPr>
          <w:bCs/>
          <w:sz w:val="20"/>
          <w:szCs w:val="20"/>
        </w:rPr>
        <w:t xml:space="preserve">overnance, </w:t>
      </w:r>
      <w:r w:rsidR="00663171" w:rsidRPr="00A1399E">
        <w:rPr>
          <w:bCs/>
          <w:sz w:val="20"/>
          <w:szCs w:val="20"/>
        </w:rPr>
        <w:t>i</w:t>
      </w:r>
      <w:r w:rsidR="00D94EAF" w:rsidRPr="00A1399E">
        <w:rPr>
          <w:bCs/>
          <w:sz w:val="20"/>
          <w:szCs w:val="20"/>
        </w:rPr>
        <w:t xml:space="preserve">nclusive </w:t>
      </w:r>
      <w:r w:rsidR="00663171" w:rsidRPr="00A1399E">
        <w:rPr>
          <w:bCs/>
          <w:sz w:val="20"/>
          <w:szCs w:val="20"/>
        </w:rPr>
        <w:t>p</w:t>
      </w:r>
      <w:r w:rsidR="00D94EAF" w:rsidRPr="00A1399E">
        <w:rPr>
          <w:bCs/>
          <w:sz w:val="20"/>
          <w:szCs w:val="20"/>
        </w:rPr>
        <w:t>olitics</w:t>
      </w:r>
      <w:r w:rsidR="00D94EAF" w:rsidRPr="00A1399E" w:rsidDel="00D71DA3">
        <w:rPr>
          <w:bCs/>
          <w:sz w:val="20"/>
          <w:szCs w:val="20"/>
        </w:rPr>
        <w:t xml:space="preserve"> </w:t>
      </w:r>
      <w:bookmarkEnd w:id="2"/>
      <w:r w:rsidR="00D94EAF" w:rsidRPr="00A1399E">
        <w:rPr>
          <w:bCs/>
          <w:sz w:val="20"/>
          <w:szCs w:val="20"/>
        </w:rPr>
        <w:t xml:space="preserve">and </w:t>
      </w:r>
      <w:r w:rsidR="00663171" w:rsidRPr="00A1399E">
        <w:rPr>
          <w:bCs/>
          <w:sz w:val="20"/>
          <w:szCs w:val="20"/>
        </w:rPr>
        <w:t>r</w:t>
      </w:r>
      <w:r w:rsidR="00D94EAF" w:rsidRPr="00A1399E">
        <w:rPr>
          <w:bCs/>
          <w:sz w:val="20"/>
          <w:szCs w:val="20"/>
        </w:rPr>
        <w:t xml:space="preserve">econciliation; </w:t>
      </w:r>
      <w:r w:rsidR="00663171" w:rsidRPr="00A1399E">
        <w:rPr>
          <w:bCs/>
          <w:sz w:val="20"/>
          <w:szCs w:val="20"/>
        </w:rPr>
        <w:t>(b) e</w:t>
      </w:r>
      <w:r w:rsidR="00D94EAF" w:rsidRPr="00A1399E">
        <w:rPr>
          <w:bCs/>
          <w:sz w:val="20"/>
          <w:szCs w:val="20"/>
        </w:rPr>
        <w:t xml:space="preserve">nhanced </w:t>
      </w:r>
      <w:r w:rsidR="00663171" w:rsidRPr="00A1399E">
        <w:rPr>
          <w:bCs/>
          <w:sz w:val="20"/>
          <w:szCs w:val="20"/>
        </w:rPr>
        <w:t>s</w:t>
      </w:r>
      <w:r w:rsidR="00362BF7" w:rsidRPr="00A1399E">
        <w:rPr>
          <w:bCs/>
          <w:sz w:val="20"/>
          <w:szCs w:val="20"/>
        </w:rPr>
        <w:t xml:space="preserve">ecurity, </w:t>
      </w:r>
      <w:r w:rsidR="00663171" w:rsidRPr="00A1399E">
        <w:rPr>
          <w:bCs/>
          <w:sz w:val="20"/>
          <w:szCs w:val="20"/>
        </w:rPr>
        <w:t>r</w:t>
      </w:r>
      <w:r w:rsidR="00D94EAF" w:rsidRPr="00A1399E">
        <w:rPr>
          <w:bCs/>
          <w:sz w:val="20"/>
          <w:szCs w:val="20"/>
        </w:rPr>
        <w:t xml:space="preserve">ule of </w:t>
      </w:r>
      <w:r w:rsidR="00663171" w:rsidRPr="00A1399E">
        <w:rPr>
          <w:bCs/>
          <w:sz w:val="20"/>
          <w:szCs w:val="20"/>
        </w:rPr>
        <w:t>l</w:t>
      </w:r>
      <w:r w:rsidR="00D94EAF" w:rsidRPr="00A1399E">
        <w:rPr>
          <w:bCs/>
          <w:sz w:val="20"/>
          <w:szCs w:val="20"/>
        </w:rPr>
        <w:t>aw</w:t>
      </w:r>
      <w:r w:rsidR="00B37D92" w:rsidRPr="00A1399E">
        <w:rPr>
          <w:bCs/>
          <w:sz w:val="20"/>
          <w:szCs w:val="20"/>
        </w:rPr>
        <w:t xml:space="preserve"> and </w:t>
      </w:r>
      <w:r w:rsidR="00663171" w:rsidRPr="00A1399E">
        <w:rPr>
          <w:bCs/>
          <w:sz w:val="20"/>
          <w:szCs w:val="20"/>
        </w:rPr>
        <w:t>a</w:t>
      </w:r>
      <w:r w:rsidR="00B37D92" w:rsidRPr="00A1399E">
        <w:rPr>
          <w:bCs/>
          <w:sz w:val="20"/>
          <w:szCs w:val="20"/>
        </w:rPr>
        <w:t xml:space="preserve">ccess to </w:t>
      </w:r>
      <w:r w:rsidR="00663171" w:rsidRPr="00A1399E">
        <w:rPr>
          <w:bCs/>
          <w:sz w:val="20"/>
          <w:szCs w:val="20"/>
        </w:rPr>
        <w:t>j</w:t>
      </w:r>
      <w:r w:rsidR="00B37D92" w:rsidRPr="00A1399E">
        <w:rPr>
          <w:bCs/>
          <w:sz w:val="20"/>
          <w:szCs w:val="20"/>
        </w:rPr>
        <w:t>ustice; and</w:t>
      </w:r>
      <w:r w:rsidR="00663171" w:rsidRPr="00A1399E">
        <w:rPr>
          <w:bCs/>
          <w:sz w:val="20"/>
          <w:szCs w:val="20"/>
        </w:rPr>
        <w:t xml:space="preserve"> (c) s</w:t>
      </w:r>
      <w:r w:rsidR="005642E2" w:rsidRPr="00A1399E">
        <w:rPr>
          <w:bCs/>
          <w:sz w:val="20"/>
          <w:szCs w:val="20"/>
        </w:rPr>
        <w:t xml:space="preserve">ustainable </w:t>
      </w:r>
      <w:r w:rsidR="00663171" w:rsidRPr="00A1399E">
        <w:rPr>
          <w:bCs/>
          <w:sz w:val="20"/>
          <w:szCs w:val="20"/>
        </w:rPr>
        <w:t>m</w:t>
      </w:r>
      <w:r w:rsidR="005642E2" w:rsidRPr="00A1399E">
        <w:rPr>
          <w:bCs/>
          <w:sz w:val="20"/>
          <w:szCs w:val="20"/>
        </w:rPr>
        <w:t xml:space="preserve">anagement of </w:t>
      </w:r>
      <w:r w:rsidR="00663171" w:rsidRPr="00A1399E">
        <w:rPr>
          <w:bCs/>
          <w:sz w:val="20"/>
          <w:szCs w:val="20"/>
        </w:rPr>
        <w:t>n</w:t>
      </w:r>
      <w:r w:rsidR="005642E2" w:rsidRPr="00A1399E">
        <w:rPr>
          <w:bCs/>
          <w:sz w:val="20"/>
          <w:szCs w:val="20"/>
        </w:rPr>
        <w:t xml:space="preserve">atural </w:t>
      </w:r>
      <w:r w:rsidR="00663171" w:rsidRPr="00A1399E">
        <w:rPr>
          <w:bCs/>
          <w:sz w:val="20"/>
          <w:szCs w:val="20"/>
        </w:rPr>
        <w:t>r</w:t>
      </w:r>
      <w:r w:rsidR="005642E2" w:rsidRPr="00A1399E">
        <w:rPr>
          <w:bCs/>
          <w:sz w:val="20"/>
          <w:szCs w:val="20"/>
        </w:rPr>
        <w:t xml:space="preserve">esources </w:t>
      </w:r>
      <w:r w:rsidR="00B90A76" w:rsidRPr="00A1399E">
        <w:rPr>
          <w:bCs/>
          <w:sz w:val="20"/>
          <w:szCs w:val="20"/>
        </w:rPr>
        <w:t xml:space="preserve">for </w:t>
      </w:r>
      <w:r w:rsidR="00663171" w:rsidRPr="00A1399E">
        <w:rPr>
          <w:bCs/>
          <w:sz w:val="20"/>
          <w:szCs w:val="20"/>
        </w:rPr>
        <w:t>i</w:t>
      </w:r>
      <w:r w:rsidR="00B90A76" w:rsidRPr="00A1399E">
        <w:rPr>
          <w:bCs/>
          <w:sz w:val="20"/>
          <w:szCs w:val="20"/>
        </w:rPr>
        <w:t xml:space="preserve">nclusive </w:t>
      </w:r>
      <w:r w:rsidR="00663171" w:rsidRPr="00A1399E">
        <w:rPr>
          <w:bCs/>
          <w:sz w:val="20"/>
          <w:szCs w:val="20"/>
        </w:rPr>
        <w:t>e</w:t>
      </w:r>
      <w:r w:rsidR="00B90A76" w:rsidRPr="00A1399E">
        <w:rPr>
          <w:bCs/>
          <w:sz w:val="20"/>
          <w:szCs w:val="20"/>
        </w:rPr>
        <w:t xml:space="preserve">conomic </w:t>
      </w:r>
      <w:r w:rsidR="00663171" w:rsidRPr="00A1399E">
        <w:rPr>
          <w:bCs/>
          <w:sz w:val="20"/>
          <w:szCs w:val="20"/>
        </w:rPr>
        <w:t>g</w:t>
      </w:r>
      <w:r w:rsidR="00B90A76" w:rsidRPr="00A1399E">
        <w:rPr>
          <w:bCs/>
          <w:sz w:val="20"/>
          <w:szCs w:val="20"/>
        </w:rPr>
        <w:t>rowth</w:t>
      </w:r>
      <w:r w:rsidR="005642E2" w:rsidRPr="00A1399E">
        <w:rPr>
          <w:bCs/>
          <w:sz w:val="20"/>
          <w:szCs w:val="20"/>
        </w:rPr>
        <w:t>.</w:t>
      </w:r>
      <w:r w:rsidR="00250789" w:rsidRPr="00A1399E">
        <w:rPr>
          <w:bCs/>
          <w:sz w:val="20"/>
          <w:szCs w:val="20"/>
        </w:rPr>
        <w:t xml:space="preserve"> These will be achieved through integrated programm</w:t>
      </w:r>
      <w:r w:rsidR="00E9314E" w:rsidRPr="00A1399E">
        <w:rPr>
          <w:bCs/>
          <w:sz w:val="20"/>
          <w:szCs w:val="20"/>
        </w:rPr>
        <w:t xml:space="preserve">ing </w:t>
      </w:r>
      <w:r w:rsidR="00250789" w:rsidRPr="00A1399E">
        <w:rPr>
          <w:bCs/>
          <w:sz w:val="20"/>
          <w:szCs w:val="20"/>
        </w:rPr>
        <w:t>approaches</w:t>
      </w:r>
      <w:r w:rsidR="00663171" w:rsidRPr="00A1399E">
        <w:rPr>
          <w:bCs/>
          <w:sz w:val="20"/>
          <w:szCs w:val="20"/>
        </w:rPr>
        <w:t xml:space="preserve">: </w:t>
      </w:r>
      <w:r w:rsidR="00362BF7" w:rsidRPr="00A1399E">
        <w:rPr>
          <w:bCs/>
          <w:sz w:val="20"/>
          <w:szCs w:val="20"/>
        </w:rPr>
        <w:lastRenderedPageBreak/>
        <w:t xml:space="preserve">sustainable </w:t>
      </w:r>
      <w:r w:rsidR="00250789" w:rsidRPr="00A1399E">
        <w:rPr>
          <w:bCs/>
          <w:sz w:val="20"/>
          <w:szCs w:val="20"/>
        </w:rPr>
        <w:t>capacity development</w:t>
      </w:r>
      <w:r w:rsidR="00663171" w:rsidRPr="00A1399E">
        <w:rPr>
          <w:bCs/>
          <w:sz w:val="20"/>
          <w:szCs w:val="20"/>
        </w:rPr>
        <w:t>,</w:t>
      </w:r>
      <w:r w:rsidR="00506BE3" w:rsidRPr="00A1399E">
        <w:rPr>
          <w:bCs/>
          <w:sz w:val="20"/>
          <w:szCs w:val="20"/>
        </w:rPr>
        <w:t xml:space="preserve"> </w:t>
      </w:r>
      <w:r w:rsidR="00663171" w:rsidRPr="00A1399E">
        <w:rPr>
          <w:bCs/>
          <w:sz w:val="20"/>
          <w:szCs w:val="20"/>
        </w:rPr>
        <w:t xml:space="preserve">the </w:t>
      </w:r>
      <w:r w:rsidR="00863EC8" w:rsidRPr="00A1399E">
        <w:rPr>
          <w:bCs/>
          <w:sz w:val="20"/>
          <w:szCs w:val="20"/>
        </w:rPr>
        <w:t>humanita</w:t>
      </w:r>
      <w:r w:rsidR="008440E0" w:rsidRPr="00A1399E">
        <w:rPr>
          <w:bCs/>
          <w:sz w:val="20"/>
          <w:szCs w:val="20"/>
        </w:rPr>
        <w:t>rian-</w:t>
      </w:r>
      <w:r w:rsidR="00863EC8" w:rsidRPr="00A1399E">
        <w:rPr>
          <w:bCs/>
          <w:sz w:val="20"/>
          <w:szCs w:val="20"/>
        </w:rPr>
        <w:t>development</w:t>
      </w:r>
      <w:r w:rsidR="008440E0" w:rsidRPr="00A1399E">
        <w:rPr>
          <w:bCs/>
          <w:sz w:val="20"/>
          <w:szCs w:val="20"/>
        </w:rPr>
        <w:t>-peace</w:t>
      </w:r>
      <w:r w:rsidR="00863EC8" w:rsidRPr="00A1399E">
        <w:rPr>
          <w:bCs/>
          <w:sz w:val="20"/>
          <w:szCs w:val="20"/>
        </w:rPr>
        <w:t xml:space="preserve"> nexus</w:t>
      </w:r>
      <w:r w:rsidR="00663171" w:rsidRPr="00A1399E">
        <w:rPr>
          <w:bCs/>
          <w:sz w:val="20"/>
          <w:szCs w:val="20"/>
        </w:rPr>
        <w:t>,</w:t>
      </w:r>
      <w:r w:rsidR="00863EC8" w:rsidRPr="00A1399E">
        <w:rPr>
          <w:bCs/>
          <w:sz w:val="20"/>
          <w:szCs w:val="20"/>
        </w:rPr>
        <w:t xml:space="preserve"> coherent policy support</w:t>
      </w:r>
      <w:r w:rsidR="00F4641E" w:rsidRPr="00A1399E">
        <w:rPr>
          <w:bCs/>
          <w:sz w:val="20"/>
          <w:szCs w:val="20"/>
        </w:rPr>
        <w:t>,</w:t>
      </w:r>
      <w:r w:rsidR="00C73557" w:rsidRPr="00A1399E">
        <w:rPr>
          <w:bCs/>
          <w:sz w:val="20"/>
          <w:szCs w:val="20"/>
        </w:rPr>
        <w:t xml:space="preserve"> </w:t>
      </w:r>
      <w:r w:rsidR="006E5E34" w:rsidRPr="00A1399E">
        <w:rPr>
          <w:bCs/>
          <w:sz w:val="20"/>
          <w:szCs w:val="20"/>
        </w:rPr>
        <w:t>conflict sensitive programming</w:t>
      </w:r>
      <w:r w:rsidR="00663171" w:rsidRPr="00A1399E">
        <w:rPr>
          <w:bCs/>
          <w:sz w:val="20"/>
          <w:szCs w:val="20"/>
        </w:rPr>
        <w:t>,</w:t>
      </w:r>
      <w:r w:rsidRPr="00A1399E">
        <w:rPr>
          <w:bCs/>
          <w:sz w:val="20"/>
          <w:szCs w:val="20"/>
        </w:rPr>
        <w:t xml:space="preserve"> </w:t>
      </w:r>
      <w:r w:rsidR="00863EC8" w:rsidRPr="00A1399E">
        <w:rPr>
          <w:bCs/>
          <w:sz w:val="20"/>
          <w:szCs w:val="20"/>
        </w:rPr>
        <w:t xml:space="preserve">and </w:t>
      </w:r>
      <w:r w:rsidRPr="00A1399E">
        <w:rPr>
          <w:bCs/>
          <w:sz w:val="20"/>
          <w:szCs w:val="20"/>
        </w:rPr>
        <w:t xml:space="preserve">strategic </w:t>
      </w:r>
      <w:r w:rsidR="00863EC8" w:rsidRPr="00A1399E">
        <w:rPr>
          <w:bCs/>
          <w:sz w:val="20"/>
          <w:szCs w:val="20"/>
        </w:rPr>
        <w:t>partnerships</w:t>
      </w:r>
      <w:r w:rsidR="00663171" w:rsidRPr="00A1399E">
        <w:rPr>
          <w:bCs/>
          <w:sz w:val="20"/>
          <w:szCs w:val="20"/>
        </w:rPr>
        <w:t>,</w:t>
      </w:r>
      <w:r w:rsidRPr="00A1399E">
        <w:rPr>
          <w:bCs/>
          <w:sz w:val="20"/>
          <w:szCs w:val="20"/>
        </w:rPr>
        <w:t xml:space="preserve"> including </w:t>
      </w:r>
      <w:r w:rsidR="00663171" w:rsidRPr="00A1399E">
        <w:rPr>
          <w:bCs/>
          <w:sz w:val="20"/>
          <w:szCs w:val="20"/>
        </w:rPr>
        <w:t xml:space="preserve">through joint programmes </w:t>
      </w:r>
      <w:r w:rsidRPr="00A1399E">
        <w:rPr>
          <w:bCs/>
          <w:sz w:val="20"/>
          <w:szCs w:val="20"/>
        </w:rPr>
        <w:t>with U</w:t>
      </w:r>
      <w:r w:rsidR="00663171" w:rsidRPr="00A1399E">
        <w:rPr>
          <w:bCs/>
          <w:sz w:val="20"/>
          <w:szCs w:val="20"/>
        </w:rPr>
        <w:t xml:space="preserve">nited </w:t>
      </w:r>
      <w:r w:rsidRPr="00A1399E">
        <w:rPr>
          <w:bCs/>
          <w:sz w:val="20"/>
          <w:szCs w:val="20"/>
        </w:rPr>
        <w:t>N</w:t>
      </w:r>
      <w:r w:rsidR="00663171" w:rsidRPr="00A1399E">
        <w:rPr>
          <w:bCs/>
          <w:sz w:val="20"/>
          <w:szCs w:val="20"/>
        </w:rPr>
        <w:t>ations</w:t>
      </w:r>
      <w:r w:rsidRPr="00A1399E">
        <w:rPr>
          <w:bCs/>
          <w:sz w:val="20"/>
          <w:szCs w:val="20"/>
        </w:rPr>
        <w:t xml:space="preserve"> entities</w:t>
      </w:r>
      <w:r w:rsidR="00863EC8" w:rsidRPr="00A1399E">
        <w:rPr>
          <w:bCs/>
          <w:sz w:val="20"/>
          <w:szCs w:val="20"/>
        </w:rPr>
        <w:t>.</w:t>
      </w:r>
      <w:r w:rsidR="001E6B6C" w:rsidRPr="00A1399E">
        <w:rPr>
          <w:bCs/>
          <w:sz w:val="20"/>
          <w:szCs w:val="20"/>
        </w:rPr>
        <w:t xml:space="preserve"> </w:t>
      </w:r>
      <w:r w:rsidR="00E9314E" w:rsidRPr="00A1399E">
        <w:rPr>
          <w:bCs/>
          <w:sz w:val="20"/>
          <w:szCs w:val="20"/>
        </w:rPr>
        <w:t>To ensure</w:t>
      </w:r>
      <w:r w:rsidR="009B2AE4" w:rsidRPr="00A1399E">
        <w:rPr>
          <w:bCs/>
          <w:sz w:val="20"/>
          <w:szCs w:val="20"/>
        </w:rPr>
        <w:t xml:space="preserve"> inclusivity and </w:t>
      </w:r>
      <w:r w:rsidR="0042344A" w:rsidRPr="00A1399E">
        <w:rPr>
          <w:bCs/>
          <w:sz w:val="20"/>
          <w:szCs w:val="20"/>
        </w:rPr>
        <w:t>leaving</w:t>
      </w:r>
      <w:r w:rsidR="00663171" w:rsidRPr="00A1399E">
        <w:rPr>
          <w:bCs/>
          <w:sz w:val="20"/>
          <w:szCs w:val="20"/>
        </w:rPr>
        <w:t>-</w:t>
      </w:r>
      <w:r w:rsidR="0042344A" w:rsidRPr="00A1399E">
        <w:rPr>
          <w:bCs/>
          <w:sz w:val="20"/>
          <w:szCs w:val="20"/>
        </w:rPr>
        <w:t>no</w:t>
      </w:r>
      <w:r w:rsidR="00663171" w:rsidRPr="00A1399E">
        <w:rPr>
          <w:bCs/>
          <w:sz w:val="20"/>
          <w:szCs w:val="20"/>
        </w:rPr>
        <w:t>-</w:t>
      </w:r>
      <w:r w:rsidR="0042344A" w:rsidRPr="00A1399E">
        <w:rPr>
          <w:bCs/>
          <w:sz w:val="20"/>
          <w:szCs w:val="20"/>
        </w:rPr>
        <w:t>one</w:t>
      </w:r>
      <w:r w:rsidR="00663171" w:rsidRPr="00A1399E">
        <w:rPr>
          <w:bCs/>
          <w:sz w:val="20"/>
          <w:szCs w:val="20"/>
        </w:rPr>
        <w:t>-</w:t>
      </w:r>
      <w:r w:rsidR="0042344A" w:rsidRPr="00A1399E">
        <w:rPr>
          <w:bCs/>
          <w:sz w:val="20"/>
          <w:szCs w:val="20"/>
        </w:rPr>
        <w:t>behind</w:t>
      </w:r>
      <w:r w:rsidR="009B2AE4" w:rsidRPr="00A1399E">
        <w:rPr>
          <w:bCs/>
          <w:sz w:val="20"/>
          <w:szCs w:val="20"/>
        </w:rPr>
        <w:t xml:space="preserve">, the </w:t>
      </w:r>
      <w:r w:rsidR="00663171" w:rsidRPr="00A1399E">
        <w:rPr>
          <w:bCs/>
          <w:sz w:val="20"/>
          <w:szCs w:val="20"/>
        </w:rPr>
        <w:t xml:space="preserve">CPD </w:t>
      </w:r>
      <w:r w:rsidR="009B2AE4" w:rsidRPr="00A1399E">
        <w:rPr>
          <w:bCs/>
          <w:sz w:val="20"/>
          <w:szCs w:val="20"/>
        </w:rPr>
        <w:t xml:space="preserve">will adopt </w:t>
      </w:r>
      <w:r w:rsidR="00257D5B" w:rsidRPr="00A1399E">
        <w:rPr>
          <w:bCs/>
          <w:sz w:val="20"/>
          <w:szCs w:val="20"/>
        </w:rPr>
        <w:t xml:space="preserve">a </w:t>
      </w:r>
      <w:r w:rsidR="00663171" w:rsidRPr="00A1399E">
        <w:rPr>
          <w:bCs/>
          <w:sz w:val="20"/>
          <w:szCs w:val="20"/>
        </w:rPr>
        <w:t>h</w:t>
      </w:r>
      <w:r w:rsidR="009B2AE4" w:rsidRPr="00A1399E">
        <w:rPr>
          <w:bCs/>
          <w:sz w:val="20"/>
          <w:szCs w:val="20"/>
        </w:rPr>
        <w:t xml:space="preserve">uman </w:t>
      </w:r>
      <w:r w:rsidR="00663171" w:rsidRPr="00A1399E">
        <w:rPr>
          <w:bCs/>
          <w:sz w:val="20"/>
          <w:szCs w:val="20"/>
        </w:rPr>
        <w:t>r</w:t>
      </w:r>
      <w:r w:rsidR="009B2AE4" w:rsidRPr="00A1399E">
        <w:rPr>
          <w:bCs/>
          <w:sz w:val="20"/>
          <w:szCs w:val="20"/>
        </w:rPr>
        <w:t>ights</w:t>
      </w:r>
      <w:r w:rsidR="00663171" w:rsidRPr="00A1399E">
        <w:rPr>
          <w:bCs/>
          <w:sz w:val="20"/>
          <w:szCs w:val="20"/>
        </w:rPr>
        <w:t>-b</w:t>
      </w:r>
      <w:r w:rsidR="009B2AE4" w:rsidRPr="00A1399E">
        <w:rPr>
          <w:bCs/>
          <w:sz w:val="20"/>
          <w:szCs w:val="20"/>
        </w:rPr>
        <w:t xml:space="preserve">ased </w:t>
      </w:r>
      <w:r w:rsidR="00663171" w:rsidRPr="00A1399E">
        <w:rPr>
          <w:bCs/>
          <w:sz w:val="20"/>
          <w:szCs w:val="20"/>
        </w:rPr>
        <w:t>a</w:t>
      </w:r>
      <w:r w:rsidR="009B2AE4" w:rsidRPr="00A1399E">
        <w:rPr>
          <w:bCs/>
          <w:sz w:val="20"/>
          <w:szCs w:val="20"/>
        </w:rPr>
        <w:t>pproac</w:t>
      </w:r>
      <w:r w:rsidR="00663171" w:rsidRPr="00A1399E">
        <w:rPr>
          <w:bCs/>
          <w:sz w:val="20"/>
          <w:szCs w:val="20"/>
        </w:rPr>
        <w:t>h</w:t>
      </w:r>
      <w:r w:rsidR="009B2AE4" w:rsidRPr="00A1399E">
        <w:rPr>
          <w:bCs/>
          <w:sz w:val="20"/>
          <w:szCs w:val="20"/>
        </w:rPr>
        <w:t xml:space="preserve"> </w:t>
      </w:r>
      <w:r w:rsidR="00663171" w:rsidRPr="00A1399E">
        <w:rPr>
          <w:bCs/>
          <w:sz w:val="20"/>
          <w:szCs w:val="20"/>
        </w:rPr>
        <w:t xml:space="preserve">and </w:t>
      </w:r>
      <w:r w:rsidR="009B2AE4" w:rsidRPr="00A1399E">
        <w:rPr>
          <w:bCs/>
          <w:sz w:val="20"/>
          <w:szCs w:val="20"/>
        </w:rPr>
        <w:t xml:space="preserve">mainstream gender and women’s empowerment and environmental sustainability. </w:t>
      </w:r>
    </w:p>
    <w:p w14:paraId="5A8193B6" w14:textId="33E19FE2" w:rsidR="00616562" w:rsidRPr="00A1399E" w:rsidRDefault="00D33575" w:rsidP="00F704ED">
      <w:pPr>
        <w:spacing w:after="120" w:line="240" w:lineRule="exact"/>
        <w:ind w:left="720"/>
        <w:jc w:val="both"/>
        <w:rPr>
          <w:rFonts w:eastAsia="Times New Roman"/>
          <w:bCs/>
          <w:sz w:val="20"/>
          <w:szCs w:val="20"/>
        </w:rPr>
      </w:pPr>
      <w:r w:rsidRPr="00A1399E">
        <w:rPr>
          <w:rFonts w:eastAsia="Times New Roman"/>
          <w:bCs/>
          <w:sz w:val="20"/>
          <w:szCs w:val="20"/>
        </w:rPr>
        <w:t>1</w:t>
      </w:r>
      <w:r w:rsidR="00F52919" w:rsidRPr="00A1399E">
        <w:rPr>
          <w:rFonts w:eastAsia="Times New Roman"/>
          <w:bCs/>
          <w:sz w:val="20"/>
          <w:szCs w:val="20"/>
        </w:rPr>
        <w:t>7</w:t>
      </w:r>
      <w:r w:rsidR="00A60173" w:rsidRPr="00A1399E">
        <w:rPr>
          <w:rFonts w:eastAsia="Times New Roman"/>
          <w:bCs/>
          <w:sz w:val="20"/>
          <w:szCs w:val="20"/>
        </w:rPr>
        <w:t xml:space="preserve">. UNDP will partner with </w:t>
      </w:r>
      <w:r w:rsidR="003E64AE" w:rsidRPr="00A1399E">
        <w:rPr>
          <w:rFonts w:eastAsia="Times New Roman"/>
          <w:bCs/>
          <w:sz w:val="20"/>
          <w:szCs w:val="20"/>
        </w:rPr>
        <w:t>the Intergovernmental Authority on Development (</w:t>
      </w:r>
      <w:r w:rsidR="00EA3B33" w:rsidRPr="00A1399E">
        <w:rPr>
          <w:rFonts w:eastAsia="Times New Roman"/>
          <w:bCs/>
          <w:sz w:val="20"/>
          <w:szCs w:val="20"/>
        </w:rPr>
        <w:t>I</w:t>
      </w:r>
      <w:r w:rsidR="00A60173" w:rsidRPr="00A1399E">
        <w:rPr>
          <w:rFonts w:eastAsia="Times New Roman"/>
          <w:bCs/>
          <w:sz w:val="20"/>
          <w:szCs w:val="20"/>
        </w:rPr>
        <w:t>GAD</w:t>
      </w:r>
      <w:r w:rsidR="003E64AE" w:rsidRPr="00A1399E">
        <w:rPr>
          <w:rFonts w:eastAsia="Times New Roman"/>
          <w:bCs/>
          <w:sz w:val="20"/>
          <w:szCs w:val="20"/>
        </w:rPr>
        <w:t>)</w:t>
      </w:r>
      <w:r w:rsidR="00A60173" w:rsidRPr="00A1399E">
        <w:rPr>
          <w:rFonts w:eastAsia="Times New Roman"/>
          <w:bCs/>
          <w:sz w:val="20"/>
          <w:szCs w:val="20"/>
        </w:rPr>
        <w:t xml:space="preserve">, </w:t>
      </w:r>
      <w:r w:rsidR="003E64AE" w:rsidRPr="00A1399E">
        <w:rPr>
          <w:rFonts w:eastAsia="Times New Roman"/>
          <w:bCs/>
          <w:sz w:val="20"/>
          <w:szCs w:val="20"/>
        </w:rPr>
        <w:t xml:space="preserve">the </w:t>
      </w:r>
      <w:r w:rsidR="00A60173" w:rsidRPr="00A1399E">
        <w:rPr>
          <w:rFonts w:eastAsia="Times New Roman"/>
          <w:bCs/>
          <w:sz w:val="20"/>
          <w:szCs w:val="20"/>
        </w:rPr>
        <w:t>A</w:t>
      </w:r>
      <w:r w:rsidR="003E64AE" w:rsidRPr="00A1399E">
        <w:rPr>
          <w:rFonts w:eastAsia="Times New Roman"/>
          <w:bCs/>
          <w:sz w:val="20"/>
          <w:szCs w:val="20"/>
        </w:rPr>
        <w:t xml:space="preserve">frican </w:t>
      </w:r>
      <w:r w:rsidR="00A60173" w:rsidRPr="00A1399E">
        <w:rPr>
          <w:rFonts w:eastAsia="Times New Roman"/>
          <w:bCs/>
          <w:sz w:val="20"/>
          <w:szCs w:val="20"/>
        </w:rPr>
        <w:t>U</w:t>
      </w:r>
      <w:r w:rsidR="003E64AE" w:rsidRPr="00A1399E">
        <w:rPr>
          <w:rFonts w:eastAsia="Times New Roman"/>
          <w:bCs/>
          <w:sz w:val="20"/>
          <w:szCs w:val="20"/>
        </w:rPr>
        <w:t>nion</w:t>
      </w:r>
      <w:r w:rsidR="00A60173" w:rsidRPr="00A1399E">
        <w:rPr>
          <w:rFonts w:eastAsia="Times New Roman"/>
          <w:bCs/>
          <w:sz w:val="20"/>
          <w:szCs w:val="20"/>
        </w:rPr>
        <w:t xml:space="preserve">, </w:t>
      </w:r>
      <w:r w:rsidR="003E64AE" w:rsidRPr="00A1399E">
        <w:rPr>
          <w:rFonts w:eastAsia="Times New Roman"/>
          <w:bCs/>
          <w:sz w:val="20"/>
          <w:szCs w:val="20"/>
        </w:rPr>
        <w:t>and the African Union Mission in Somalia (</w:t>
      </w:r>
      <w:r w:rsidR="00A60173" w:rsidRPr="00A1399E">
        <w:rPr>
          <w:rFonts w:eastAsia="Times New Roman"/>
          <w:bCs/>
          <w:sz w:val="20"/>
          <w:szCs w:val="20"/>
        </w:rPr>
        <w:t>AMISOM</w:t>
      </w:r>
      <w:r w:rsidR="003E64AE" w:rsidRPr="00A1399E">
        <w:rPr>
          <w:rFonts w:eastAsia="Times New Roman"/>
          <w:bCs/>
          <w:sz w:val="20"/>
          <w:szCs w:val="20"/>
        </w:rPr>
        <w:t>)</w:t>
      </w:r>
      <w:r w:rsidR="00A60173" w:rsidRPr="00A1399E">
        <w:rPr>
          <w:rFonts w:eastAsia="Times New Roman"/>
          <w:bCs/>
          <w:sz w:val="20"/>
          <w:szCs w:val="20"/>
        </w:rPr>
        <w:t xml:space="preserve"> to address cross-border and trans</w:t>
      </w:r>
      <w:r w:rsidR="003E64AE" w:rsidRPr="00A1399E">
        <w:rPr>
          <w:rFonts w:eastAsia="Times New Roman"/>
          <w:bCs/>
          <w:sz w:val="20"/>
          <w:szCs w:val="20"/>
        </w:rPr>
        <w:t>-</w:t>
      </w:r>
      <w:r w:rsidR="00A60173" w:rsidRPr="00A1399E">
        <w:rPr>
          <w:rFonts w:eastAsia="Times New Roman"/>
          <w:bCs/>
          <w:sz w:val="20"/>
          <w:szCs w:val="20"/>
        </w:rPr>
        <w:t>boundary issues</w:t>
      </w:r>
      <w:r w:rsidR="00AC28E8" w:rsidRPr="00A1399E">
        <w:rPr>
          <w:rFonts w:eastAsia="Times New Roman"/>
          <w:bCs/>
          <w:sz w:val="20"/>
          <w:szCs w:val="20"/>
        </w:rPr>
        <w:t xml:space="preserve"> in the Horn of Africa</w:t>
      </w:r>
      <w:r w:rsidR="00F374BC" w:rsidRPr="00A1399E">
        <w:rPr>
          <w:rFonts w:eastAsia="Times New Roman"/>
          <w:bCs/>
          <w:sz w:val="20"/>
          <w:szCs w:val="20"/>
        </w:rPr>
        <w:t xml:space="preserve"> and</w:t>
      </w:r>
      <w:r w:rsidR="001E6B31" w:rsidRPr="00A1399E">
        <w:rPr>
          <w:rFonts w:eastAsia="Times New Roman"/>
          <w:bCs/>
          <w:sz w:val="20"/>
          <w:szCs w:val="20"/>
        </w:rPr>
        <w:t xml:space="preserve"> </w:t>
      </w:r>
      <w:r w:rsidR="00A60173" w:rsidRPr="00A1399E">
        <w:rPr>
          <w:rFonts w:eastAsia="Times New Roman"/>
          <w:bCs/>
          <w:sz w:val="20"/>
          <w:szCs w:val="20"/>
        </w:rPr>
        <w:t>security, political, environmental and economic aspects within their mandate</w:t>
      </w:r>
      <w:r w:rsidR="00D611D7" w:rsidRPr="00A1399E">
        <w:rPr>
          <w:rFonts w:eastAsia="Times New Roman"/>
          <w:bCs/>
          <w:sz w:val="20"/>
          <w:szCs w:val="20"/>
        </w:rPr>
        <w:t>s</w:t>
      </w:r>
      <w:r w:rsidR="00A60173" w:rsidRPr="00A1399E">
        <w:rPr>
          <w:rFonts w:eastAsia="Times New Roman"/>
          <w:bCs/>
          <w:sz w:val="20"/>
          <w:szCs w:val="20"/>
        </w:rPr>
        <w:t>. S</w:t>
      </w:r>
      <w:r w:rsidR="008E3A80" w:rsidRPr="00A1399E">
        <w:rPr>
          <w:rFonts w:eastAsia="Times New Roman"/>
          <w:bCs/>
          <w:sz w:val="20"/>
          <w:szCs w:val="20"/>
        </w:rPr>
        <w:t>outh-</w:t>
      </w:r>
      <w:r w:rsidR="00A60173" w:rsidRPr="00A1399E">
        <w:rPr>
          <w:rFonts w:eastAsia="Times New Roman"/>
          <w:bCs/>
          <w:sz w:val="20"/>
          <w:szCs w:val="20"/>
        </w:rPr>
        <w:t>S</w:t>
      </w:r>
      <w:r w:rsidR="008E3A80" w:rsidRPr="00A1399E">
        <w:rPr>
          <w:rFonts w:eastAsia="Times New Roman"/>
          <w:bCs/>
          <w:sz w:val="20"/>
          <w:szCs w:val="20"/>
        </w:rPr>
        <w:t xml:space="preserve">outh and </w:t>
      </w:r>
      <w:r w:rsidR="003E64AE" w:rsidRPr="00A1399E">
        <w:rPr>
          <w:rFonts w:eastAsia="Times New Roman"/>
          <w:bCs/>
          <w:sz w:val="20"/>
          <w:szCs w:val="20"/>
        </w:rPr>
        <w:t>t</w:t>
      </w:r>
      <w:r w:rsidR="008E3A80" w:rsidRPr="00A1399E">
        <w:rPr>
          <w:rFonts w:eastAsia="Times New Roman"/>
          <w:bCs/>
          <w:sz w:val="20"/>
          <w:szCs w:val="20"/>
        </w:rPr>
        <w:t xml:space="preserve">riangular </w:t>
      </w:r>
      <w:r w:rsidR="003E64AE" w:rsidRPr="00A1399E">
        <w:rPr>
          <w:rFonts w:eastAsia="Times New Roman"/>
          <w:bCs/>
          <w:sz w:val="20"/>
          <w:szCs w:val="20"/>
        </w:rPr>
        <w:t>c</w:t>
      </w:r>
      <w:r w:rsidR="008E3A80" w:rsidRPr="00A1399E">
        <w:rPr>
          <w:rFonts w:eastAsia="Times New Roman"/>
          <w:bCs/>
          <w:sz w:val="20"/>
          <w:szCs w:val="20"/>
        </w:rPr>
        <w:t>ooperation</w:t>
      </w:r>
      <w:r w:rsidR="00A60173" w:rsidRPr="00A1399E">
        <w:rPr>
          <w:rFonts w:eastAsia="Times New Roman"/>
          <w:bCs/>
          <w:sz w:val="20"/>
          <w:szCs w:val="20"/>
        </w:rPr>
        <w:t xml:space="preserve"> will be adopted to </w:t>
      </w:r>
      <w:r w:rsidR="001011E7" w:rsidRPr="00A1399E">
        <w:rPr>
          <w:rFonts w:eastAsia="Times New Roman"/>
          <w:bCs/>
          <w:sz w:val="20"/>
          <w:szCs w:val="20"/>
        </w:rPr>
        <w:t xml:space="preserve">promote </w:t>
      </w:r>
      <w:r w:rsidR="001011E7">
        <w:rPr>
          <w:rFonts w:eastAsia="Times New Roman"/>
          <w:bCs/>
          <w:sz w:val="20"/>
          <w:szCs w:val="20"/>
        </w:rPr>
        <w:t>innovative</w:t>
      </w:r>
      <w:r w:rsidR="00530044">
        <w:rPr>
          <w:rFonts w:eastAsia="Times New Roman"/>
          <w:bCs/>
          <w:sz w:val="20"/>
          <w:szCs w:val="20"/>
        </w:rPr>
        <w:t xml:space="preserve"> approaches </w:t>
      </w:r>
      <w:r w:rsidR="00F06F32" w:rsidRPr="00A1399E">
        <w:rPr>
          <w:rFonts w:eastAsia="Times New Roman"/>
          <w:bCs/>
          <w:sz w:val="20"/>
          <w:szCs w:val="20"/>
        </w:rPr>
        <w:t xml:space="preserve">as strategies for enhancing economic growth and addressing </w:t>
      </w:r>
      <w:r w:rsidR="00B74293" w:rsidRPr="00A1399E">
        <w:rPr>
          <w:rFonts w:eastAsia="Times New Roman"/>
          <w:bCs/>
          <w:sz w:val="20"/>
          <w:szCs w:val="20"/>
        </w:rPr>
        <w:t>in</w:t>
      </w:r>
      <w:r w:rsidR="00F06F32" w:rsidRPr="00A1399E">
        <w:rPr>
          <w:rFonts w:eastAsia="Times New Roman"/>
          <w:bCs/>
          <w:sz w:val="20"/>
          <w:szCs w:val="20"/>
        </w:rPr>
        <w:t>security. The programme</w:t>
      </w:r>
      <w:r w:rsidR="007D7706" w:rsidRPr="00A1399E">
        <w:rPr>
          <w:rFonts w:eastAsia="Times New Roman"/>
          <w:bCs/>
          <w:sz w:val="20"/>
          <w:szCs w:val="20"/>
        </w:rPr>
        <w:t xml:space="preserve"> will strengthen engagement with citizens through participatory planning at district level. </w:t>
      </w:r>
      <w:r w:rsidR="00F06F32" w:rsidRPr="00A1399E">
        <w:rPr>
          <w:rFonts w:eastAsia="Times New Roman"/>
          <w:bCs/>
          <w:sz w:val="20"/>
          <w:szCs w:val="20"/>
        </w:rPr>
        <w:t xml:space="preserve">UNDP will utilize existing national and </w:t>
      </w:r>
      <w:r w:rsidR="00F374BC" w:rsidRPr="00A1399E">
        <w:rPr>
          <w:rFonts w:eastAsia="Times New Roman"/>
          <w:bCs/>
          <w:sz w:val="20"/>
          <w:szCs w:val="20"/>
        </w:rPr>
        <w:t>U</w:t>
      </w:r>
      <w:r w:rsidR="003E64AE" w:rsidRPr="00A1399E">
        <w:rPr>
          <w:rFonts w:eastAsia="Times New Roman"/>
          <w:bCs/>
          <w:sz w:val="20"/>
          <w:szCs w:val="20"/>
        </w:rPr>
        <w:t xml:space="preserve">nited </w:t>
      </w:r>
      <w:r w:rsidR="00F374BC" w:rsidRPr="00A1399E">
        <w:rPr>
          <w:rFonts w:eastAsia="Times New Roman"/>
          <w:bCs/>
          <w:sz w:val="20"/>
          <w:szCs w:val="20"/>
        </w:rPr>
        <w:t>N</w:t>
      </w:r>
      <w:r w:rsidR="003E64AE" w:rsidRPr="00A1399E">
        <w:rPr>
          <w:rFonts w:eastAsia="Times New Roman"/>
          <w:bCs/>
          <w:sz w:val="20"/>
          <w:szCs w:val="20"/>
        </w:rPr>
        <w:t>ations</w:t>
      </w:r>
      <w:r w:rsidR="00F374BC" w:rsidRPr="00A1399E">
        <w:rPr>
          <w:rFonts w:eastAsia="Times New Roman"/>
          <w:bCs/>
          <w:sz w:val="20"/>
          <w:szCs w:val="20"/>
        </w:rPr>
        <w:t xml:space="preserve"> </w:t>
      </w:r>
      <w:r w:rsidR="00F06F32" w:rsidRPr="00A1399E">
        <w:rPr>
          <w:rFonts w:eastAsia="Times New Roman"/>
          <w:bCs/>
          <w:sz w:val="20"/>
          <w:szCs w:val="20"/>
        </w:rPr>
        <w:t xml:space="preserve">structures and </w:t>
      </w:r>
      <w:r w:rsidR="00B44AD6" w:rsidRPr="00A1399E">
        <w:rPr>
          <w:rFonts w:eastAsia="Times New Roman"/>
          <w:bCs/>
          <w:sz w:val="20"/>
          <w:szCs w:val="20"/>
        </w:rPr>
        <w:t>work with national and subnational</w:t>
      </w:r>
      <w:r w:rsidR="00C51FA6" w:rsidRPr="00A1399E">
        <w:rPr>
          <w:rFonts w:eastAsia="Times New Roman"/>
          <w:bCs/>
          <w:sz w:val="20"/>
          <w:szCs w:val="20"/>
        </w:rPr>
        <w:t>-</w:t>
      </w:r>
      <w:r w:rsidR="00B44AD6" w:rsidRPr="00A1399E">
        <w:rPr>
          <w:rFonts w:eastAsia="Times New Roman"/>
          <w:bCs/>
          <w:sz w:val="20"/>
          <w:szCs w:val="20"/>
        </w:rPr>
        <w:t>level partners</w:t>
      </w:r>
      <w:r w:rsidR="003E64AE" w:rsidRPr="00A1399E">
        <w:rPr>
          <w:rFonts w:eastAsia="Times New Roman"/>
          <w:bCs/>
          <w:sz w:val="20"/>
          <w:szCs w:val="20"/>
        </w:rPr>
        <w:t>,</w:t>
      </w:r>
      <w:r w:rsidR="00B44AD6" w:rsidRPr="00A1399E">
        <w:rPr>
          <w:rFonts w:eastAsia="Times New Roman"/>
          <w:bCs/>
          <w:sz w:val="20"/>
          <w:szCs w:val="20"/>
        </w:rPr>
        <w:t xml:space="preserve"> including government, </w:t>
      </w:r>
      <w:r w:rsidR="003E64AE" w:rsidRPr="00A1399E">
        <w:rPr>
          <w:rFonts w:eastAsia="Times New Roman"/>
          <w:bCs/>
          <w:sz w:val="20"/>
          <w:szCs w:val="20"/>
        </w:rPr>
        <w:t xml:space="preserve">the </w:t>
      </w:r>
      <w:r w:rsidR="00B44AD6" w:rsidRPr="00A1399E">
        <w:rPr>
          <w:rFonts w:eastAsia="Times New Roman"/>
          <w:bCs/>
          <w:sz w:val="20"/>
          <w:szCs w:val="20"/>
        </w:rPr>
        <w:t>private sector, civil society and international financial institutions to deliver CPD priorities</w:t>
      </w:r>
      <w:r w:rsidR="00F374BC" w:rsidRPr="00A1399E">
        <w:rPr>
          <w:rFonts w:eastAsia="Times New Roman"/>
          <w:bCs/>
          <w:sz w:val="20"/>
          <w:szCs w:val="20"/>
        </w:rPr>
        <w:t>.</w:t>
      </w:r>
    </w:p>
    <w:p w14:paraId="6DEC87E3" w14:textId="218CC842" w:rsidR="001768D8" w:rsidRPr="00A1399E" w:rsidRDefault="00A40D75" w:rsidP="00F704ED">
      <w:pPr>
        <w:spacing w:after="120" w:line="240" w:lineRule="exact"/>
        <w:ind w:left="720"/>
        <w:jc w:val="both"/>
        <w:rPr>
          <w:b/>
          <w:sz w:val="20"/>
          <w:szCs w:val="20"/>
        </w:rPr>
      </w:pPr>
      <w:r w:rsidRPr="00A1399E">
        <w:rPr>
          <w:rFonts w:eastAsia="Times New Roman"/>
          <w:b/>
          <w:bCs/>
          <w:sz w:val="20"/>
          <w:szCs w:val="20"/>
        </w:rPr>
        <w:t>Progr</w:t>
      </w:r>
      <w:r w:rsidR="003E64AE" w:rsidRPr="00A1399E">
        <w:rPr>
          <w:rFonts w:eastAsia="Times New Roman"/>
          <w:b/>
          <w:bCs/>
          <w:sz w:val="20"/>
          <w:szCs w:val="20"/>
        </w:rPr>
        <w:t>a</w:t>
      </w:r>
      <w:r w:rsidRPr="00A1399E">
        <w:rPr>
          <w:rFonts w:eastAsia="Times New Roman"/>
          <w:b/>
          <w:bCs/>
          <w:sz w:val="20"/>
          <w:szCs w:val="20"/>
        </w:rPr>
        <w:t xml:space="preserve">mme </w:t>
      </w:r>
      <w:r w:rsidR="00EA08EF" w:rsidRPr="00A1399E">
        <w:rPr>
          <w:rFonts w:eastAsia="Times New Roman"/>
          <w:b/>
          <w:bCs/>
          <w:sz w:val="20"/>
          <w:szCs w:val="20"/>
        </w:rPr>
        <w:t>p</w:t>
      </w:r>
      <w:r w:rsidRPr="00A1399E">
        <w:rPr>
          <w:rFonts w:eastAsia="Times New Roman"/>
          <w:b/>
          <w:bCs/>
          <w:sz w:val="20"/>
          <w:szCs w:val="20"/>
        </w:rPr>
        <w:t>riority 1</w:t>
      </w:r>
      <w:r w:rsidR="001768D8" w:rsidRPr="00A1399E">
        <w:rPr>
          <w:b/>
          <w:sz w:val="20"/>
          <w:szCs w:val="20"/>
        </w:rPr>
        <w:t xml:space="preserve">: </w:t>
      </w:r>
      <w:r w:rsidR="00EA08EF" w:rsidRPr="00A1399E">
        <w:rPr>
          <w:b/>
          <w:sz w:val="20"/>
          <w:szCs w:val="20"/>
        </w:rPr>
        <w:t>g</w:t>
      </w:r>
      <w:r w:rsidR="001768D8" w:rsidRPr="00A1399E">
        <w:rPr>
          <w:b/>
          <w:sz w:val="20"/>
          <w:szCs w:val="20"/>
        </w:rPr>
        <w:t xml:space="preserve">overnance, </w:t>
      </w:r>
      <w:r w:rsidR="00EA08EF" w:rsidRPr="00A1399E">
        <w:rPr>
          <w:b/>
          <w:sz w:val="20"/>
          <w:szCs w:val="20"/>
        </w:rPr>
        <w:t>i</w:t>
      </w:r>
      <w:r w:rsidR="001768D8" w:rsidRPr="00A1399E">
        <w:rPr>
          <w:b/>
          <w:sz w:val="20"/>
          <w:szCs w:val="20"/>
        </w:rPr>
        <w:t xml:space="preserve">nclusive </w:t>
      </w:r>
      <w:r w:rsidR="00EA08EF" w:rsidRPr="00A1399E">
        <w:rPr>
          <w:b/>
          <w:sz w:val="20"/>
          <w:szCs w:val="20"/>
        </w:rPr>
        <w:t>p</w:t>
      </w:r>
      <w:r w:rsidR="001768D8" w:rsidRPr="00A1399E">
        <w:rPr>
          <w:b/>
          <w:sz w:val="20"/>
          <w:szCs w:val="20"/>
        </w:rPr>
        <w:t>olitics</w:t>
      </w:r>
      <w:r w:rsidR="001768D8" w:rsidRPr="00A1399E" w:rsidDel="00D71DA3">
        <w:rPr>
          <w:b/>
          <w:sz w:val="20"/>
          <w:szCs w:val="20"/>
        </w:rPr>
        <w:t xml:space="preserve"> </w:t>
      </w:r>
      <w:r w:rsidR="001768D8" w:rsidRPr="00A1399E">
        <w:rPr>
          <w:b/>
          <w:sz w:val="20"/>
          <w:szCs w:val="20"/>
        </w:rPr>
        <w:t xml:space="preserve">and </w:t>
      </w:r>
      <w:r w:rsidR="00EA08EF" w:rsidRPr="00A1399E">
        <w:rPr>
          <w:b/>
          <w:sz w:val="20"/>
          <w:szCs w:val="20"/>
        </w:rPr>
        <w:t>r</w:t>
      </w:r>
      <w:r w:rsidR="001768D8" w:rsidRPr="00A1399E">
        <w:rPr>
          <w:b/>
          <w:sz w:val="20"/>
          <w:szCs w:val="20"/>
        </w:rPr>
        <w:t>econciliation</w:t>
      </w:r>
    </w:p>
    <w:p w14:paraId="3C9D0211" w14:textId="4D496413" w:rsidR="008A5FF9" w:rsidRPr="00A1399E" w:rsidRDefault="00D33575" w:rsidP="00F704ED">
      <w:pPr>
        <w:spacing w:after="120" w:line="240" w:lineRule="exact"/>
        <w:ind w:left="720"/>
        <w:jc w:val="both"/>
        <w:rPr>
          <w:rFonts w:eastAsia="Times New Roman"/>
          <w:bCs/>
          <w:sz w:val="20"/>
          <w:szCs w:val="20"/>
        </w:rPr>
      </w:pPr>
      <w:r w:rsidRPr="00A1399E">
        <w:rPr>
          <w:rFonts w:eastAsia="Times New Roman"/>
          <w:bCs/>
          <w:sz w:val="20"/>
          <w:szCs w:val="20"/>
        </w:rPr>
        <w:t>1</w:t>
      </w:r>
      <w:r w:rsidR="00F52919" w:rsidRPr="00A1399E">
        <w:rPr>
          <w:rFonts w:eastAsia="Times New Roman"/>
          <w:bCs/>
          <w:sz w:val="20"/>
          <w:szCs w:val="20"/>
        </w:rPr>
        <w:t>8</w:t>
      </w:r>
      <w:r w:rsidR="008A5FF9" w:rsidRPr="00A1399E">
        <w:rPr>
          <w:rFonts w:eastAsia="Times New Roman"/>
          <w:bCs/>
          <w:sz w:val="20"/>
          <w:szCs w:val="20"/>
        </w:rPr>
        <w:t xml:space="preserve">. This </w:t>
      </w:r>
      <w:r w:rsidR="0060203F" w:rsidRPr="00A1399E">
        <w:rPr>
          <w:rFonts w:eastAsia="Times New Roman"/>
          <w:bCs/>
          <w:sz w:val="20"/>
          <w:szCs w:val="20"/>
        </w:rPr>
        <w:t>p</w:t>
      </w:r>
      <w:r w:rsidR="008A5FF9" w:rsidRPr="00A1399E">
        <w:rPr>
          <w:rFonts w:eastAsia="Times New Roman"/>
          <w:bCs/>
          <w:sz w:val="20"/>
          <w:szCs w:val="20"/>
        </w:rPr>
        <w:t xml:space="preserve">rogramme will contribute to </w:t>
      </w:r>
      <w:r w:rsidR="00EA08EF" w:rsidRPr="00A1399E">
        <w:rPr>
          <w:rFonts w:eastAsia="Times New Roman"/>
          <w:bCs/>
          <w:sz w:val="20"/>
          <w:szCs w:val="20"/>
        </w:rPr>
        <w:t xml:space="preserve">Goals </w:t>
      </w:r>
      <w:r w:rsidR="008A5FF9" w:rsidRPr="00A1399E">
        <w:rPr>
          <w:rFonts w:eastAsia="Times New Roman"/>
          <w:bCs/>
          <w:sz w:val="20"/>
          <w:szCs w:val="20"/>
        </w:rPr>
        <w:t xml:space="preserve">5, 10, 16 and 17 </w:t>
      </w:r>
      <w:r w:rsidR="00204DCA" w:rsidRPr="00A1399E">
        <w:rPr>
          <w:rFonts w:eastAsia="Times New Roman"/>
          <w:bCs/>
          <w:sz w:val="20"/>
          <w:szCs w:val="20"/>
        </w:rPr>
        <w:t>and</w:t>
      </w:r>
      <w:r w:rsidR="008A5FF9" w:rsidRPr="00A1399E">
        <w:rPr>
          <w:rFonts w:eastAsia="Times New Roman"/>
          <w:bCs/>
          <w:sz w:val="20"/>
          <w:szCs w:val="20"/>
        </w:rPr>
        <w:t xml:space="preserve"> UNDP Strategic Plan</w:t>
      </w:r>
      <w:r w:rsidR="00EA08EF" w:rsidRPr="00A1399E">
        <w:rPr>
          <w:rFonts w:eastAsia="Times New Roman"/>
          <w:bCs/>
          <w:sz w:val="20"/>
          <w:szCs w:val="20"/>
        </w:rPr>
        <w:t xml:space="preserve">, </w:t>
      </w:r>
      <w:r w:rsidR="008A5FF9" w:rsidRPr="00A1399E">
        <w:rPr>
          <w:rFonts w:eastAsia="Times New Roman"/>
          <w:bCs/>
          <w:sz w:val="20"/>
          <w:szCs w:val="20"/>
        </w:rPr>
        <w:t>2018-2021</w:t>
      </w:r>
      <w:r w:rsidR="00EA08EF" w:rsidRPr="00A1399E">
        <w:rPr>
          <w:rFonts w:eastAsia="Times New Roman"/>
          <w:bCs/>
          <w:sz w:val="20"/>
          <w:szCs w:val="20"/>
        </w:rPr>
        <w:t>,</w:t>
      </w:r>
      <w:r w:rsidR="008A5FF9" w:rsidRPr="00A1399E">
        <w:rPr>
          <w:rFonts w:eastAsia="Times New Roman"/>
          <w:bCs/>
          <w:sz w:val="20"/>
          <w:szCs w:val="20"/>
        </w:rPr>
        <w:t xml:space="preserve"> signature solutions 2, 3 and 6</w:t>
      </w:r>
      <w:r w:rsidR="008A5FF9" w:rsidRPr="00A1399E">
        <w:rPr>
          <w:rStyle w:val="FootnoteReference"/>
          <w:rFonts w:eastAsia="Times New Roman" w:cs="Times New Roman"/>
          <w:bCs/>
          <w:sz w:val="20"/>
          <w:szCs w:val="20"/>
        </w:rPr>
        <w:footnoteReference w:id="32"/>
      </w:r>
      <w:r w:rsidR="00544244" w:rsidRPr="00A1399E">
        <w:rPr>
          <w:rFonts w:eastAsia="Times New Roman"/>
          <w:bCs/>
          <w:sz w:val="20"/>
          <w:szCs w:val="20"/>
        </w:rPr>
        <w:t xml:space="preserve"> </w:t>
      </w:r>
      <w:r w:rsidR="00FD15D0" w:rsidRPr="00A1399E">
        <w:rPr>
          <w:rFonts w:eastAsia="Times New Roman"/>
          <w:bCs/>
          <w:sz w:val="20"/>
          <w:szCs w:val="20"/>
        </w:rPr>
        <w:t xml:space="preserve">and </w:t>
      </w:r>
      <w:r w:rsidR="007F41FF" w:rsidRPr="00A1399E">
        <w:rPr>
          <w:rFonts w:eastAsia="Times New Roman"/>
          <w:bCs/>
          <w:sz w:val="20"/>
          <w:szCs w:val="20"/>
        </w:rPr>
        <w:t>UNSDCF</w:t>
      </w:r>
      <w:r w:rsidR="00FD15D0" w:rsidRPr="00A1399E">
        <w:rPr>
          <w:rFonts w:eastAsia="Times New Roman"/>
          <w:bCs/>
          <w:sz w:val="20"/>
          <w:szCs w:val="20"/>
        </w:rPr>
        <w:t xml:space="preserve"> </w:t>
      </w:r>
      <w:r w:rsidR="00911D1D" w:rsidRPr="00A1399E">
        <w:rPr>
          <w:rFonts w:eastAsia="Times New Roman"/>
          <w:bCs/>
          <w:sz w:val="20"/>
          <w:szCs w:val="20"/>
        </w:rPr>
        <w:t>o</w:t>
      </w:r>
      <w:r w:rsidR="00FD15D0" w:rsidRPr="00A1399E">
        <w:rPr>
          <w:rFonts w:eastAsia="Times New Roman"/>
          <w:bCs/>
          <w:sz w:val="20"/>
          <w:szCs w:val="20"/>
        </w:rPr>
        <w:t xml:space="preserve">utcome </w:t>
      </w:r>
      <w:r w:rsidR="00522858" w:rsidRPr="00A1399E">
        <w:rPr>
          <w:rFonts w:eastAsia="Times New Roman"/>
          <w:bCs/>
          <w:sz w:val="20"/>
          <w:szCs w:val="20"/>
        </w:rPr>
        <w:t xml:space="preserve">1.2. </w:t>
      </w:r>
      <w:r w:rsidR="002B5731" w:rsidRPr="00A1399E">
        <w:rPr>
          <w:rFonts w:eastAsia="Calibri"/>
          <w:sz w:val="20"/>
          <w:szCs w:val="20"/>
          <w:lang w:eastAsia="en-US"/>
        </w:rPr>
        <w:t>UNDP will</w:t>
      </w:r>
      <w:r w:rsidR="00544244" w:rsidRPr="00A1399E">
        <w:rPr>
          <w:rFonts w:eastAsia="Calibri"/>
          <w:sz w:val="20"/>
          <w:szCs w:val="20"/>
          <w:lang w:eastAsia="en-US"/>
        </w:rPr>
        <w:t>:</w:t>
      </w:r>
    </w:p>
    <w:p w14:paraId="72FB3A30" w14:textId="16B0F3DF" w:rsidR="000A3879" w:rsidRPr="00A1399E" w:rsidRDefault="009D5826" w:rsidP="00F4641E">
      <w:pPr>
        <w:pStyle w:val="ListParagraph"/>
        <w:numPr>
          <w:ilvl w:val="0"/>
          <w:numId w:val="25"/>
        </w:numPr>
        <w:spacing w:after="120" w:line="240" w:lineRule="exact"/>
        <w:ind w:left="1080"/>
        <w:jc w:val="both"/>
      </w:pPr>
      <w:r w:rsidRPr="00A1399E">
        <w:t>Support development and implementation of relevant policy, legal and regulatory frameworks in line with international and regional norms and standards; establish</w:t>
      </w:r>
      <w:r w:rsidR="002B5731" w:rsidRPr="00A1399E">
        <w:t xml:space="preserve"> </w:t>
      </w:r>
      <w:r w:rsidR="00F374BC" w:rsidRPr="00A1399E">
        <w:t xml:space="preserve">and </w:t>
      </w:r>
      <w:r w:rsidRPr="00A1399E">
        <w:t xml:space="preserve">strengthen effective and accountable institutions </w:t>
      </w:r>
      <w:r w:rsidR="00911D1D" w:rsidRPr="00A1399E">
        <w:t xml:space="preserve">in </w:t>
      </w:r>
      <w:r w:rsidRPr="00A1399E">
        <w:t>national, state and local governments to deliver quality services to citizens and tackle corruption and mismanagement of public resources</w:t>
      </w:r>
      <w:r w:rsidR="00911D1D" w:rsidRPr="00A1399E">
        <w:t>;</w:t>
      </w:r>
    </w:p>
    <w:p w14:paraId="1A2FC587" w14:textId="4155DA73" w:rsidR="00B00898" w:rsidRPr="00A1399E" w:rsidRDefault="00E31233" w:rsidP="00F4641E">
      <w:pPr>
        <w:pStyle w:val="ListParagraph"/>
        <w:numPr>
          <w:ilvl w:val="0"/>
          <w:numId w:val="25"/>
        </w:numPr>
        <w:spacing w:after="120" w:line="240" w:lineRule="exact"/>
        <w:ind w:left="1080"/>
        <w:jc w:val="both"/>
        <w:rPr>
          <w:color w:val="000000" w:themeColor="text1"/>
        </w:rPr>
      </w:pPr>
      <w:r w:rsidRPr="00A1399E">
        <w:rPr>
          <w:lang w:eastAsia="en-GB"/>
        </w:rPr>
        <w:t>Work</w:t>
      </w:r>
      <w:r w:rsidR="00E55853" w:rsidRPr="00A1399E">
        <w:rPr>
          <w:lang w:eastAsia="en-GB"/>
        </w:rPr>
        <w:t xml:space="preserve"> </w:t>
      </w:r>
      <w:r w:rsidR="00ED2EEF" w:rsidRPr="00A1399E">
        <w:rPr>
          <w:lang w:eastAsia="en-GB"/>
        </w:rPr>
        <w:t xml:space="preserve">with </w:t>
      </w:r>
      <w:r w:rsidR="00BB4C9E" w:rsidRPr="00A1399E">
        <w:rPr>
          <w:lang w:eastAsia="en-GB"/>
        </w:rPr>
        <w:t xml:space="preserve">relevant institutions </w:t>
      </w:r>
      <w:r w:rsidR="00911D1D" w:rsidRPr="00A1399E">
        <w:rPr>
          <w:lang w:eastAsia="en-GB"/>
        </w:rPr>
        <w:t xml:space="preserve">to </w:t>
      </w:r>
      <w:r w:rsidR="00DF076A" w:rsidRPr="00A1399E">
        <w:rPr>
          <w:lang w:eastAsia="en-GB"/>
        </w:rPr>
        <w:t xml:space="preserve">review, </w:t>
      </w:r>
      <w:r w:rsidR="009D5826" w:rsidRPr="00A1399E">
        <w:t xml:space="preserve">adopt and implement </w:t>
      </w:r>
      <w:r w:rsidR="00DF076A" w:rsidRPr="00A1399E">
        <w:t xml:space="preserve">the </w:t>
      </w:r>
      <w:r w:rsidR="009D5826" w:rsidRPr="00A1399E">
        <w:t xml:space="preserve">Somalia </w:t>
      </w:r>
      <w:r w:rsidR="00911D1D" w:rsidRPr="00A1399E">
        <w:t>c</w:t>
      </w:r>
      <w:r w:rsidR="009D5826" w:rsidRPr="00A1399E">
        <w:t xml:space="preserve">onstitution; </w:t>
      </w:r>
      <w:r w:rsidR="006C2DF9" w:rsidRPr="00A1399E">
        <w:t>harmoniz</w:t>
      </w:r>
      <w:r w:rsidR="00911D1D" w:rsidRPr="00A1399E">
        <w:t>e</w:t>
      </w:r>
      <w:r w:rsidR="006C2DF9" w:rsidRPr="00A1399E">
        <w:t xml:space="preserve"> </w:t>
      </w:r>
      <w:r w:rsidR="00911D1D" w:rsidRPr="00A1399E">
        <w:t xml:space="preserve">Federal Member States </w:t>
      </w:r>
      <w:r w:rsidR="006C2DF9" w:rsidRPr="00A1399E">
        <w:t xml:space="preserve">constitutions </w:t>
      </w:r>
      <w:r w:rsidR="00663F77" w:rsidRPr="00A1399E">
        <w:t>and legislative frameworks</w:t>
      </w:r>
      <w:r w:rsidR="00F21F2D" w:rsidRPr="00A1399E">
        <w:t>,</w:t>
      </w:r>
      <w:r w:rsidR="00663F77" w:rsidRPr="00A1399E">
        <w:t xml:space="preserve"> </w:t>
      </w:r>
      <w:r w:rsidR="00663F77" w:rsidRPr="00A1399E">
        <w:rPr>
          <w:lang w:eastAsia="en-GB"/>
        </w:rPr>
        <w:t>including uptake of the Women´s Charter</w:t>
      </w:r>
      <w:r w:rsidR="00663F77" w:rsidRPr="00A1399E">
        <w:t xml:space="preserve"> </w:t>
      </w:r>
      <w:r w:rsidR="006C2DF9" w:rsidRPr="00A1399E">
        <w:t xml:space="preserve">with the </w:t>
      </w:r>
      <w:r w:rsidR="00911D1D" w:rsidRPr="00A1399E">
        <w:t>f</w:t>
      </w:r>
      <w:r w:rsidR="006C2DF9" w:rsidRPr="00A1399E">
        <w:t xml:space="preserve">ederal </w:t>
      </w:r>
      <w:r w:rsidR="00911D1D" w:rsidRPr="00A1399E">
        <w:t>c</w:t>
      </w:r>
      <w:r w:rsidR="006C2DF9" w:rsidRPr="00A1399E">
        <w:t>onstitution</w:t>
      </w:r>
      <w:r w:rsidR="00911D1D" w:rsidRPr="00A1399E">
        <w:t>;</w:t>
      </w:r>
      <w:r w:rsidR="009D5826" w:rsidRPr="00A1399E">
        <w:rPr>
          <w:lang w:eastAsia="en-GB"/>
        </w:rPr>
        <w:t xml:space="preserve"> </w:t>
      </w:r>
      <w:r w:rsidR="00304B69" w:rsidRPr="00A1399E">
        <w:rPr>
          <w:lang w:eastAsia="en-GB"/>
        </w:rPr>
        <w:t xml:space="preserve"> </w:t>
      </w:r>
      <w:r w:rsidR="009D5826" w:rsidRPr="00A1399E">
        <w:rPr>
          <w:lang w:eastAsia="en-GB"/>
        </w:rPr>
        <w:t xml:space="preserve"> </w:t>
      </w:r>
    </w:p>
    <w:p w14:paraId="6CD1C288" w14:textId="30D2030E" w:rsidR="00BB4C9E" w:rsidRPr="00A1399E" w:rsidRDefault="00E31233" w:rsidP="00F4641E">
      <w:pPr>
        <w:pStyle w:val="ListParagraph"/>
        <w:numPr>
          <w:ilvl w:val="0"/>
          <w:numId w:val="25"/>
        </w:numPr>
        <w:spacing w:after="120" w:line="240" w:lineRule="exact"/>
        <w:ind w:left="1080"/>
        <w:jc w:val="both"/>
        <w:rPr>
          <w:color w:val="000000" w:themeColor="text1"/>
          <w:lang w:eastAsia="en-GB"/>
        </w:rPr>
      </w:pPr>
      <w:r w:rsidRPr="00A1399E">
        <w:rPr>
          <w:color w:val="000000" w:themeColor="text1"/>
        </w:rPr>
        <w:t>S</w:t>
      </w:r>
      <w:r w:rsidR="00355CF3" w:rsidRPr="00A1399E">
        <w:rPr>
          <w:color w:val="000000" w:themeColor="text1"/>
        </w:rPr>
        <w:t xml:space="preserve">upport </w:t>
      </w:r>
      <w:r w:rsidR="00BB4C9E" w:rsidRPr="00A1399E">
        <w:rPr>
          <w:color w:val="000000" w:themeColor="text1"/>
        </w:rPr>
        <w:t xml:space="preserve">effective implementation of the </w:t>
      </w:r>
      <w:r w:rsidR="00911D1D" w:rsidRPr="00A1399E">
        <w:rPr>
          <w:color w:val="000000" w:themeColor="text1"/>
        </w:rPr>
        <w:t>n</w:t>
      </w:r>
      <w:r w:rsidR="00BB4C9E" w:rsidRPr="00A1399E">
        <w:rPr>
          <w:color w:val="000000" w:themeColor="text1"/>
        </w:rPr>
        <w:t xml:space="preserve">ational </w:t>
      </w:r>
      <w:r w:rsidR="00911D1D" w:rsidRPr="00A1399E">
        <w:rPr>
          <w:color w:val="000000" w:themeColor="text1"/>
        </w:rPr>
        <w:t>r</w:t>
      </w:r>
      <w:r w:rsidR="00BB4C9E" w:rsidRPr="00A1399E">
        <w:rPr>
          <w:color w:val="000000" w:themeColor="text1"/>
        </w:rPr>
        <w:t xml:space="preserve">econciliation </w:t>
      </w:r>
      <w:r w:rsidR="00911D1D" w:rsidRPr="00A1399E">
        <w:rPr>
          <w:color w:val="000000" w:themeColor="text1"/>
        </w:rPr>
        <w:t>f</w:t>
      </w:r>
      <w:r w:rsidR="00BB4C9E" w:rsidRPr="00A1399E">
        <w:rPr>
          <w:color w:val="000000" w:themeColor="text1"/>
        </w:rPr>
        <w:t>ramework/</w:t>
      </w:r>
      <w:r w:rsidR="00911D1D" w:rsidRPr="00A1399E">
        <w:rPr>
          <w:color w:val="000000" w:themeColor="text1"/>
        </w:rPr>
        <w:t>p</w:t>
      </w:r>
      <w:r w:rsidR="00BB4C9E" w:rsidRPr="00A1399E">
        <w:rPr>
          <w:color w:val="000000" w:themeColor="text1"/>
        </w:rPr>
        <w:t>rocess (NRF/NRP)</w:t>
      </w:r>
      <w:r w:rsidR="00355CF3" w:rsidRPr="00A1399E">
        <w:rPr>
          <w:color w:val="000000" w:themeColor="text1"/>
        </w:rPr>
        <w:t xml:space="preserve">; </w:t>
      </w:r>
      <w:r w:rsidR="00BB4C9E" w:rsidRPr="00A1399E">
        <w:rPr>
          <w:color w:val="000000" w:themeColor="text1"/>
        </w:rPr>
        <w:t>strengthen</w:t>
      </w:r>
      <w:r w:rsidR="000F63BD" w:rsidRPr="00A1399E">
        <w:rPr>
          <w:color w:val="000000" w:themeColor="text1"/>
        </w:rPr>
        <w:t xml:space="preserve"> </w:t>
      </w:r>
      <w:r w:rsidR="00BB4C9E" w:rsidRPr="00A1399E">
        <w:rPr>
          <w:color w:val="000000" w:themeColor="text1"/>
        </w:rPr>
        <w:t xml:space="preserve">capacity of </w:t>
      </w:r>
      <w:r w:rsidR="00BB4C9E" w:rsidRPr="00A1399E">
        <w:rPr>
          <w:color w:val="000000" w:themeColor="text1"/>
          <w:lang w:eastAsia="en-GB"/>
        </w:rPr>
        <w:t>religious and traditional l</w:t>
      </w:r>
      <w:r w:rsidR="00911D1D" w:rsidRPr="00A1399E">
        <w:rPr>
          <w:color w:val="000000" w:themeColor="text1"/>
          <w:lang w:eastAsia="en-GB"/>
        </w:rPr>
        <w:t>e</w:t>
      </w:r>
      <w:r w:rsidR="00BB4C9E" w:rsidRPr="00A1399E">
        <w:rPr>
          <w:color w:val="000000" w:themeColor="text1"/>
          <w:lang w:eastAsia="en-GB"/>
        </w:rPr>
        <w:t>ade</w:t>
      </w:r>
      <w:r w:rsidR="0047462E" w:rsidRPr="00A1399E">
        <w:rPr>
          <w:color w:val="000000" w:themeColor="text1"/>
          <w:lang w:eastAsia="en-GB"/>
        </w:rPr>
        <w:t xml:space="preserve">rs, </w:t>
      </w:r>
      <w:r w:rsidR="00204DCA" w:rsidRPr="00A1399E">
        <w:rPr>
          <w:color w:val="000000" w:themeColor="text1"/>
          <w:lang w:eastAsia="en-GB"/>
        </w:rPr>
        <w:t>CSO</w:t>
      </w:r>
      <w:r w:rsidR="000F63BD" w:rsidRPr="00A1399E">
        <w:rPr>
          <w:color w:val="000000" w:themeColor="text1"/>
          <w:lang w:eastAsia="en-GB"/>
        </w:rPr>
        <w:t>s</w:t>
      </w:r>
      <w:r w:rsidR="0047462E" w:rsidRPr="00A1399E">
        <w:rPr>
          <w:color w:val="000000" w:themeColor="text1"/>
          <w:lang w:eastAsia="en-GB"/>
        </w:rPr>
        <w:t>, women</w:t>
      </w:r>
      <w:r w:rsidR="000F63BD" w:rsidRPr="00A1399E">
        <w:rPr>
          <w:color w:val="000000" w:themeColor="text1"/>
          <w:lang w:eastAsia="en-GB"/>
        </w:rPr>
        <w:t>,</w:t>
      </w:r>
      <w:r w:rsidR="0047462E" w:rsidRPr="00A1399E">
        <w:rPr>
          <w:color w:val="000000" w:themeColor="text1"/>
          <w:lang w:eastAsia="en-GB"/>
        </w:rPr>
        <w:t xml:space="preserve"> youth</w:t>
      </w:r>
      <w:r w:rsidR="000F63BD" w:rsidRPr="00A1399E">
        <w:rPr>
          <w:color w:val="000000" w:themeColor="text1"/>
          <w:lang w:eastAsia="en-GB"/>
        </w:rPr>
        <w:t>,</w:t>
      </w:r>
      <w:r w:rsidR="0047462E" w:rsidRPr="00A1399E">
        <w:rPr>
          <w:color w:val="000000" w:themeColor="text1"/>
          <w:lang w:eastAsia="en-GB"/>
        </w:rPr>
        <w:t xml:space="preserve"> </w:t>
      </w:r>
      <w:r w:rsidR="00E94DA3" w:rsidRPr="00A1399E">
        <w:rPr>
          <w:color w:val="000000" w:themeColor="text1"/>
          <w:lang w:eastAsia="en-GB"/>
        </w:rPr>
        <w:t xml:space="preserve">IDPs and </w:t>
      </w:r>
      <w:r w:rsidR="00911D1D" w:rsidRPr="00A1399E">
        <w:rPr>
          <w:color w:val="000000" w:themeColor="text1"/>
          <w:lang w:eastAsia="en-GB"/>
        </w:rPr>
        <w:t xml:space="preserve">persons with disabilities </w:t>
      </w:r>
      <w:r w:rsidR="00BB4C9E" w:rsidRPr="00A1399E">
        <w:rPr>
          <w:color w:val="000000" w:themeColor="text1"/>
          <w:lang w:eastAsia="en-GB"/>
        </w:rPr>
        <w:t>to effectively</w:t>
      </w:r>
      <w:r w:rsidR="0047462E" w:rsidRPr="00A1399E">
        <w:rPr>
          <w:color w:val="000000" w:themeColor="text1"/>
          <w:lang w:eastAsia="en-GB"/>
        </w:rPr>
        <w:t xml:space="preserve"> </w:t>
      </w:r>
      <w:r w:rsidR="00FC3A14" w:rsidRPr="00A1399E">
        <w:rPr>
          <w:color w:val="000000" w:themeColor="text1"/>
        </w:rPr>
        <w:t xml:space="preserve">participate/engage </w:t>
      </w:r>
      <w:r w:rsidR="00BB4C9E" w:rsidRPr="00A1399E">
        <w:rPr>
          <w:color w:val="000000" w:themeColor="text1"/>
          <w:lang w:eastAsia="en-GB"/>
        </w:rPr>
        <w:t xml:space="preserve">in </w:t>
      </w:r>
      <w:r w:rsidR="0017767F" w:rsidRPr="00A1399E">
        <w:rPr>
          <w:color w:val="000000" w:themeColor="text1"/>
          <w:lang w:eastAsia="en-GB"/>
        </w:rPr>
        <w:t>conflict mapping</w:t>
      </w:r>
      <w:r w:rsidR="00411F78" w:rsidRPr="00A1399E">
        <w:rPr>
          <w:color w:val="000000" w:themeColor="text1"/>
          <w:lang w:eastAsia="en-GB"/>
        </w:rPr>
        <w:t xml:space="preserve"> and </w:t>
      </w:r>
      <w:r w:rsidR="00BB4C9E" w:rsidRPr="00A1399E">
        <w:rPr>
          <w:color w:val="000000" w:themeColor="text1"/>
          <w:lang w:eastAsia="en-GB"/>
        </w:rPr>
        <w:t>peacebuilding initiatives</w:t>
      </w:r>
      <w:r w:rsidR="00911D1D" w:rsidRPr="00A1399E">
        <w:t>;</w:t>
      </w:r>
    </w:p>
    <w:p w14:paraId="1D8AD438" w14:textId="15AA3ABB" w:rsidR="0047462E" w:rsidRPr="00A1399E" w:rsidRDefault="00E31233" w:rsidP="00F4641E">
      <w:pPr>
        <w:pStyle w:val="ListParagraph"/>
        <w:numPr>
          <w:ilvl w:val="0"/>
          <w:numId w:val="25"/>
        </w:numPr>
        <w:spacing w:after="120" w:line="240" w:lineRule="exact"/>
        <w:ind w:left="1080"/>
        <w:jc w:val="both"/>
      </w:pPr>
      <w:r w:rsidRPr="00A1399E">
        <w:rPr>
          <w:color w:val="000000" w:themeColor="text1"/>
        </w:rPr>
        <w:t xml:space="preserve">Support </w:t>
      </w:r>
      <w:r w:rsidR="00911D1D" w:rsidRPr="00A1399E">
        <w:rPr>
          <w:color w:val="000000" w:themeColor="text1"/>
        </w:rPr>
        <w:t>the Federal Government of Somalia</w:t>
      </w:r>
      <w:r w:rsidR="00C102F7" w:rsidRPr="00A1399E">
        <w:rPr>
          <w:color w:val="000000" w:themeColor="text1"/>
        </w:rPr>
        <w:t xml:space="preserve">, </w:t>
      </w:r>
      <w:r w:rsidR="00911D1D" w:rsidRPr="00A1399E">
        <w:rPr>
          <w:color w:val="000000" w:themeColor="text1"/>
        </w:rPr>
        <w:t>Federal Member States</w:t>
      </w:r>
      <w:r w:rsidR="00C102F7" w:rsidRPr="00A1399E">
        <w:rPr>
          <w:color w:val="000000" w:themeColor="text1"/>
        </w:rPr>
        <w:t xml:space="preserve">, local government, </w:t>
      </w:r>
      <w:r w:rsidR="00355CF3" w:rsidRPr="00A1399E">
        <w:rPr>
          <w:color w:val="000000" w:themeColor="text1"/>
        </w:rPr>
        <w:t>electoral management i</w:t>
      </w:r>
      <w:r w:rsidR="00C102F7" w:rsidRPr="00A1399E">
        <w:rPr>
          <w:color w:val="000000" w:themeColor="text1"/>
        </w:rPr>
        <w:t>nstitutions</w:t>
      </w:r>
      <w:r w:rsidR="009444E6" w:rsidRPr="00A1399E">
        <w:rPr>
          <w:color w:val="000000" w:themeColor="text1"/>
        </w:rPr>
        <w:t xml:space="preserve">, </w:t>
      </w:r>
      <w:r w:rsidR="00C102F7" w:rsidRPr="00A1399E">
        <w:rPr>
          <w:color w:val="000000" w:themeColor="text1"/>
        </w:rPr>
        <w:t>CSO</w:t>
      </w:r>
      <w:r w:rsidR="009444E6" w:rsidRPr="00A1399E">
        <w:rPr>
          <w:color w:val="000000" w:themeColor="text1"/>
        </w:rPr>
        <w:t>s</w:t>
      </w:r>
      <w:r w:rsidR="00C102F7" w:rsidRPr="00A1399E">
        <w:rPr>
          <w:color w:val="000000" w:themeColor="text1"/>
        </w:rPr>
        <w:t>, religious and traditional leaders</w:t>
      </w:r>
      <w:r w:rsidR="00BB20CF" w:rsidRPr="00A1399E">
        <w:rPr>
          <w:color w:val="000000" w:themeColor="text1"/>
        </w:rPr>
        <w:t xml:space="preserve"> </w:t>
      </w:r>
      <w:r w:rsidR="00911D1D" w:rsidRPr="00A1399E">
        <w:rPr>
          <w:color w:val="000000" w:themeColor="text1"/>
        </w:rPr>
        <w:t xml:space="preserve">in </w:t>
      </w:r>
      <w:r w:rsidR="00010E04" w:rsidRPr="00A1399E">
        <w:rPr>
          <w:color w:val="000000" w:themeColor="text1"/>
        </w:rPr>
        <w:t>complet</w:t>
      </w:r>
      <w:r w:rsidR="002B5731" w:rsidRPr="00A1399E">
        <w:rPr>
          <w:color w:val="000000" w:themeColor="text1"/>
        </w:rPr>
        <w:t>ing</w:t>
      </w:r>
      <w:r w:rsidR="00010E04" w:rsidRPr="00A1399E">
        <w:rPr>
          <w:color w:val="000000" w:themeColor="text1"/>
        </w:rPr>
        <w:t xml:space="preserve"> policy, </w:t>
      </w:r>
      <w:r w:rsidR="00C102F7" w:rsidRPr="00A1399E">
        <w:rPr>
          <w:color w:val="000000" w:themeColor="text1"/>
        </w:rPr>
        <w:t>legal and regulatory fram</w:t>
      </w:r>
      <w:r w:rsidR="00BB20CF" w:rsidRPr="00A1399E">
        <w:rPr>
          <w:color w:val="000000" w:themeColor="text1"/>
        </w:rPr>
        <w:t xml:space="preserve">eworks on inclusive </w:t>
      </w:r>
      <w:r w:rsidR="00C102F7" w:rsidRPr="00A1399E">
        <w:rPr>
          <w:color w:val="000000" w:themeColor="text1"/>
        </w:rPr>
        <w:t xml:space="preserve">and credible elections, </w:t>
      </w:r>
      <w:r w:rsidR="002B5731" w:rsidRPr="00A1399E">
        <w:rPr>
          <w:color w:val="000000" w:themeColor="text1"/>
        </w:rPr>
        <w:t xml:space="preserve">and </w:t>
      </w:r>
      <w:r w:rsidR="00C102F7" w:rsidRPr="00A1399E">
        <w:rPr>
          <w:color w:val="000000" w:themeColor="text1"/>
        </w:rPr>
        <w:t>election and political party laws</w:t>
      </w:r>
      <w:r w:rsidR="00355CF3" w:rsidRPr="00A1399E">
        <w:rPr>
          <w:color w:val="000000" w:themeColor="text1"/>
        </w:rPr>
        <w:t xml:space="preserve">; </w:t>
      </w:r>
      <w:r w:rsidR="002A6684" w:rsidRPr="00A1399E">
        <w:rPr>
          <w:color w:val="000000" w:themeColor="text1"/>
        </w:rPr>
        <w:t>strengthen capacities of institutions in</w:t>
      </w:r>
      <w:r w:rsidR="00911D1D" w:rsidRPr="00A1399E">
        <w:rPr>
          <w:color w:val="000000" w:themeColor="text1"/>
        </w:rPr>
        <w:t xml:space="preserve"> </w:t>
      </w:r>
      <w:r w:rsidR="002A6684" w:rsidRPr="00A1399E">
        <w:rPr>
          <w:color w:val="000000" w:themeColor="text1"/>
        </w:rPr>
        <w:t>charge of elections</w:t>
      </w:r>
      <w:r w:rsidR="00355CF3" w:rsidRPr="00A1399E">
        <w:rPr>
          <w:color w:val="000000" w:themeColor="text1"/>
        </w:rPr>
        <w:t xml:space="preserve">; </w:t>
      </w:r>
      <w:r w:rsidR="00C102F7" w:rsidRPr="00A1399E">
        <w:rPr>
          <w:color w:val="000000" w:themeColor="text1"/>
        </w:rPr>
        <w:t>empower women, youth</w:t>
      </w:r>
      <w:r w:rsidR="004124AD" w:rsidRPr="00A1399E">
        <w:rPr>
          <w:color w:val="000000" w:themeColor="text1"/>
        </w:rPr>
        <w:t>,</w:t>
      </w:r>
      <w:r w:rsidR="00C102F7" w:rsidRPr="00A1399E">
        <w:rPr>
          <w:color w:val="000000" w:themeColor="text1"/>
        </w:rPr>
        <w:t xml:space="preserve"> </w:t>
      </w:r>
      <w:r w:rsidR="00E94DA3" w:rsidRPr="00A1399E">
        <w:rPr>
          <w:color w:val="000000" w:themeColor="text1"/>
        </w:rPr>
        <w:t xml:space="preserve">IDPs and </w:t>
      </w:r>
      <w:r w:rsidR="00911D1D" w:rsidRPr="00A1399E">
        <w:rPr>
          <w:color w:val="000000" w:themeColor="text1"/>
        </w:rPr>
        <w:t xml:space="preserve">persons with disabilities </w:t>
      </w:r>
      <w:r w:rsidR="00C102F7" w:rsidRPr="00A1399E">
        <w:rPr>
          <w:color w:val="000000" w:themeColor="text1"/>
        </w:rPr>
        <w:t>to actively participate in elections at all levels</w:t>
      </w:r>
      <w:r w:rsidR="009444E6" w:rsidRPr="00A1399E">
        <w:rPr>
          <w:color w:val="000000" w:themeColor="text1"/>
        </w:rPr>
        <w:t>;</w:t>
      </w:r>
      <w:r w:rsidR="00DF146A" w:rsidRPr="00A1399E">
        <w:rPr>
          <w:color w:val="000000" w:themeColor="text1"/>
        </w:rPr>
        <w:t xml:space="preserve"> </w:t>
      </w:r>
      <w:r w:rsidR="00DF146A" w:rsidRPr="00A1399E">
        <w:rPr>
          <w:bCs/>
          <w:color w:val="222222"/>
          <w:lang w:eastAsia="en-GB"/>
        </w:rPr>
        <w:t>a</w:t>
      </w:r>
      <w:r w:rsidR="0099776A" w:rsidRPr="00A1399E">
        <w:rPr>
          <w:bCs/>
          <w:color w:val="222222"/>
          <w:lang w:eastAsia="en-GB"/>
        </w:rPr>
        <w:t xml:space="preserve">nd work with CSOs </w:t>
      </w:r>
      <w:r w:rsidR="006E72D6" w:rsidRPr="00A1399E">
        <w:rPr>
          <w:bCs/>
          <w:color w:val="222222"/>
          <w:lang w:eastAsia="en-GB"/>
        </w:rPr>
        <w:t>and media</w:t>
      </w:r>
      <w:r w:rsidR="0099776A" w:rsidRPr="00A1399E">
        <w:rPr>
          <w:bCs/>
          <w:color w:val="222222"/>
          <w:lang w:eastAsia="en-GB"/>
        </w:rPr>
        <w:t xml:space="preserve"> to safeguard democratic space</w:t>
      </w:r>
      <w:r w:rsidR="00911D1D" w:rsidRPr="00A1399E">
        <w:rPr>
          <w:bCs/>
          <w:color w:val="222222"/>
          <w:lang w:eastAsia="en-GB"/>
        </w:rPr>
        <w:t>;</w:t>
      </w:r>
    </w:p>
    <w:p w14:paraId="0797B436" w14:textId="49E74352" w:rsidR="00C102F7" w:rsidRPr="00A1399E" w:rsidRDefault="00911D1D" w:rsidP="00F4641E">
      <w:pPr>
        <w:pStyle w:val="ListParagraph"/>
        <w:numPr>
          <w:ilvl w:val="0"/>
          <w:numId w:val="25"/>
        </w:numPr>
        <w:spacing w:after="120" w:line="240" w:lineRule="exact"/>
        <w:ind w:left="1080"/>
        <w:jc w:val="both"/>
      </w:pPr>
      <w:r w:rsidRPr="00A1399E">
        <w:t>W</w:t>
      </w:r>
      <w:r w:rsidR="00737EED" w:rsidRPr="00A1399E">
        <w:t>ork with relevant U</w:t>
      </w:r>
      <w:r w:rsidRPr="00A1399E">
        <w:t xml:space="preserve">nited </w:t>
      </w:r>
      <w:r w:rsidR="00737EED" w:rsidRPr="00A1399E">
        <w:t>N</w:t>
      </w:r>
      <w:r w:rsidRPr="00A1399E">
        <w:t>ations</w:t>
      </w:r>
      <w:r w:rsidR="00737EED" w:rsidRPr="00A1399E">
        <w:t xml:space="preserve"> entities</w:t>
      </w:r>
      <w:r w:rsidR="00C86B89" w:rsidRPr="00A1399E">
        <w:t xml:space="preserve"> </w:t>
      </w:r>
      <w:r w:rsidRPr="00A1399E">
        <w:t>– the United Nations Assistance Mission in Somalia (</w:t>
      </w:r>
      <w:r w:rsidR="00C86B89" w:rsidRPr="00A1399E">
        <w:t>UNSOM</w:t>
      </w:r>
      <w:r w:rsidRPr="00A1399E">
        <w:t>)</w:t>
      </w:r>
      <w:r w:rsidR="00C86B89" w:rsidRPr="00A1399E">
        <w:t xml:space="preserve">, </w:t>
      </w:r>
      <w:r w:rsidRPr="00A1399E">
        <w:t>the United Nations Entity for Gender Equality and the Empowerment of Women (</w:t>
      </w:r>
      <w:r w:rsidR="00C86B89" w:rsidRPr="00A1399E">
        <w:t>UN</w:t>
      </w:r>
      <w:r w:rsidRPr="00A1399E">
        <w:t>-</w:t>
      </w:r>
      <w:r w:rsidR="00C86B89" w:rsidRPr="00A1399E">
        <w:t>Women</w:t>
      </w:r>
      <w:r w:rsidRPr="00A1399E">
        <w:t>) and the United Nations Office for Drugs and Crime (</w:t>
      </w:r>
      <w:r w:rsidR="00C86B89" w:rsidRPr="00A1399E">
        <w:t>UNODC)</w:t>
      </w:r>
      <w:r w:rsidRPr="00A1399E">
        <w:t xml:space="preserve"> – </w:t>
      </w:r>
      <w:r w:rsidR="002B5731" w:rsidRPr="00A1399E">
        <w:t>a</w:t>
      </w:r>
      <w:r w:rsidR="00241C32" w:rsidRPr="00A1399E">
        <w:t xml:space="preserve">nd </w:t>
      </w:r>
      <w:r w:rsidR="00737EED" w:rsidRPr="00A1399E">
        <w:t>local authorities to overcome obsta</w:t>
      </w:r>
      <w:r w:rsidR="00DA4832" w:rsidRPr="00A1399E">
        <w:t xml:space="preserve">cles to </w:t>
      </w:r>
      <w:r w:rsidR="00C769B7" w:rsidRPr="00A1399E">
        <w:t>achieving</w:t>
      </w:r>
      <w:r w:rsidR="00DA4832" w:rsidRPr="00A1399E">
        <w:t xml:space="preserve"> results</w:t>
      </w:r>
      <w:r w:rsidR="00C769B7" w:rsidRPr="00A1399E">
        <w:t xml:space="preserve">; </w:t>
      </w:r>
      <w:r w:rsidR="00DA4832" w:rsidRPr="00A1399E">
        <w:t xml:space="preserve">deploy </w:t>
      </w:r>
      <w:r w:rsidR="00B952BA" w:rsidRPr="00A1399E">
        <w:t>a</w:t>
      </w:r>
      <w:r w:rsidR="00DA4832" w:rsidRPr="00A1399E">
        <w:t xml:space="preserve">daptive </w:t>
      </w:r>
      <w:r w:rsidR="00B952BA" w:rsidRPr="00A1399E">
        <w:t>m</w:t>
      </w:r>
      <w:r w:rsidR="00DA4832" w:rsidRPr="00A1399E">
        <w:t>anagement methodology in response to the dynamic political context</w:t>
      </w:r>
      <w:r w:rsidR="00C769B7" w:rsidRPr="00A1399E">
        <w:t>, with the support of p</w:t>
      </w:r>
      <w:r w:rsidR="00DA4832" w:rsidRPr="00A1399E">
        <w:t xml:space="preserve">ossible funding partners </w:t>
      </w:r>
      <w:r w:rsidR="00C769B7" w:rsidRPr="00A1399E">
        <w:t>such as the United Kingdom Foreign, Commonwealth and Development Office</w:t>
      </w:r>
      <w:r w:rsidR="00170A38" w:rsidRPr="00A1399E">
        <w:t xml:space="preserve"> (FCDO)</w:t>
      </w:r>
      <w:r w:rsidR="00DA4832" w:rsidRPr="00A1399E">
        <w:t xml:space="preserve">, </w:t>
      </w:r>
      <w:r w:rsidR="00C769B7" w:rsidRPr="00A1399E">
        <w:t xml:space="preserve">the </w:t>
      </w:r>
      <w:r w:rsidR="00D33575" w:rsidRPr="00A1399E">
        <w:t xml:space="preserve">European Union, </w:t>
      </w:r>
      <w:r w:rsidR="00C769B7" w:rsidRPr="00A1399E">
        <w:t xml:space="preserve">Denmark, Germany, Norway, </w:t>
      </w:r>
      <w:r w:rsidR="00170A38" w:rsidRPr="00A1399E">
        <w:t xml:space="preserve">Sweden, </w:t>
      </w:r>
      <w:r w:rsidR="00DA4832" w:rsidRPr="00A1399E">
        <w:t xml:space="preserve">Switzerland </w:t>
      </w:r>
      <w:r w:rsidR="00C769B7" w:rsidRPr="00A1399E">
        <w:t xml:space="preserve">and the </w:t>
      </w:r>
      <w:r w:rsidR="00DA4832" w:rsidRPr="00A1399E">
        <w:t>Peace Building Fund.</w:t>
      </w:r>
    </w:p>
    <w:p w14:paraId="6D393B41" w14:textId="5856C610" w:rsidR="00205885" w:rsidRPr="00A1399E" w:rsidRDefault="00205885" w:rsidP="00F704ED">
      <w:pPr>
        <w:pStyle w:val="Heading2"/>
        <w:spacing w:after="120" w:line="240" w:lineRule="exact"/>
        <w:ind w:left="720"/>
      </w:pPr>
      <w:bookmarkStart w:id="3" w:name="_Toc49181082"/>
      <w:r w:rsidRPr="00A1399E">
        <w:t xml:space="preserve">Programme </w:t>
      </w:r>
      <w:r w:rsidR="00C769B7" w:rsidRPr="00A1399E">
        <w:t>p</w:t>
      </w:r>
      <w:r w:rsidR="006A3CED" w:rsidRPr="00A1399E">
        <w:t>riority</w:t>
      </w:r>
      <w:r w:rsidR="000A24A1" w:rsidRPr="00A1399E">
        <w:t xml:space="preserve"> </w:t>
      </w:r>
      <w:r w:rsidRPr="00A1399E">
        <w:t xml:space="preserve">2: </w:t>
      </w:r>
      <w:r w:rsidR="00C769B7" w:rsidRPr="00A1399E">
        <w:t>s</w:t>
      </w:r>
      <w:r w:rsidR="0015502E" w:rsidRPr="00A1399E">
        <w:t>ecurity,</w:t>
      </w:r>
      <w:r w:rsidR="002603E1" w:rsidRPr="00A1399E">
        <w:t xml:space="preserve"> </w:t>
      </w:r>
      <w:r w:rsidR="00C769B7" w:rsidRPr="00A1399E">
        <w:t>r</w:t>
      </w:r>
      <w:r w:rsidR="002603E1" w:rsidRPr="00A1399E">
        <w:t xml:space="preserve">ule of </w:t>
      </w:r>
      <w:r w:rsidR="00C769B7" w:rsidRPr="00A1399E">
        <w:t>l</w:t>
      </w:r>
      <w:r w:rsidR="002603E1" w:rsidRPr="00A1399E">
        <w:t xml:space="preserve">aw </w:t>
      </w:r>
      <w:r w:rsidRPr="00A1399E">
        <w:t xml:space="preserve">and </w:t>
      </w:r>
      <w:r w:rsidR="00C769B7" w:rsidRPr="00A1399E">
        <w:t>a</w:t>
      </w:r>
      <w:r w:rsidRPr="00A1399E">
        <w:t xml:space="preserve">ccess to </w:t>
      </w:r>
      <w:r w:rsidR="00C769B7" w:rsidRPr="00A1399E">
        <w:t>j</w:t>
      </w:r>
      <w:r w:rsidRPr="00A1399E">
        <w:t>ustice</w:t>
      </w:r>
      <w:bookmarkEnd w:id="3"/>
      <w:r w:rsidRPr="00A1399E">
        <w:t xml:space="preserve"> </w:t>
      </w:r>
    </w:p>
    <w:p w14:paraId="2FA845DD" w14:textId="50FB17A3" w:rsidR="00D949A1" w:rsidRPr="00A1399E" w:rsidRDefault="00F52919" w:rsidP="00F704ED">
      <w:pPr>
        <w:spacing w:after="120" w:line="240" w:lineRule="exact"/>
        <w:ind w:left="720"/>
        <w:jc w:val="both"/>
        <w:rPr>
          <w:rFonts w:eastAsia="Times New Roman"/>
          <w:bCs/>
          <w:sz w:val="20"/>
          <w:szCs w:val="20"/>
        </w:rPr>
      </w:pPr>
      <w:r w:rsidRPr="00A1399E">
        <w:rPr>
          <w:rFonts w:eastAsia="Times New Roman"/>
          <w:bCs/>
          <w:sz w:val="20"/>
          <w:szCs w:val="20"/>
        </w:rPr>
        <w:t>19</w:t>
      </w:r>
      <w:r w:rsidR="00D949A1" w:rsidRPr="00A1399E">
        <w:rPr>
          <w:rFonts w:eastAsia="Times New Roman"/>
          <w:bCs/>
          <w:sz w:val="20"/>
          <w:szCs w:val="20"/>
        </w:rPr>
        <w:t xml:space="preserve">. This </w:t>
      </w:r>
      <w:r w:rsidR="0060203F" w:rsidRPr="00A1399E">
        <w:rPr>
          <w:rFonts w:eastAsia="Times New Roman"/>
          <w:bCs/>
          <w:sz w:val="20"/>
          <w:szCs w:val="20"/>
        </w:rPr>
        <w:t>p</w:t>
      </w:r>
      <w:r w:rsidR="00D949A1" w:rsidRPr="00A1399E">
        <w:rPr>
          <w:rFonts w:eastAsia="Times New Roman"/>
          <w:bCs/>
          <w:sz w:val="20"/>
          <w:szCs w:val="20"/>
        </w:rPr>
        <w:t xml:space="preserve">rogramme will contribute to </w:t>
      </w:r>
      <w:r w:rsidR="002B5731" w:rsidRPr="00A1399E">
        <w:rPr>
          <w:rFonts w:eastAsia="Times New Roman"/>
          <w:bCs/>
          <w:sz w:val="20"/>
          <w:szCs w:val="20"/>
        </w:rPr>
        <w:t xml:space="preserve">Goals </w:t>
      </w:r>
      <w:r w:rsidR="00D949A1" w:rsidRPr="00A1399E">
        <w:rPr>
          <w:rFonts w:eastAsia="Times New Roman"/>
          <w:bCs/>
          <w:sz w:val="20"/>
          <w:szCs w:val="20"/>
        </w:rPr>
        <w:t xml:space="preserve">5, 10, 16 and 17 </w:t>
      </w:r>
      <w:r w:rsidR="00204DCA" w:rsidRPr="00A1399E">
        <w:rPr>
          <w:rFonts w:eastAsia="Times New Roman"/>
          <w:bCs/>
          <w:sz w:val="20"/>
          <w:szCs w:val="20"/>
        </w:rPr>
        <w:t xml:space="preserve">and </w:t>
      </w:r>
      <w:r w:rsidR="00D949A1" w:rsidRPr="00A1399E">
        <w:rPr>
          <w:rFonts w:eastAsia="Times New Roman"/>
          <w:bCs/>
          <w:sz w:val="20"/>
          <w:szCs w:val="20"/>
        </w:rPr>
        <w:t>UNDP Strategic Plan</w:t>
      </w:r>
      <w:r w:rsidR="002B5731" w:rsidRPr="00A1399E">
        <w:rPr>
          <w:rFonts w:eastAsia="Times New Roman"/>
          <w:bCs/>
          <w:sz w:val="20"/>
          <w:szCs w:val="20"/>
        </w:rPr>
        <w:t xml:space="preserve">, 2018-2021, </w:t>
      </w:r>
      <w:r w:rsidR="00D949A1" w:rsidRPr="00A1399E">
        <w:rPr>
          <w:rFonts w:eastAsia="Times New Roman"/>
          <w:bCs/>
          <w:sz w:val="20"/>
          <w:szCs w:val="20"/>
        </w:rPr>
        <w:t>signature solutions 2, 3 and 6</w:t>
      </w:r>
      <w:r w:rsidR="00D949A1" w:rsidRPr="00A1399E">
        <w:rPr>
          <w:rStyle w:val="FootnoteReference"/>
          <w:rFonts w:eastAsia="Times New Roman" w:cs="Times New Roman"/>
          <w:bCs/>
          <w:sz w:val="20"/>
          <w:szCs w:val="20"/>
        </w:rPr>
        <w:footnoteReference w:id="33"/>
      </w:r>
      <w:r w:rsidR="003F5901" w:rsidRPr="00A1399E">
        <w:rPr>
          <w:rFonts w:eastAsia="Times New Roman"/>
          <w:bCs/>
          <w:sz w:val="20"/>
          <w:szCs w:val="20"/>
        </w:rPr>
        <w:t xml:space="preserve"> </w:t>
      </w:r>
      <w:r w:rsidR="00522858" w:rsidRPr="00A1399E">
        <w:rPr>
          <w:rFonts w:eastAsia="Times New Roman"/>
          <w:bCs/>
          <w:sz w:val="20"/>
          <w:szCs w:val="20"/>
        </w:rPr>
        <w:t xml:space="preserve">and </w:t>
      </w:r>
      <w:r w:rsidR="007F41FF" w:rsidRPr="00A1399E">
        <w:rPr>
          <w:rFonts w:eastAsia="Times New Roman"/>
          <w:bCs/>
          <w:sz w:val="20"/>
          <w:szCs w:val="20"/>
        </w:rPr>
        <w:t>UNSDCF</w:t>
      </w:r>
      <w:r w:rsidR="00522858" w:rsidRPr="00A1399E">
        <w:rPr>
          <w:rFonts w:eastAsia="Times New Roman"/>
          <w:bCs/>
          <w:sz w:val="20"/>
          <w:szCs w:val="20"/>
        </w:rPr>
        <w:t xml:space="preserve"> </w:t>
      </w:r>
      <w:r w:rsidR="002B5731" w:rsidRPr="00A1399E">
        <w:rPr>
          <w:rFonts w:eastAsia="Times New Roman"/>
          <w:bCs/>
          <w:sz w:val="20"/>
          <w:szCs w:val="20"/>
        </w:rPr>
        <w:t>o</w:t>
      </w:r>
      <w:r w:rsidR="00522858" w:rsidRPr="00A1399E">
        <w:rPr>
          <w:rFonts w:eastAsia="Times New Roman"/>
          <w:bCs/>
          <w:sz w:val="20"/>
          <w:szCs w:val="20"/>
        </w:rPr>
        <w:t xml:space="preserve">utcome 2.1. </w:t>
      </w:r>
      <w:r w:rsidR="00385DE7" w:rsidRPr="00A1399E">
        <w:rPr>
          <w:rFonts w:eastAsia="Calibri"/>
          <w:sz w:val="20"/>
          <w:szCs w:val="20"/>
          <w:lang w:eastAsia="en-US"/>
        </w:rPr>
        <w:t>UNDP will:</w:t>
      </w:r>
    </w:p>
    <w:p w14:paraId="4A47D55A" w14:textId="45A44B4C" w:rsidR="005D267F" w:rsidRPr="00A1399E" w:rsidRDefault="00672B65" w:rsidP="00F4641E">
      <w:pPr>
        <w:pStyle w:val="ListParagraph"/>
        <w:numPr>
          <w:ilvl w:val="0"/>
          <w:numId w:val="26"/>
        </w:numPr>
        <w:spacing w:after="120" w:line="240" w:lineRule="exact"/>
        <w:ind w:left="1080"/>
        <w:jc w:val="both"/>
      </w:pPr>
      <w:r w:rsidRPr="00A1399E">
        <w:lastRenderedPageBreak/>
        <w:t xml:space="preserve">Support </w:t>
      </w:r>
      <w:r w:rsidR="004E5F16" w:rsidRPr="00A1399E">
        <w:t xml:space="preserve">implementation plan of the National Security Architecture and coordination of the </w:t>
      </w:r>
      <w:r w:rsidR="0067763B" w:rsidRPr="00A1399E">
        <w:t>c</w:t>
      </w:r>
      <w:r w:rsidR="003F5901" w:rsidRPr="00A1399E">
        <w:t xml:space="preserve">omprehensive </w:t>
      </w:r>
      <w:r w:rsidR="0067763B" w:rsidRPr="00A1399E">
        <w:t>a</w:t>
      </w:r>
      <w:r w:rsidR="003F5901" w:rsidRPr="00A1399E">
        <w:t xml:space="preserve">pproach to </w:t>
      </w:r>
      <w:r w:rsidR="0067763B" w:rsidRPr="00A1399E">
        <w:t>s</w:t>
      </w:r>
      <w:r w:rsidR="003F5901" w:rsidRPr="00A1399E">
        <w:t>ecurity</w:t>
      </w:r>
      <w:r w:rsidR="00A1687D" w:rsidRPr="00A1399E">
        <w:t xml:space="preserve">; </w:t>
      </w:r>
      <w:r w:rsidR="0067763B" w:rsidRPr="00A1399E">
        <w:t xml:space="preserve">support </w:t>
      </w:r>
      <w:r w:rsidR="00EA2D72" w:rsidRPr="00A1399E">
        <w:rPr>
          <w:color w:val="000000" w:themeColor="text1"/>
        </w:rPr>
        <w:t xml:space="preserve">institutional strengthening and </w:t>
      </w:r>
      <w:r w:rsidR="00304FDA" w:rsidRPr="00A1399E">
        <w:t xml:space="preserve">increased professionalism </w:t>
      </w:r>
      <w:r w:rsidR="00A1687D" w:rsidRPr="00A1399E">
        <w:t xml:space="preserve">for </w:t>
      </w:r>
      <w:r w:rsidR="00304FDA" w:rsidRPr="00A1399E">
        <w:t>security sector governance</w:t>
      </w:r>
      <w:r w:rsidR="00A1687D" w:rsidRPr="00A1399E">
        <w:t xml:space="preserve">; </w:t>
      </w:r>
      <w:r w:rsidR="00E77247" w:rsidRPr="00A1399E">
        <w:t>promote</w:t>
      </w:r>
      <w:r w:rsidR="00633FDA" w:rsidRPr="00A1399E">
        <w:t xml:space="preserve"> civilian oversight functions </w:t>
      </w:r>
      <w:r w:rsidR="0067763B" w:rsidRPr="00A1399E">
        <w:t xml:space="preserve">of </w:t>
      </w:r>
      <w:r w:rsidR="00633FDA" w:rsidRPr="00A1399E">
        <w:t xml:space="preserve">the security sector with increased </w:t>
      </w:r>
      <w:r w:rsidR="00FE4DF8" w:rsidRPr="00A1399E">
        <w:t xml:space="preserve">involvement </w:t>
      </w:r>
      <w:r w:rsidR="00E55853" w:rsidRPr="00A1399E">
        <w:t>of civil</w:t>
      </w:r>
      <w:r w:rsidR="00633FDA" w:rsidRPr="00A1399E">
        <w:t xml:space="preserve"> society </w:t>
      </w:r>
      <w:r w:rsidR="00A12FDA" w:rsidRPr="00A1399E">
        <w:t xml:space="preserve">and </w:t>
      </w:r>
      <w:r w:rsidR="0067763B" w:rsidRPr="00A1399E">
        <w:t xml:space="preserve">the </w:t>
      </w:r>
      <w:r w:rsidR="00A12FDA" w:rsidRPr="00A1399E">
        <w:t>media</w:t>
      </w:r>
      <w:r w:rsidR="009B2AE4" w:rsidRPr="00A1399E">
        <w:t xml:space="preserve">; </w:t>
      </w:r>
      <w:r w:rsidR="0067763B" w:rsidRPr="00A1399E">
        <w:t xml:space="preserve">and support </w:t>
      </w:r>
      <w:r w:rsidR="009B2AE4" w:rsidRPr="00A1399E">
        <w:t>climate justice</w:t>
      </w:r>
      <w:r w:rsidR="0067763B" w:rsidRPr="00A1399E">
        <w:t xml:space="preserve"> and </w:t>
      </w:r>
      <w:r w:rsidR="009B2AE4" w:rsidRPr="00A1399E">
        <w:t>security</w:t>
      </w:r>
      <w:r w:rsidR="0067763B" w:rsidRPr="00A1399E">
        <w:t>;</w:t>
      </w:r>
      <w:r w:rsidR="00633FDA" w:rsidRPr="00A1399E">
        <w:t xml:space="preserve">   </w:t>
      </w:r>
    </w:p>
    <w:p w14:paraId="0D15EE57" w14:textId="7026CBBD" w:rsidR="005D267F" w:rsidRPr="00A1399E" w:rsidRDefault="00AD3C61" w:rsidP="00F4641E">
      <w:pPr>
        <w:pStyle w:val="ListParagraph"/>
        <w:numPr>
          <w:ilvl w:val="0"/>
          <w:numId w:val="26"/>
        </w:numPr>
        <w:spacing w:after="120" w:line="240" w:lineRule="exact"/>
        <w:ind w:left="1080"/>
        <w:jc w:val="both"/>
        <w:rPr>
          <w:bCs/>
          <w:lang w:eastAsia="en-GB"/>
        </w:rPr>
      </w:pPr>
      <w:r w:rsidRPr="00A1399E">
        <w:t>B</w:t>
      </w:r>
      <w:r w:rsidR="0057172E" w:rsidRPr="00A1399E">
        <w:t xml:space="preserve">uild </w:t>
      </w:r>
      <w:r w:rsidR="00182053" w:rsidRPr="00A1399E">
        <w:t xml:space="preserve">communities’ </w:t>
      </w:r>
      <w:r w:rsidR="0057172E" w:rsidRPr="00A1399E">
        <w:t>capacities to conduct generati</w:t>
      </w:r>
      <w:r w:rsidR="006E72D6" w:rsidRPr="00A1399E">
        <w:t xml:space="preserve">ve dialogue on justice issues, </w:t>
      </w:r>
      <w:r w:rsidR="004124AD" w:rsidRPr="00A1399E">
        <w:t xml:space="preserve">support </w:t>
      </w:r>
      <w:r w:rsidR="0057172E" w:rsidRPr="00A1399E">
        <w:t xml:space="preserve">restorative and transformative justice and address underlying power dynamics at </w:t>
      </w:r>
      <w:r w:rsidR="00182053" w:rsidRPr="00A1399E">
        <w:t xml:space="preserve">the </w:t>
      </w:r>
      <w:r w:rsidR="0057172E" w:rsidRPr="00A1399E">
        <w:t>root causes of violence and conflict</w:t>
      </w:r>
      <w:r w:rsidR="000451CA" w:rsidRPr="00A1399E">
        <w:t xml:space="preserve">; </w:t>
      </w:r>
      <w:r w:rsidR="00C916DB" w:rsidRPr="00A1399E">
        <w:t xml:space="preserve">support </w:t>
      </w:r>
      <w:r w:rsidR="00F209CB" w:rsidRPr="00A1399E">
        <w:t>establishment</w:t>
      </w:r>
      <w:r w:rsidR="0060203F" w:rsidRPr="00A1399E">
        <w:t xml:space="preserve"> of and </w:t>
      </w:r>
      <w:r w:rsidR="008300F7" w:rsidRPr="00A1399E">
        <w:t xml:space="preserve">capacity building for the Human Rights Commission and </w:t>
      </w:r>
      <w:r w:rsidR="0067763B" w:rsidRPr="00A1399E">
        <w:t xml:space="preserve">the </w:t>
      </w:r>
      <w:r w:rsidR="000451CA" w:rsidRPr="00A1399E">
        <w:t>Judicial Services Commission; institutionaliz</w:t>
      </w:r>
      <w:r w:rsidR="00177FBE" w:rsidRPr="00A1399E">
        <w:t>e</w:t>
      </w:r>
      <w:r w:rsidR="000451CA" w:rsidRPr="00A1399E">
        <w:t xml:space="preserve"> alternative dispute resolution mechanisms</w:t>
      </w:r>
      <w:r w:rsidR="00092FBB" w:rsidRPr="00A1399E">
        <w:t xml:space="preserve">; </w:t>
      </w:r>
      <w:r w:rsidR="008300F7" w:rsidRPr="00A1399E">
        <w:t>advoca</w:t>
      </w:r>
      <w:r w:rsidR="0067763B" w:rsidRPr="00A1399E">
        <w:t>te</w:t>
      </w:r>
      <w:r w:rsidR="008300F7" w:rsidRPr="00A1399E">
        <w:t xml:space="preserve"> for </w:t>
      </w:r>
      <w:r w:rsidR="00C16E29" w:rsidRPr="00A1399E">
        <w:t>ratification of human rights conventions</w:t>
      </w:r>
      <w:r w:rsidR="0067763B" w:rsidRPr="00A1399E">
        <w:t>,</w:t>
      </w:r>
      <w:r w:rsidR="00C16E29" w:rsidRPr="00A1399E">
        <w:t xml:space="preserve"> including </w:t>
      </w:r>
      <w:r w:rsidR="0067763B" w:rsidRPr="00A1399E">
        <w:t>the Convention on the Elimination of All Forms of Discrimination Against Women (</w:t>
      </w:r>
      <w:r w:rsidR="00C16E29" w:rsidRPr="00A1399E">
        <w:t>CEDAW</w:t>
      </w:r>
      <w:r w:rsidR="0067763B" w:rsidRPr="00A1399E">
        <w:t>)</w:t>
      </w:r>
      <w:r w:rsidR="00912A22" w:rsidRPr="00A1399E">
        <w:t xml:space="preserve">; and </w:t>
      </w:r>
      <w:r w:rsidR="00522858" w:rsidRPr="00A1399E">
        <w:t>protect</w:t>
      </w:r>
      <w:r w:rsidR="00092FBB" w:rsidRPr="00A1399E">
        <w:t xml:space="preserve"> women, girls, IDPs </w:t>
      </w:r>
      <w:r w:rsidR="0067763B" w:rsidRPr="00A1399E">
        <w:t xml:space="preserve">and persons with disabilities </w:t>
      </w:r>
      <w:r w:rsidR="00092FBB" w:rsidRPr="00A1399E">
        <w:t xml:space="preserve">from human rights violations and </w:t>
      </w:r>
      <w:r w:rsidR="0067763B" w:rsidRPr="00A1399E">
        <w:t>sexual and gender-based violence;</w:t>
      </w:r>
      <w:r w:rsidR="000451CA" w:rsidRPr="00A1399E">
        <w:t xml:space="preserve"> </w:t>
      </w:r>
      <w:r w:rsidR="00304FDA" w:rsidRPr="00A1399E">
        <w:t xml:space="preserve"> </w:t>
      </w:r>
      <w:r w:rsidR="000451CA" w:rsidRPr="00A1399E">
        <w:t xml:space="preserve"> </w:t>
      </w:r>
    </w:p>
    <w:p w14:paraId="034D55ED" w14:textId="1CF86C2A" w:rsidR="00A12FDA" w:rsidRPr="00A1399E" w:rsidRDefault="00412A16" w:rsidP="00F4641E">
      <w:pPr>
        <w:pStyle w:val="ListParagraph"/>
        <w:numPr>
          <w:ilvl w:val="0"/>
          <w:numId w:val="26"/>
        </w:numPr>
        <w:spacing w:after="120" w:line="240" w:lineRule="exact"/>
        <w:ind w:left="1080"/>
        <w:jc w:val="both"/>
        <w:rPr>
          <w:color w:val="000000" w:themeColor="text1"/>
        </w:rPr>
      </w:pPr>
      <w:r w:rsidRPr="00A1399E">
        <w:rPr>
          <w:bCs/>
          <w:color w:val="000000" w:themeColor="text1"/>
          <w:lang w:eastAsia="en-GB"/>
        </w:rPr>
        <w:t>S</w:t>
      </w:r>
      <w:r w:rsidR="000451CA" w:rsidRPr="00A1399E">
        <w:rPr>
          <w:bCs/>
          <w:color w:val="000000" w:themeColor="text1"/>
          <w:lang w:eastAsia="en-GB"/>
        </w:rPr>
        <w:t xml:space="preserve">upport </w:t>
      </w:r>
      <w:r w:rsidR="00616562" w:rsidRPr="00A1399E">
        <w:rPr>
          <w:color w:val="000000" w:themeColor="text1"/>
        </w:rPr>
        <w:t xml:space="preserve">non-violent alternatives to conflict resolution </w:t>
      </w:r>
      <w:r w:rsidR="004E5F16" w:rsidRPr="00A1399E">
        <w:rPr>
          <w:color w:val="000000" w:themeColor="text1"/>
        </w:rPr>
        <w:t xml:space="preserve">to </w:t>
      </w:r>
      <w:r w:rsidR="000451CA" w:rsidRPr="00A1399E">
        <w:rPr>
          <w:color w:val="000000" w:themeColor="text1"/>
        </w:rPr>
        <w:t>facilitate peace and counter violent extremism</w:t>
      </w:r>
      <w:r w:rsidR="00170A38" w:rsidRPr="00A1399E">
        <w:rPr>
          <w:color w:val="000000" w:themeColor="text1"/>
        </w:rPr>
        <w:t xml:space="preserve">, </w:t>
      </w:r>
      <w:r w:rsidR="0060203F" w:rsidRPr="00A1399E">
        <w:rPr>
          <w:color w:val="000000" w:themeColor="text1"/>
        </w:rPr>
        <w:t>includ</w:t>
      </w:r>
      <w:r w:rsidR="00170A38" w:rsidRPr="00A1399E">
        <w:rPr>
          <w:color w:val="000000" w:themeColor="text1"/>
        </w:rPr>
        <w:t>ing</w:t>
      </w:r>
      <w:r w:rsidR="0060203F" w:rsidRPr="00A1399E">
        <w:rPr>
          <w:color w:val="000000" w:themeColor="text1"/>
        </w:rPr>
        <w:t xml:space="preserve"> a focus on </w:t>
      </w:r>
      <w:r w:rsidR="004124AD" w:rsidRPr="00A1399E">
        <w:rPr>
          <w:color w:val="000000" w:themeColor="text1"/>
        </w:rPr>
        <w:t xml:space="preserve">community-led processes and </w:t>
      </w:r>
      <w:r w:rsidR="004E5F16" w:rsidRPr="00A1399E">
        <w:rPr>
          <w:color w:val="000000" w:themeColor="text1"/>
        </w:rPr>
        <w:t xml:space="preserve">empowering religious leaders, clan elders, </w:t>
      </w:r>
      <w:r w:rsidR="00D66103" w:rsidRPr="00A1399E">
        <w:rPr>
          <w:color w:val="000000" w:themeColor="text1"/>
        </w:rPr>
        <w:t xml:space="preserve">youth </w:t>
      </w:r>
      <w:r w:rsidR="004E5F16" w:rsidRPr="00A1399E">
        <w:rPr>
          <w:color w:val="000000" w:themeColor="text1"/>
        </w:rPr>
        <w:t xml:space="preserve">and women in support of </w:t>
      </w:r>
      <w:r w:rsidR="00170A38" w:rsidRPr="00A1399E">
        <w:rPr>
          <w:color w:val="000000" w:themeColor="text1"/>
        </w:rPr>
        <w:t>the n</w:t>
      </w:r>
      <w:r w:rsidR="004E5F16" w:rsidRPr="00A1399E">
        <w:rPr>
          <w:color w:val="000000" w:themeColor="text1"/>
        </w:rPr>
        <w:t xml:space="preserve">ational </w:t>
      </w:r>
      <w:r w:rsidR="00170A38" w:rsidRPr="00A1399E">
        <w:rPr>
          <w:color w:val="000000" w:themeColor="text1"/>
        </w:rPr>
        <w:t>t</w:t>
      </w:r>
      <w:r w:rsidR="004E5F16" w:rsidRPr="00A1399E">
        <w:rPr>
          <w:color w:val="000000" w:themeColor="text1"/>
        </w:rPr>
        <w:t xml:space="preserve">olerance and </w:t>
      </w:r>
      <w:r w:rsidR="00170A38" w:rsidRPr="00A1399E">
        <w:rPr>
          <w:color w:val="000000" w:themeColor="text1"/>
        </w:rPr>
        <w:t>d</w:t>
      </w:r>
      <w:r w:rsidR="004E5F16" w:rsidRPr="00A1399E">
        <w:rPr>
          <w:color w:val="000000" w:themeColor="text1"/>
        </w:rPr>
        <w:t xml:space="preserve">ialogue </w:t>
      </w:r>
      <w:r w:rsidR="00170A38" w:rsidRPr="00A1399E">
        <w:rPr>
          <w:color w:val="000000" w:themeColor="text1"/>
        </w:rPr>
        <w:t>s</w:t>
      </w:r>
      <w:r w:rsidR="004E5F16" w:rsidRPr="00A1399E">
        <w:rPr>
          <w:color w:val="000000" w:themeColor="text1"/>
        </w:rPr>
        <w:t>trategy</w:t>
      </w:r>
      <w:r w:rsidR="00170A38" w:rsidRPr="00A1399E">
        <w:rPr>
          <w:color w:val="000000" w:themeColor="text1"/>
        </w:rPr>
        <w:t>;</w:t>
      </w:r>
      <w:r w:rsidR="004E5F16" w:rsidRPr="00A1399E">
        <w:rPr>
          <w:color w:val="000000" w:themeColor="text1"/>
        </w:rPr>
        <w:t xml:space="preserve"> </w:t>
      </w:r>
    </w:p>
    <w:p w14:paraId="53BA8D86" w14:textId="62819BBA" w:rsidR="000451CA" w:rsidRPr="00A1399E" w:rsidRDefault="00BA09AB" w:rsidP="00F4641E">
      <w:pPr>
        <w:pStyle w:val="ListParagraph"/>
        <w:numPr>
          <w:ilvl w:val="0"/>
          <w:numId w:val="26"/>
        </w:numPr>
        <w:spacing w:after="120" w:line="240" w:lineRule="exact"/>
        <w:ind w:left="1080"/>
        <w:jc w:val="both"/>
        <w:rPr>
          <w:bCs/>
        </w:rPr>
      </w:pPr>
      <w:bookmarkStart w:id="4" w:name="_Toc49181083"/>
      <w:r w:rsidRPr="00A1399E">
        <w:rPr>
          <w:bCs/>
          <w:color w:val="000000" w:themeColor="text1"/>
        </w:rPr>
        <w:t>Work with U</w:t>
      </w:r>
      <w:r w:rsidR="00170A38" w:rsidRPr="00A1399E">
        <w:rPr>
          <w:bCs/>
          <w:color w:val="000000" w:themeColor="text1"/>
        </w:rPr>
        <w:t xml:space="preserve">nited </w:t>
      </w:r>
      <w:r w:rsidRPr="00A1399E">
        <w:rPr>
          <w:bCs/>
          <w:color w:val="000000" w:themeColor="text1"/>
        </w:rPr>
        <w:t>N</w:t>
      </w:r>
      <w:r w:rsidR="00170A38" w:rsidRPr="00A1399E">
        <w:rPr>
          <w:bCs/>
          <w:color w:val="000000" w:themeColor="text1"/>
        </w:rPr>
        <w:t>ations</w:t>
      </w:r>
      <w:r w:rsidRPr="00A1399E">
        <w:rPr>
          <w:bCs/>
          <w:color w:val="000000" w:themeColor="text1"/>
        </w:rPr>
        <w:t xml:space="preserve"> entities (UNSOM, UN</w:t>
      </w:r>
      <w:r w:rsidR="00170A38" w:rsidRPr="00A1399E">
        <w:rPr>
          <w:bCs/>
          <w:color w:val="000000" w:themeColor="text1"/>
        </w:rPr>
        <w:t>-</w:t>
      </w:r>
      <w:r w:rsidRPr="00A1399E">
        <w:rPr>
          <w:bCs/>
          <w:color w:val="000000" w:themeColor="text1"/>
        </w:rPr>
        <w:t xml:space="preserve">Women, </w:t>
      </w:r>
      <w:r w:rsidR="00170A38" w:rsidRPr="00A1399E">
        <w:rPr>
          <w:bCs/>
          <w:color w:val="000000" w:themeColor="text1"/>
        </w:rPr>
        <w:t xml:space="preserve">the United Nations Children’s Fund and </w:t>
      </w:r>
      <w:r w:rsidRPr="00A1399E">
        <w:rPr>
          <w:bCs/>
          <w:color w:val="000000" w:themeColor="text1"/>
        </w:rPr>
        <w:t xml:space="preserve">UNOPS) </w:t>
      </w:r>
      <w:r w:rsidR="006B5543" w:rsidRPr="00A1399E">
        <w:rPr>
          <w:bCs/>
          <w:color w:val="000000" w:themeColor="text1"/>
        </w:rPr>
        <w:t xml:space="preserve">in </w:t>
      </w:r>
      <w:r w:rsidR="00E55853" w:rsidRPr="00A1399E">
        <w:rPr>
          <w:bCs/>
          <w:color w:val="000000" w:themeColor="text1"/>
        </w:rPr>
        <w:t xml:space="preserve">line with </w:t>
      </w:r>
      <w:r w:rsidR="000451CA" w:rsidRPr="00A1399E">
        <w:rPr>
          <w:bCs/>
          <w:color w:val="000000" w:themeColor="text1"/>
        </w:rPr>
        <w:t xml:space="preserve">the </w:t>
      </w:r>
      <w:r w:rsidR="00170A38" w:rsidRPr="00A1399E">
        <w:rPr>
          <w:bCs/>
          <w:color w:val="000000" w:themeColor="text1"/>
        </w:rPr>
        <w:t>g</w:t>
      </w:r>
      <w:r w:rsidR="000451CA" w:rsidRPr="00A1399E">
        <w:rPr>
          <w:bCs/>
          <w:color w:val="000000" w:themeColor="text1"/>
        </w:rPr>
        <w:t xml:space="preserve">lobal </w:t>
      </w:r>
      <w:r w:rsidR="00170A38" w:rsidRPr="00A1399E">
        <w:rPr>
          <w:bCs/>
          <w:color w:val="000000" w:themeColor="text1"/>
        </w:rPr>
        <w:t>f</w:t>
      </w:r>
      <w:r w:rsidR="000451CA" w:rsidRPr="00A1399E">
        <w:rPr>
          <w:bCs/>
          <w:color w:val="000000" w:themeColor="text1"/>
        </w:rPr>
        <w:t xml:space="preserve">ocal </w:t>
      </w:r>
      <w:r w:rsidR="00170A38" w:rsidRPr="00A1399E">
        <w:rPr>
          <w:bCs/>
          <w:color w:val="000000" w:themeColor="text1"/>
        </w:rPr>
        <w:t>p</w:t>
      </w:r>
      <w:r w:rsidR="000451CA" w:rsidRPr="00A1399E">
        <w:rPr>
          <w:bCs/>
          <w:color w:val="000000" w:themeColor="text1"/>
        </w:rPr>
        <w:t xml:space="preserve">oints </w:t>
      </w:r>
      <w:r w:rsidR="00E55853" w:rsidRPr="00A1399E">
        <w:rPr>
          <w:bCs/>
          <w:color w:val="000000" w:themeColor="text1"/>
        </w:rPr>
        <w:t xml:space="preserve">mechanism </w:t>
      </w:r>
      <w:r w:rsidR="006B5543" w:rsidRPr="00A1399E">
        <w:rPr>
          <w:bCs/>
          <w:color w:val="000000" w:themeColor="text1"/>
        </w:rPr>
        <w:t>to</w:t>
      </w:r>
      <w:r w:rsidR="00E55853" w:rsidRPr="00A1399E">
        <w:rPr>
          <w:bCs/>
          <w:color w:val="000000" w:themeColor="text1"/>
        </w:rPr>
        <w:t xml:space="preserve"> facilitate and</w:t>
      </w:r>
      <w:r w:rsidR="000451CA" w:rsidRPr="00A1399E">
        <w:rPr>
          <w:bCs/>
          <w:color w:val="000000" w:themeColor="text1"/>
        </w:rPr>
        <w:t xml:space="preserve"> ensure marginalized groups</w:t>
      </w:r>
      <w:r w:rsidR="00170A38" w:rsidRPr="00A1399E">
        <w:rPr>
          <w:bCs/>
          <w:color w:val="000000" w:themeColor="text1"/>
        </w:rPr>
        <w:t>,</w:t>
      </w:r>
      <w:r w:rsidR="000451CA" w:rsidRPr="00A1399E">
        <w:rPr>
          <w:bCs/>
          <w:color w:val="000000" w:themeColor="text1"/>
        </w:rPr>
        <w:t xml:space="preserve"> including women, youth, IDPs </w:t>
      </w:r>
      <w:r w:rsidR="00170A38" w:rsidRPr="00A1399E">
        <w:rPr>
          <w:bCs/>
          <w:color w:val="000000" w:themeColor="text1"/>
        </w:rPr>
        <w:t>and persons with disabilities</w:t>
      </w:r>
      <w:r w:rsidR="00182053" w:rsidRPr="00A1399E">
        <w:rPr>
          <w:bCs/>
          <w:color w:val="000000" w:themeColor="text1"/>
        </w:rPr>
        <w:t>,</w:t>
      </w:r>
      <w:r w:rsidR="00170A38" w:rsidRPr="00A1399E">
        <w:rPr>
          <w:bCs/>
          <w:color w:val="000000" w:themeColor="text1"/>
        </w:rPr>
        <w:t xml:space="preserve"> </w:t>
      </w:r>
      <w:r w:rsidR="000451CA" w:rsidRPr="00A1399E">
        <w:rPr>
          <w:bCs/>
          <w:color w:val="000000" w:themeColor="text1"/>
        </w:rPr>
        <w:t xml:space="preserve">participate in and benefit from reforms </w:t>
      </w:r>
      <w:r w:rsidR="00092FBB" w:rsidRPr="00A1399E">
        <w:rPr>
          <w:bCs/>
          <w:color w:val="000000" w:themeColor="text1"/>
        </w:rPr>
        <w:t>i</w:t>
      </w:r>
      <w:r w:rsidR="000451CA" w:rsidRPr="00A1399E">
        <w:rPr>
          <w:bCs/>
          <w:color w:val="000000" w:themeColor="text1"/>
        </w:rPr>
        <w:t>n security, rule of law, access to justice and human rights</w:t>
      </w:r>
      <w:r w:rsidR="00170A38" w:rsidRPr="00A1399E">
        <w:rPr>
          <w:bCs/>
          <w:color w:val="000000" w:themeColor="text1"/>
        </w:rPr>
        <w:t xml:space="preserve">, with </w:t>
      </w:r>
      <w:r w:rsidR="00170A38" w:rsidRPr="00A1399E">
        <w:t>p</w:t>
      </w:r>
      <w:r w:rsidR="00737EED" w:rsidRPr="00A1399E">
        <w:t xml:space="preserve">ossible funding partners </w:t>
      </w:r>
      <w:r w:rsidR="00170A38" w:rsidRPr="00A1399E">
        <w:t xml:space="preserve">such as the </w:t>
      </w:r>
      <w:r w:rsidR="00737EED" w:rsidRPr="00A1399E">
        <w:t xml:space="preserve">European Union, </w:t>
      </w:r>
      <w:r w:rsidR="00170A38" w:rsidRPr="00A1399E">
        <w:t xml:space="preserve">the </w:t>
      </w:r>
      <w:r w:rsidR="00737EED" w:rsidRPr="00A1399E">
        <w:t xml:space="preserve">Netherlands, Denmark, </w:t>
      </w:r>
      <w:r w:rsidR="00170A38" w:rsidRPr="00A1399E">
        <w:t xml:space="preserve">FCDO, Germany, </w:t>
      </w:r>
      <w:r w:rsidR="00737EED" w:rsidRPr="00A1399E">
        <w:t xml:space="preserve">Japan, </w:t>
      </w:r>
      <w:r w:rsidR="00170A38" w:rsidRPr="00A1399E">
        <w:t xml:space="preserve">Norway, Sweden, </w:t>
      </w:r>
      <w:r w:rsidR="00737EED" w:rsidRPr="00A1399E">
        <w:t xml:space="preserve">Switzerland </w:t>
      </w:r>
      <w:r w:rsidR="00170A38" w:rsidRPr="00A1399E">
        <w:t>and the Peacebuilding Fund</w:t>
      </w:r>
      <w:r w:rsidR="00737EED" w:rsidRPr="00A1399E">
        <w:t>.</w:t>
      </w:r>
      <w:r w:rsidR="000451CA" w:rsidRPr="00A1399E">
        <w:t xml:space="preserve"> </w:t>
      </w:r>
    </w:p>
    <w:bookmarkEnd w:id="4"/>
    <w:p w14:paraId="13DA429E" w14:textId="1F3D9DB1" w:rsidR="000A24A1" w:rsidRPr="00A1399E" w:rsidRDefault="000A24A1" w:rsidP="00F704ED">
      <w:pPr>
        <w:spacing w:after="120" w:line="240" w:lineRule="exact"/>
        <w:ind w:left="720"/>
        <w:jc w:val="both"/>
        <w:rPr>
          <w:b/>
          <w:sz w:val="20"/>
          <w:szCs w:val="20"/>
        </w:rPr>
      </w:pPr>
      <w:r w:rsidRPr="00A1399E">
        <w:rPr>
          <w:b/>
          <w:sz w:val="20"/>
          <w:szCs w:val="20"/>
        </w:rPr>
        <w:t xml:space="preserve">Programme </w:t>
      </w:r>
      <w:r w:rsidR="00D15FBF" w:rsidRPr="00A1399E">
        <w:rPr>
          <w:b/>
          <w:sz w:val="20"/>
          <w:szCs w:val="20"/>
        </w:rPr>
        <w:t>p</w:t>
      </w:r>
      <w:r w:rsidR="006A3CED" w:rsidRPr="00A1399E">
        <w:rPr>
          <w:b/>
          <w:sz w:val="20"/>
          <w:szCs w:val="20"/>
        </w:rPr>
        <w:t>riority</w:t>
      </w:r>
      <w:r w:rsidRPr="00A1399E">
        <w:rPr>
          <w:b/>
          <w:sz w:val="20"/>
          <w:szCs w:val="20"/>
        </w:rPr>
        <w:t xml:space="preserve"> 3</w:t>
      </w:r>
      <w:r w:rsidR="00D15FBF" w:rsidRPr="00A1399E">
        <w:rPr>
          <w:b/>
          <w:sz w:val="20"/>
          <w:szCs w:val="20"/>
        </w:rPr>
        <w:t>: s</w:t>
      </w:r>
      <w:r w:rsidRPr="00A1399E">
        <w:rPr>
          <w:b/>
          <w:sz w:val="20"/>
          <w:szCs w:val="20"/>
        </w:rPr>
        <w:t xml:space="preserve">ustainable </w:t>
      </w:r>
      <w:r w:rsidR="00D15FBF" w:rsidRPr="00A1399E">
        <w:rPr>
          <w:b/>
          <w:sz w:val="20"/>
          <w:szCs w:val="20"/>
        </w:rPr>
        <w:t>n</w:t>
      </w:r>
      <w:r w:rsidRPr="00A1399E">
        <w:rPr>
          <w:b/>
          <w:sz w:val="20"/>
          <w:szCs w:val="20"/>
        </w:rPr>
        <w:t xml:space="preserve">atural </w:t>
      </w:r>
      <w:r w:rsidR="00D15FBF" w:rsidRPr="00A1399E">
        <w:rPr>
          <w:b/>
          <w:sz w:val="20"/>
          <w:szCs w:val="20"/>
        </w:rPr>
        <w:t>r</w:t>
      </w:r>
      <w:r w:rsidRPr="00A1399E">
        <w:rPr>
          <w:b/>
          <w:sz w:val="20"/>
          <w:szCs w:val="20"/>
        </w:rPr>
        <w:t>esou</w:t>
      </w:r>
      <w:r w:rsidR="00FD3D0F" w:rsidRPr="00A1399E">
        <w:rPr>
          <w:b/>
          <w:sz w:val="20"/>
          <w:szCs w:val="20"/>
        </w:rPr>
        <w:t xml:space="preserve">rces </w:t>
      </w:r>
      <w:r w:rsidR="00D15FBF" w:rsidRPr="00A1399E">
        <w:rPr>
          <w:b/>
          <w:sz w:val="20"/>
          <w:szCs w:val="20"/>
        </w:rPr>
        <w:t>m</w:t>
      </w:r>
      <w:r w:rsidR="00DA4832" w:rsidRPr="00A1399E">
        <w:rPr>
          <w:b/>
          <w:sz w:val="20"/>
          <w:szCs w:val="20"/>
        </w:rPr>
        <w:t xml:space="preserve">anagement </w:t>
      </w:r>
      <w:r w:rsidR="00FD3D0F" w:rsidRPr="00A1399E">
        <w:rPr>
          <w:b/>
          <w:sz w:val="20"/>
          <w:szCs w:val="20"/>
        </w:rPr>
        <w:t xml:space="preserve">for </w:t>
      </w:r>
      <w:r w:rsidR="00D15FBF" w:rsidRPr="00A1399E">
        <w:rPr>
          <w:b/>
          <w:sz w:val="20"/>
          <w:szCs w:val="20"/>
        </w:rPr>
        <w:t>i</w:t>
      </w:r>
      <w:r w:rsidR="00FD3D0F" w:rsidRPr="00A1399E">
        <w:rPr>
          <w:b/>
          <w:sz w:val="20"/>
          <w:szCs w:val="20"/>
        </w:rPr>
        <w:t xml:space="preserve">nclusive </w:t>
      </w:r>
      <w:r w:rsidR="00D15FBF" w:rsidRPr="00A1399E">
        <w:rPr>
          <w:b/>
          <w:sz w:val="20"/>
          <w:szCs w:val="20"/>
        </w:rPr>
        <w:t>e</w:t>
      </w:r>
      <w:r w:rsidR="00FD3D0F" w:rsidRPr="00A1399E">
        <w:rPr>
          <w:b/>
          <w:sz w:val="20"/>
          <w:szCs w:val="20"/>
        </w:rPr>
        <w:t xml:space="preserve">conomic </w:t>
      </w:r>
      <w:r w:rsidR="00D15FBF" w:rsidRPr="00A1399E">
        <w:rPr>
          <w:b/>
          <w:sz w:val="20"/>
          <w:szCs w:val="20"/>
        </w:rPr>
        <w:t>g</w:t>
      </w:r>
      <w:r w:rsidR="00FD3D0F" w:rsidRPr="00A1399E">
        <w:rPr>
          <w:b/>
          <w:sz w:val="20"/>
          <w:szCs w:val="20"/>
        </w:rPr>
        <w:t>rowth</w:t>
      </w:r>
    </w:p>
    <w:p w14:paraId="00D5627D" w14:textId="1A5E54E5" w:rsidR="00695687" w:rsidRPr="00A1399E" w:rsidRDefault="00D33575" w:rsidP="00F704ED">
      <w:pPr>
        <w:spacing w:after="120" w:line="240" w:lineRule="exact"/>
        <w:ind w:left="720"/>
        <w:jc w:val="both"/>
        <w:rPr>
          <w:rFonts w:eastAsia="Calibri"/>
          <w:sz w:val="20"/>
          <w:szCs w:val="20"/>
          <w:lang w:eastAsia="en-US"/>
        </w:rPr>
      </w:pPr>
      <w:r w:rsidRPr="00A1399E">
        <w:rPr>
          <w:rFonts w:eastAsia="Times New Roman"/>
          <w:bCs/>
          <w:sz w:val="20"/>
          <w:szCs w:val="20"/>
        </w:rPr>
        <w:t>2</w:t>
      </w:r>
      <w:r w:rsidR="00F52919" w:rsidRPr="00A1399E">
        <w:rPr>
          <w:rFonts w:eastAsia="Times New Roman"/>
          <w:bCs/>
          <w:sz w:val="20"/>
          <w:szCs w:val="20"/>
        </w:rPr>
        <w:t>0</w:t>
      </w:r>
      <w:r w:rsidR="007C1322" w:rsidRPr="00A1399E">
        <w:rPr>
          <w:rFonts w:eastAsia="Times New Roman"/>
          <w:bCs/>
          <w:sz w:val="20"/>
          <w:szCs w:val="20"/>
        </w:rPr>
        <w:t>.</w:t>
      </w:r>
      <w:r w:rsidR="007521D7" w:rsidRPr="00A1399E">
        <w:rPr>
          <w:rFonts w:eastAsia="Times New Roman"/>
          <w:b/>
          <w:bCs/>
          <w:sz w:val="20"/>
          <w:szCs w:val="20"/>
        </w:rPr>
        <w:t xml:space="preserve"> </w:t>
      </w:r>
      <w:r w:rsidR="007521D7" w:rsidRPr="00A1399E">
        <w:rPr>
          <w:rFonts w:eastAsia="Times New Roman"/>
          <w:bCs/>
          <w:sz w:val="20"/>
          <w:szCs w:val="20"/>
        </w:rPr>
        <w:t xml:space="preserve">This programme will contribute to </w:t>
      </w:r>
      <w:r w:rsidR="00D15FBF" w:rsidRPr="00A1399E">
        <w:rPr>
          <w:rFonts w:eastAsia="Times New Roman"/>
          <w:bCs/>
          <w:sz w:val="20"/>
          <w:szCs w:val="20"/>
        </w:rPr>
        <w:t>Goals 1</w:t>
      </w:r>
      <w:r w:rsidR="007521D7" w:rsidRPr="00A1399E">
        <w:rPr>
          <w:rFonts w:eastAsia="Times New Roman"/>
          <w:bCs/>
          <w:sz w:val="20"/>
          <w:szCs w:val="20"/>
        </w:rPr>
        <w:t>, 2, 3, 5, 6, 7, 8, 9, 10, 11, 12, 13, 14, 15, 16 and 17, and UNDP Strategic Plan</w:t>
      </w:r>
      <w:r w:rsidR="00D15FBF" w:rsidRPr="00A1399E">
        <w:rPr>
          <w:rFonts w:eastAsia="Times New Roman"/>
          <w:bCs/>
          <w:sz w:val="20"/>
          <w:szCs w:val="20"/>
        </w:rPr>
        <w:t xml:space="preserve">, 2018-2021, </w:t>
      </w:r>
      <w:r w:rsidR="007521D7" w:rsidRPr="00A1399E">
        <w:rPr>
          <w:rFonts w:eastAsia="Times New Roman"/>
          <w:bCs/>
          <w:sz w:val="20"/>
          <w:szCs w:val="20"/>
        </w:rPr>
        <w:t>signature solutions 1, 3, 4, 5 and 6</w:t>
      </w:r>
      <w:r w:rsidR="007521D7" w:rsidRPr="00A1399E">
        <w:rPr>
          <w:rStyle w:val="FootnoteReference"/>
          <w:rFonts w:cs="Times New Roman"/>
          <w:bCs/>
          <w:sz w:val="20"/>
          <w:szCs w:val="20"/>
        </w:rPr>
        <w:footnoteReference w:id="34"/>
      </w:r>
      <w:r w:rsidR="00522858" w:rsidRPr="00A1399E">
        <w:rPr>
          <w:rFonts w:eastAsia="Times New Roman"/>
          <w:bCs/>
          <w:sz w:val="20"/>
          <w:szCs w:val="20"/>
        </w:rPr>
        <w:t xml:space="preserve"> and </w:t>
      </w:r>
      <w:r w:rsidR="007F41FF" w:rsidRPr="00A1399E">
        <w:rPr>
          <w:rFonts w:eastAsia="Times New Roman"/>
          <w:bCs/>
          <w:sz w:val="20"/>
          <w:szCs w:val="20"/>
        </w:rPr>
        <w:t>UNSDCF</w:t>
      </w:r>
      <w:r w:rsidR="00522858" w:rsidRPr="00A1399E">
        <w:rPr>
          <w:rFonts w:eastAsia="Times New Roman"/>
          <w:bCs/>
          <w:sz w:val="20"/>
          <w:szCs w:val="20"/>
        </w:rPr>
        <w:t xml:space="preserve"> </w:t>
      </w:r>
      <w:r w:rsidR="00D15FBF" w:rsidRPr="00A1399E">
        <w:rPr>
          <w:rFonts w:eastAsia="Times New Roman"/>
          <w:bCs/>
          <w:sz w:val="20"/>
          <w:szCs w:val="20"/>
        </w:rPr>
        <w:t>o</w:t>
      </w:r>
      <w:r w:rsidR="00522858" w:rsidRPr="00A1399E">
        <w:rPr>
          <w:rFonts w:eastAsia="Times New Roman"/>
          <w:bCs/>
          <w:sz w:val="20"/>
          <w:szCs w:val="20"/>
        </w:rPr>
        <w:t>utcomes</w:t>
      </w:r>
      <w:r w:rsidR="00D15FBF" w:rsidRPr="00A1399E">
        <w:rPr>
          <w:rFonts w:eastAsia="Times New Roman"/>
          <w:bCs/>
          <w:sz w:val="20"/>
          <w:szCs w:val="20"/>
        </w:rPr>
        <w:t> </w:t>
      </w:r>
      <w:r w:rsidR="00522858" w:rsidRPr="00A1399E">
        <w:rPr>
          <w:rFonts w:eastAsia="Times New Roman"/>
          <w:bCs/>
          <w:sz w:val="20"/>
          <w:szCs w:val="20"/>
        </w:rPr>
        <w:t>3.</w:t>
      </w:r>
      <w:r w:rsidR="00E55853" w:rsidRPr="00A1399E">
        <w:rPr>
          <w:rFonts w:eastAsia="Times New Roman"/>
          <w:bCs/>
          <w:sz w:val="20"/>
          <w:szCs w:val="20"/>
        </w:rPr>
        <w:t xml:space="preserve">1 </w:t>
      </w:r>
      <w:r w:rsidR="00522858" w:rsidRPr="00A1399E">
        <w:rPr>
          <w:rFonts w:eastAsia="Times New Roman"/>
          <w:bCs/>
          <w:sz w:val="20"/>
          <w:szCs w:val="20"/>
        </w:rPr>
        <w:t>and 4.2</w:t>
      </w:r>
      <w:r w:rsidR="007521D7" w:rsidRPr="00A1399E">
        <w:rPr>
          <w:rFonts w:eastAsia="Times New Roman"/>
          <w:bCs/>
          <w:sz w:val="20"/>
          <w:szCs w:val="20"/>
        </w:rPr>
        <w:t xml:space="preserve">. </w:t>
      </w:r>
      <w:r w:rsidR="00695687" w:rsidRPr="00A1399E">
        <w:rPr>
          <w:rFonts w:eastAsia="Calibri"/>
          <w:sz w:val="20"/>
          <w:szCs w:val="20"/>
          <w:lang w:eastAsia="en-US"/>
        </w:rPr>
        <w:t>Specific</w:t>
      </w:r>
      <w:r w:rsidR="00751FC1" w:rsidRPr="00A1399E">
        <w:rPr>
          <w:rFonts w:eastAsia="Calibri"/>
          <w:sz w:val="20"/>
          <w:szCs w:val="20"/>
          <w:lang w:eastAsia="en-US"/>
        </w:rPr>
        <w:t>ally</w:t>
      </w:r>
      <w:r w:rsidR="00BE1445" w:rsidRPr="00A1399E">
        <w:rPr>
          <w:rFonts w:eastAsia="Calibri"/>
          <w:sz w:val="20"/>
          <w:szCs w:val="20"/>
          <w:lang w:eastAsia="en-US"/>
        </w:rPr>
        <w:t>, UNDP will</w:t>
      </w:r>
      <w:r w:rsidR="00695687" w:rsidRPr="00A1399E">
        <w:rPr>
          <w:rFonts w:eastAsia="Calibri"/>
          <w:sz w:val="20"/>
          <w:szCs w:val="20"/>
          <w:lang w:eastAsia="en-US"/>
        </w:rPr>
        <w:t xml:space="preserve">: </w:t>
      </w:r>
    </w:p>
    <w:p w14:paraId="5F71F50A" w14:textId="2ED900EB" w:rsidR="007521D7" w:rsidRPr="00A1399E" w:rsidRDefault="00125524" w:rsidP="00F4641E">
      <w:pPr>
        <w:pStyle w:val="Default"/>
        <w:numPr>
          <w:ilvl w:val="0"/>
          <w:numId w:val="27"/>
        </w:numPr>
        <w:spacing w:after="120" w:line="240" w:lineRule="exact"/>
        <w:ind w:left="1080"/>
        <w:jc w:val="both"/>
        <w:rPr>
          <w:color w:val="000000" w:themeColor="text1"/>
          <w:sz w:val="20"/>
          <w:szCs w:val="20"/>
          <w:lang w:val="en-GB"/>
        </w:rPr>
      </w:pPr>
      <w:r w:rsidRPr="00A1399E">
        <w:rPr>
          <w:color w:val="000000" w:themeColor="text1"/>
          <w:sz w:val="20"/>
          <w:szCs w:val="20"/>
          <w:lang w:val="en-GB"/>
        </w:rPr>
        <w:t>S</w:t>
      </w:r>
      <w:r w:rsidR="007521D7" w:rsidRPr="00A1399E">
        <w:rPr>
          <w:color w:val="000000" w:themeColor="text1"/>
          <w:sz w:val="20"/>
          <w:szCs w:val="20"/>
          <w:lang w:val="en-GB"/>
        </w:rPr>
        <w:t>upport integrated environmental governance and natural resources</w:t>
      </w:r>
      <w:r w:rsidR="00327EF9" w:rsidRPr="00A1399E">
        <w:rPr>
          <w:color w:val="000000" w:themeColor="text1"/>
          <w:sz w:val="20"/>
          <w:szCs w:val="20"/>
          <w:lang w:val="en-GB"/>
        </w:rPr>
        <w:t xml:space="preserve"> management</w:t>
      </w:r>
      <w:r w:rsidR="00D15FBF" w:rsidRPr="00A1399E">
        <w:rPr>
          <w:color w:val="000000" w:themeColor="text1"/>
          <w:sz w:val="20"/>
          <w:szCs w:val="20"/>
          <w:lang w:val="en-GB"/>
        </w:rPr>
        <w:t>,</w:t>
      </w:r>
      <w:r w:rsidR="00327EF9" w:rsidRPr="00A1399E">
        <w:rPr>
          <w:color w:val="000000" w:themeColor="text1"/>
          <w:sz w:val="20"/>
          <w:szCs w:val="20"/>
          <w:lang w:val="en-GB"/>
        </w:rPr>
        <w:t xml:space="preserve"> </w:t>
      </w:r>
      <w:r w:rsidR="007521D7" w:rsidRPr="00A1399E">
        <w:rPr>
          <w:color w:val="000000" w:themeColor="text1"/>
          <w:sz w:val="20"/>
          <w:szCs w:val="20"/>
          <w:lang w:val="en-GB"/>
        </w:rPr>
        <w:t xml:space="preserve">including </w:t>
      </w:r>
      <w:r w:rsidR="00327EF9" w:rsidRPr="00A1399E">
        <w:rPr>
          <w:color w:val="000000" w:themeColor="text1"/>
          <w:sz w:val="20"/>
          <w:szCs w:val="20"/>
          <w:lang w:val="en-GB"/>
        </w:rPr>
        <w:t>l</w:t>
      </w:r>
      <w:r w:rsidR="007521D7" w:rsidRPr="00A1399E">
        <w:rPr>
          <w:color w:val="000000" w:themeColor="text1"/>
          <w:sz w:val="20"/>
          <w:szCs w:val="20"/>
          <w:lang w:val="en-GB"/>
        </w:rPr>
        <w:t>and</w:t>
      </w:r>
      <w:r w:rsidR="00327EF9" w:rsidRPr="00A1399E">
        <w:rPr>
          <w:color w:val="000000" w:themeColor="text1"/>
          <w:sz w:val="20"/>
          <w:szCs w:val="20"/>
          <w:lang w:val="en-GB"/>
        </w:rPr>
        <w:t xml:space="preserve">, </w:t>
      </w:r>
      <w:r w:rsidR="007521D7" w:rsidRPr="00A1399E">
        <w:rPr>
          <w:color w:val="000000" w:themeColor="text1"/>
          <w:sz w:val="20"/>
          <w:szCs w:val="20"/>
          <w:lang w:val="en-GB"/>
        </w:rPr>
        <w:t>water</w:t>
      </w:r>
      <w:r w:rsidR="00327EF9" w:rsidRPr="00A1399E">
        <w:rPr>
          <w:color w:val="000000" w:themeColor="text1"/>
          <w:sz w:val="20"/>
          <w:szCs w:val="20"/>
          <w:lang w:val="en-GB"/>
        </w:rPr>
        <w:t xml:space="preserve">, marine </w:t>
      </w:r>
      <w:r w:rsidR="007521D7" w:rsidRPr="00A1399E">
        <w:rPr>
          <w:color w:val="000000" w:themeColor="text1"/>
          <w:sz w:val="20"/>
          <w:szCs w:val="20"/>
          <w:lang w:val="en-GB"/>
        </w:rPr>
        <w:t>and restoration of degraded landscapes and ecosystems</w:t>
      </w:r>
      <w:r w:rsidR="00DB3931" w:rsidRPr="00A1399E">
        <w:rPr>
          <w:color w:val="000000" w:themeColor="text1"/>
          <w:sz w:val="20"/>
          <w:szCs w:val="20"/>
          <w:lang w:val="en-GB"/>
        </w:rPr>
        <w:t xml:space="preserve">; </w:t>
      </w:r>
      <w:r w:rsidR="00327EF9" w:rsidRPr="00A1399E">
        <w:rPr>
          <w:rFonts w:eastAsia="Times New Roman"/>
          <w:color w:val="222222"/>
          <w:sz w:val="20"/>
          <w:szCs w:val="20"/>
          <w:lang w:val="en-GB" w:eastAsia="en-GB"/>
        </w:rPr>
        <w:t xml:space="preserve">facilitate </w:t>
      </w:r>
      <w:r w:rsidR="007521D7" w:rsidRPr="00A1399E">
        <w:rPr>
          <w:color w:val="000000" w:themeColor="text1"/>
          <w:sz w:val="20"/>
          <w:szCs w:val="20"/>
          <w:lang w:val="en-GB"/>
        </w:rPr>
        <w:t>vulnerable communities</w:t>
      </w:r>
      <w:r w:rsidR="00327EF9" w:rsidRPr="00A1399E">
        <w:rPr>
          <w:color w:val="000000" w:themeColor="text1"/>
          <w:sz w:val="20"/>
          <w:szCs w:val="20"/>
          <w:lang w:val="en-GB"/>
        </w:rPr>
        <w:t xml:space="preserve"> (women, youth, agro-pastoralists, IDPs)</w:t>
      </w:r>
      <w:r w:rsidR="007521D7" w:rsidRPr="00A1399E">
        <w:rPr>
          <w:color w:val="000000" w:themeColor="text1"/>
          <w:sz w:val="20"/>
          <w:szCs w:val="20"/>
          <w:lang w:val="en-GB"/>
        </w:rPr>
        <w:t xml:space="preserve"> to </w:t>
      </w:r>
      <w:r w:rsidR="00905BB3" w:rsidRPr="00A1399E">
        <w:rPr>
          <w:color w:val="000000" w:themeColor="text1"/>
          <w:sz w:val="20"/>
          <w:szCs w:val="20"/>
          <w:lang w:val="en-GB"/>
        </w:rPr>
        <w:t xml:space="preserve">participate </w:t>
      </w:r>
      <w:r w:rsidR="007521D7" w:rsidRPr="00A1399E">
        <w:rPr>
          <w:color w:val="000000" w:themeColor="text1"/>
          <w:sz w:val="20"/>
          <w:szCs w:val="20"/>
          <w:lang w:val="en-GB"/>
        </w:rPr>
        <w:t>and benefit from these initiatives</w:t>
      </w:r>
      <w:r w:rsidR="00D15FBF" w:rsidRPr="00A1399E">
        <w:rPr>
          <w:color w:val="000000" w:themeColor="text1"/>
          <w:sz w:val="20"/>
          <w:szCs w:val="20"/>
          <w:lang w:val="en-GB"/>
        </w:rPr>
        <w:t>;</w:t>
      </w:r>
    </w:p>
    <w:p w14:paraId="65909FA1" w14:textId="1986AED4" w:rsidR="00D82033" w:rsidRPr="00A1399E" w:rsidRDefault="00FA2402" w:rsidP="00F4641E">
      <w:pPr>
        <w:pStyle w:val="ListParagraph"/>
        <w:numPr>
          <w:ilvl w:val="0"/>
          <w:numId w:val="27"/>
        </w:numPr>
        <w:spacing w:after="120" w:line="240" w:lineRule="exact"/>
        <w:ind w:left="1080"/>
        <w:jc w:val="both"/>
        <w:rPr>
          <w:color w:val="000000" w:themeColor="text1"/>
        </w:rPr>
      </w:pPr>
      <w:r w:rsidRPr="00A1399E">
        <w:rPr>
          <w:color w:val="000000" w:themeColor="text1"/>
        </w:rPr>
        <w:t>S</w:t>
      </w:r>
      <w:r w:rsidR="00A26425" w:rsidRPr="00A1399E">
        <w:rPr>
          <w:color w:val="000000" w:themeColor="text1"/>
        </w:rPr>
        <w:t xml:space="preserve">upport development of policies that </w:t>
      </w:r>
      <w:r w:rsidR="007521D7" w:rsidRPr="00A1399E">
        <w:rPr>
          <w:color w:val="000000" w:themeColor="text1"/>
        </w:rPr>
        <w:t>improve resilience to climate change and increase disaster risk management capacities at federal, state and local levels</w:t>
      </w:r>
      <w:r w:rsidR="00A26425" w:rsidRPr="00A1399E">
        <w:rPr>
          <w:color w:val="000000" w:themeColor="text1"/>
        </w:rPr>
        <w:t xml:space="preserve">; build </w:t>
      </w:r>
      <w:r w:rsidR="00522858" w:rsidRPr="00A1399E">
        <w:rPr>
          <w:color w:val="000000" w:themeColor="text1"/>
        </w:rPr>
        <w:t>resilience for</w:t>
      </w:r>
      <w:r w:rsidR="00A26425" w:rsidRPr="00A1399E">
        <w:rPr>
          <w:color w:val="000000" w:themeColor="text1"/>
        </w:rPr>
        <w:t xml:space="preserve"> </w:t>
      </w:r>
      <w:r w:rsidR="004612C4" w:rsidRPr="00A1399E">
        <w:rPr>
          <w:color w:val="000000" w:themeColor="text1"/>
        </w:rPr>
        <w:t xml:space="preserve">pastoralists </w:t>
      </w:r>
      <w:r w:rsidR="007521D7" w:rsidRPr="00A1399E">
        <w:rPr>
          <w:color w:val="000000" w:themeColor="text1"/>
        </w:rPr>
        <w:t>and agro-pastoral communities</w:t>
      </w:r>
      <w:r w:rsidR="00636834" w:rsidRPr="00A1399E">
        <w:rPr>
          <w:color w:val="000000" w:themeColor="text1"/>
        </w:rPr>
        <w:t>;</w:t>
      </w:r>
      <w:r w:rsidR="007521D7" w:rsidRPr="00A1399E">
        <w:rPr>
          <w:color w:val="000000" w:themeColor="text1"/>
        </w:rPr>
        <w:t xml:space="preserve"> </w:t>
      </w:r>
      <w:r w:rsidR="007521D7" w:rsidRPr="00A1399E">
        <w:rPr>
          <w:color w:val="000000" w:themeColor="text1"/>
          <w:lang w:eastAsia="en-GB"/>
        </w:rPr>
        <w:t>establish early warning system</w:t>
      </w:r>
      <w:r w:rsidR="00A26425" w:rsidRPr="00A1399E">
        <w:rPr>
          <w:color w:val="000000" w:themeColor="text1"/>
          <w:lang w:eastAsia="en-GB"/>
        </w:rPr>
        <w:t>s</w:t>
      </w:r>
      <w:r w:rsidR="007521D7" w:rsidRPr="00A1399E">
        <w:rPr>
          <w:color w:val="000000" w:themeColor="text1"/>
          <w:lang w:eastAsia="en-GB"/>
        </w:rPr>
        <w:t xml:space="preserve"> </w:t>
      </w:r>
      <w:r w:rsidR="00317225" w:rsidRPr="00A1399E">
        <w:rPr>
          <w:color w:val="000000" w:themeColor="text1"/>
          <w:lang w:eastAsia="en-GB"/>
        </w:rPr>
        <w:t xml:space="preserve">and sustainable </w:t>
      </w:r>
      <w:r w:rsidR="007521D7" w:rsidRPr="00A1399E">
        <w:rPr>
          <w:color w:val="000000" w:themeColor="text1"/>
          <w:lang w:eastAsia="en-GB"/>
        </w:rPr>
        <w:t xml:space="preserve">mitigation </w:t>
      </w:r>
      <w:r w:rsidR="00317225" w:rsidRPr="00A1399E">
        <w:rPr>
          <w:color w:val="000000" w:themeColor="text1"/>
          <w:lang w:eastAsia="en-GB"/>
        </w:rPr>
        <w:t xml:space="preserve">measures for </w:t>
      </w:r>
      <w:r w:rsidR="007521D7" w:rsidRPr="00A1399E">
        <w:rPr>
          <w:color w:val="000000" w:themeColor="text1"/>
          <w:lang w:eastAsia="en-GB"/>
        </w:rPr>
        <w:t>emergencies</w:t>
      </w:r>
      <w:r w:rsidR="00D15FBF" w:rsidRPr="00A1399E">
        <w:rPr>
          <w:color w:val="000000" w:themeColor="text1"/>
          <w:lang w:eastAsia="en-GB"/>
        </w:rPr>
        <w:t>;</w:t>
      </w:r>
      <w:r w:rsidR="007521D7" w:rsidRPr="00A1399E">
        <w:rPr>
          <w:color w:val="000000" w:themeColor="text1"/>
          <w:lang w:eastAsia="en-GB"/>
        </w:rPr>
        <w:t xml:space="preserve"> </w:t>
      </w:r>
    </w:p>
    <w:p w14:paraId="50549154" w14:textId="5FC1940E" w:rsidR="007521D7" w:rsidRPr="00A1399E" w:rsidRDefault="00FA2402" w:rsidP="00F4641E">
      <w:pPr>
        <w:pStyle w:val="ListParagraph"/>
        <w:numPr>
          <w:ilvl w:val="0"/>
          <w:numId w:val="27"/>
        </w:numPr>
        <w:spacing w:after="120" w:line="240" w:lineRule="exact"/>
        <w:ind w:left="1080"/>
        <w:jc w:val="both"/>
        <w:rPr>
          <w:color w:val="000000" w:themeColor="text1"/>
        </w:rPr>
      </w:pPr>
      <w:r w:rsidRPr="00A1399E">
        <w:rPr>
          <w:bCs/>
        </w:rPr>
        <w:t>S</w:t>
      </w:r>
      <w:r w:rsidR="00BD3A82" w:rsidRPr="00A1399E">
        <w:rPr>
          <w:bCs/>
        </w:rPr>
        <w:t xml:space="preserve">upport </w:t>
      </w:r>
      <w:r w:rsidR="00B960FC" w:rsidRPr="00A1399E">
        <w:rPr>
          <w:bCs/>
        </w:rPr>
        <w:t>development of legal and regulatory framework</w:t>
      </w:r>
      <w:r w:rsidR="00DB3931" w:rsidRPr="00A1399E">
        <w:rPr>
          <w:bCs/>
        </w:rPr>
        <w:t>s</w:t>
      </w:r>
      <w:r w:rsidR="00B960FC" w:rsidRPr="00A1399E">
        <w:rPr>
          <w:bCs/>
        </w:rPr>
        <w:t xml:space="preserve"> for private sector and </w:t>
      </w:r>
      <w:r w:rsidR="007A58BE" w:rsidRPr="00A1399E">
        <w:rPr>
          <w:bCs/>
        </w:rPr>
        <w:t>digital skills development</w:t>
      </w:r>
      <w:r w:rsidR="00D15FBF" w:rsidRPr="00A1399E">
        <w:rPr>
          <w:bCs/>
        </w:rPr>
        <w:t>,</w:t>
      </w:r>
      <w:r w:rsidR="007A58BE" w:rsidRPr="00A1399E">
        <w:rPr>
          <w:bCs/>
        </w:rPr>
        <w:t xml:space="preserve"> </w:t>
      </w:r>
      <w:r w:rsidR="00A33591" w:rsidRPr="00A1399E">
        <w:rPr>
          <w:bCs/>
        </w:rPr>
        <w:t>especially among youth</w:t>
      </w:r>
      <w:r w:rsidR="00D15FBF" w:rsidRPr="00A1399E">
        <w:rPr>
          <w:bCs/>
        </w:rPr>
        <w:t>,</w:t>
      </w:r>
      <w:r w:rsidR="00E630EA" w:rsidRPr="00A1399E">
        <w:rPr>
          <w:bCs/>
        </w:rPr>
        <w:t xml:space="preserve"> </w:t>
      </w:r>
      <w:r w:rsidR="00D15FBF" w:rsidRPr="00A1399E">
        <w:rPr>
          <w:bCs/>
        </w:rPr>
        <w:t xml:space="preserve">and </w:t>
      </w:r>
      <w:r w:rsidR="006E72D6" w:rsidRPr="00A1399E">
        <w:rPr>
          <w:bCs/>
        </w:rPr>
        <w:t>participatory</w:t>
      </w:r>
      <w:r w:rsidR="005A4619" w:rsidRPr="00A1399E">
        <w:rPr>
          <w:bCs/>
        </w:rPr>
        <w:t xml:space="preserve"> processes </w:t>
      </w:r>
      <w:r w:rsidR="00D15FBF" w:rsidRPr="00A1399E">
        <w:rPr>
          <w:bCs/>
        </w:rPr>
        <w:t xml:space="preserve">to </w:t>
      </w:r>
      <w:r w:rsidR="00B960FC" w:rsidRPr="00A1399E">
        <w:rPr>
          <w:bCs/>
        </w:rPr>
        <w:t>creat</w:t>
      </w:r>
      <w:r w:rsidR="00D15FBF" w:rsidRPr="00A1399E">
        <w:rPr>
          <w:bCs/>
        </w:rPr>
        <w:t>e</w:t>
      </w:r>
      <w:r w:rsidR="00B960FC" w:rsidRPr="00A1399E">
        <w:rPr>
          <w:bCs/>
        </w:rPr>
        <w:t xml:space="preserve"> green jobs for youth, women, IDPs</w:t>
      </w:r>
      <w:r w:rsidR="00D15FBF" w:rsidRPr="00A1399E">
        <w:rPr>
          <w:bCs/>
        </w:rPr>
        <w:t xml:space="preserve"> and persons with disabilities</w:t>
      </w:r>
      <w:r w:rsidR="00B960FC" w:rsidRPr="00A1399E">
        <w:rPr>
          <w:bCs/>
        </w:rPr>
        <w:t>; promot</w:t>
      </w:r>
      <w:r w:rsidR="002111F7" w:rsidRPr="00A1399E">
        <w:rPr>
          <w:bCs/>
        </w:rPr>
        <w:t xml:space="preserve">e </w:t>
      </w:r>
      <w:r w:rsidR="007521D7" w:rsidRPr="00A1399E">
        <w:t>innovative businesses in key sectors, including</w:t>
      </w:r>
      <w:r w:rsidR="00B960FC" w:rsidRPr="00A1399E">
        <w:t xml:space="preserve"> blue, green and grey econom</w:t>
      </w:r>
      <w:r w:rsidR="00FC3466" w:rsidRPr="00A1399E">
        <w:t>ies</w:t>
      </w:r>
      <w:r w:rsidR="007E707F" w:rsidRPr="00A1399E">
        <w:t xml:space="preserve">; and </w:t>
      </w:r>
      <w:r w:rsidR="007E707F" w:rsidRPr="00A1399E">
        <w:rPr>
          <w:bCs/>
        </w:rPr>
        <w:t>contribute towards economic recovery and diversification</w:t>
      </w:r>
      <w:r w:rsidR="00FC3466" w:rsidRPr="00A1399E">
        <w:rPr>
          <w:bCs/>
        </w:rPr>
        <w:t xml:space="preserve"> and </w:t>
      </w:r>
      <w:r w:rsidR="007E707F" w:rsidRPr="00A1399E">
        <w:rPr>
          <w:bCs/>
        </w:rPr>
        <w:t>increased market access</w:t>
      </w:r>
      <w:r w:rsidR="00FC3466" w:rsidRPr="00A1399E">
        <w:rPr>
          <w:bCs/>
        </w:rPr>
        <w:t xml:space="preserve">; and </w:t>
      </w:r>
      <w:r w:rsidR="00FC3466" w:rsidRPr="00A1399E">
        <w:t>s</w:t>
      </w:r>
      <w:r w:rsidR="0056709A" w:rsidRPr="00A1399E">
        <w:t xml:space="preserve">upport </w:t>
      </w:r>
      <w:r w:rsidR="00FC3466" w:rsidRPr="00A1399E">
        <w:t xml:space="preserve">the Federal Government of Somalia </w:t>
      </w:r>
      <w:r w:rsidR="00EB2CE2" w:rsidRPr="00A1399E">
        <w:t xml:space="preserve">and </w:t>
      </w:r>
      <w:r w:rsidR="00FC3466" w:rsidRPr="00A1399E">
        <w:t>Federal Member</w:t>
      </w:r>
      <w:r w:rsidR="00F47EED" w:rsidRPr="00A1399E">
        <w:t xml:space="preserve"> States </w:t>
      </w:r>
      <w:r w:rsidR="00FC3466" w:rsidRPr="00A1399E">
        <w:t xml:space="preserve">in </w:t>
      </w:r>
      <w:r w:rsidR="0056709A" w:rsidRPr="00A1399E">
        <w:t>planning</w:t>
      </w:r>
      <w:r w:rsidR="00EB2CE2" w:rsidRPr="00A1399E">
        <w:t xml:space="preserve"> and data generation to </w:t>
      </w:r>
      <w:r w:rsidR="00A74D46" w:rsidRPr="00A1399E">
        <w:t>promote</w:t>
      </w:r>
      <w:r w:rsidR="00EB2CE2" w:rsidRPr="00A1399E">
        <w:t xml:space="preserve"> inclusive economic growth</w:t>
      </w:r>
      <w:r w:rsidR="00FC3466" w:rsidRPr="00A1399E">
        <w:t>;</w:t>
      </w:r>
      <w:r w:rsidR="0056709A" w:rsidRPr="00A1399E">
        <w:t xml:space="preserve"> </w:t>
      </w:r>
    </w:p>
    <w:p w14:paraId="6B1191E9" w14:textId="67D8FAF1" w:rsidR="00092FBB" w:rsidRPr="00A1399E" w:rsidRDefault="007E707F" w:rsidP="00F4641E">
      <w:pPr>
        <w:pStyle w:val="ListParagraph"/>
        <w:numPr>
          <w:ilvl w:val="0"/>
          <w:numId w:val="27"/>
        </w:numPr>
        <w:spacing w:after="120" w:line="240" w:lineRule="exact"/>
        <w:ind w:left="1080"/>
        <w:jc w:val="both"/>
        <w:rPr>
          <w:color w:val="000000" w:themeColor="text1"/>
        </w:rPr>
      </w:pPr>
      <w:r w:rsidRPr="00A1399E">
        <w:rPr>
          <w:color w:val="000000" w:themeColor="text1"/>
        </w:rPr>
        <w:t>S</w:t>
      </w:r>
      <w:r w:rsidR="007521D7" w:rsidRPr="00A1399E">
        <w:rPr>
          <w:color w:val="000000" w:themeColor="text1"/>
        </w:rPr>
        <w:t>upport improved access to sustainable energy sources for vulnerable communities</w:t>
      </w:r>
      <w:r w:rsidR="00FC3466" w:rsidRPr="00A1399E">
        <w:rPr>
          <w:color w:val="000000" w:themeColor="text1"/>
        </w:rPr>
        <w:t>,</w:t>
      </w:r>
      <w:r w:rsidR="007521D7" w:rsidRPr="00A1399E">
        <w:rPr>
          <w:color w:val="000000" w:themeColor="text1"/>
        </w:rPr>
        <w:t xml:space="preserve"> </w:t>
      </w:r>
      <w:r w:rsidR="00A74D46" w:rsidRPr="00A1399E">
        <w:rPr>
          <w:color w:val="000000" w:themeColor="text1"/>
        </w:rPr>
        <w:t>including</w:t>
      </w:r>
      <w:r w:rsidR="007521D7" w:rsidRPr="00A1399E">
        <w:rPr>
          <w:color w:val="000000" w:themeColor="text1"/>
        </w:rPr>
        <w:t xml:space="preserve"> female-headed households</w:t>
      </w:r>
      <w:r w:rsidR="00D82033" w:rsidRPr="00A1399E">
        <w:rPr>
          <w:color w:val="000000" w:themeColor="text1"/>
        </w:rPr>
        <w:t xml:space="preserve">; </w:t>
      </w:r>
      <w:r w:rsidR="00754B01" w:rsidRPr="00A1399E">
        <w:rPr>
          <w:color w:val="000000" w:themeColor="text1"/>
        </w:rPr>
        <w:t xml:space="preserve">develop </w:t>
      </w:r>
      <w:r w:rsidR="00D82033" w:rsidRPr="00A1399E">
        <w:rPr>
          <w:color w:val="000000" w:themeColor="text1"/>
        </w:rPr>
        <w:t>legal framework</w:t>
      </w:r>
      <w:r w:rsidR="00BA5A6F" w:rsidRPr="00A1399E">
        <w:rPr>
          <w:color w:val="000000" w:themeColor="text1"/>
        </w:rPr>
        <w:t>s</w:t>
      </w:r>
      <w:r w:rsidR="00D82033" w:rsidRPr="00A1399E">
        <w:rPr>
          <w:color w:val="000000" w:themeColor="text1"/>
        </w:rPr>
        <w:t xml:space="preserve"> to regulate the cost of energy; </w:t>
      </w:r>
      <w:r w:rsidR="00411F78" w:rsidRPr="00A1399E">
        <w:rPr>
          <w:color w:val="000000" w:themeColor="text1"/>
        </w:rPr>
        <w:t xml:space="preserve">and </w:t>
      </w:r>
      <w:r w:rsidR="00D82033" w:rsidRPr="00A1399E">
        <w:rPr>
          <w:color w:val="000000" w:themeColor="text1"/>
        </w:rPr>
        <w:t>partner</w:t>
      </w:r>
      <w:r w:rsidR="00A74D46" w:rsidRPr="00A1399E">
        <w:rPr>
          <w:color w:val="000000" w:themeColor="text1"/>
        </w:rPr>
        <w:t xml:space="preserve"> </w:t>
      </w:r>
      <w:r w:rsidR="00D82033" w:rsidRPr="00A1399E">
        <w:rPr>
          <w:color w:val="000000" w:themeColor="text1"/>
        </w:rPr>
        <w:t xml:space="preserve">with </w:t>
      </w:r>
      <w:r w:rsidR="00FC3466" w:rsidRPr="00A1399E">
        <w:rPr>
          <w:color w:val="000000" w:themeColor="text1"/>
        </w:rPr>
        <w:t xml:space="preserve">the </w:t>
      </w:r>
      <w:r w:rsidR="00D82033" w:rsidRPr="00A1399E">
        <w:rPr>
          <w:color w:val="000000" w:themeColor="text1"/>
        </w:rPr>
        <w:t xml:space="preserve">private sector </w:t>
      </w:r>
      <w:r w:rsidR="00A74D46" w:rsidRPr="00A1399E">
        <w:rPr>
          <w:color w:val="000000" w:themeColor="text1"/>
        </w:rPr>
        <w:t>for</w:t>
      </w:r>
      <w:r w:rsidR="00D82033" w:rsidRPr="00A1399E">
        <w:rPr>
          <w:color w:val="000000" w:themeColor="text1"/>
        </w:rPr>
        <w:t xml:space="preserve"> equitable energy access</w:t>
      </w:r>
      <w:r w:rsidR="00FC3466" w:rsidRPr="00A1399E">
        <w:rPr>
          <w:color w:val="000000" w:themeColor="text1"/>
        </w:rPr>
        <w:t>;</w:t>
      </w:r>
      <w:r w:rsidR="007521D7" w:rsidRPr="00A1399E">
        <w:rPr>
          <w:color w:val="000000" w:themeColor="text1"/>
        </w:rPr>
        <w:t xml:space="preserve"> </w:t>
      </w:r>
    </w:p>
    <w:p w14:paraId="50CE13BC" w14:textId="3E9BE051" w:rsidR="00092FBB" w:rsidRPr="00A1399E" w:rsidRDefault="00CF1F6E" w:rsidP="00F4641E">
      <w:pPr>
        <w:pStyle w:val="ListParagraph"/>
        <w:numPr>
          <w:ilvl w:val="0"/>
          <w:numId w:val="27"/>
        </w:numPr>
        <w:spacing w:after="120" w:line="240" w:lineRule="exact"/>
        <w:ind w:left="1080"/>
        <w:jc w:val="both"/>
      </w:pPr>
      <w:r w:rsidRPr="00A1399E">
        <w:rPr>
          <w:color w:val="222222"/>
        </w:rPr>
        <w:t>W</w:t>
      </w:r>
      <w:r w:rsidR="00754B01" w:rsidRPr="00A1399E">
        <w:rPr>
          <w:color w:val="222222"/>
        </w:rPr>
        <w:t xml:space="preserve">ork with </w:t>
      </w:r>
      <w:r w:rsidR="00FC3466" w:rsidRPr="00A1399E">
        <w:t xml:space="preserve">Federal Government of Somalia and Federal Member </w:t>
      </w:r>
      <w:r w:rsidR="00F47EED" w:rsidRPr="00A1399E">
        <w:t xml:space="preserve">States </w:t>
      </w:r>
      <w:r w:rsidR="00A74D46" w:rsidRPr="00A1399E">
        <w:rPr>
          <w:color w:val="222222"/>
        </w:rPr>
        <w:t xml:space="preserve">to promote </w:t>
      </w:r>
      <w:r w:rsidR="00FC3466" w:rsidRPr="00A1399E">
        <w:rPr>
          <w:color w:val="222222"/>
        </w:rPr>
        <w:t>d</w:t>
      </w:r>
      <w:r w:rsidR="00A74D46" w:rsidRPr="00A1399E">
        <w:rPr>
          <w:color w:val="222222"/>
        </w:rPr>
        <w:t xml:space="preserve">urable </w:t>
      </w:r>
      <w:r w:rsidR="00FC3466" w:rsidRPr="00A1399E">
        <w:rPr>
          <w:color w:val="222222"/>
        </w:rPr>
        <w:t>s</w:t>
      </w:r>
      <w:r w:rsidR="00092FBB" w:rsidRPr="00A1399E">
        <w:rPr>
          <w:color w:val="222222"/>
        </w:rPr>
        <w:t>olutions for IDPs</w:t>
      </w:r>
      <w:r w:rsidR="00FC3466" w:rsidRPr="00A1399E">
        <w:rPr>
          <w:color w:val="222222"/>
        </w:rPr>
        <w:t>,</w:t>
      </w:r>
      <w:r w:rsidR="00092FBB" w:rsidRPr="00A1399E">
        <w:rPr>
          <w:color w:val="222222"/>
        </w:rPr>
        <w:t xml:space="preserve"> </w:t>
      </w:r>
      <w:r w:rsidR="0060203F" w:rsidRPr="00A1399E">
        <w:rPr>
          <w:color w:val="222222"/>
        </w:rPr>
        <w:t xml:space="preserve">bringing together </w:t>
      </w:r>
      <w:r w:rsidR="00092FBB" w:rsidRPr="00A1399E">
        <w:rPr>
          <w:color w:val="222222"/>
        </w:rPr>
        <w:t>humanitarian</w:t>
      </w:r>
      <w:r w:rsidR="00FC3466" w:rsidRPr="00A1399E">
        <w:rPr>
          <w:color w:val="222222"/>
        </w:rPr>
        <w:t>-</w:t>
      </w:r>
      <w:r w:rsidR="00092FBB" w:rsidRPr="00A1399E">
        <w:rPr>
          <w:color w:val="222222"/>
        </w:rPr>
        <w:t>development</w:t>
      </w:r>
      <w:r w:rsidR="00FC3466" w:rsidRPr="00A1399E">
        <w:rPr>
          <w:color w:val="222222"/>
        </w:rPr>
        <w:t xml:space="preserve">-peace </w:t>
      </w:r>
      <w:r w:rsidR="0060203F" w:rsidRPr="00A1399E">
        <w:rPr>
          <w:color w:val="222222"/>
        </w:rPr>
        <w:t xml:space="preserve">approaches </w:t>
      </w:r>
      <w:r w:rsidR="00A74D46" w:rsidRPr="00A1399E">
        <w:rPr>
          <w:color w:val="222222"/>
        </w:rPr>
        <w:t xml:space="preserve">and </w:t>
      </w:r>
      <w:r w:rsidR="0060203F" w:rsidRPr="00A1399E">
        <w:rPr>
          <w:color w:val="222222"/>
        </w:rPr>
        <w:t xml:space="preserve">the </w:t>
      </w:r>
      <w:r w:rsidR="00092FBB" w:rsidRPr="00A1399E">
        <w:rPr>
          <w:color w:val="222222"/>
        </w:rPr>
        <w:lastRenderedPageBreak/>
        <w:t>adoption of international and regional frameworks to promote stabilization, resilience</w:t>
      </w:r>
      <w:r w:rsidR="00385DE7" w:rsidRPr="00A1399E">
        <w:rPr>
          <w:color w:val="222222"/>
        </w:rPr>
        <w:t xml:space="preserve"> and</w:t>
      </w:r>
      <w:r w:rsidR="00092FBB" w:rsidRPr="00A1399E">
        <w:rPr>
          <w:color w:val="222222"/>
        </w:rPr>
        <w:t xml:space="preserve"> livelihood opportunities</w:t>
      </w:r>
      <w:r w:rsidR="00FC3466" w:rsidRPr="00A1399E">
        <w:rPr>
          <w:color w:val="222222"/>
        </w:rPr>
        <w:t>;</w:t>
      </w:r>
    </w:p>
    <w:p w14:paraId="2EF6E19A" w14:textId="1CF75577" w:rsidR="00092FBB" w:rsidRPr="00A1399E" w:rsidRDefault="00FC3466" w:rsidP="00F4641E">
      <w:pPr>
        <w:pStyle w:val="ListParagraph"/>
        <w:numPr>
          <w:ilvl w:val="0"/>
          <w:numId w:val="27"/>
        </w:numPr>
        <w:spacing w:line="240" w:lineRule="exact"/>
        <w:ind w:left="1080"/>
        <w:jc w:val="both"/>
        <w:rPr>
          <w:color w:val="000000" w:themeColor="text1"/>
        </w:rPr>
      </w:pPr>
      <w:r w:rsidRPr="00A1399E">
        <w:t>Work, a</w:t>
      </w:r>
      <w:r w:rsidR="009B2AE4" w:rsidRPr="00A1399E">
        <w:t xml:space="preserve">s the globally mandated technical lead, with the </w:t>
      </w:r>
      <w:r w:rsidRPr="00A1399E">
        <w:t xml:space="preserve">country team </w:t>
      </w:r>
      <w:r w:rsidR="009B2AE4" w:rsidRPr="00A1399E">
        <w:t xml:space="preserve">to implement the </w:t>
      </w:r>
      <w:r w:rsidR="002C5093" w:rsidRPr="00A1399E">
        <w:t>U</w:t>
      </w:r>
      <w:r w:rsidRPr="00A1399E">
        <w:t xml:space="preserve">nited </w:t>
      </w:r>
      <w:r w:rsidR="002C5093" w:rsidRPr="00A1399E">
        <w:t>N</w:t>
      </w:r>
      <w:r w:rsidRPr="00A1399E">
        <w:t>ations</w:t>
      </w:r>
      <w:r w:rsidR="002C5093" w:rsidRPr="00A1399E">
        <w:t xml:space="preserve"> </w:t>
      </w:r>
      <w:r w:rsidRPr="00A1399E">
        <w:t>f</w:t>
      </w:r>
      <w:r w:rsidR="009B2AE4" w:rsidRPr="00A1399E">
        <w:t xml:space="preserve">ramework </w:t>
      </w:r>
      <w:r w:rsidRPr="00A1399E">
        <w:t xml:space="preserve">for the immediate socioeconomic response to COVID-19, as </w:t>
      </w:r>
      <w:r w:rsidR="002C5093" w:rsidRPr="00A1399E">
        <w:t xml:space="preserve">informed by the </w:t>
      </w:r>
      <w:r w:rsidR="00FB5B1B" w:rsidRPr="00A1399E">
        <w:t xml:space="preserve">pandemic </w:t>
      </w:r>
      <w:r w:rsidR="002C5093" w:rsidRPr="00A1399E">
        <w:t>impact assessment</w:t>
      </w:r>
      <w:r w:rsidRPr="00A1399E">
        <w:t xml:space="preserve">, in </w:t>
      </w:r>
      <w:r w:rsidR="0015244A" w:rsidRPr="00A1399E">
        <w:t>partner</w:t>
      </w:r>
      <w:r w:rsidRPr="00A1399E">
        <w:t>ship</w:t>
      </w:r>
      <w:r w:rsidR="0015244A" w:rsidRPr="00A1399E">
        <w:t xml:space="preserve"> with </w:t>
      </w:r>
      <w:r w:rsidR="00A02CC4" w:rsidRPr="00A1399E">
        <w:t xml:space="preserve">the United Nations Conference on Trade and Development, the United Nations Environment Programme, the United Nations Human Settlements Programme, the </w:t>
      </w:r>
      <w:r w:rsidR="003B652D" w:rsidRPr="00A1399E">
        <w:t>United Nations Industrial Development Organization</w:t>
      </w:r>
      <w:r w:rsidR="0015244A" w:rsidRPr="00A1399E">
        <w:t xml:space="preserve">, </w:t>
      </w:r>
      <w:r w:rsidR="003B652D" w:rsidRPr="00A1399E">
        <w:t>the International Labour Organization</w:t>
      </w:r>
      <w:r w:rsidR="0015244A" w:rsidRPr="00A1399E">
        <w:t xml:space="preserve">, </w:t>
      </w:r>
      <w:r w:rsidR="003B652D" w:rsidRPr="00A1399E">
        <w:t>the International Organization for Migration</w:t>
      </w:r>
      <w:r w:rsidR="0015244A" w:rsidRPr="00A1399E">
        <w:t xml:space="preserve">, private sector institutions, </w:t>
      </w:r>
      <w:r w:rsidR="003B652D" w:rsidRPr="00A1399E">
        <w:t xml:space="preserve">the </w:t>
      </w:r>
      <w:r w:rsidR="0015244A" w:rsidRPr="00A1399E">
        <w:t>W</w:t>
      </w:r>
      <w:r w:rsidR="003B652D" w:rsidRPr="00A1399E">
        <w:t xml:space="preserve">orld </w:t>
      </w:r>
      <w:r w:rsidR="0015244A" w:rsidRPr="00A1399E">
        <w:t>B</w:t>
      </w:r>
      <w:r w:rsidR="003B652D" w:rsidRPr="00A1399E">
        <w:t>ank</w:t>
      </w:r>
      <w:r w:rsidR="0015244A" w:rsidRPr="00A1399E">
        <w:t xml:space="preserve">, </w:t>
      </w:r>
      <w:r w:rsidR="003B652D" w:rsidRPr="00A1399E">
        <w:t>African Development Bank</w:t>
      </w:r>
      <w:r w:rsidR="0015244A" w:rsidRPr="00A1399E">
        <w:t xml:space="preserve">, </w:t>
      </w:r>
      <w:r w:rsidR="003B652D" w:rsidRPr="00A1399E">
        <w:t>Islamic Development Bank</w:t>
      </w:r>
      <w:r w:rsidR="00394D29" w:rsidRPr="00A1399E">
        <w:t>, and f</w:t>
      </w:r>
      <w:r w:rsidR="0015244A" w:rsidRPr="00A1399E">
        <w:t>unding partners</w:t>
      </w:r>
      <w:r w:rsidR="00A02CC4" w:rsidRPr="00A1399E">
        <w:t xml:space="preserve">: FCDO, Italy, Japan, </w:t>
      </w:r>
      <w:r w:rsidR="00394D29" w:rsidRPr="00A1399E">
        <w:t>the United States Agency for International Development (</w:t>
      </w:r>
      <w:r w:rsidR="0015244A" w:rsidRPr="00A1399E">
        <w:t>USAID</w:t>
      </w:r>
      <w:r w:rsidR="00394D29" w:rsidRPr="00A1399E">
        <w:t>)</w:t>
      </w:r>
      <w:r w:rsidR="0015244A" w:rsidRPr="00A1399E">
        <w:t xml:space="preserve">, </w:t>
      </w:r>
      <w:r w:rsidR="00A02CC4" w:rsidRPr="00A1399E">
        <w:t xml:space="preserve">Switzerland, Sweden, the Adaptation Fund, </w:t>
      </w:r>
      <w:r w:rsidR="00394D29" w:rsidRPr="00A1399E">
        <w:t xml:space="preserve">the </w:t>
      </w:r>
      <w:r w:rsidR="0085782A" w:rsidRPr="00A1399E">
        <w:t>Global Environment Facility</w:t>
      </w:r>
      <w:r w:rsidR="00A02CC4" w:rsidRPr="00A1399E">
        <w:t xml:space="preserve"> and </w:t>
      </w:r>
      <w:r w:rsidR="0085782A" w:rsidRPr="00A1399E">
        <w:t>Green Climate Fund</w:t>
      </w:r>
      <w:r w:rsidR="009B2AE4" w:rsidRPr="00A1399E">
        <w:t xml:space="preserve">. </w:t>
      </w:r>
    </w:p>
    <w:p w14:paraId="086C62CE" w14:textId="77777777" w:rsidR="00212214" w:rsidRPr="00A1399E" w:rsidRDefault="00212214" w:rsidP="00021BF6">
      <w:pPr>
        <w:spacing w:line="240" w:lineRule="exact"/>
        <w:ind w:left="720"/>
        <w:jc w:val="both"/>
        <w:rPr>
          <w:rFonts w:eastAsia="Times New Roman"/>
          <w:bCs/>
          <w:color w:val="000000" w:themeColor="text1"/>
        </w:rPr>
      </w:pPr>
    </w:p>
    <w:p w14:paraId="2E319B6C" w14:textId="1A7F35A4" w:rsidR="00B14EFE" w:rsidRPr="00A1399E" w:rsidRDefault="00021BF6" w:rsidP="00021BF6">
      <w:pPr>
        <w:pStyle w:val="Heading1"/>
        <w:spacing w:line="240" w:lineRule="exact"/>
        <w:ind w:left="720" w:hanging="450"/>
        <w:rPr>
          <w:sz w:val="20"/>
          <w:szCs w:val="20"/>
        </w:rPr>
      </w:pPr>
      <w:bookmarkStart w:id="5" w:name="_Toc49181084"/>
      <w:r w:rsidRPr="00A1399E">
        <w:rPr>
          <w:sz w:val="24"/>
          <w:szCs w:val="24"/>
        </w:rPr>
        <w:t>III.</w:t>
      </w:r>
      <w:r w:rsidRPr="00A1399E">
        <w:rPr>
          <w:sz w:val="24"/>
          <w:szCs w:val="24"/>
        </w:rPr>
        <w:tab/>
        <w:t>Programme</w:t>
      </w:r>
      <w:r w:rsidRPr="00A1399E">
        <w:t xml:space="preserve"> </w:t>
      </w:r>
      <w:r w:rsidRPr="00A1399E">
        <w:rPr>
          <w:sz w:val="24"/>
          <w:szCs w:val="24"/>
        </w:rPr>
        <w:t>and risk management</w:t>
      </w:r>
      <w:bookmarkEnd w:id="5"/>
    </w:p>
    <w:p w14:paraId="4D9C966B" w14:textId="77777777" w:rsidR="00F662C0" w:rsidRPr="00A1399E" w:rsidRDefault="00F662C0" w:rsidP="00021BF6">
      <w:pPr>
        <w:spacing w:line="240" w:lineRule="exact"/>
        <w:ind w:left="720"/>
        <w:jc w:val="both"/>
        <w:rPr>
          <w:sz w:val="20"/>
          <w:szCs w:val="20"/>
        </w:rPr>
      </w:pPr>
    </w:p>
    <w:p w14:paraId="695C7996" w14:textId="77C58DCF" w:rsidR="00327EF9" w:rsidRPr="00A1399E" w:rsidRDefault="00732231" w:rsidP="00F704ED">
      <w:pPr>
        <w:spacing w:after="120" w:line="240" w:lineRule="exact"/>
        <w:ind w:left="720"/>
        <w:jc w:val="both"/>
        <w:rPr>
          <w:sz w:val="20"/>
          <w:szCs w:val="20"/>
        </w:rPr>
      </w:pPr>
      <w:r w:rsidRPr="00A1399E">
        <w:rPr>
          <w:sz w:val="20"/>
          <w:szCs w:val="20"/>
        </w:rPr>
        <w:t>2</w:t>
      </w:r>
      <w:r w:rsidR="00F52919" w:rsidRPr="00A1399E">
        <w:rPr>
          <w:sz w:val="20"/>
          <w:szCs w:val="20"/>
        </w:rPr>
        <w:t>1</w:t>
      </w:r>
      <w:r w:rsidR="00782C36" w:rsidRPr="00A1399E">
        <w:rPr>
          <w:sz w:val="20"/>
          <w:szCs w:val="20"/>
        </w:rPr>
        <w:t xml:space="preserve">. </w:t>
      </w:r>
      <w:bookmarkStart w:id="6" w:name="_Hlk53756844"/>
      <w:r w:rsidR="00327EF9" w:rsidRPr="00A1399E">
        <w:rPr>
          <w:sz w:val="20"/>
          <w:szCs w:val="20"/>
        </w:rPr>
        <w:t xml:space="preserve">This </w:t>
      </w:r>
      <w:r w:rsidR="0060203F" w:rsidRPr="00A1399E">
        <w:rPr>
          <w:sz w:val="20"/>
          <w:szCs w:val="20"/>
        </w:rPr>
        <w:t xml:space="preserve">CPD </w:t>
      </w:r>
      <w:r w:rsidR="00327EF9" w:rsidRPr="00A1399E">
        <w:rPr>
          <w:sz w:val="20"/>
          <w:szCs w:val="20"/>
        </w:rPr>
        <w:t>outlines UNDP contributions to national results and serves as the primary unit of accountability to the Executive Board for results alignment and resources assigned to the programme at country level. Accountabilities of managers at country, regional and headquarter</w:t>
      </w:r>
      <w:r w:rsidR="00F47EED" w:rsidRPr="00A1399E">
        <w:rPr>
          <w:sz w:val="20"/>
          <w:szCs w:val="20"/>
        </w:rPr>
        <w:t>s</w:t>
      </w:r>
      <w:r w:rsidR="00327EF9" w:rsidRPr="00A1399E">
        <w:rPr>
          <w:sz w:val="20"/>
          <w:szCs w:val="20"/>
        </w:rPr>
        <w:t xml:space="preserve"> levels</w:t>
      </w:r>
      <w:r w:rsidR="00F47EED" w:rsidRPr="00A1399E">
        <w:rPr>
          <w:sz w:val="20"/>
          <w:szCs w:val="20"/>
        </w:rPr>
        <w:t>,</w:t>
      </w:r>
      <w:r w:rsidR="00327EF9" w:rsidRPr="00A1399E">
        <w:rPr>
          <w:sz w:val="20"/>
          <w:szCs w:val="20"/>
        </w:rPr>
        <w:t xml:space="preserve"> with respect to country programmes</w:t>
      </w:r>
      <w:r w:rsidR="00F47EED" w:rsidRPr="00A1399E">
        <w:rPr>
          <w:sz w:val="20"/>
          <w:szCs w:val="20"/>
        </w:rPr>
        <w:t>,</w:t>
      </w:r>
      <w:r w:rsidR="00327EF9" w:rsidRPr="00A1399E">
        <w:rPr>
          <w:sz w:val="20"/>
          <w:szCs w:val="20"/>
        </w:rPr>
        <w:t xml:space="preserve"> </w:t>
      </w:r>
      <w:r w:rsidR="00361292" w:rsidRPr="00A1399E">
        <w:rPr>
          <w:sz w:val="20"/>
          <w:szCs w:val="20"/>
        </w:rPr>
        <w:t xml:space="preserve">are </w:t>
      </w:r>
      <w:r w:rsidR="00327EF9" w:rsidRPr="00A1399E">
        <w:rPr>
          <w:sz w:val="20"/>
          <w:szCs w:val="20"/>
        </w:rPr>
        <w:t xml:space="preserve">prescribed in the </w:t>
      </w:r>
      <w:hyperlink r:id="rId16" w:history="1">
        <w:r w:rsidR="00F47EED" w:rsidRPr="00A1399E">
          <w:rPr>
            <w:rStyle w:val="Hyperlink"/>
            <w:color w:val="auto"/>
            <w:sz w:val="20"/>
            <w:szCs w:val="20"/>
          </w:rPr>
          <w:t>p</w:t>
        </w:r>
        <w:r w:rsidR="00327EF9" w:rsidRPr="00A1399E">
          <w:rPr>
            <w:rStyle w:val="Hyperlink"/>
            <w:color w:val="auto"/>
            <w:sz w:val="20"/>
            <w:szCs w:val="20"/>
          </w:rPr>
          <w:t xml:space="preserve">rogramme and </w:t>
        </w:r>
        <w:r w:rsidR="00F47EED" w:rsidRPr="00A1399E">
          <w:rPr>
            <w:rStyle w:val="Hyperlink"/>
            <w:color w:val="auto"/>
            <w:sz w:val="20"/>
            <w:szCs w:val="20"/>
          </w:rPr>
          <w:t>o</w:t>
        </w:r>
        <w:r w:rsidR="00327EF9" w:rsidRPr="00A1399E">
          <w:rPr>
            <w:rStyle w:val="Hyperlink"/>
            <w:color w:val="auto"/>
            <w:sz w:val="20"/>
            <w:szCs w:val="20"/>
          </w:rPr>
          <w:t xml:space="preserve">perations </w:t>
        </w:r>
        <w:r w:rsidR="00F47EED" w:rsidRPr="00A1399E">
          <w:rPr>
            <w:rStyle w:val="Hyperlink"/>
            <w:color w:val="auto"/>
            <w:sz w:val="20"/>
            <w:szCs w:val="20"/>
          </w:rPr>
          <w:t>p</w:t>
        </w:r>
        <w:r w:rsidR="00327EF9" w:rsidRPr="00A1399E">
          <w:rPr>
            <w:rStyle w:val="Hyperlink"/>
            <w:color w:val="auto"/>
            <w:sz w:val="20"/>
            <w:szCs w:val="20"/>
          </w:rPr>
          <w:t xml:space="preserve">olicies and </w:t>
        </w:r>
        <w:r w:rsidR="00F47EED" w:rsidRPr="00A1399E">
          <w:rPr>
            <w:rStyle w:val="Hyperlink"/>
            <w:color w:val="auto"/>
            <w:sz w:val="20"/>
            <w:szCs w:val="20"/>
          </w:rPr>
          <w:t>p</w:t>
        </w:r>
        <w:r w:rsidR="00327EF9" w:rsidRPr="00A1399E">
          <w:rPr>
            <w:rStyle w:val="Hyperlink"/>
            <w:color w:val="auto"/>
            <w:sz w:val="20"/>
            <w:szCs w:val="20"/>
          </w:rPr>
          <w:t>rocedures</w:t>
        </w:r>
      </w:hyperlink>
      <w:r w:rsidR="00327EF9" w:rsidRPr="00A1399E">
        <w:rPr>
          <w:sz w:val="20"/>
          <w:szCs w:val="20"/>
        </w:rPr>
        <w:t xml:space="preserve"> and </w:t>
      </w:r>
      <w:hyperlink r:id="rId17" w:history="1">
        <w:r w:rsidR="00F47EED" w:rsidRPr="00A1399E">
          <w:rPr>
            <w:rStyle w:val="Hyperlink"/>
            <w:color w:val="auto"/>
            <w:sz w:val="20"/>
            <w:szCs w:val="20"/>
          </w:rPr>
          <w:t>i</w:t>
        </w:r>
        <w:r w:rsidR="00327EF9" w:rsidRPr="00A1399E">
          <w:rPr>
            <w:rStyle w:val="Hyperlink"/>
            <w:color w:val="auto"/>
            <w:sz w:val="20"/>
            <w:szCs w:val="20"/>
          </w:rPr>
          <w:t xml:space="preserve">nternal </w:t>
        </w:r>
        <w:r w:rsidR="00F47EED" w:rsidRPr="00A1399E">
          <w:rPr>
            <w:rStyle w:val="Hyperlink"/>
            <w:color w:val="auto"/>
            <w:sz w:val="20"/>
            <w:szCs w:val="20"/>
          </w:rPr>
          <w:t>c</w:t>
        </w:r>
        <w:r w:rsidR="00327EF9" w:rsidRPr="00A1399E">
          <w:rPr>
            <w:rStyle w:val="Hyperlink"/>
            <w:color w:val="auto"/>
            <w:sz w:val="20"/>
            <w:szCs w:val="20"/>
          </w:rPr>
          <w:t xml:space="preserve">ontrol </w:t>
        </w:r>
        <w:r w:rsidR="00F47EED" w:rsidRPr="00A1399E">
          <w:rPr>
            <w:rStyle w:val="Hyperlink"/>
            <w:color w:val="auto"/>
            <w:sz w:val="20"/>
            <w:szCs w:val="20"/>
          </w:rPr>
          <w:t>f</w:t>
        </w:r>
        <w:r w:rsidR="00327EF9" w:rsidRPr="00A1399E">
          <w:rPr>
            <w:rStyle w:val="Hyperlink"/>
            <w:color w:val="auto"/>
            <w:sz w:val="20"/>
            <w:szCs w:val="20"/>
          </w:rPr>
          <w:t>ramework</w:t>
        </w:r>
      </w:hyperlink>
      <w:r w:rsidR="00327EF9" w:rsidRPr="00A1399E">
        <w:rPr>
          <w:sz w:val="20"/>
          <w:szCs w:val="20"/>
        </w:rPr>
        <w:t>.</w:t>
      </w:r>
    </w:p>
    <w:p w14:paraId="002DFBD1" w14:textId="6268EFF3" w:rsidR="00327EF9" w:rsidRPr="00A1399E" w:rsidRDefault="00732231" w:rsidP="00F704ED">
      <w:pPr>
        <w:spacing w:after="120" w:line="240" w:lineRule="exact"/>
        <w:ind w:left="720"/>
        <w:jc w:val="both"/>
        <w:rPr>
          <w:iCs/>
          <w:sz w:val="20"/>
          <w:szCs w:val="20"/>
        </w:rPr>
      </w:pPr>
      <w:r w:rsidRPr="00A1399E">
        <w:rPr>
          <w:sz w:val="20"/>
          <w:szCs w:val="20"/>
        </w:rPr>
        <w:t>2</w:t>
      </w:r>
      <w:r w:rsidR="00F52919" w:rsidRPr="00A1399E">
        <w:rPr>
          <w:sz w:val="20"/>
          <w:szCs w:val="20"/>
        </w:rPr>
        <w:t>2</w:t>
      </w:r>
      <w:r w:rsidR="00327EF9" w:rsidRPr="00A1399E">
        <w:rPr>
          <w:sz w:val="20"/>
          <w:szCs w:val="20"/>
        </w:rPr>
        <w:t xml:space="preserve">. The programme will be nationally executed. If necessary, national execution may be replaced by direct execution for part or all of the programme to enable response to </w:t>
      </w:r>
      <w:r w:rsidR="00327EF9" w:rsidRPr="00A1399E">
        <w:rPr>
          <w:iCs/>
          <w:sz w:val="20"/>
          <w:szCs w:val="20"/>
        </w:rPr>
        <w:t>force majeure</w:t>
      </w:r>
      <w:r w:rsidR="00327EF9" w:rsidRPr="00A1399E">
        <w:rPr>
          <w:sz w:val="20"/>
          <w:szCs w:val="20"/>
        </w:rPr>
        <w:t xml:space="preserve">. </w:t>
      </w:r>
      <w:r w:rsidR="00F47EED" w:rsidRPr="00A1399E">
        <w:rPr>
          <w:sz w:val="20"/>
          <w:szCs w:val="20"/>
        </w:rPr>
        <w:t>The h</w:t>
      </w:r>
      <w:r w:rsidR="00327EF9" w:rsidRPr="00A1399E">
        <w:rPr>
          <w:sz w:val="20"/>
          <w:szCs w:val="20"/>
        </w:rPr>
        <w:t>armoni</w:t>
      </w:r>
      <w:r w:rsidR="00F47EED" w:rsidRPr="00A1399E">
        <w:rPr>
          <w:sz w:val="20"/>
          <w:szCs w:val="20"/>
        </w:rPr>
        <w:t>z</w:t>
      </w:r>
      <w:r w:rsidR="00327EF9" w:rsidRPr="00A1399E">
        <w:rPr>
          <w:sz w:val="20"/>
          <w:szCs w:val="20"/>
        </w:rPr>
        <w:t xml:space="preserve">ed </w:t>
      </w:r>
      <w:r w:rsidR="00F47EED" w:rsidRPr="00A1399E">
        <w:rPr>
          <w:sz w:val="20"/>
          <w:szCs w:val="20"/>
        </w:rPr>
        <w:t>a</w:t>
      </w:r>
      <w:r w:rsidR="00327EF9" w:rsidRPr="00A1399E">
        <w:rPr>
          <w:sz w:val="20"/>
          <w:szCs w:val="20"/>
        </w:rPr>
        <w:t xml:space="preserve">pproach to </w:t>
      </w:r>
      <w:r w:rsidR="00F47EED" w:rsidRPr="00A1399E">
        <w:rPr>
          <w:sz w:val="20"/>
          <w:szCs w:val="20"/>
        </w:rPr>
        <w:t>c</w:t>
      </w:r>
      <w:r w:rsidR="00327EF9" w:rsidRPr="00A1399E">
        <w:rPr>
          <w:sz w:val="20"/>
          <w:szCs w:val="20"/>
        </w:rPr>
        <w:t xml:space="preserve">ash </w:t>
      </w:r>
      <w:r w:rsidR="00F47EED" w:rsidRPr="00A1399E">
        <w:rPr>
          <w:sz w:val="20"/>
          <w:szCs w:val="20"/>
        </w:rPr>
        <w:t>t</w:t>
      </w:r>
      <w:r w:rsidR="00327EF9" w:rsidRPr="00A1399E">
        <w:rPr>
          <w:sz w:val="20"/>
          <w:szCs w:val="20"/>
        </w:rPr>
        <w:t>ransfers (HACT) will be used in coordinat</w:t>
      </w:r>
      <w:r w:rsidR="005A0278" w:rsidRPr="00A1399E">
        <w:rPr>
          <w:sz w:val="20"/>
          <w:szCs w:val="20"/>
        </w:rPr>
        <w:t xml:space="preserve">ion </w:t>
      </w:r>
      <w:r w:rsidR="00327EF9" w:rsidRPr="00A1399E">
        <w:rPr>
          <w:sz w:val="20"/>
          <w:szCs w:val="20"/>
        </w:rPr>
        <w:t>with U</w:t>
      </w:r>
      <w:r w:rsidR="00F47EED" w:rsidRPr="00A1399E">
        <w:rPr>
          <w:sz w:val="20"/>
          <w:szCs w:val="20"/>
        </w:rPr>
        <w:t xml:space="preserve">nited </w:t>
      </w:r>
      <w:r w:rsidR="00327EF9" w:rsidRPr="00A1399E">
        <w:rPr>
          <w:sz w:val="20"/>
          <w:szCs w:val="20"/>
        </w:rPr>
        <w:t>N</w:t>
      </w:r>
      <w:r w:rsidR="00F47EED" w:rsidRPr="00A1399E">
        <w:rPr>
          <w:sz w:val="20"/>
          <w:szCs w:val="20"/>
        </w:rPr>
        <w:t>ations</w:t>
      </w:r>
      <w:r w:rsidR="00327EF9" w:rsidRPr="00A1399E">
        <w:rPr>
          <w:sz w:val="20"/>
          <w:szCs w:val="20"/>
        </w:rPr>
        <w:t xml:space="preserve"> </w:t>
      </w:r>
      <w:r w:rsidR="00F47EED" w:rsidRPr="00A1399E">
        <w:rPr>
          <w:sz w:val="20"/>
          <w:szCs w:val="20"/>
        </w:rPr>
        <w:t xml:space="preserve">organizations </w:t>
      </w:r>
      <w:r w:rsidR="00327EF9" w:rsidRPr="00A1399E">
        <w:rPr>
          <w:sz w:val="20"/>
          <w:szCs w:val="20"/>
        </w:rPr>
        <w:t xml:space="preserve">to manage financial risks. </w:t>
      </w:r>
      <w:r w:rsidR="00327EF9" w:rsidRPr="00A1399E">
        <w:rPr>
          <w:iCs/>
          <w:sz w:val="20"/>
          <w:szCs w:val="20"/>
        </w:rPr>
        <w:t>Cost definitions and classifications for programme and development effectiveness will be charged to concerned projects.</w:t>
      </w:r>
    </w:p>
    <w:p w14:paraId="5702B17C" w14:textId="62FFFA6A" w:rsidR="00DB7624" w:rsidRPr="00A1399E" w:rsidRDefault="00DB7624" w:rsidP="00F704ED">
      <w:pPr>
        <w:spacing w:after="120" w:line="240" w:lineRule="exact"/>
        <w:ind w:left="720"/>
        <w:jc w:val="both"/>
        <w:rPr>
          <w:sz w:val="20"/>
          <w:szCs w:val="20"/>
        </w:rPr>
      </w:pPr>
      <w:r w:rsidRPr="00A1399E">
        <w:rPr>
          <w:sz w:val="20"/>
          <w:szCs w:val="20"/>
        </w:rPr>
        <w:t>2</w:t>
      </w:r>
      <w:r w:rsidR="00F52919" w:rsidRPr="00A1399E">
        <w:rPr>
          <w:sz w:val="20"/>
          <w:szCs w:val="20"/>
        </w:rPr>
        <w:t>3</w:t>
      </w:r>
      <w:r w:rsidRPr="00A1399E">
        <w:rPr>
          <w:sz w:val="20"/>
          <w:szCs w:val="20"/>
        </w:rPr>
        <w:t xml:space="preserve">. </w:t>
      </w:r>
      <w:r w:rsidR="001E6B31" w:rsidRPr="00A1399E">
        <w:rPr>
          <w:i/>
          <w:sz w:val="20"/>
          <w:szCs w:val="20"/>
        </w:rPr>
        <w:t xml:space="preserve">Political </w:t>
      </w:r>
      <w:r w:rsidR="00F47EED" w:rsidRPr="00A1399E">
        <w:rPr>
          <w:i/>
          <w:sz w:val="20"/>
          <w:szCs w:val="20"/>
        </w:rPr>
        <w:t>r</w:t>
      </w:r>
      <w:r w:rsidR="001E6B31" w:rsidRPr="00A1399E">
        <w:rPr>
          <w:i/>
          <w:sz w:val="20"/>
          <w:szCs w:val="20"/>
        </w:rPr>
        <w:t>isks</w:t>
      </w:r>
      <w:r w:rsidR="00F47EED" w:rsidRPr="00A1399E">
        <w:rPr>
          <w:i/>
          <w:sz w:val="20"/>
          <w:szCs w:val="20"/>
        </w:rPr>
        <w:t xml:space="preserve">. </w:t>
      </w:r>
      <w:r w:rsidRPr="00A1399E">
        <w:rPr>
          <w:sz w:val="20"/>
          <w:szCs w:val="20"/>
        </w:rPr>
        <w:t>To address the risk of divisive</w:t>
      </w:r>
      <w:r w:rsidR="00361292" w:rsidRPr="00A1399E">
        <w:rPr>
          <w:sz w:val="20"/>
          <w:szCs w:val="20"/>
        </w:rPr>
        <w:t xml:space="preserve">, </w:t>
      </w:r>
      <w:r w:rsidRPr="00A1399E">
        <w:rPr>
          <w:sz w:val="20"/>
          <w:szCs w:val="20"/>
        </w:rPr>
        <w:t xml:space="preserve">sectarian politics, UNDP will continue to partner with UNSOM, AMISOM and other regional and international partners, to strengthen federalization, and work with </w:t>
      </w:r>
      <w:r w:rsidR="00F47EED" w:rsidRPr="00A1399E">
        <w:rPr>
          <w:sz w:val="20"/>
          <w:szCs w:val="20"/>
        </w:rPr>
        <w:t>the Federal Government of Somalia</w:t>
      </w:r>
      <w:r w:rsidR="000B027E" w:rsidRPr="00A1399E">
        <w:rPr>
          <w:sz w:val="20"/>
          <w:szCs w:val="20"/>
        </w:rPr>
        <w:t xml:space="preserve">, </w:t>
      </w:r>
      <w:r w:rsidR="00F47EED" w:rsidRPr="00A1399E">
        <w:rPr>
          <w:sz w:val="20"/>
          <w:szCs w:val="20"/>
        </w:rPr>
        <w:t>Federal Member States</w:t>
      </w:r>
      <w:r w:rsidRPr="00A1399E">
        <w:rPr>
          <w:sz w:val="20"/>
          <w:szCs w:val="20"/>
        </w:rPr>
        <w:t>, religious/local leaders and other stakeholders to promote inclusion and reconciliation.</w:t>
      </w:r>
    </w:p>
    <w:p w14:paraId="1DDE99B1" w14:textId="79A5C876" w:rsidR="00DB7624" w:rsidRPr="00A1399E" w:rsidRDefault="00DB7624" w:rsidP="00F704ED">
      <w:pPr>
        <w:spacing w:after="120" w:line="240" w:lineRule="exact"/>
        <w:ind w:left="720"/>
        <w:jc w:val="both"/>
        <w:rPr>
          <w:sz w:val="20"/>
          <w:szCs w:val="20"/>
        </w:rPr>
      </w:pPr>
      <w:r w:rsidRPr="00A1399E">
        <w:rPr>
          <w:sz w:val="20"/>
          <w:szCs w:val="20"/>
        </w:rPr>
        <w:t>2</w:t>
      </w:r>
      <w:r w:rsidR="00F52919" w:rsidRPr="00A1399E">
        <w:rPr>
          <w:sz w:val="20"/>
          <w:szCs w:val="20"/>
        </w:rPr>
        <w:t>4</w:t>
      </w:r>
      <w:r w:rsidRPr="00A1399E">
        <w:rPr>
          <w:sz w:val="20"/>
          <w:szCs w:val="20"/>
        </w:rPr>
        <w:t xml:space="preserve">. </w:t>
      </w:r>
      <w:r w:rsidR="001E6B31" w:rsidRPr="00A1399E">
        <w:rPr>
          <w:i/>
          <w:iCs/>
          <w:sz w:val="20"/>
          <w:szCs w:val="20"/>
        </w:rPr>
        <w:t xml:space="preserve">Resource </w:t>
      </w:r>
      <w:r w:rsidR="00F47EED" w:rsidRPr="00A1399E">
        <w:rPr>
          <w:i/>
          <w:iCs/>
          <w:sz w:val="20"/>
          <w:szCs w:val="20"/>
        </w:rPr>
        <w:t>m</w:t>
      </w:r>
      <w:r w:rsidR="001E6B31" w:rsidRPr="00A1399E">
        <w:rPr>
          <w:i/>
          <w:iCs/>
          <w:sz w:val="20"/>
          <w:szCs w:val="20"/>
        </w:rPr>
        <w:t>obili</w:t>
      </w:r>
      <w:r w:rsidR="00F47EED" w:rsidRPr="00A1399E">
        <w:rPr>
          <w:i/>
          <w:iCs/>
          <w:sz w:val="20"/>
          <w:szCs w:val="20"/>
        </w:rPr>
        <w:t>z</w:t>
      </w:r>
      <w:r w:rsidR="001E6B31" w:rsidRPr="00A1399E">
        <w:rPr>
          <w:i/>
          <w:iCs/>
          <w:sz w:val="20"/>
          <w:szCs w:val="20"/>
        </w:rPr>
        <w:t xml:space="preserve">ation </w:t>
      </w:r>
      <w:r w:rsidR="00F47EED" w:rsidRPr="00A1399E">
        <w:rPr>
          <w:i/>
          <w:iCs/>
          <w:sz w:val="20"/>
          <w:szCs w:val="20"/>
        </w:rPr>
        <w:t>r</w:t>
      </w:r>
      <w:r w:rsidR="001E6B31" w:rsidRPr="00A1399E">
        <w:rPr>
          <w:i/>
          <w:iCs/>
          <w:sz w:val="20"/>
          <w:szCs w:val="20"/>
        </w:rPr>
        <w:t>isks</w:t>
      </w:r>
      <w:r w:rsidR="00F47EED" w:rsidRPr="00A1399E">
        <w:rPr>
          <w:i/>
          <w:iCs/>
          <w:sz w:val="20"/>
          <w:szCs w:val="20"/>
        </w:rPr>
        <w:t>.</w:t>
      </w:r>
      <w:r w:rsidR="001E6B31" w:rsidRPr="00A1399E">
        <w:rPr>
          <w:i/>
          <w:iCs/>
          <w:sz w:val="20"/>
          <w:szCs w:val="20"/>
        </w:rPr>
        <w:t xml:space="preserve"> </w:t>
      </w:r>
      <w:r w:rsidRPr="00A1399E">
        <w:rPr>
          <w:sz w:val="20"/>
          <w:szCs w:val="20"/>
        </w:rPr>
        <w:t xml:space="preserve">Protracted insecurities, climate shocks and COVID-19 continue to direct financial resources towards humanitarian needs. </w:t>
      </w:r>
      <w:r w:rsidR="00F47EED" w:rsidRPr="00A1399E">
        <w:rPr>
          <w:sz w:val="20"/>
          <w:szCs w:val="20"/>
        </w:rPr>
        <w:t xml:space="preserve">The </w:t>
      </w:r>
      <w:r w:rsidRPr="00A1399E">
        <w:rPr>
          <w:sz w:val="20"/>
          <w:szCs w:val="20"/>
        </w:rPr>
        <w:t xml:space="preserve">Partnership and Communication Action Plan (PCAP) is underway </w:t>
      </w:r>
      <w:r w:rsidR="00F47EED" w:rsidRPr="00A1399E">
        <w:rPr>
          <w:sz w:val="20"/>
          <w:szCs w:val="20"/>
        </w:rPr>
        <w:t xml:space="preserve">and will </w:t>
      </w:r>
      <w:r w:rsidRPr="00A1399E">
        <w:rPr>
          <w:sz w:val="20"/>
          <w:szCs w:val="20"/>
        </w:rPr>
        <w:t>identify alternative</w:t>
      </w:r>
      <w:r w:rsidR="00E2636B" w:rsidRPr="00A1399E">
        <w:rPr>
          <w:sz w:val="20"/>
          <w:szCs w:val="20"/>
        </w:rPr>
        <w:t xml:space="preserve"> </w:t>
      </w:r>
      <w:r w:rsidRPr="00A1399E">
        <w:rPr>
          <w:sz w:val="20"/>
          <w:szCs w:val="20"/>
        </w:rPr>
        <w:t xml:space="preserve">resource mobilization approaches and move from funding to financing, using the HIPC initiative as entry point. The PCAP will </w:t>
      </w:r>
      <w:r w:rsidR="00F47EED" w:rsidRPr="00A1399E">
        <w:rPr>
          <w:sz w:val="20"/>
          <w:szCs w:val="20"/>
        </w:rPr>
        <w:t xml:space="preserve">serve to </w:t>
      </w:r>
      <w:r w:rsidRPr="00A1399E">
        <w:rPr>
          <w:sz w:val="20"/>
          <w:szCs w:val="20"/>
        </w:rPr>
        <w:t>engage with traditional and emerging donors to promote long</w:t>
      </w:r>
      <w:r w:rsidR="00F47EED" w:rsidRPr="00A1399E">
        <w:rPr>
          <w:sz w:val="20"/>
          <w:szCs w:val="20"/>
        </w:rPr>
        <w:t>-</w:t>
      </w:r>
      <w:r w:rsidRPr="00A1399E">
        <w:rPr>
          <w:sz w:val="20"/>
          <w:szCs w:val="20"/>
        </w:rPr>
        <w:t>term development solutions.</w:t>
      </w:r>
    </w:p>
    <w:p w14:paraId="38960560" w14:textId="2CA9035E" w:rsidR="004C306F" w:rsidRPr="00A1399E" w:rsidRDefault="004C306F" w:rsidP="00F704ED">
      <w:pPr>
        <w:spacing w:after="120" w:line="240" w:lineRule="exact"/>
        <w:ind w:left="720"/>
        <w:jc w:val="both"/>
        <w:rPr>
          <w:sz w:val="20"/>
          <w:szCs w:val="20"/>
        </w:rPr>
      </w:pPr>
      <w:r w:rsidRPr="00A1399E">
        <w:rPr>
          <w:sz w:val="20"/>
          <w:szCs w:val="20"/>
        </w:rPr>
        <w:t>2</w:t>
      </w:r>
      <w:r w:rsidR="00F52919" w:rsidRPr="00A1399E">
        <w:rPr>
          <w:sz w:val="20"/>
          <w:szCs w:val="20"/>
        </w:rPr>
        <w:t>5</w:t>
      </w:r>
      <w:r w:rsidRPr="00A1399E">
        <w:rPr>
          <w:sz w:val="20"/>
          <w:szCs w:val="20"/>
        </w:rPr>
        <w:t xml:space="preserve">. </w:t>
      </w:r>
      <w:r w:rsidR="001E6B31" w:rsidRPr="00A1399E">
        <w:rPr>
          <w:i/>
          <w:sz w:val="20"/>
          <w:szCs w:val="20"/>
        </w:rPr>
        <w:t xml:space="preserve">Implementation and </w:t>
      </w:r>
      <w:r w:rsidR="00F47EED" w:rsidRPr="00A1399E">
        <w:rPr>
          <w:i/>
          <w:sz w:val="20"/>
          <w:szCs w:val="20"/>
        </w:rPr>
        <w:t>o</w:t>
      </w:r>
      <w:r w:rsidR="001E6B31" w:rsidRPr="00A1399E">
        <w:rPr>
          <w:i/>
          <w:sz w:val="20"/>
          <w:szCs w:val="20"/>
        </w:rPr>
        <w:t xml:space="preserve">perational </w:t>
      </w:r>
      <w:r w:rsidR="00F47EED" w:rsidRPr="00A1399E">
        <w:rPr>
          <w:i/>
          <w:sz w:val="20"/>
          <w:szCs w:val="20"/>
        </w:rPr>
        <w:t>r</w:t>
      </w:r>
      <w:r w:rsidR="001E6B31" w:rsidRPr="00A1399E">
        <w:rPr>
          <w:i/>
          <w:sz w:val="20"/>
          <w:szCs w:val="20"/>
        </w:rPr>
        <w:t>isks</w:t>
      </w:r>
      <w:r w:rsidR="00F47EED" w:rsidRPr="00A1399E">
        <w:rPr>
          <w:i/>
          <w:sz w:val="20"/>
          <w:szCs w:val="20"/>
        </w:rPr>
        <w:t>.</w:t>
      </w:r>
      <w:r w:rsidR="001E6B31" w:rsidRPr="00A1399E">
        <w:rPr>
          <w:i/>
          <w:sz w:val="20"/>
          <w:szCs w:val="20"/>
        </w:rPr>
        <w:t xml:space="preserve"> </w:t>
      </w:r>
      <w:r w:rsidRPr="00A1399E">
        <w:rPr>
          <w:sz w:val="20"/>
          <w:szCs w:val="20"/>
        </w:rPr>
        <w:t xml:space="preserve">Security risks continue to hamper programme implementation and increase costs. To mitigate risks, </w:t>
      </w:r>
      <w:r w:rsidR="00F52919" w:rsidRPr="00A1399E">
        <w:rPr>
          <w:sz w:val="20"/>
          <w:szCs w:val="20"/>
        </w:rPr>
        <w:t>UNDP will strengthen security measures and continue to streamline operations and adjust its in-country presence in accordance with security developments and in line with agreements within</w:t>
      </w:r>
      <w:r w:rsidRPr="00A1399E">
        <w:rPr>
          <w:sz w:val="20"/>
          <w:szCs w:val="20"/>
        </w:rPr>
        <w:t xml:space="preserve"> the U</w:t>
      </w:r>
      <w:r w:rsidR="00F47EED" w:rsidRPr="00A1399E">
        <w:rPr>
          <w:sz w:val="20"/>
          <w:szCs w:val="20"/>
        </w:rPr>
        <w:t xml:space="preserve">nited </w:t>
      </w:r>
      <w:r w:rsidRPr="00A1399E">
        <w:rPr>
          <w:sz w:val="20"/>
          <w:szCs w:val="20"/>
        </w:rPr>
        <w:t>N</w:t>
      </w:r>
      <w:r w:rsidR="00F47EED" w:rsidRPr="00A1399E">
        <w:rPr>
          <w:sz w:val="20"/>
          <w:szCs w:val="20"/>
        </w:rPr>
        <w:t>ations</w:t>
      </w:r>
      <w:r w:rsidRPr="00A1399E">
        <w:rPr>
          <w:sz w:val="20"/>
          <w:szCs w:val="20"/>
        </w:rPr>
        <w:t xml:space="preserve"> system</w:t>
      </w:r>
      <w:r w:rsidR="00F52919" w:rsidRPr="00A1399E">
        <w:rPr>
          <w:sz w:val="20"/>
          <w:szCs w:val="20"/>
        </w:rPr>
        <w:t>.</w:t>
      </w:r>
      <w:r w:rsidRPr="00A1399E">
        <w:rPr>
          <w:sz w:val="20"/>
          <w:szCs w:val="20"/>
        </w:rPr>
        <w:t xml:space="preserve"> The country office will maintain its presence in Mogadishu and in state capitals in Somalia, with a liaison office in Nairobi, Kenya. </w:t>
      </w:r>
    </w:p>
    <w:p w14:paraId="67A4681F" w14:textId="7B0A2BA5" w:rsidR="00234B4E" w:rsidRPr="00A1399E" w:rsidRDefault="00732231" w:rsidP="00F704ED">
      <w:pPr>
        <w:autoSpaceDN w:val="0"/>
        <w:spacing w:after="120" w:line="240" w:lineRule="exact"/>
        <w:ind w:left="720"/>
        <w:jc w:val="both"/>
        <w:textAlignment w:val="baseline"/>
        <w:rPr>
          <w:sz w:val="20"/>
          <w:szCs w:val="20"/>
        </w:rPr>
      </w:pPr>
      <w:r w:rsidRPr="00A1399E">
        <w:rPr>
          <w:iCs/>
          <w:sz w:val="20"/>
          <w:szCs w:val="20"/>
        </w:rPr>
        <w:t>2</w:t>
      </w:r>
      <w:r w:rsidR="00F52919" w:rsidRPr="00A1399E">
        <w:rPr>
          <w:iCs/>
          <w:sz w:val="20"/>
          <w:szCs w:val="20"/>
        </w:rPr>
        <w:t>6</w:t>
      </w:r>
      <w:r w:rsidR="00327EF9" w:rsidRPr="00A1399E">
        <w:rPr>
          <w:iCs/>
          <w:sz w:val="20"/>
          <w:szCs w:val="20"/>
        </w:rPr>
        <w:t xml:space="preserve">. </w:t>
      </w:r>
      <w:r w:rsidR="00234B4E" w:rsidRPr="00A1399E">
        <w:rPr>
          <w:color w:val="000000"/>
          <w:sz w:val="20"/>
          <w:szCs w:val="20"/>
        </w:rPr>
        <w:t xml:space="preserve">The </w:t>
      </w:r>
      <w:r w:rsidR="00424E11" w:rsidRPr="00A1399E">
        <w:rPr>
          <w:color w:val="000000"/>
          <w:sz w:val="20"/>
          <w:szCs w:val="20"/>
        </w:rPr>
        <w:t xml:space="preserve">country office will continue to work with the </w:t>
      </w:r>
      <w:r w:rsidR="00234B4E" w:rsidRPr="00A1399E">
        <w:rPr>
          <w:color w:val="000000"/>
          <w:sz w:val="20"/>
          <w:szCs w:val="20"/>
        </w:rPr>
        <w:t>U</w:t>
      </w:r>
      <w:r w:rsidR="00FC4740" w:rsidRPr="00A1399E">
        <w:rPr>
          <w:color w:val="000000"/>
          <w:sz w:val="20"/>
          <w:szCs w:val="20"/>
        </w:rPr>
        <w:t>nited</w:t>
      </w:r>
      <w:r w:rsidR="00234B4E" w:rsidRPr="00A1399E">
        <w:rPr>
          <w:color w:val="000000"/>
          <w:sz w:val="20"/>
          <w:szCs w:val="20"/>
        </w:rPr>
        <w:t xml:space="preserve"> </w:t>
      </w:r>
      <w:r w:rsidR="00FC4740" w:rsidRPr="00A1399E">
        <w:rPr>
          <w:color w:val="000000"/>
          <w:sz w:val="20"/>
          <w:szCs w:val="20"/>
        </w:rPr>
        <w:t xml:space="preserve">Nations </w:t>
      </w:r>
      <w:r w:rsidR="00234B4E" w:rsidRPr="00A1399E">
        <w:rPr>
          <w:color w:val="000000"/>
          <w:sz w:val="20"/>
          <w:szCs w:val="20"/>
        </w:rPr>
        <w:t xml:space="preserve">Risk Management Unit </w:t>
      </w:r>
      <w:r w:rsidR="00424E11" w:rsidRPr="00A1399E">
        <w:rPr>
          <w:color w:val="000000"/>
          <w:sz w:val="20"/>
          <w:szCs w:val="20"/>
        </w:rPr>
        <w:t>to</w:t>
      </w:r>
      <w:r w:rsidR="00234B4E" w:rsidRPr="00A1399E">
        <w:rPr>
          <w:color w:val="000000"/>
          <w:sz w:val="20"/>
          <w:szCs w:val="20"/>
        </w:rPr>
        <w:t xml:space="preserve"> assess, monitor and mitigat</w:t>
      </w:r>
      <w:r w:rsidR="00424E11" w:rsidRPr="00A1399E">
        <w:rPr>
          <w:color w:val="000000"/>
          <w:sz w:val="20"/>
          <w:szCs w:val="20"/>
        </w:rPr>
        <w:t>e</w:t>
      </w:r>
      <w:r w:rsidR="00234B4E" w:rsidRPr="00A1399E">
        <w:rPr>
          <w:color w:val="000000"/>
          <w:sz w:val="20"/>
          <w:szCs w:val="20"/>
        </w:rPr>
        <w:t xml:space="preserve"> programmatic and operational risks based on ISO13000 risk management standards. </w:t>
      </w:r>
      <w:r w:rsidR="00234B4E" w:rsidRPr="00A1399E">
        <w:rPr>
          <w:sz w:val="20"/>
          <w:szCs w:val="20"/>
        </w:rPr>
        <w:t>UNDP will unify its efforts with the U</w:t>
      </w:r>
      <w:r w:rsidR="00FC4740" w:rsidRPr="00A1399E">
        <w:rPr>
          <w:sz w:val="20"/>
          <w:szCs w:val="20"/>
        </w:rPr>
        <w:t xml:space="preserve">nited </w:t>
      </w:r>
      <w:r w:rsidR="00234B4E" w:rsidRPr="00A1399E">
        <w:rPr>
          <w:sz w:val="20"/>
          <w:szCs w:val="20"/>
        </w:rPr>
        <w:t>N</w:t>
      </w:r>
      <w:r w:rsidR="00FC4740" w:rsidRPr="00A1399E">
        <w:rPr>
          <w:sz w:val="20"/>
          <w:szCs w:val="20"/>
        </w:rPr>
        <w:t>ations system</w:t>
      </w:r>
      <w:r w:rsidR="00234B4E" w:rsidRPr="00A1399E">
        <w:rPr>
          <w:sz w:val="20"/>
          <w:szCs w:val="20"/>
        </w:rPr>
        <w:t xml:space="preserve"> to implement joint risk mitigation measures in consultation with partners. </w:t>
      </w:r>
    </w:p>
    <w:p w14:paraId="6DC6A86F" w14:textId="078A5F46" w:rsidR="00782C36" w:rsidRPr="00A1399E" w:rsidRDefault="00234B4E" w:rsidP="00F704ED">
      <w:pPr>
        <w:spacing w:after="120" w:line="240" w:lineRule="exact"/>
        <w:ind w:left="720"/>
        <w:jc w:val="both"/>
        <w:rPr>
          <w:iCs/>
          <w:sz w:val="20"/>
          <w:szCs w:val="20"/>
        </w:rPr>
      </w:pPr>
      <w:r w:rsidRPr="00A1399E">
        <w:rPr>
          <w:iCs/>
          <w:sz w:val="20"/>
          <w:szCs w:val="20"/>
        </w:rPr>
        <w:t>2</w:t>
      </w:r>
      <w:r w:rsidR="00F52919" w:rsidRPr="00A1399E">
        <w:rPr>
          <w:iCs/>
          <w:sz w:val="20"/>
          <w:szCs w:val="20"/>
        </w:rPr>
        <w:t>7</w:t>
      </w:r>
      <w:r w:rsidRPr="00A1399E">
        <w:rPr>
          <w:iCs/>
          <w:sz w:val="20"/>
          <w:szCs w:val="20"/>
        </w:rPr>
        <w:t xml:space="preserve">. </w:t>
      </w:r>
      <w:r w:rsidR="00DA4A11" w:rsidRPr="00A1399E">
        <w:rPr>
          <w:iCs/>
          <w:sz w:val="20"/>
          <w:szCs w:val="20"/>
        </w:rPr>
        <w:t xml:space="preserve">Due to </w:t>
      </w:r>
      <w:r w:rsidR="00736C0E" w:rsidRPr="00A1399E">
        <w:rPr>
          <w:iCs/>
          <w:sz w:val="20"/>
          <w:szCs w:val="20"/>
        </w:rPr>
        <w:t xml:space="preserve">national partners’ </w:t>
      </w:r>
      <w:r w:rsidR="00DA4A11" w:rsidRPr="00A1399E">
        <w:rPr>
          <w:iCs/>
          <w:sz w:val="20"/>
          <w:szCs w:val="20"/>
        </w:rPr>
        <w:t xml:space="preserve">limited capacities in programme management, </w:t>
      </w:r>
      <w:r w:rsidR="009E19A7" w:rsidRPr="00A1399E">
        <w:rPr>
          <w:iCs/>
          <w:sz w:val="20"/>
          <w:szCs w:val="20"/>
        </w:rPr>
        <w:t>UNDP will use direct implementation</w:t>
      </w:r>
      <w:r w:rsidR="000B72DC" w:rsidRPr="00A1399E">
        <w:rPr>
          <w:iCs/>
          <w:sz w:val="20"/>
          <w:szCs w:val="20"/>
        </w:rPr>
        <w:t xml:space="preserve">. </w:t>
      </w:r>
      <w:r w:rsidR="00C32D98" w:rsidRPr="00A1399E">
        <w:rPr>
          <w:iCs/>
          <w:sz w:val="20"/>
          <w:szCs w:val="20"/>
        </w:rPr>
        <w:t>T</w:t>
      </w:r>
      <w:r w:rsidR="000B72DC" w:rsidRPr="00A1399E">
        <w:rPr>
          <w:iCs/>
          <w:sz w:val="20"/>
          <w:szCs w:val="20"/>
        </w:rPr>
        <w:t xml:space="preserve">hrough implementation of </w:t>
      </w:r>
      <w:r w:rsidR="00C32D98" w:rsidRPr="00A1399E">
        <w:rPr>
          <w:iCs/>
          <w:sz w:val="20"/>
          <w:szCs w:val="20"/>
        </w:rPr>
        <w:t xml:space="preserve">the </w:t>
      </w:r>
      <w:r w:rsidR="00C423FB" w:rsidRPr="00A1399E">
        <w:rPr>
          <w:iCs/>
          <w:sz w:val="20"/>
          <w:szCs w:val="20"/>
        </w:rPr>
        <w:t>b</w:t>
      </w:r>
      <w:r w:rsidR="000B72DC" w:rsidRPr="00A1399E">
        <w:rPr>
          <w:iCs/>
          <w:sz w:val="20"/>
          <w:szCs w:val="20"/>
        </w:rPr>
        <w:t xml:space="preserve">usiness </w:t>
      </w:r>
      <w:r w:rsidR="00C423FB" w:rsidRPr="00A1399E">
        <w:rPr>
          <w:iCs/>
          <w:sz w:val="20"/>
          <w:szCs w:val="20"/>
        </w:rPr>
        <w:t>o</w:t>
      </w:r>
      <w:r w:rsidR="000B72DC" w:rsidRPr="00A1399E">
        <w:rPr>
          <w:iCs/>
          <w:sz w:val="20"/>
          <w:szCs w:val="20"/>
        </w:rPr>
        <w:t xml:space="preserve">perations </w:t>
      </w:r>
      <w:r w:rsidR="00C423FB" w:rsidRPr="00A1399E">
        <w:rPr>
          <w:iCs/>
          <w:sz w:val="20"/>
          <w:szCs w:val="20"/>
        </w:rPr>
        <w:t>s</w:t>
      </w:r>
      <w:r w:rsidR="000B72DC" w:rsidRPr="00A1399E">
        <w:rPr>
          <w:iCs/>
          <w:sz w:val="20"/>
          <w:szCs w:val="20"/>
        </w:rPr>
        <w:t>trategy with other U</w:t>
      </w:r>
      <w:r w:rsidR="00C423FB" w:rsidRPr="00A1399E">
        <w:rPr>
          <w:iCs/>
          <w:sz w:val="20"/>
          <w:szCs w:val="20"/>
        </w:rPr>
        <w:t xml:space="preserve">nited </w:t>
      </w:r>
      <w:r w:rsidR="000B72DC" w:rsidRPr="00A1399E">
        <w:rPr>
          <w:iCs/>
          <w:sz w:val="20"/>
          <w:szCs w:val="20"/>
        </w:rPr>
        <w:t>N</w:t>
      </w:r>
      <w:r w:rsidR="00C423FB" w:rsidRPr="00A1399E">
        <w:rPr>
          <w:iCs/>
          <w:sz w:val="20"/>
          <w:szCs w:val="20"/>
        </w:rPr>
        <w:t>ations</w:t>
      </w:r>
      <w:r w:rsidR="000B72DC" w:rsidRPr="00A1399E">
        <w:rPr>
          <w:iCs/>
          <w:sz w:val="20"/>
          <w:szCs w:val="20"/>
        </w:rPr>
        <w:t xml:space="preserve"> </w:t>
      </w:r>
      <w:r w:rsidR="00C423FB" w:rsidRPr="00A1399E">
        <w:rPr>
          <w:iCs/>
          <w:sz w:val="20"/>
          <w:szCs w:val="20"/>
        </w:rPr>
        <w:t>organizations</w:t>
      </w:r>
      <w:r w:rsidR="000B72DC" w:rsidRPr="00A1399E">
        <w:rPr>
          <w:iCs/>
          <w:sz w:val="20"/>
          <w:szCs w:val="20"/>
        </w:rPr>
        <w:t xml:space="preserve">, </w:t>
      </w:r>
      <w:r w:rsidR="00C32D98" w:rsidRPr="00A1399E">
        <w:rPr>
          <w:iCs/>
          <w:sz w:val="20"/>
          <w:szCs w:val="20"/>
        </w:rPr>
        <w:t xml:space="preserve">the </w:t>
      </w:r>
      <w:r w:rsidR="00C423FB" w:rsidRPr="00A1399E">
        <w:rPr>
          <w:iCs/>
          <w:sz w:val="20"/>
          <w:szCs w:val="20"/>
        </w:rPr>
        <w:t xml:space="preserve">country office </w:t>
      </w:r>
      <w:r w:rsidR="000B72DC" w:rsidRPr="00A1399E">
        <w:rPr>
          <w:iCs/>
          <w:sz w:val="20"/>
          <w:szCs w:val="20"/>
        </w:rPr>
        <w:t xml:space="preserve">will support </w:t>
      </w:r>
      <w:r w:rsidR="00C423FB" w:rsidRPr="00A1399E">
        <w:rPr>
          <w:iCs/>
          <w:sz w:val="20"/>
          <w:szCs w:val="20"/>
        </w:rPr>
        <w:t xml:space="preserve">a </w:t>
      </w:r>
      <w:r w:rsidR="000B72DC" w:rsidRPr="00A1399E">
        <w:rPr>
          <w:iCs/>
          <w:sz w:val="20"/>
          <w:szCs w:val="20"/>
        </w:rPr>
        <w:t>macro</w:t>
      </w:r>
      <w:r w:rsidR="00C423FB" w:rsidRPr="00A1399E">
        <w:rPr>
          <w:iCs/>
          <w:sz w:val="20"/>
          <w:szCs w:val="20"/>
        </w:rPr>
        <w:t>-</w:t>
      </w:r>
      <w:r w:rsidR="000B72DC" w:rsidRPr="00A1399E">
        <w:rPr>
          <w:iCs/>
          <w:sz w:val="20"/>
          <w:szCs w:val="20"/>
        </w:rPr>
        <w:t xml:space="preserve">assessment of the </w:t>
      </w:r>
      <w:r w:rsidR="00C423FB" w:rsidRPr="00A1399E">
        <w:rPr>
          <w:iCs/>
          <w:sz w:val="20"/>
          <w:szCs w:val="20"/>
        </w:rPr>
        <w:t>p</w:t>
      </w:r>
      <w:r w:rsidR="0060203F" w:rsidRPr="00A1399E">
        <w:rPr>
          <w:iCs/>
          <w:sz w:val="20"/>
          <w:szCs w:val="20"/>
        </w:rPr>
        <w:t xml:space="preserve">ublic </w:t>
      </w:r>
      <w:r w:rsidR="00C423FB" w:rsidRPr="00A1399E">
        <w:rPr>
          <w:iCs/>
          <w:sz w:val="20"/>
          <w:szCs w:val="20"/>
        </w:rPr>
        <w:t>f</w:t>
      </w:r>
      <w:r w:rsidR="0060203F" w:rsidRPr="00A1399E">
        <w:rPr>
          <w:iCs/>
          <w:sz w:val="20"/>
          <w:szCs w:val="20"/>
        </w:rPr>
        <w:t xml:space="preserve">inancial </w:t>
      </w:r>
      <w:r w:rsidR="00C423FB" w:rsidRPr="00A1399E">
        <w:rPr>
          <w:iCs/>
          <w:sz w:val="20"/>
          <w:szCs w:val="20"/>
        </w:rPr>
        <w:t>m</w:t>
      </w:r>
      <w:r w:rsidR="0060203F" w:rsidRPr="00A1399E">
        <w:rPr>
          <w:iCs/>
          <w:sz w:val="20"/>
          <w:szCs w:val="20"/>
        </w:rPr>
        <w:t>anagement</w:t>
      </w:r>
      <w:r w:rsidR="000B72DC" w:rsidRPr="00A1399E">
        <w:rPr>
          <w:iCs/>
          <w:sz w:val="20"/>
          <w:szCs w:val="20"/>
        </w:rPr>
        <w:t xml:space="preserve"> system to </w:t>
      </w:r>
      <w:r w:rsidR="001737D2" w:rsidRPr="00A1399E">
        <w:rPr>
          <w:iCs/>
          <w:sz w:val="20"/>
          <w:szCs w:val="20"/>
        </w:rPr>
        <w:t>inform</w:t>
      </w:r>
      <w:r w:rsidR="000B72DC" w:rsidRPr="00A1399E">
        <w:rPr>
          <w:iCs/>
          <w:sz w:val="20"/>
          <w:szCs w:val="20"/>
        </w:rPr>
        <w:t xml:space="preserve"> use of </w:t>
      </w:r>
      <w:r w:rsidR="001737D2" w:rsidRPr="00A1399E">
        <w:rPr>
          <w:iCs/>
          <w:sz w:val="20"/>
          <w:szCs w:val="20"/>
        </w:rPr>
        <w:t xml:space="preserve">national </w:t>
      </w:r>
      <w:r w:rsidR="000B72DC" w:rsidRPr="00A1399E">
        <w:rPr>
          <w:iCs/>
          <w:sz w:val="20"/>
          <w:szCs w:val="20"/>
        </w:rPr>
        <w:t xml:space="preserve">systems. </w:t>
      </w:r>
      <w:r w:rsidR="003A5219" w:rsidRPr="00A1399E">
        <w:rPr>
          <w:iCs/>
          <w:sz w:val="20"/>
          <w:szCs w:val="20"/>
        </w:rPr>
        <w:t>Programme</w:t>
      </w:r>
      <w:r w:rsidR="00F4641E" w:rsidRPr="00A1399E">
        <w:rPr>
          <w:iCs/>
          <w:sz w:val="20"/>
          <w:szCs w:val="20"/>
        </w:rPr>
        <w:t xml:space="preserve"> </w:t>
      </w:r>
      <w:r w:rsidR="00CE1B2A" w:rsidRPr="00A1399E">
        <w:rPr>
          <w:iCs/>
          <w:sz w:val="20"/>
          <w:szCs w:val="20"/>
        </w:rPr>
        <w:t xml:space="preserve">governance </w:t>
      </w:r>
      <w:r w:rsidR="003A5219" w:rsidRPr="00A1399E">
        <w:rPr>
          <w:iCs/>
          <w:sz w:val="20"/>
          <w:szCs w:val="20"/>
        </w:rPr>
        <w:t>mechanisms</w:t>
      </w:r>
      <w:r w:rsidR="00CE1B2A" w:rsidRPr="00A1399E">
        <w:rPr>
          <w:iCs/>
          <w:sz w:val="20"/>
          <w:szCs w:val="20"/>
        </w:rPr>
        <w:t xml:space="preserve"> will be </w:t>
      </w:r>
      <w:r w:rsidR="003A5219" w:rsidRPr="00A1399E">
        <w:rPr>
          <w:iCs/>
          <w:sz w:val="20"/>
          <w:szCs w:val="20"/>
        </w:rPr>
        <w:t>established</w:t>
      </w:r>
      <w:r w:rsidR="00CE1B2A" w:rsidRPr="00A1399E">
        <w:rPr>
          <w:iCs/>
          <w:sz w:val="20"/>
          <w:szCs w:val="20"/>
        </w:rPr>
        <w:t xml:space="preserve"> in alignment with </w:t>
      </w:r>
      <w:r w:rsidR="007F41FF" w:rsidRPr="00A1399E">
        <w:rPr>
          <w:iCs/>
          <w:sz w:val="20"/>
          <w:szCs w:val="20"/>
        </w:rPr>
        <w:t>UNSDCF</w:t>
      </w:r>
      <w:r w:rsidR="00CE1B2A" w:rsidRPr="00A1399E">
        <w:rPr>
          <w:iCs/>
          <w:sz w:val="20"/>
          <w:szCs w:val="20"/>
        </w:rPr>
        <w:t xml:space="preserve"> structures</w:t>
      </w:r>
      <w:r w:rsidR="000B72DC" w:rsidRPr="00A1399E">
        <w:rPr>
          <w:iCs/>
          <w:sz w:val="20"/>
          <w:szCs w:val="20"/>
        </w:rPr>
        <w:t xml:space="preserve"> for management</w:t>
      </w:r>
      <w:r w:rsidR="00DA4A11" w:rsidRPr="00A1399E">
        <w:rPr>
          <w:iCs/>
          <w:sz w:val="20"/>
          <w:szCs w:val="20"/>
        </w:rPr>
        <w:t xml:space="preserve"> and oversight</w:t>
      </w:r>
      <w:r w:rsidR="00CE1B2A" w:rsidRPr="00A1399E">
        <w:rPr>
          <w:iCs/>
          <w:sz w:val="20"/>
          <w:szCs w:val="20"/>
        </w:rPr>
        <w:t xml:space="preserve">. </w:t>
      </w:r>
      <w:r w:rsidR="00DB7624" w:rsidRPr="00A1399E">
        <w:rPr>
          <w:iCs/>
          <w:sz w:val="20"/>
          <w:szCs w:val="20"/>
        </w:rPr>
        <w:t>Opportunities for systematic capacity development will be jointly pursued with U</w:t>
      </w:r>
      <w:r w:rsidR="00C423FB" w:rsidRPr="00A1399E">
        <w:rPr>
          <w:iCs/>
          <w:sz w:val="20"/>
          <w:szCs w:val="20"/>
        </w:rPr>
        <w:t xml:space="preserve">nited </w:t>
      </w:r>
      <w:r w:rsidR="00DB7624" w:rsidRPr="00A1399E">
        <w:rPr>
          <w:iCs/>
          <w:sz w:val="20"/>
          <w:szCs w:val="20"/>
        </w:rPr>
        <w:t>N</w:t>
      </w:r>
      <w:r w:rsidR="00C423FB" w:rsidRPr="00A1399E">
        <w:rPr>
          <w:iCs/>
          <w:sz w:val="20"/>
          <w:szCs w:val="20"/>
        </w:rPr>
        <w:t>ations</w:t>
      </w:r>
      <w:r w:rsidR="00DB7624" w:rsidRPr="00A1399E">
        <w:rPr>
          <w:iCs/>
          <w:sz w:val="20"/>
          <w:szCs w:val="20"/>
        </w:rPr>
        <w:t xml:space="preserve"> </w:t>
      </w:r>
      <w:r w:rsidR="00C423FB" w:rsidRPr="00A1399E">
        <w:rPr>
          <w:iCs/>
          <w:sz w:val="20"/>
          <w:szCs w:val="20"/>
        </w:rPr>
        <w:t xml:space="preserve">organizations, </w:t>
      </w:r>
      <w:r w:rsidR="00DB7624" w:rsidRPr="00A1399E">
        <w:rPr>
          <w:iCs/>
          <w:sz w:val="20"/>
          <w:szCs w:val="20"/>
        </w:rPr>
        <w:t xml:space="preserve">including, as applicable, </w:t>
      </w:r>
      <w:r w:rsidR="00514A19" w:rsidRPr="00A1399E">
        <w:rPr>
          <w:iCs/>
          <w:sz w:val="20"/>
          <w:szCs w:val="20"/>
        </w:rPr>
        <w:t xml:space="preserve">using </w:t>
      </w:r>
      <w:r w:rsidR="00DB7624" w:rsidRPr="00A1399E">
        <w:rPr>
          <w:sz w:val="20"/>
          <w:szCs w:val="20"/>
        </w:rPr>
        <w:t>HACT</w:t>
      </w:r>
      <w:r w:rsidR="00DB7624" w:rsidRPr="00A1399E">
        <w:rPr>
          <w:iCs/>
          <w:sz w:val="20"/>
          <w:szCs w:val="20"/>
        </w:rPr>
        <w:t>.</w:t>
      </w:r>
    </w:p>
    <w:bookmarkEnd w:id="6"/>
    <w:p w14:paraId="6738BF96" w14:textId="7CDA1FE0" w:rsidR="00CE1B2A" w:rsidRPr="00A1399E" w:rsidRDefault="00732231" w:rsidP="00F704ED">
      <w:pPr>
        <w:suppressAutoHyphens/>
        <w:autoSpaceDN w:val="0"/>
        <w:spacing w:after="120" w:line="240" w:lineRule="exact"/>
        <w:ind w:left="720"/>
        <w:contextualSpacing/>
        <w:jc w:val="both"/>
        <w:textAlignment w:val="baseline"/>
        <w:rPr>
          <w:sz w:val="20"/>
          <w:szCs w:val="20"/>
        </w:rPr>
      </w:pPr>
      <w:r w:rsidRPr="00A1399E">
        <w:rPr>
          <w:sz w:val="20"/>
          <w:szCs w:val="20"/>
        </w:rPr>
        <w:t>2</w:t>
      </w:r>
      <w:r w:rsidR="00F52919" w:rsidRPr="00A1399E">
        <w:rPr>
          <w:sz w:val="20"/>
          <w:szCs w:val="20"/>
        </w:rPr>
        <w:t>8</w:t>
      </w:r>
      <w:r w:rsidR="00CE1B2A" w:rsidRPr="00A1399E">
        <w:rPr>
          <w:sz w:val="20"/>
          <w:szCs w:val="20"/>
        </w:rPr>
        <w:t xml:space="preserve">. To enhance </w:t>
      </w:r>
      <w:r w:rsidR="00AE1074" w:rsidRPr="00A1399E">
        <w:rPr>
          <w:sz w:val="20"/>
          <w:szCs w:val="20"/>
        </w:rPr>
        <w:t>efficiency</w:t>
      </w:r>
      <w:r w:rsidR="00CE1B2A" w:rsidRPr="00A1399E">
        <w:rPr>
          <w:sz w:val="20"/>
          <w:szCs w:val="20"/>
        </w:rPr>
        <w:t>, the programme will streamlin</w:t>
      </w:r>
      <w:r w:rsidR="001E6B31" w:rsidRPr="00A1399E">
        <w:rPr>
          <w:sz w:val="20"/>
          <w:szCs w:val="20"/>
        </w:rPr>
        <w:t xml:space="preserve">e </w:t>
      </w:r>
      <w:r w:rsidR="00CE1B2A" w:rsidRPr="00A1399E">
        <w:rPr>
          <w:sz w:val="20"/>
          <w:szCs w:val="20"/>
        </w:rPr>
        <w:t xml:space="preserve">business operations </w:t>
      </w:r>
      <w:r w:rsidR="001E6B31" w:rsidRPr="00A1399E">
        <w:rPr>
          <w:sz w:val="20"/>
          <w:szCs w:val="20"/>
        </w:rPr>
        <w:t xml:space="preserve">and enhance </w:t>
      </w:r>
      <w:r w:rsidR="00CE1B2A" w:rsidRPr="00A1399E">
        <w:rPr>
          <w:sz w:val="20"/>
          <w:szCs w:val="20"/>
        </w:rPr>
        <w:t>coordination and synergies across projects and portfolios.</w:t>
      </w:r>
      <w:r w:rsidR="00AE1074" w:rsidRPr="00A1399E">
        <w:rPr>
          <w:sz w:val="20"/>
          <w:szCs w:val="20"/>
        </w:rPr>
        <w:t xml:space="preserve"> </w:t>
      </w:r>
    </w:p>
    <w:p w14:paraId="79611E6E" w14:textId="77777777" w:rsidR="00C423FB" w:rsidRPr="00A1399E" w:rsidRDefault="00C423FB" w:rsidP="00F704ED">
      <w:pPr>
        <w:suppressAutoHyphens/>
        <w:autoSpaceDN w:val="0"/>
        <w:spacing w:after="120" w:line="240" w:lineRule="exact"/>
        <w:ind w:left="720"/>
        <w:contextualSpacing/>
        <w:jc w:val="both"/>
        <w:textAlignment w:val="baseline"/>
        <w:rPr>
          <w:sz w:val="20"/>
          <w:szCs w:val="20"/>
        </w:rPr>
      </w:pPr>
    </w:p>
    <w:p w14:paraId="6CECB221" w14:textId="7A36A9F0" w:rsidR="00DB7624" w:rsidRPr="00A1399E" w:rsidRDefault="00F52919" w:rsidP="00021BF6">
      <w:pPr>
        <w:spacing w:line="240" w:lineRule="exact"/>
        <w:ind w:left="720"/>
        <w:jc w:val="both"/>
        <w:rPr>
          <w:sz w:val="20"/>
          <w:szCs w:val="20"/>
        </w:rPr>
      </w:pPr>
      <w:r w:rsidRPr="00A1399E">
        <w:rPr>
          <w:color w:val="000000"/>
          <w:sz w:val="20"/>
          <w:szCs w:val="20"/>
        </w:rPr>
        <w:t>29</w:t>
      </w:r>
      <w:r w:rsidR="00234B4E" w:rsidRPr="00A1399E">
        <w:rPr>
          <w:color w:val="000000"/>
          <w:sz w:val="20"/>
          <w:szCs w:val="20"/>
        </w:rPr>
        <w:t xml:space="preserve">. </w:t>
      </w:r>
      <w:r w:rsidR="001E6B31" w:rsidRPr="00A1399E">
        <w:rPr>
          <w:i/>
          <w:sz w:val="20"/>
          <w:szCs w:val="20"/>
        </w:rPr>
        <w:t xml:space="preserve">Social and </w:t>
      </w:r>
      <w:r w:rsidR="00C423FB" w:rsidRPr="00A1399E">
        <w:rPr>
          <w:i/>
          <w:sz w:val="20"/>
          <w:szCs w:val="20"/>
        </w:rPr>
        <w:t>e</w:t>
      </w:r>
      <w:r w:rsidR="001E6B31" w:rsidRPr="00A1399E">
        <w:rPr>
          <w:i/>
          <w:sz w:val="20"/>
          <w:szCs w:val="20"/>
        </w:rPr>
        <w:t xml:space="preserve">nvironmental </w:t>
      </w:r>
      <w:r w:rsidR="00C423FB" w:rsidRPr="00A1399E">
        <w:rPr>
          <w:i/>
          <w:sz w:val="20"/>
          <w:szCs w:val="20"/>
        </w:rPr>
        <w:t>s</w:t>
      </w:r>
      <w:r w:rsidR="001E6B31" w:rsidRPr="00A1399E">
        <w:rPr>
          <w:i/>
          <w:sz w:val="20"/>
          <w:szCs w:val="20"/>
        </w:rPr>
        <w:t>tandards</w:t>
      </w:r>
      <w:r w:rsidR="00C423FB" w:rsidRPr="00A1399E">
        <w:rPr>
          <w:i/>
          <w:sz w:val="20"/>
          <w:szCs w:val="20"/>
        </w:rPr>
        <w:t>.</w:t>
      </w:r>
      <w:r w:rsidR="001E6B31" w:rsidRPr="00A1399E">
        <w:rPr>
          <w:i/>
          <w:sz w:val="20"/>
          <w:szCs w:val="20"/>
        </w:rPr>
        <w:t xml:space="preserve"> </w:t>
      </w:r>
      <w:r w:rsidR="00DB7624" w:rsidRPr="00A1399E">
        <w:rPr>
          <w:color w:val="000000"/>
          <w:sz w:val="20"/>
          <w:szCs w:val="20"/>
        </w:rPr>
        <w:t xml:space="preserve">The </w:t>
      </w:r>
      <w:r w:rsidR="00C423FB" w:rsidRPr="00A1399E">
        <w:rPr>
          <w:color w:val="000000"/>
          <w:sz w:val="20"/>
          <w:szCs w:val="20"/>
        </w:rPr>
        <w:t>c</w:t>
      </w:r>
      <w:r w:rsidR="00DB7624" w:rsidRPr="00A1399E">
        <w:rPr>
          <w:color w:val="000000"/>
          <w:sz w:val="20"/>
          <w:szCs w:val="20"/>
        </w:rPr>
        <w:t xml:space="preserve">ountry </w:t>
      </w:r>
      <w:r w:rsidR="00C423FB" w:rsidRPr="00A1399E">
        <w:rPr>
          <w:color w:val="000000"/>
          <w:sz w:val="20"/>
          <w:szCs w:val="20"/>
        </w:rPr>
        <w:t>o</w:t>
      </w:r>
      <w:r w:rsidR="00DB7624" w:rsidRPr="00A1399E">
        <w:rPr>
          <w:color w:val="000000"/>
          <w:sz w:val="20"/>
          <w:szCs w:val="20"/>
        </w:rPr>
        <w:t>ffice will apply UNDP social and environmental screening procedures and accountability mechanisms as part of risk management and do-no-harm principles.</w:t>
      </w:r>
    </w:p>
    <w:p w14:paraId="686AC6C7" w14:textId="77777777" w:rsidR="009B2AE4" w:rsidRPr="00A1399E" w:rsidRDefault="009B2AE4" w:rsidP="00021BF6">
      <w:pPr>
        <w:pStyle w:val="Heading1"/>
        <w:spacing w:line="240" w:lineRule="exact"/>
        <w:ind w:left="720"/>
        <w:rPr>
          <w:sz w:val="20"/>
          <w:szCs w:val="20"/>
        </w:rPr>
      </w:pPr>
      <w:bookmarkStart w:id="7" w:name="_Toc49181085"/>
    </w:p>
    <w:p w14:paraId="3C1701C7" w14:textId="1EAB8A93" w:rsidR="00B14EFE" w:rsidRPr="00A1399E" w:rsidRDefault="00021BF6" w:rsidP="00021BF6">
      <w:pPr>
        <w:pStyle w:val="Heading1"/>
        <w:numPr>
          <w:ilvl w:val="0"/>
          <w:numId w:val="24"/>
        </w:numPr>
        <w:tabs>
          <w:tab w:val="clear" w:pos="1296"/>
          <w:tab w:val="num" w:pos="720"/>
        </w:tabs>
        <w:spacing w:line="240" w:lineRule="exact"/>
        <w:ind w:hanging="756"/>
        <w:rPr>
          <w:sz w:val="24"/>
          <w:szCs w:val="24"/>
        </w:rPr>
      </w:pPr>
      <w:r w:rsidRPr="00A1399E">
        <w:rPr>
          <w:sz w:val="24"/>
          <w:szCs w:val="24"/>
        </w:rPr>
        <w:t>Monitoring and evaluation</w:t>
      </w:r>
      <w:bookmarkEnd w:id="7"/>
    </w:p>
    <w:p w14:paraId="59ABFA25" w14:textId="77777777" w:rsidR="00B14EFE" w:rsidRPr="00A1399E" w:rsidRDefault="00B14EFE" w:rsidP="00021BF6">
      <w:pPr>
        <w:spacing w:line="240" w:lineRule="exact"/>
        <w:ind w:left="720"/>
        <w:jc w:val="both"/>
        <w:rPr>
          <w:sz w:val="20"/>
          <w:szCs w:val="20"/>
        </w:rPr>
      </w:pPr>
    </w:p>
    <w:p w14:paraId="62142C2F" w14:textId="270DF5BB" w:rsidR="00782C36" w:rsidRPr="00A1399E" w:rsidRDefault="001E6B31" w:rsidP="00F704ED">
      <w:pPr>
        <w:spacing w:after="120" w:line="240" w:lineRule="exact"/>
        <w:ind w:left="720"/>
        <w:jc w:val="both"/>
        <w:rPr>
          <w:sz w:val="20"/>
          <w:szCs w:val="20"/>
        </w:rPr>
      </w:pPr>
      <w:r w:rsidRPr="00A1399E">
        <w:rPr>
          <w:sz w:val="20"/>
          <w:szCs w:val="20"/>
        </w:rPr>
        <w:t>3</w:t>
      </w:r>
      <w:r w:rsidR="00F52919" w:rsidRPr="00A1399E">
        <w:rPr>
          <w:sz w:val="20"/>
          <w:szCs w:val="20"/>
        </w:rPr>
        <w:t>0</w:t>
      </w:r>
      <w:r w:rsidR="001A1ECA" w:rsidRPr="00A1399E">
        <w:rPr>
          <w:sz w:val="20"/>
          <w:szCs w:val="20"/>
        </w:rPr>
        <w:t xml:space="preserve">. </w:t>
      </w:r>
      <w:r w:rsidR="00782C36" w:rsidRPr="00A1399E">
        <w:rPr>
          <w:sz w:val="20"/>
          <w:szCs w:val="20"/>
        </w:rPr>
        <w:t xml:space="preserve">UNDP </w:t>
      </w:r>
      <w:r w:rsidR="00C423FB" w:rsidRPr="00A1399E">
        <w:rPr>
          <w:sz w:val="20"/>
          <w:szCs w:val="20"/>
        </w:rPr>
        <w:t>c</w:t>
      </w:r>
      <w:r w:rsidR="00782C36" w:rsidRPr="00A1399E">
        <w:rPr>
          <w:sz w:val="20"/>
          <w:szCs w:val="20"/>
        </w:rPr>
        <w:t xml:space="preserve">ounty programme monitoring, evaluation and reporting will be aligned to </w:t>
      </w:r>
      <w:r w:rsidR="00C423FB" w:rsidRPr="00A1399E">
        <w:rPr>
          <w:sz w:val="20"/>
          <w:szCs w:val="20"/>
        </w:rPr>
        <w:t xml:space="preserve">the </w:t>
      </w:r>
      <w:r w:rsidR="00782C36" w:rsidRPr="00A1399E">
        <w:rPr>
          <w:sz w:val="20"/>
          <w:szCs w:val="20"/>
        </w:rPr>
        <w:t>UNSDCF 2021-2025 monitoring and evaluation plan</w:t>
      </w:r>
      <w:r w:rsidR="00E574F9" w:rsidRPr="00A1399E">
        <w:rPr>
          <w:sz w:val="20"/>
          <w:szCs w:val="20"/>
        </w:rPr>
        <w:t>.</w:t>
      </w:r>
      <w:r w:rsidR="00434DCA" w:rsidRPr="00A1399E">
        <w:rPr>
          <w:sz w:val="20"/>
          <w:szCs w:val="20"/>
        </w:rPr>
        <w:t xml:space="preserve"> </w:t>
      </w:r>
      <w:r w:rsidR="001F0968" w:rsidRPr="00A1399E">
        <w:rPr>
          <w:sz w:val="20"/>
          <w:szCs w:val="20"/>
        </w:rPr>
        <w:t xml:space="preserve">Guided by </w:t>
      </w:r>
      <w:r w:rsidR="00B751B1" w:rsidRPr="00A1399E">
        <w:rPr>
          <w:sz w:val="20"/>
          <w:szCs w:val="20"/>
        </w:rPr>
        <w:t xml:space="preserve">its </w:t>
      </w:r>
      <w:r w:rsidR="001F0968" w:rsidRPr="00A1399E">
        <w:rPr>
          <w:sz w:val="20"/>
          <w:szCs w:val="20"/>
        </w:rPr>
        <w:t xml:space="preserve">monitoring and evaluation guidelines, </w:t>
      </w:r>
      <w:r w:rsidR="00B751B1" w:rsidRPr="00A1399E">
        <w:rPr>
          <w:sz w:val="20"/>
          <w:szCs w:val="20"/>
        </w:rPr>
        <w:t xml:space="preserve">the </w:t>
      </w:r>
      <w:r w:rsidR="00C423FB" w:rsidRPr="00A1399E">
        <w:rPr>
          <w:sz w:val="20"/>
          <w:szCs w:val="20"/>
        </w:rPr>
        <w:t xml:space="preserve">country office </w:t>
      </w:r>
      <w:r w:rsidR="00B751B1" w:rsidRPr="00A1399E">
        <w:rPr>
          <w:sz w:val="20"/>
          <w:szCs w:val="20"/>
        </w:rPr>
        <w:t xml:space="preserve">will develop an </w:t>
      </w:r>
      <w:r w:rsidR="00C423FB" w:rsidRPr="00A1399E">
        <w:rPr>
          <w:sz w:val="20"/>
          <w:szCs w:val="20"/>
        </w:rPr>
        <w:t>e</w:t>
      </w:r>
      <w:r w:rsidR="00434DCA" w:rsidRPr="00A1399E">
        <w:rPr>
          <w:sz w:val="20"/>
          <w:szCs w:val="20"/>
        </w:rPr>
        <w:t xml:space="preserve">valuation </w:t>
      </w:r>
      <w:r w:rsidR="00C423FB" w:rsidRPr="00A1399E">
        <w:rPr>
          <w:sz w:val="20"/>
          <w:szCs w:val="20"/>
        </w:rPr>
        <w:t>p</w:t>
      </w:r>
      <w:r w:rsidR="00434DCA" w:rsidRPr="00A1399E">
        <w:rPr>
          <w:sz w:val="20"/>
          <w:szCs w:val="20"/>
        </w:rPr>
        <w:t xml:space="preserve">lan that </w:t>
      </w:r>
      <w:r w:rsidR="00BC1F73" w:rsidRPr="00A1399E">
        <w:rPr>
          <w:sz w:val="20"/>
          <w:szCs w:val="20"/>
        </w:rPr>
        <w:t>include</w:t>
      </w:r>
      <w:r w:rsidR="00FE66FB" w:rsidRPr="00A1399E">
        <w:rPr>
          <w:sz w:val="20"/>
          <w:szCs w:val="20"/>
        </w:rPr>
        <w:t>s</w:t>
      </w:r>
      <w:r w:rsidR="00BC1F73" w:rsidRPr="00A1399E">
        <w:rPr>
          <w:sz w:val="20"/>
          <w:szCs w:val="20"/>
        </w:rPr>
        <w:t xml:space="preserve"> </w:t>
      </w:r>
      <w:r w:rsidR="00434DCA" w:rsidRPr="00A1399E">
        <w:rPr>
          <w:sz w:val="20"/>
          <w:szCs w:val="20"/>
        </w:rPr>
        <w:t>project</w:t>
      </w:r>
      <w:r w:rsidR="00296B2E" w:rsidRPr="00A1399E">
        <w:rPr>
          <w:sz w:val="20"/>
          <w:szCs w:val="20"/>
        </w:rPr>
        <w:t xml:space="preserve"> and </w:t>
      </w:r>
      <w:r w:rsidR="00434DCA" w:rsidRPr="00A1399E">
        <w:rPr>
          <w:sz w:val="20"/>
          <w:szCs w:val="20"/>
        </w:rPr>
        <w:t xml:space="preserve">thematic evaluations for the </w:t>
      </w:r>
      <w:r w:rsidR="00C423FB" w:rsidRPr="00A1399E">
        <w:rPr>
          <w:sz w:val="20"/>
          <w:szCs w:val="20"/>
        </w:rPr>
        <w:t xml:space="preserve">three </w:t>
      </w:r>
      <w:r w:rsidR="00434DCA" w:rsidRPr="00A1399E">
        <w:rPr>
          <w:sz w:val="20"/>
          <w:szCs w:val="20"/>
        </w:rPr>
        <w:t>programme priorities</w:t>
      </w:r>
      <w:r w:rsidR="00FE66FB" w:rsidRPr="00A1399E">
        <w:rPr>
          <w:sz w:val="20"/>
          <w:szCs w:val="20"/>
        </w:rPr>
        <w:t xml:space="preserve"> and</w:t>
      </w:r>
      <w:r w:rsidR="00B751B1" w:rsidRPr="00A1399E">
        <w:rPr>
          <w:sz w:val="20"/>
          <w:szCs w:val="20"/>
        </w:rPr>
        <w:t xml:space="preserve">, with the Resident Coordinator’s Office, </w:t>
      </w:r>
      <w:r w:rsidR="00BC1F73" w:rsidRPr="00A1399E">
        <w:rPr>
          <w:sz w:val="20"/>
          <w:szCs w:val="20"/>
        </w:rPr>
        <w:t xml:space="preserve">a </w:t>
      </w:r>
      <w:r w:rsidR="00296B2E" w:rsidRPr="00A1399E">
        <w:rPr>
          <w:sz w:val="20"/>
          <w:szCs w:val="20"/>
        </w:rPr>
        <w:t xml:space="preserve">joint </w:t>
      </w:r>
      <w:r w:rsidR="00B751B1" w:rsidRPr="00A1399E">
        <w:rPr>
          <w:sz w:val="20"/>
          <w:szCs w:val="20"/>
        </w:rPr>
        <w:t xml:space="preserve">UNSDCF </w:t>
      </w:r>
      <w:r w:rsidR="00296B2E" w:rsidRPr="00A1399E">
        <w:rPr>
          <w:sz w:val="20"/>
          <w:szCs w:val="20"/>
        </w:rPr>
        <w:t>evaluation</w:t>
      </w:r>
      <w:r w:rsidR="00F4641E" w:rsidRPr="00A1399E">
        <w:rPr>
          <w:sz w:val="20"/>
          <w:szCs w:val="20"/>
        </w:rPr>
        <w:t>.</w:t>
      </w:r>
    </w:p>
    <w:p w14:paraId="21C63970" w14:textId="34F3375E" w:rsidR="00782C36" w:rsidRPr="00A1399E" w:rsidRDefault="001E6B31" w:rsidP="00F704ED">
      <w:pPr>
        <w:spacing w:after="120" w:line="240" w:lineRule="exact"/>
        <w:ind w:left="720"/>
        <w:jc w:val="both"/>
        <w:rPr>
          <w:sz w:val="20"/>
          <w:szCs w:val="20"/>
        </w:rPr>
      </w:pPr>
      <w:r w:rsidRPr="00A1399E">
        <w:rPr>
          <w:sz w:val="20"/>
          <w:szCs w:val="20"/>
        </w:rPr>
        <w:t>3</w:t>
      </w:r>
      <w:r w:rsidR="00F52919" w:rsidRPr="00A1399E">
        <w:rPr>
          <w:sz w:val="20"/>
          <w:szCs w:val="20"/>
        </w:rPr>
        <w:t>1</w:t>
      </w:r>
      <w:r w:rsidR="00782C36" w:rsidRPr="00A1399E">
        <w:rPr>
          <w:sz w:val="20"/>
          <w:szCs w:val="20"/>
        </w:rPr>
        <w:t xml:space="preserve">. </w:t>
      </w:r>
      <w:r w:rsidR="00C423FB" w:rsidRPr="00A1399E">
        <w:rPr>
          <w:sz w:val="20"/>
          <w:szCs w:val="20"/>
        </w:rPr>
        <w:t xml:space="preserve">Monitoring and evaluation </w:t>
      </w:r>
      <w:r w:rsidR="00782C36" w:rsidRPr="00A1399E">
        <w:rPr>
          <w:sz w:val="20"/>
          <w:szCs w:val="20"/>
        </w:rPr>
        <w:t>in Somalia is a challenge</w:t>
      </w:r>
      <w:r w:rsidR="00C423FB" w:rsidRPr="00A1399E">
        <w:rPr>
          <w:sz w:val="20"/>
          <w:szCs w:val="20"/>
        </w:rPr>
        <w:t xml:space="preserve">, owing </w:t>
      </w:r>
      <w:r w:rsidR="00782C36" w:rsidRPr="00A1399E">
        <w:rPr>
          <w:sz w:val="20"/>
          <w:szCs w:val="20"/>
        </w:rPr>
        <w:t xml:space="preserve">to </w:t>
      </w:r>
      <w:r w:rsidR="00E574F9" w:rsidRPr="00A1399E">
        <w:rPr>
          <w:sz w:val="20"/>
          <w:szCs w:val="20"/>
        </w:rPr>
        <w:t>in</w:t>
      </w:r>
      <w:r w:rsidR="00782C36" w:rsidRPr="00A1399E">
        <w:rPr>
          <w:sz w:val="20"/>
          <w:szCs w:val="20"/>
        </w:rPr>
        <w:t>security</w:t>
      </w:r>
      <w:r w:rsidR="00E574F9" w:rsidRPr="00A1399E">
        <w:rPr>
          <w:sz w:val="20"/>
          <w:szCs w:val="20"/>
        </w:rPr>
        <w:t xml:space="preserve"> and inaccessibility of some areas. </w:t>
      </w:r>
      <w:r w:rsidR="0020036B" w:rsidRPr="00A1399E">
        <w:rPr>
          <w:sz w:val="20"/>
          <w:szCs w:val="20"/>
        </w:rPr>
        <w:t>Joint U</w:t>
      </w:r>
      <w:r w:rsidR="00C423FB" w:rsidRPr="00A1399E">
        <w:rPr>
          <w:sz w:val="20"/>
          <w:szCs w:val="20"/>
        </w:rPr>
        <w:t xml:space="preserve">nited </w:t>
      </w:r>
      <w:r w:rsidR="0020036B" w:rsidRPr="00A1399E">
        <w:rPr>
          <w:sz w:val="20"/>
          <w:szCs w:val="20"/>
        </w:rPr>
        <w:t>N</w:t>
      </w:r>
      <w:r w:rsidR="00C423FB" w:rsidRPr="00A1399E">
        <w:rPr>
          <w:sz w:val="20"/>
          <w:szCs w:val="20"/>
        </w:rPr>
        <w:t>ations</w:t>
      </w:r>
      <w:r w:rsidR="0020036B" w:rsidRPr="00A1399E">
        <w:rPr>
          <w:sz w:val="20"/>
          <w:szCs w:val="20"/>
        </w:rPr>
        <w:t xml:space="preserve"> </w:t>
      </w:r>
      <w:r w:rsidR="00C423FB" w:rsidRPr="00A1399E">
        <w:rPr>
          <w:sz w:val="20"/>
          <w:szCs w:val="20"/>
        </w:rPr>
        <w:t>t</w:t>
      </w:r>
      <w:r w:rsidR="00782C36" w:rsidRPr="00A1399E">
        <w:rPr>
          <w:sz w:val="20"/>
          <w:szCs w:val="20"/>
        </w:rPr>
        <w:t>hird</w:t>
      </w:r>
      <w:r w:rsidR="00C423FB" w:rsidRPr="00A1399E">
        <w:rPr>
          <w:sz w:val="20"/>
          <w:szCs w:val="20"/>
        </w:rPr>
        <w:t>-p</w:t>
      </w:r>
      <w:r w:rsidR="00782C36" w:rsidRPr="00A1399E">
        <w:rPr>
          <w:sz w:val="20"/>
          <w:szCs w:val="20"/>
        </w:rPr>
        <w:t xml:space="preserve">arty </w:t>
      </w:r>
      <w:r w:rsidR="00C423FB" w:rsidRPr="00A1399E">
        <w:rPr>
          <w:sz w:val="20"/>
          <w:szCs w:val="20"/>
        </w:rPr>
        <w:t>m</w:t>
      </w:r>
      <w:r w:rsidR="00782C36" w:rsidRPr="00A1399E">
        <w:rPr>
          <w:sz w:val="20"/>
          <w:szCs w:val="20"/>
        </w:rPr>
        <w:t xml:space="preserve">onitoring </w:t>
      </w:r>
      <w:r w:rsidR="00E574F9" w:rsidRPr="00A1399E">
        <w:rPr>
          <w:sz w:val="20"/>
          <w:szCs w:val="20"/>
        </w:rPr>
        <w:t>s</w:t>
      </w:r>
      <w:r w:rsidR="00782C36" w:rsidRPr="00A1399E">
        <w:rPr>
          <w:sz w:val="20"/>
          <w:szCs w:val="20"/>
        </w:rPr>
        <w:t>ervice</w:t>
      </w:r>
      <w:r w:rsidR="0020036B" w:rsidRPr="00A1399E">
        <w:rPr>
          <w:sz w:val="20"/>
          <w:szCs w:val="20"/>
        </w:rPr>
        <w:t xml:space="preserve">s </w:t>
      </w:r>
      <w:r w:rsidR="00E574F9" w:rsidRPr="00A1399E">
        <w:rPr>
          <w:sz w:val="20"/>
          <w:szCs w:val="20"/>
        </w:rPr>
        <w:t xml:space="preserve">will be deployed </w:t>
      </w:r>
      <w:r w:rsidR="00434DCA" w:rsidRPr="00A1399E">
        <w:rPr>
          <w:sz w:val="20"/>
          <w:szCs w:val="20"/>
        </w:rPr>
        <w:t xml:space="preserve">and innovation tools for data management adopted to </w:t>
      </w:r>
      <w:r w:rsidR="00782C36" w:rsidRPr="00A1399E">
        <w:rPr>
          <w:sz w:val="20"/>
          <w:szCs w:val="20"/>
        </w:rPr>
        <w:t>ensure a robust monitoring system</w:t>
      </w:r>
      <w:r w:rsidR="00170124" w:rsidRPr="00A1399E">
        <w:rPr>
          <w:sz w:val="20"/>
          <w:szCs w:val="20"/>
        </w:rPr>
        <w:t xml:space="preserve"> that will inform adjustments during programme implementation</w:t>
      </w:r>
      <w:r w:rsidR="00194389" w:rsidRPr="00A1399E">
        <w:rPr>
          <w:sz w:val="20"/>
          <w:szCs w:val="20"/>
        </w:rPr>
        <w:t>.</w:t>
      </w:r>
      <w:r w:rsidR="00782C36" w:rsidRPr="00A1399E">
        <w:rPr>
          <w:sz w:val="20"/>
          <w:szCs w:val="20"/>
        </w:rPr>
        <w:t xml:space="preserve"> </w:t>
      </w:r>
    </w:p>
    <w:p w14:paraId="395BE4C2" w14:textId="5A37B123" w:rsidR="00782C36" w:rsidRPr="00A1399E" w:rsidRDefault="0020036B" w:rsidP="00F704ED">
      <w:pPr>
        <w:spacing w:after="120" w:line="240" w:lineRule="exact"/>
        <w:ind w:left="720"/>
        <w:jc w:val="both"/>
        <w:rPr>
          <w:sz w:val="20"/>
          <w:szCs w:val="20"/>
        </w:rPr>
      </w:pPr>
      <w:r w:rsidRPr="00A1399E">
        <w:rPr>
          <w:sz w:val="20"/>
          <w:szCs w:val="20"/>
        </w:rPr>
        <w:t>3</w:t>
      </w:r>
      <w:r w:rsidR="00F52919" w:rsidRPr="00A1399E">
        <w:rPr>
          <w:sz w:val="20"/>
          <w:szCs w:val="20"/>
        </w:rPr>
        <w:t>2</w:t>
      </w:r>
      <w:r w:rsidR="00782C36" w:rsidRPr="00A1399E">
        <w:rPr>
          <w:sz w:val="20"/>
          <w:szCs w:val="20"/>
        </w:rPr>
        <w:t xml:space="preserve">. </w:t>
      </w:r>
      <w:r w:rsidR="00434DCA" w:rsidRPr="00A1399E">
        <w:rPr>
          <w:sz w:val="20"/>
          <w:szCs w:val="20"/>
        </w:rPr>
        <w:t xml:space="preserve">Working with the Department of Statistics, </w:t>
      </w:r>
      <w:r w:rsidR="00376714" w:rsidRPr="00A1399E">
        <w:rPr>
          <w:sz w:val="20"/>
          <w:szCs w:val="20"/>
        </w:rPr>
        <w:t xml:space="preserve">relevant bilateral and multilateral partners, </w:t>
      </w:r>
      <w:r w:rsidR="00434DCA" w:rsidRPr="00A1399E">
        <w:rPr>
          <w:sz w:val="20"/>
          <w:szCs w:val="20"/>
        </w:rPr>
        <w:t xml:space="preserve">UNDP will </w:t>
      </w:r>
      <w:r w:rsidR="00DD5685" w:rsidRPr="00A1399E">
        <w:rPr>
          <w:sz w:val="20"/>
          <w:szCs w:val="20"/>
        </w:rPr>
        <w:t xml:space="preserve">support </w:t>
      </w:r>
      <w:r w:rsidR="00C423FB" w:rsidRPr="00A1399E">
        <w:rPr>
          <w:sz w:val="20"/>
          <w:szCs w:val="20"/>
        </w:rPr>
        <w:t xml:space="preserve">strengthening of </w:t>
      </w:r>
      <w:r w:rsidR="00DD5685" w:rsidRPr="00A1399E">
        <w:rPr>
          <w:sz w:val="20"/>
          <w:szCs w:val="20"/>
        </w:rPr>
        <w:t>institution</w:t>
      </w:r>
      <w:r w:rsidR="00C423FB" w:rsidRPr="00A1399E">
        <w:rPr>
          <w:sz w:val="20"/>
          <w:szCs w:val="20"/>
        </w:rPr>
        <w:t>s</w:t>
      </w:r>
      <w:r w:rsidR="00DD5685" w:rsidRPr="00A1399E">
        <w:rPr>
          <w:sz w:val="20"/>
          <w:szCs w:val="20"/>
        </w:rPr>
        <w:t xml:space="preserve"> and systems</w:t>
      </w:r>
      <w:r w:rsidR="00C423FB" w:rsidRPr="00A1399E">
        <w:rPr>
          <w:sz w:val="20"/>
          <w:szCs w:val="20"/>
        </w:rPr>
        <w:t xml:space="preserve"> </w:t>
      </w:r>
      <w:r w:rsidR="00BC56B7" w:rsidRPr="00A1399E">
        <w:rPr>
          <w:sz w:val="20"/>
          <w:szCs w:val="20"/>
        </w:rPr>
        <w:t>for</w:t>
      </w:r>
      <w:r w:rsidR="00434DCA" w:rsidRPr="00A1399E">
        <w:rPr>
          <w:sz w:val="20"/>
          <w:szCs w:val="20"/>
        </w:rPr>
        <w:t xml:space="preserve"> gender and age-disaggregated data</w:t>
      </w:r>
      <w:r w:rsidR="00084254" w:rsidRPr="00A1399E">
        <w:rPr>
          <w:sz w:val="20"/>
          <w:szCs w:val="20"/>
        </w:rPr>
        <w:t xml:space="preserve"> </w:t>
      </w:r>
      <w:r w:rsidR="00A44E3E" w:rsidRPr="00A1399E">
        <w:rPr>
          <w:sz w:val="20"/>
          <w:szCs w:val="20"/>
        </w:rPr>
        <w:t xml:space="preserve">management </w:t>
      </w:r>
      <w:r w:rsidR="00084254" w:rsidRPr="00A1399E">
        <w:rPr>
          <w:sz w:val="20"/>
          <w:szCs w:val="20"/>
        </w:rPr>
        <w:t>at federal and state levels</w:t>
      </w:r>
      <w:r w:rsidR="00C423FB" w:rsidRPr="00A1399E">
        <w:rPr>
          <w:sz w:val="20"/>
          <w:szCs w:val="20"/>
        </w:rPr>
        <w:t>,</w:t>
      </w:r>
      <w:r w:rsidR="00A64E1A" w:rsidRPr="00A1399E">
        <w:rPr>
          <w:sz w:val="20"/>
          <w:szCs w:val="20"/>
        </w:rPr>
        <w:t xml:space="preserve"> in line with the </w:t>
      </w:r>
      <w:r w:rsidR="00C423FB" w:rsidRPr="00A1399E">
        <w:rPr>
          <w:sz w:val="20"/>
          <w:szCs w:val="20"/>
        </w:rPr>
        <w:t>n</w:t>
      </w:r>
      <w:r w:rsidR="00A64E1A" w:rsidRPr="00A1399E">
        <w:rPr>
          <w:sz w:val="20"/>
          <w:szCs w:val="20"/>
        </w:rPr>
        <w:t xml:space="preserve">ational </w:t>
      </w:r>
      <w:r w:rsidR="00C423FB" w:rsidRPr="00A1399E">
        <w:rPr>
          <w:sz w:val="20"/>
          <w:szCs w:val="20"/>
        </w:rPr>
        <w:t>s</w:t>
      </w:r>
      <w:r w:rsidR="00A64E1A" w:rsidRPr="00A1399E">
        <w:rPr>
          <w:sz w:val="20"/>
          <w:szCs w:val="20"/>
        </w:rPr>
        <w:t xml:space="preserve">tatistics </w:t>
      </w:r>
      <w:r w:rsidR="00C423FB" w:rsidRPr="00A1399E">
        <w:rPr>
          <w:sz w:val="20"/>
          <w:szCs w:val="20"/>
        </w:rPr>
        <w:t>s</w:t>
      </w:r>
      <w:r w:rsidR="00A64E1A" w:rsidRPr="00A1399E">
        <w:rPr>
          <w:sz w:val="20"/>
          <w:szCs w:val="20"/>
        </w:rPr>
        <w:t xml:space="preserve">trategic </w:t>
      </w:r>
      <w:r w:rsidR="00C423FB" w:rsidRPr="00A1399E">
        <w:rPr>
          <w:sz w:val="20"/>
          <w:szCs w:val="20"/>
        </w:rPr>
        <w:t>p</w:t>
      </w:r>
      <w:r w:rsidR="00A64E1A" w:rsidRPr="00A1399E">
        <w:rPr>
          <w:sz w:val="20"/>
          <w:szCs w:val="20"/>
        </w:rPr>
        <w:t>lan</w:t>
      </w:r>
      <w:r w:rsidR="00434DCA" w:rsidRPr="00A1399E">
        <w:rPr>
          <w:sz w:val="20"/>
          <w:szCs w:val="20"/>
        </w:rPr>
        <w:t>.</w:t>
      </w:r>
    </w:p>
    <w:p w14:paraId="2C11A716" w14:textId="77777777" w:rsidR="00EA2A38" w:rsidRPr="00A1399E" w:rsidRDefault="00EA2A38" w:rsidP="00782C36">
      <w:pPr>
        <w:jc w:val="both"/>
        <w:rPr>
          <w:sz w:val="20"/>
          <w:szCs w:val="20"/>
        </w:rPr>
      </w:pPr>
    </w:p>
    <w:p w14:paraId="0ED50265" w14:textId="75D1E3C7" w:rsidR="00EA2A38" w:rsidRPr="00A1399E" w:rsidRDefault="00EA2A38" w:rsidP="00AF31F5">
      <w:pPr>
        <w:jc w:val="both"/>
        <w:rPr>
          <w:b/>
          <w:sz w:val="20"/>
          <w:szCs w:val="20"/>
        </w:rPr>
      </w:pPr>
    </w:p>
    <w:p w14:paraId="51A8B7D8" w14:textId="77777777" w:rsidR="002364A8" w:rsidRPr="00A1399E" w:rsidRDefault="002364A8" w:rsidP="00F94003">
      <w:pPr>
        <w:rPr>
          <w:color w:val="0000FF"/>
          <w:sz w:val="20"/>
          <w:szCs w:val="20"/>
        </w:rPr>
        <w:sectPr w:rsidR="002364A8" w:rsidRPr="00A1399E" w:rsidSect="00BA1533">
          <w:headerReference w:type="default" r:id="rId18"/>
          <w:footerReference w:type="default" r:id="rId19"/>
          <w:headerReference w:type="first" r:id="rId20"/>
          <w:footerReference w:type="first" r:id="rId21"/>
          <w:pgSz w:w="11900" w:h="16840"/>
          <w:pgMar w:top="1440" w:right="1820" w:bottom="1440" w:left="1440" w:header="720" w:footer="720" w:gutter="0"/>
          <w:cols w:space="720"/>
          <w:titlePg/>
          <w:docGrid w:linePitch="360"/>
        </w:sectPr>
      </w:pPr>
    </w:p>
    <w:p w14:paraId="2F65B8E6" w14:textId="0478E551" w:rsidR="000237D8" w:rsidRPr="00A1399E" w:rsidRDefault="000237D8" w:rsidP="00FC5139">
      <w:pPr>
        <w:keepNext/>
        <w:tabs>
          <w:tab w:val="left" w:pos="1620"/>
        </w:tabs>
        <w:spacing w:after="200"/>
        <w:outlineLvl w:val="3"/>
        <w:rPr>
          <w:rFonts w:eastAsia="Times New Roman"/>
          <w:b/>
          <w:sz w:val="20"/>
          <w:szCs w:val="20"/>
          <w:lang w:eastAsia="en-US"/>
        </w:rPr>
      </w:pPr>
      <w:r w:rsidRPr="00A1399E">
        <w:rPr>
          <w:rFonts w:eastAsia="Times New Roman"/>
          <w:b/>
          <w:color w:val="000000"/>
          <w:lang w:eastAsia="en-US"/>
        </w:rPr>
        <w:lastRenderedPageBreak/>
        <w:t>Annex. Results and resources framework for Somalia (2021-2025</w:t>
      </w:r>
      <w:r w:rsidRPr="00A1399E">
        <w:rPr>
          <w:rFonts w:eastAsia="Times New Roman"/>
          <w:b/>
          <w:lang w:eastAsia="en-US"/>
        </w:rPr>
        <w:t>)</w:t>
      </w:r>
    </w:p>
    <w:tbl>
      <w:tblPr>
        <w:tblStyle w:val="TableGrid"/>
        <w:tblW w:w="14395" w:type="dxa"/>
        <w:tblLook w:val="04A0" w:firstRow="1" w:lastRow="0" w:firstColumn="1" w:lastColumn="0" w:noHBand="0" w:noVBand="1"/>
      </w:tblPr>
      <w:tblGrid>
        <w:gridCol w:w="3290"/>
        <w:gridCol w:w="3005"/>
        <w:gridCol w:w="3870"/>
        <w:gridCol w:w="2250"/>
        <w:gridCol w:w="1980"/>
      </w:tblGrid>
      <w:tr w:rsidR="0051174B" w:rsidRPr="00A1399E" w14:paraId="41A307E0" w14:textId="77777777" w:rsidTr="009612CC">
        <w:tc>
          <w:tcPr>
            <w:tcW w:w="14395" w:type="dxa"/>
            <w:gridSpan w:val="5"/>
            <w:shd w:val="clear" w:color="auto" w:fill="auto"/>
          </w:tcPr>
          <w:p w14:paraId="20218975" w14:textId="28D73753" w:rsidR="00916185" w:rsidRPr="00A1399E" w:rsidRDefault="000D7F6A" w:rsidP="00CF6154">
            <w:pPr>
              <w:spacing w:before="60" w:after="60"/>
              <w:rPr>
                <w:rFonts w:eastAsia="Calibri"/>
                <w:b/>
                <w:bCs/>
                <w:iCs/>
                <w:color w:val="000000"/>
                <w:sz w:val="18"/>
                <w:szCs w:val="18"/>
              </w:rPr>
            </w:pPr>
            <w:r w:rsidRPr="00A1399E">
              <w:rPr>
                <w:b/>
                <w:sz w:val="18"/>
                <w:szCs w:val="18"/>
              </w:rPr>
              <w:t xml:space="preserve"> </w:t>
            </w:r>
            <w:r w:rsidR="0051174B" w:rsidRPr="00A1399E">
              <w:rPr>
                <w:rFonts w:eastAsia="Calibri"/>
                <w:b/>
                <w:color w:val="000000"/>
                <w:sz w:val="18"/>
                <w:szCs w:val="18"/>
              </w:rPr>
              <w:t>NATIONAL PRIORITY: NDP 9 Pillar 1</w:t>
            </w:r>
            <w:r w:rsidR="00916185" w:rsidRPr="00A1399E">
              <w:rPr>
                <w:rFonts w:eastAsia="Calibri"/>
                <w:b/>
                <w:color w:val="000000"/>
                <w:sz w:val="18"/>
                <w:szCs w:val="18"/>
              </w:rPr>
              <w:t>.</w:t>
            </w:r>
            <w:r w:rsidR="0051174B" w:rsidRPr="00A1399E">
              <w:rPr>
                <w:rFonts w:eastAsia="Calibri"/>
                <w:b/>
                <w:color w:val="000000"/>
                <w:sz w:val="18"/>
                <w:szCs w:val="18"/>
              </w:rPr>
              <w:t xml:space="preserve"> Inclusive and </w:t>
            </w:r>
            <w:r w:rsidR="00916185" w:rsidRPr="00A1399E">
              <w:rPr>
                <w:rFonts w:eastAsia="Calibri"/>
                <w:b/>
                <w:color w:val="000000"/>
                <w:sz w:val="18"/>
                <w:szCs w:val="18"/>
              </w:rPr>
              <w:t>a</w:t>
            </w:r>
            <w:r w:rsidR="0051174B" w:rsidRPr="00A1399E">
              <w:rPr>
                <w:rFonts w:eastAsia="Calibri"/>
                <w:b/>
                <w:color w:val="000000"/>
                <w:sz w:val="18"/>
                <w:szCs w:val="18"/>
              </w:rPr>
              <w:t xml:space="preserve">ccountable </w:t>
            </w:r>
            <w:r w:rsidR="00916185" w:rsidRPr="00A1399E">
              <w:rPr>
                <w:rFonts w:eastAsia="Calibri"/>
                <w:b/>
                <w:color w:val="000000"/>
                <w:sz w:val="18"/>
                <w:szCs w:val="18"/>
              </w:rPr>
              <w:t>p</w:t>
            </w:r>
            <w:r w:rsidR="0051174B" w:rsidRPr="00A1399E">
              <w:rPr>
                <w:rFonts w:eastAsia="Calibri"/>
                <w:b/>
                <w:color w:val="000000"/>
                <w:sz w:val="18"/>
                <w:szCs w:val="18"/>
              </w:rPr>
              <w:t xml:space="preserve">olitics and </w:t>
            </w:r>
            <w:r w:rsidR="00916185" w:rsidRPr="00A1399E">
              <w:rPr>
                <w:rFonts w:eastAsia="Calibri"/>
                <w:b/>
                <w:color w:val="000000"/>
                <w:sz w:val="18"/>
                <w:szCs w:val="18"/>
              </w:rPr>
              <w:t>r</w:t>
            </w:r>
            <w:r w:rsidR="0051174B" w:rsidRPr="00A1399E">
              <w:rPr>
                <w:rFonts w:eastAsia="Calibri"/>
                <w:b/>
                <w:color w:val="000000"/>
                <w:sz w:val="18"/>
                <w:szCs w:val="18"/>
              </w:rPr>
              <w:t>econciliation</w:t>
            </w:r>
            <w:r w:rsidR="00916185" w:rsidRPr="00A1399E">
              <w:rPr>
                <w:rFonts w:eastAsia="Calibri"/>
                <w:b/>
                <w:color w:val="000000"/>
                <w:sz w:val="18"/>
                <w:szCs w:val="18"/>
              </w:rPr>
              <w:t>.</w:t>
            </w:r>
            <w:r w:rsidR="0051174B" w:rsidRPr="00A1399E">
              <w:rPr>
                <w:rFonts w:eastAsia="Calibri"/>
                <w:b/>
                <w:bCs/>
                <w:iCs/>
                <w:color w:val="000000"/>
                <w:sz w:val="18"/>
                <w:szCs w:val="18"/>
              </w:rPr>
              <w:t xml:space="preserve"> </w:t>
            </w:r>
          </w:p>
        </w:tc>
      </w:tr>
      <w:tr w:rsidR="0051174B" w:rsidRPr="00A1399E" w14:paraId="396E2B28" w14:textId="77777777" w:rsidTr="00AC56B5">
        <w:trPr>
          <w:trHeight w:val="485"/>
        </w:trPr>
        <w:tc>
          <w:tcPr>
            <w:tcW w:w="14395" w:type="dxa"/>
            <w:gridSpan w:val="5"/>
            <w:shd w:val="clear" w:color="auto" w:fill="auto"/>
            <w:vAlign w:val="center"/>
          </w:tcPr>
          <w:p w14:paraId="7A1CAEE3" w14:textId="6E7444F9" w:rsidR="0051174B" w:rsidRPr="00A1399E" w:rsidRDefault="00916185" w:rsidP="00CF6154">
            <w:pPr>
              <w:rPr>
                <w:rFonts w:eastAsia="Calibri"/>
                <w:b/>
                <w:color w:val="000000"/>
                <w:sz w:val="18"/>
                <w:szCs w:val="18"/>
              </w:rPr>
            </w:pPr>
            <w:r w:rsidRPr="00A1399E">
              <w:rPr>
                <w:rFonts w:eastAsia="Calibri"/>
                <w:b/>
                <w:color w:val="000000"/>
                <w:sz w:val="18"/>
                <w:szCs w:val="18"/>
              </w:rPr>
              <w:t xml:space="preserve">UNSDCF </w:t>
            </w:r>
            <w:r w:rsidR="0051174B" w:rsidRPr="00A1399E">
              <w:rPr>
                <w:rFonts w:eastAsia="Calibri"/>
                <w:b/>
                <w:color w:val="000000"/>
                <w:sz w:val="18"/>
                <w:szCs w:val="18"/>
              </w:rPr>
              <w:t>OUTCOME INVOLVING UNDP 1</w:t>
            </w:r>
            <w:r w:rsidRPr="00A1399E">
              <w:rPr>
                <w:rFonts w:eastAsia="Calibri"/>
                <w:b/>
                <w:color w:val="000000"/>
                <w:sz w:val="18"/>
                <w:szCs w:val="18"/>
              </w:rPr>
              <w:t>:</w:t>
            </w:r>
            <w:r w:rsidR="0051174B" w:rsidRPr="00A1399E">
              <w:rPr>
                <w:rFonts w:eastAsia="Calibri"/>
                <w:b/>
                <w:color w:val="000000"/>
                <w:sz w:val="18"/>
                <w:szCs w:val="18"/>
              </w:rPr>
              <w:t xml:space="preserve"> </w:t>
            </w:r>
            <w:r w:rsidRPr="00A1399E">
              <w:rPr>
                <w:rFonts w:eastAsia="Calibri"/>
                <w:b/>
                <w:color w:val="000000"/>
                <w:sz w:val="18"/>
                <w:szCs w:val="18"/>
              </w:rPr>
              <w:t>UNSDCF o</w:t>
            </w:r>
            <w:r w:rsidR="0051174B" w:rsidRPr="00A1399E">
              <w:rPr>
                <w:rFonts w:eastAsia="Calibri"/>
                <w:b/>
                <w:color w:val="000000"/>
                <w:sz w:val="18"/>
                <w:szCs w:val="18"/>
              </w:rPr>
              <w:t>utcome 1.2</w:t>
            </w:r>
            <w:r w:rsidRPr="00A1399E">
              <w:rPr>
                <w:rFonts w:eastAsia="Calibri"/>
                <w:b/>
                <w:color w:val="000000"/>
                <w:sz w:val="18"/>
                <w:szCs w:val="18"/>
              </w:rPr>
              <w:t>.</w:t>
            </w:r>
            <w:r w:rsidR="0051174B" w:rsidRPr="00A1399E">
              <w:rPr>
                <w:rFonts w:eastAsia="Calibri"/>
                <w:b/>
                <w:color w:val="000000"/>
                <w:sz w:val="18"/>
                <w:szCs w:val="18"/>
              </w:rPr>
              <w:t xml:space="preserve"> Somalis, particularly women and youth, benefit from and participate in functional, inclusive, accountable and transparent democratic systems across all levels of government and governmental institutions</w:t>
            </w:r>
            <w:r w:rsidRPr="00A1399E">
              <w:rPr>
                <w:rFonts w:eastAsia="Calibri"/>
                <w:b/>
                <w:color w:val="000000"/>
                <w:sz w:val="18"/>
                <w:szCs w:val="18"/>
              </w:rPr>
              <w:t>.</w:t>
            </w:r>
          </w:p>
        </w:tc>
      </w:tr>
      <w:tr w:rsidR="0051174B" w:rsidRPr="00A1399E" w14:paraId="40563CC5" w14:textId="77777777" w:rsidTr="00AC56B5">
        <w:trPr>
          <w:trHeight w:val="323"/>
        </w:trPr>
        <w:tc>
          <w:tcPr>
            <w:tcW w:w="14395" w:type="dxa"/>
            <w:gridSpan w:val="5"/>
            <w:shd w:val="clear" w:color="auto" w:fill="auto"/>
            <w:vAlign w:val="center"/>
          </w:tcPr>
          <w:p w14:paraId="527A7E90" w14:textId="01B3CD5A" w:rsidR="00916185" w:rsidRPr="00A1399E" w:rsidRDefault="0051174B" w:rsidP="00CF6154">
            <w:pPr>
              <w:rPr>
                <w:rFonts w:eastAsia="Calibri"/>
                <w:b/>
                <w:bCs/>
                <w:color w:val="000000"/>
                <w:sz w:val="18"/>
                <w:szCs w:val="18"/>
              </w:rPr>
            </w:pPr>
            <w:r w:rsidRPr="00A1399E">
              <w:rPr>
                <w:rFonts w:eastAsia="Calibri"/>
                <w:b/>
                <w:sz w:val="18"/>
                <w:szCs w:val="18"/>
              </w:rPr>
              <w:t xml:space="preserve">RELATED </w:t>
            </w:r>
            <w:r w:rsidR="00916185" w:rsidRPr="00A1399E">
              <w:rPr>
                <w:rFonts w:eastAsia="Calibri"/>
                <w:b/>
                <w:sz w:val="18"/>
                <w:szCs w:val="18"/>
              </w:rPr>
              <w:t>UND</w:t>
            </w:r>
            <w:r w:rsidR="00055E2E" w:rsidRPr="00A1399E">
              <w:rPr>
                <w:rFonts w:eastAsia="Calibri"/>
                <w:b/>
                <w:sz w:val="18"/>
                <w:szCs w:val="18"/>
              </w:rPr>
              <w:t>P</w:t>
            </w:r>
            <w:r w:rsidR="00916185" w:rsidRPr="00A1399E">
              <w:rPr>
                <w:rFonts w:eastAsia="Calibri"/>
                <w:b/>
                <w:sz w:val="18"/>
                <w:szCs w:val="18"/>
              </w:rPr>
              <w:t xml:space="preserve"> </w:t>
            </w:r>
            <w:r w:rsidRPr="00A1399E">
              <w:rPr>
                <w:rFonts w:eastAsia="Calibri"/>
                <w:b/>
                <w:sz w:val="18"/>
                <w:szCs w:val="18"/>
              </w:rPr>
              <w:t>STRATEGIC PLAN</w:t>
            </w:r>
            <w:r w:rsidR="00916185" w:rsidRPr="00A1399E">
              <w:rPr>
                <w:rFonts w:eastAsia="Calibri"/>
                <w:b/>
                <w:sz w:val="18"/>
                <w:szCs w:val="18"/>
              </w:rPr>
              <w:t xml:space="preserve">, 2018-2021, </w:t>
            </w:r>
            <w:r w:rsidRPr="00A1399E">
              <w:rPr>
                <w:rFonts w:eastAsia="Calibri"/>
                <w:b/>
                <w:sz w:val="18"/>
                <w:szCs w:val="18"/>
              </w:rPr>
              <w:t xml:space="preserve">OUTCOME: </w:t>
            </w:r>
            <w:r w:rsidRPr="00A1399E">
              <w:rPr>
                <w:rFonts w:eastAsia="Calibri"/>
                <w:b/>
                <w:iCs/>
                <w:color w:val="000000"/>
                <w:sz w:val="18"/>
                <w:szCs w:val="18"/>
              </w:rPr>
              <w:t>Outcome 2</w:t>
            </w:r>
            <w:r w:rsidR="00916185" w:rsidRPr="00A1399E">
              <w:rPr>
                <w:rFonts w:eastAsia="Calibri"/>
                <w:b/>
                <w:iCs/>
                <w:color w:val="000000"/>
                <w:sz w:val="18"/>
                <w:szCs w:val="18"/>
              </w:rPr>
              <w:t>.</w:t>
            </w:r>
            <w:r w:rsidRPr="00A1399E">
              <w:rPr>
                <w:rFonts w:eastAsia="Calibri"/>
                <w:b/>
                <w:iCs/>
                <w:color w:val="000000"/>
                <w:sz w:val="18"/>
                <w:szCs w:val="18"/>
              </w:rPr>
              <w:t xml:space="preserve"> </w:t>
            </w:r>
            <w:r w:rsidRPr="00A1399E">
              <w:rPr>
                <w:rFonts w:eastAsia="Calibri"/>
                <w:b/>
                <w:bCs/>
                <w:color w:val="000000"/>
                <w:sz w:val="18"/>
                <w:szCs w:val="18"/>
              </w:rPr>
              <w:t>Accelerate structural transformations for sustainable development</w:t>
            </w:r>
            <w:r w:rsidR="00916185" w:rsidRPr="00A1399E">
              <w:rPr>
                <w:rFonts w:eastAsia="Calibri"/>
                <w:b/>
                <w:bCs/>
                <w:color w:val="000000"/>
                <w:sz w:val="18"/>
                <w:szCs w:val="18"/>
              </w:rPr>
              <w:t>.</w:t>
            </w:r>
          </w:p>
        </w:tc>
      </w:tr>
      <w:tr w:rsidR="0051174B" w:rsidRPr="00A1399E" w14:paraId="45A52BC3" w14:textId="77777777" w:rsidTr="00826E17">
        <w:tc>
          <w:tcPr>
            <w:tcW w:w="3290" w:type="dxa"/>
            <w:vAlign w:val="center"/>
          </w:tcPr>
          <w:p w14:paraId="47661EF8" w14:textId="77777777" w:rsidR="0051174B" w:rsidRPr="00A1399E" w:rsidRDefault="0051174B" w:rsidP="00826E17">
            <w:pPr>
              <w:jc w:val="center"/>
              <w:rPr>
                <w:rFonts w:eastAsia="Calibri"/>
                <w:b/>
                <w:color w:val="000000"/>
                <w:sz w:val="18"/>
                <w:szCs w:val="18"/>
              </w:rPr>
            </w:pPr>
            <w:r w:rsidRPr="00A1399E">
              <w:rPr>
                <w:rFonts w:eastAsia="Calibri"/>
                <w:b/>
                <w:bCs/>
                <w:color w:val="000000"/>
                <w:sz w:val="18"/>
                <w:szCs w:val="18"/>
              </w:rPr>
              <w:t>COOPERATION FRAMEWORK OUTCOME INDICATOR(S), BASELINES, TARGET(S)</w:t>
            </w:r>
          </w:p>
        </w:tc>
        <w:tc>
          <w:tcPr>
            <w:tcW w:w="3005" w:type="dxa"/>
            <w:vAlign w:val="center"/>
          </w:tcPr>
          <w:p w14:paraId="33BEDBEC" w14:textId="77777777" w:rsidR="0051174B" w:rsidRPr="00A1399E" w:rsidRDefault="0051174B" w:rsidP="00826E17">
            <w:pPr>
              <w:jc w:val="center"/>
              <w:rPr>
                <w:rFonts w:eastAsia="Calibri"/>
                <w:b/>
                <w:color w:val="000000"/>
                <w:sz w:val="18"/>
                <w:szCs w:val="18"/>
              </w:rPr>
            </w:pPr>
            <w:r w:rsidRPr="00A1399E">
              <w:rPr>
                <w:rFonts w:eastAsia="Calibri"/>
                <w:b/>
                <w:color w:val="000000"/>
                <w:sz w:val="18"/>
                <w:szCs w:val="18"/>
              </w:rPr>
              <w:t>DATA SOURCE AND FREQUENCY OF DATA COLLECTION, AND RESPONSIBILITIES</w:t>
            </w:r>
          </w:p>
        </w:tc>
        <w:tc>
          <w:tcPr>
            <w:tcW w:w="3870" w:type="dxa"/>
            <w:vAlign w:val="center"/>
          </w:tcPr>
          <w:p w14:paraId="7CAEE5CD" w14:textId="77777777" w:rsidR="00916185" w:rsidRPr="00A1399E" w:rsidRDefault="0051174B" w:rsidP="00826E17">
            <w:pPr>
              <w:jc w:val="center"/>
              <w:rPr>
                <w:rFonts w:eastAsia="Calibri"/>
                <w:b/>
                <w:bCs/>
                <w:color w:val="000000"/>
                <w:sz w:val="18"/>
                <w:szCs w:val="18"/>
              </w:rPr>
            </w:pPr>
            <w:r w:rsidRPr="00A1399E">
              <w:rPr>
                <w:rFonts w:eastAsia="Calibri"/>
                <w:b/>
                <w:bCs/>
                <w:color w:val="000000"/>
                <w:sz w:val="18"/>
                <w:szCs w:val="18"/>
              </w:rPr>
              <w:t xml:space="preserve">INDICATIVE COUNTRY PROGRAMME OUTPUTS </w:t>
            </w:r>
          </w:p>
          <w:p w14:paraId="3C07BFAE" w14:textId="7E3970F2" w:rsidR="0051174B" w:rsidRPr="00A1399E" w:rsidRDefault="0051174B" w:rsidP="00826E17">
            <w:pPr>
              <w:jc w:val="center"/>
              <w:rPr>
                <w:rFonts w:eastAsia="Calibri"/>
                <w:color w:val="000000"/>
                <w:sz w:val="18"/>
                <w:szCs w:val="18"/>
              </w:rPr>
            </w:pPr>
            <w:r w:rsidRPr="00A1399E">
              <w:rPr>
                <w:rFonts w:eastAsia="Calibri"/>
                <w:i/>
                <w:color w:val="000000"/>
                <w:sz w:val="18"/>
                <w:szCs w:val="18"/>
              </w:rPr>
              <w:t>(including indicators, baselines targets)</w:t>
            </w:r>
          </w:p>
        </w:tc>
        <w:tc>
          <w:tcPr>
            <w:tcW w:w="2250" w:type="dxa"/>
            <w:vAlign w:val="center"/>
          </w:tcPr>
          <w:p w14:paraId="105152FA" w14:textId="69D99936" w:rsidR="0051174B" w:rsidRPr="00A1399E" w:rsidRDefault="0051174B" w:rsidP="00826E17">
            <w:pPr>
              <w:jc w:val="center"/>
              <w:rPr>
                <w:rFonts w:eastAsia="Calibri"/>
                <w:b/>
                <w:bCs/>
                <w:color w:val="000000"/>
                <w:sz w:val="18"/>
                <w:szCs w:val="18"/>
              </w:rPr>
            </w:pPr>
            <w:r w:rsidRPr="00A1399E">
              <w:rPr>
                <w:rFonts w:eastAsia="Calibri"/>
                <w:b/>
                <w:bCs/>
                <w:color w:val="000000"/>
                <w:sz w:val="18"/>
                <w:szCs w:val="18"/>
              </w:rPr>
              <w:t>MAJOR PARTNERS/ PARTNERSHIPS</w:t>
            </w:r>
          </w:p>
          <w:p w14:paraId="1AE8EF5A" w14:textId="77777777" w:rsidR="0051174B" w:rsidRPr="00A1399E" w:rsidRDefault="0051174B" w:rsidP="00826E17">
            <w:pPr>
              <w:jc w:val="center"/>
              <w:rPr>
                <w:rFonts w:eastAsia="Calibri"/>
                <w:b/>
                <w:bCs/>
                <w:color w:val="000000"/>
                <w:sz w:val="18"/>
                <w:szCs w:val="18"/>
              </w:rPr>
            </w:pPr>
            <w:r w:rsidRPr="00A1399E">
              <w:rPr>
                <w:rFonts w:eastAsia="Calibri"/>
                <w:b/>
                <w:bCs/>
                <w:color w:val="000000"/>
                <w:sz w:val="18"/>
                <w:szCs w:val="18"/>
              </w:rPr>
              <w:t>FRAMEWORKS</w:t>
            </w:r>
          </w:p>
        </w:tc>
        <w:tc>
          <w:tcPr>
            <w:tcW w:w="1980" w:type="dxa"/>
            <w:vAlign w:val="center"/>
          </w:tcPr>
          <w:p w14:paraId="57455D63" w14:textId="77777777" w:rsidR="00916185" w:rsidRPr="00A1399E" w:rsidRDefault="0051174B" w:rsidP="00826E17">
            <w:pPr>
              <w:jc w:val="center"/>
              <w:rPr>
                <w:rFonts w:eastAsia="Calibri"/>
                <w:b/>
                <w:bCs/>
                <w:color w:val="000000"/>
                <w:sz w:val="18"/>
                <w:szCs w:val="18"/>
              </w:rPr>
            </w:pPr>
            <w:r w:rsidRPr="00A1399E">
              <w:rPr>
                <w:rFonts w:eastAsia="Calibri"/>
                <w:b/>
                <w:bCs/>
                <w:color w:val="000000"/>
                <w:sz w:val="18"/>
                <w:szCs w:val="18"/>
              </w:rPr>
              <w:t>ESTIMATED COST BY OUTCOME</w:t>
            </w:r>
          </w:p>
          <w:p w14:paraId="753321D0" w14:textId="76DDD8B6" w:rsidR="0051174B" w:rsidRPr="00A1399E" w:rsidRDefault="0051174B" w:rsidP="00826E17">
            <w:pPr>
              <w:jc w:val="center"/>
              <w:rPr>
                <w:rFonts w:eastAsia="Calibri"/>
                <w:i/>
                <w:iCs/>
                <w:color w:val="0000FF"/>
                <w:sz w:val="18"/>
                <w:szCs w:val="18"/>
              </w:rPr>
            </w:pPr>
            <w:r w:rsidRPr="00A1399E">
              <w:rPr>
                <w:rFonts w:eastAsia="Calibri"/>
                <w:i/>
                <w:iCs/>
                <w:color w:val="000000"/>
                <w:sz w:val="18"/>
                <w:szCs w:val="18"/>
              </w:rPr>
              <w:t>(</w:t>
            </w:r>
            <w:r w:rsidR="00916185" w:rsidRPr="00A1399E">
              <w:rPr>
                <w:rFonts w:eastAsia="Calibri"/>
                <w:i/>
                <w:iCs/>
                <w:color w:val="000000"/>
                <w:sz w:val="18"/>
                <w:szCs w:val="18"/>
              </w:rPr>
              <w:t>United States dollars</w:t>
            </w:r>
            <w:r w:rsidRPr="00A1399E">
              <w:rPr>
                <w:rFonts w:eastAsia="Calibri"/>
                <w:i/>
                <w:iCs/>
                <w:color w:val="000000"/>
                <w:sz w:val="18"/>
                <w:szCs w:val="18"/>
              </w:rPr>
              <w:t>)</w:t>
            </w:r>
          </w:p>
        </w:tc>
      </w:tr>
      <w:tr w:rsidR="00BC56B7" w:rsidRPr="00A1399E" w14:paraId="3D441B10" w14:textId="77777777" w:rsidTr="00826E17">
        <w:tc>
          <w:tcPr>
            <w:tcW w:w="3290" w:type="dxa"/>
            <w:vMerge w:val="restart"/>
          </w:tcPr>
          <w:p w14:paraId="6C8CB3C6" w14:textId="77777777" w:rsidR="00BC56B7" w:rsidRPr="00A1399E" w:rsidRDefault="00BC56B7" w:rsidP="00826E17">
            <w:pPr>
              <w:rPr>
                <w:rFonts w:eastAsia="Calibri"/>
                <w:b/>
                <w:sz w:val="18"/>
                <w:szCs w:val="18"/>
              </w:rPr>
            </w:pPr>
            <w:r w:rsidRPr="00A1399E">
              <w:rPr>
                <w:rFonts w:eastAsia="Calibri"/>
                <w:b/>
                <w:sz w:val="18"/>
                <w:szCs w:val="18"/>
              </w:rPr>
              <w:t>Indicators</w:t>
            </w:r>
          </w:p>
          <w:p w14:paraId="6CD9AE42" w14:textId="3B2F9E14" w:rsidR="00BC56B7" w:rsidRPr="00A1399E" w:rsidRDefault="00BC56B7" w:rsidP="00826E17">
            <w:pPr>
              <w:rPr>
                <w:rFonts w:eastAsia="Calibri"/>
                <w:sz w:val="18"/>
                <w:szCs w:val="18"/>
              </w:rPr>
            </w:pPr>
            <w:r w:rsidRPr="00A1399E">
              <w:rPr>
                <w:rFonts w:eastAsia="Calibri"/>
                <w:sz w:val="18"/>
                <w:szCs w:val="18"/>
              </w:rPr>
              <w:t>Proportion of seats held by women in</w:t>
            </w:r>
            <w:r w:rsidR="00CD5201" w:rsidRPr="00A1399E">
              <w:rPr>
                <w:rFonts w:eastAsia="Calibri"/>
                <w:sz w:val="18"/>
                <w:szCs w:val="18"/>
              </w:rPr>
              <w:t>:</w:t>
            </w:r>
            <w:r w:rsidRPr="00A1399E">
              <w:rPr>
                <w:rFonts w:eastAsia="Calibri"/>
                <w:sz w:val="18"/>
                <w:szCs w:val="18"/>
              </w:rPr>
              <w:t xml:space="preserve"> (a)</w:t>
            </w:r>
            <w:r w:rsidR="00CD5201" w:rsidRPr="00A1399E">
              <w:rPr>
                <w:rFonts w:eastAsia="Calibri"/>
                <w:sz w:val="18"/>
                <w:szCs w:val="18"/>
              </w:rPr>
              <w:t> </w:t>
            </w:r>
            <w:r w:rsidRPr="00A1399E">
              <w:rPr>
                <w:rFonts w:eastAsia="Calibri"/>
                <w:sz w:val="18"/>
                <w:szCs w:val="18"/>
              </w:rPr>
              <w:t>Federal</w:t>
            </w:r>
            <w:r w:rsidR="00ED5D2C" w:rsidRPr="00A1399E">
              <w:rPr>
                <w:rFonts w:eastAsia="Calibri"/>
                <w:sz w:val="18"/>
                <w:szCs w:val="18"/>
              </w:rPr>
              <w:t xml:space="preserve"> Parliament</w:t>
            </w:r>
            <w:r w:rsidRPr="00A1399E">
              <w:rPr>
                <w:rFonts w:eastAsia="Calibri"/>
                <w:sz w:val="18"/>
                <w:szCs w:val="18"/>
              </w:rPr>
              <w:t xml:space="preserve"> (b)</w:t>
            </w:r>
            <w:r w:rsidR="00ED5D2C" w:rsidRPr="00A1399E">
              <w:rPr>
                <w:rFonts w:eastAsia="Calibri"/>
                <w:sz w:val="18"/>
                <w:szCs w:val="18"/>
              </w:rPr>
              <w:t> </w:t>
            </w:r>
            <w:r w:rsidRPr="00A1399E">
              <w:rPr>
                <w:rFonts w:eastAsia="Calibri"/>
                <w:sz w:val="18"/>
                <w:szCs w:val="18"/>
              </w:rPr>
              <w:t>Federal Member State</w:t>
            </w:r>
            <w:r w:rsidR="00ED5D2C" w:rsidRPr="00A1399E">
              <w:rPr>
                <w:rFonts w:eastAsia="Calibri"/>
                <w:sz w:val="18"/>
                <w:szCs w:val="18"/>
              </w:rPr>
              <w:t>s</w:t>
            </w:r>
            <w:r w:rsidRPr="00A1399E">
              <w:rPr>
                <w:rFonts w:eastAsia="Calibri"/>
                <w:sz w:val="18"/>
                <w:szCs w:val="18"/>
              </w:rPr>
              <w:t xml:space="preserve"> parliaments </w:t>
            </w:r>
          </w:p>
          <w:p w14:paraId="75FF1994" w14:textId="77777777" w:rsidR="00BC56B7" w:rsidRPr="00A1399E" w:rsidRDefault="00BC56B7" w:rsidP="00826E17">
            <w:pPr>
              <w:rPr>
                <w:rFonts w:eastAsia="Calibri"/>
                <w:b/>
                <w:sz w:val="18"/>
                <w:szCs w:val="18"/>
              </w:rPr>
            </w:pPr>
          </w:p>
          <w:p w14:paraId="5685297E" w14:textId="2CD03451" w:rsidR="00BC56B7" w:rsidRPr="00A1399E" w:rsidRDefault="00BC56B7" w:rsidP="00826E17">
            <w:pPr>
              <w:rPr>
                <w:rFonts w:eastAsia="Calibri"/>
                <w:bCs/>
                <w:sz w:val="18"/>
                <w:szCs w:val="18"/>
              </w:rPr>
            </w:pPr>
            <w:r w:rsidRPr="00A1399E">
              <w:rPr>
                <w:rFonts w:eastAsia="Calibri"/>
                <w:b/>
                <w:bCs/>
                <w:sz w:val="18"/>
                <w:szCs w:val="18"/>
              </w:rPr>
              <w:t>Baseline:</w:t>
            </w:r>
            <w:r w:rsidRPr="00A1399E">
              <w:rPr>
                <w:rFonts w:eastAsia="Calibri"/>
                <w:b/>
                <w:sz w:val="18"/>
                <w:szCs w:val="18"/>
              </w:rPr>
              <w:t xml:space="preserve"> </w:t>
            </w:r>
            <w:r w:rsidRPr="00A1399E">
              <w:rPr>
                <w:rFonts w:eastAsia="Calibri"/>
                <w:bCs/>
                <w:sz w:val="18"/>
                <w:szCs w:val="18"/>
              </w:rPr>
              <w:t>24.5% Federal Parliament (2020)</w:t>
            </w:r>
          </w:p>
          <w:p w14:paraId="3C3120D9" w14:textId="77777777" w:rsidR="00ED5D2C" w:rsidRPr="00A1399E" w:rsidRDefault="00ED5D2C" w:rsidP="00826E17">
            <w:pPr>
              <w:rPr>
                <w:rFonts w:eastAsia="Calibri"/>
                <w:bCs/>
                <w:sz w:val="18"/>
                <w:szCs w:val="18"/>
              </w:rPr>
            </w:pPr>
          </w:p>
          <w:p w14:paraId="1BD97467" w14:textId="10F8F623" w:rsidR="00ED5D2C" w:rsidRPr="00A1399E" w:rsidRDefault="00ED5D2C" w:rsidP="00826E17">
            <w:pPr>
              <w:rPr>
                <w:rFonts w:eastAsia="Calibri"/>
                <w:bCs/>
                <w:sz w:val="18"/>
                <w:szCs w:val="18"/>
              </w:rPr>
            </w:pPr>
            <w:r w:rsidRPr="00A1399E">
              <w:rPr>
                <w:rFonts w:eastAsia="Calibri"/>
                <w:sz w:val="18"/>
                <w:szCs w:val="18"/>
              </w:rPr>
              <w:t>Federal Member States parliaments:</w:t>
            </w:r>
          </w:p>
          <w:p w14:paraId="4D95A1D0" w14:textId="43C5F1C9" w:rsidR="00BC56B7" w:rsidRPr="00A1399E" w:rsidRDefault="00BC56B7" w:rsidP="00826E17">
            <w:pPr>
              <w:rPr>
                <w:rFonts w:eastAsia="Calibri"/>
                <w:bCs/>
                <w:sz w:val="18"/>
                <w:szCs w:val="18"/>
              </w:rPr>
            </w:pPr>
            <w:r w:rsidRPr="00A1399E">
              <w:rPr>
                <w:rFonts w:eastAsia="Calibri"/>
                <w:bCs/>
                <w:sz w:val="18"/>
                <w:szCs w:val="18"/>
              </w:rPr>
              <w:t>1.5% (Puntland), 15.8% (South West), 10.8% (Jubaland), 6.7% (Galmudug), 6.1% (Hirshabelle) (2020)</w:t>
            </w:r>
          </w:p>
          <w:p w14:paraId="006D76A4" w14:textId="77777777" w:rsidR="00BC56B7" w:rsidRPr="00A1399E" w:rsidRDefault="00BC56B7" w:rsidP="00826E17">
            <w:pPr>
              <w:rPr>
                <w:rFonts w:eastAsia="Calibri"/>
                <w:b/>
                <w:bCs/>
                <w:sz w:val="18"/>
                <w:szCs w:val="18"/>
              </w:rPr>
            </w:pPr>
          </w:p>
          <w:p w14:paraId="026D2F66" w14:textId="77777777" w:rsidR="00BC56B7" w:rsidRPr="00A1399E" w:rsidRDefault="00BC56B7" w:rsidP="00826E17">
            <w:pPr>
              <w:rPr>
                <w:rFonts w:eastAsia="Calibri"/>
                <w:b/>
                <w:sz w:val="18"/>
                <w:szCs w:val="18"/>
              </w:rPr>
            </w:pPr>
            <w:r w:rsidRPr="00A1399E">
              <w:rPr>
                <w:rFonts w:eastAsia="Calibri"/>
                <w:b/>
                <w:bCs/>
                <w:sz w:val="18"/>
                <w:szCs w:val="18"/>
              </w:rPr>
              <w:t>Target:</w:t>
            </w:r>
            <w:r w:rsidRPr="00A1399E">
              <w:rPr>
                <w:rFonts w:eastAsia="Calibri"/>
                <w:b/>
                <w:sz w:val="18"/>
                <w:szCs w:val="18"/>
              </w:rPr>
              <w:t xml:space="preserve"> </w:t>
            </w:r>
            <w:r w:rsidRPr="00A1399E">
              <w:rPr>
                <w:rFonts w:eastAsia="Calibri"/>
                <w:bCs/>
                <w:sz w:val="18"/>
                <w:szCs w:val="18"/>
              </w:rPr>
              <w:t xml:space="preserve">30% women quota </w:t>
            </w:r>
          </w:p>
        </w:tc>
        <w:tc>
          <w:tcPr>
            <w:tcW w:w="3005" w:type="dxa"/>
          </w:tcPr>
          <w:p w14:paraId="31C009EA" w14:textId="4E529279" w:rsidR="00BC56B7" w:rsidRPr="00A1399E" w:rsidRDefault="00BC56B7" w:rsidP="00826E17">
            <w:pPr>
              <w:rPr>
                <w:rFonts w:eastAsia="Calibri"/>
                <w:sz w:val="18"/>
                <w:szCs w:val="18"/>
              </w:rPr>
            </w:pPr>
            <w:r w:rsidRPr="00A1399E">
              <w:rPr>
                <w:rFonts w:eastAsia="Calibri"/>
                <w:b/>
                <w:bCs/>
                <w:sz w:val="18"/>
                <w:szCs w:val="18"/>
              </w:rPr>
              <w:t xml:space="preserve">Data </w:t>
            </w:r>
            <w:r w:rsidR="00CD5201" w:rsidRPr="00A1399E">
              <w:rPr>
                <w:rFonts w:eastAsia="Calibri"/>
                <w:b/>
                <w:bCs/>
                <w:sz w:val="18"/>
                <w:szCs w:val="18"/>
              </w:rPr>
              <w:t>s</w:t>
            </w:r>
            <w:r w:rsidRPr="00A1399E">
              <w:rPr>
                <w:rFonts w:eastAsia="Calibri"/>
                <w:b/>
                <w:bCs/>
                <w:sz w:val="18"/>
                <w:szCs w:val="18"/>
              </w:rPr>
              <w:t>ource:</w:t>
            </w:r>
            <w:r w:rsidRPr="00A1399E">
              <w:rPr>
                <w:rFonts w:eastAsia="Calibri"/>
                <w:b/>
                <w:sz w:val="18"/>
                <w:szCs w:val="18"/>
              </w:rPr>
              <w:t xml:space="preserve"> </w:t>
            </w:r>
            <w:r w:rsidR="00ED5D2C" w:rsidRPr="00A1399E">
              <w:rPr>
                <w:rFonts w:eastAsia="Calibri"/>
                <w:bCs/>
                <w:sz w:val="18"/>
                <w:szCs w:val="18"/>
              </w:rPr>
              <w:t xml:space="preserve">Federal Government of Somalia and Federal Member States </w:t>
            </w:r>
            <w:r w:rsidRPr="00A1399E">
              <w:rPr>
                <w:rFonts w:eastAsia="Calibri"/>
                <w:bCs/>
                <w:sz w:val="18"/>
                <w:szCs w:val="18"/>
              </w:rPr>
              <w:t>parliaments and CSO reports</w:t>
            </w:r>
            <w:r w:rsidRPr="00A1399E">
              <w:rPr>
                <w:rFonts w:eastAsia="Calibri"/>
                <w:sz w:val="18"/>
                <w:szCs w:val="18"/>
              </w:rPr>
              <w:t xml:space="preserve"> </w:t>
            </w:r>
          </w:p>
          <w:p w14:paraId="2F491B47" w14:textId="77777777" w:rsidR="00BC56B7" w:rsidRPr="00A1399E" w:rsidRDefault="00BC56B7" w:rsidP="00826E17">
            <w:pPr>
              <w:rPr>
                <w:rFonts w:eastAsia="Calibri"/>
                <w:sz w:val="18"/>
                <w:szCs w:val="18"/>
              </w:rPr>
            </w:pPr>
            <w:r w:rsidRPr="00A1399E">
              <w:rPr>
                <w:rFonts w:eastAsia="Calibri"/>
                <w:b/>
                <w:bCs/>
                <w:sz w:val="18"/>
                <w:szCs w:val="18"/>
              </w:rPr>
              <w:t>Frequency:</w:t>
            </w:r>
            <w:r w:rsidRPr="00A1399E">
              <w:rPr>
                <w:rFonts w:eastAsia="Calibri"/>
                <w:sz w:val="18"/>
                <w:szCs w:val="18"/>
              </w:rPr>
              <w:t xml:space="preserve"> Annual </w:t>
            </w:r>
          </w:p>
          <w:p w14:paraId="22A84601" w14:textId="77777777" w:rsidR="00BC56B7" w:rsidRPr="00A1399E" w:rsidRDefault="00BC56B7" w:rsidP="00826E17">
            <w:pPr>
              <w:rPr>
                <w:rFonts w:eastAsia="Calibri"/>
                <w:sz w:val="18"/>
                <w:szCs w:val="18"/>
              </w:rPr>
            </w:pPr>
            <w:r w:rsidRPr="00A1399E">
              <w:rPr>
                <w:rFonts w:eastAsia="Calibri"/>
                <w:b/>
                <w:bCs/>
                <w:sz w:val="18"/>
                <w:szCs w:val="18"/>
              </w:rPr>
              <w:t>Responsibility:</w:t>
            </w:r>
            <w:r w:rsidRPr="00A1399E">
              <w:rPr>
                <w:rFonts w:eastAsia="Calibri"/>
                <w:sz w:val="18"/>
                <w:szCs w:val="18"/>
              </w:rPr>
              <w:t xml:space="preserve"> UNDP, UNSOM</w:t>
            </w:r>
          </w:p>
          <w:p w14:paraId="2C924FF8" w14:textId="77777777" w:rsidR="00BC56B7" w:rsidRPr="00A1399E" w:rsidRDefault="00BC56B7" w:rsidP="00826E17">
            <w:pPr>
              <w:rPr>
                <w:rFonts w:eastAsia="Calibri"/>
                <w:b/>
                <w:sz w:val="18"/>
                <w:szCs w:val="18"/>
              </w:rPr>
            </w:pPr>
          </w:p>
        </w:tc>
        <w:tc>
          <w:tcPr>
            <w:tcW w:w="3870" w:type="dxa"/>
          </w:tcPr>
          <w:p w14:paraId="0412B6C0" w14:textId="52D880C6" w:rsidR="00BC56B7" w:rsidRPr="00A1399E" w:rsidRDefault="00BC56B7" w:rsidP="00826E17">
            <w:pPr>
              <w:rPr>
                <w:rFonts w:eastAsia="Calibri"/>
                <w:b/>
                <w:iCs/>
                <w:sz w:val="18"/>
                <w:szCs w:val="18"/>
              </w:rPr>
            </w:pPr>
            <w:r w:rsidRPr="00A1399E">
              <w:rPr>
                <w:rFonts w:eastAsia="Times New Roman"/>
                <w:b/>
                <w:bCs/>
                <w:sz w:val="18"/>
                <w:szCs w:val="18"/>
              </w:rPr>
              <w:t>Output 1.1</w:t>
            </w:r>
            <w:r w:rsidR="00ED5D2C" w:rsidRPr="00A1399E">
              <w:rPr>
                <w:rFonts w:eastAsia="Times New Roman"/>
                <w:b/>
                <w:bCs/>
                <w:sz w:val="18"/>
                <w:szCs w:val="18"/>
              </w:rPr>
              <w:t>.</w:t>
            </w:r>
            <w:r w:rsidRPr="00A1399E">
              <w:rPr>
                <w:rFonts w:eastAsia="Times New Roman"/>
                <w:b/>
                <w:bCs/>
                <w:sz w:val="18"/>
                <w:szCs w:val="18"/>
              </w:rPr>
              <w:t xml:space="preserve"> L</w:t>
            </w:r>
            <w:r w:rsidRPr="00A1399E">
              <w:rPr>
                <w:rFonts w:eastAsia="Calibri"/>
                <w:b/>
                <w:sz w:val="18"/>
                <w:szCs w:val="18"/>
              </w:rPr>
              <w:t xml:space="preserve">egal and regulatory frameworks for citizen participation in political processes developed </w:t>
            </w:r>
          </w:p>
          <w:p w14:paraId="5CF990D1" w14:textId="77777777" w:rsidR="00BC56B7" w:rsidRPr="00A1399E" w:rsidRDefault="00BC56B7" w:rsidP="00826E17">
            <w:pPr>
              <w:rPr>
                <w:rFonts w:eastAsia="Calibri"/>
                <w:b/>
                <w:sz w:val="18"/>
                <w:szCs w:val="18"/>
              </w:rPr>
            </w:pPr>
          </w:p>
          <w:p w14:paraId="6D3598CC" w14:textId="7CE475D5" w:rsidR="00BC56B7" w:rsidRPr="00A1399E" w:rsidRDefault="00BC56B7" w:rsidP="00826E17">
            <w:pPr>
              <w:rPr>
                <w:rFonts w:eastAsia="Calibri"/>
                <w:b/>
                <w:sz w:val="18"/>
                <w:szCs w:val="18"/>
              </w:rPr>
            </w:pPr>
            <w:r w:rsidRPr="00A1399E">
              <w:rPr>
                <w:rFonts w:eastAsia="Calibri"/>
                <w:b/>
                <w:sz w:val="18"/>
                <w:szCs w:val="18"/>
              </w:rPr>
              <w:t>Indicators</w:t>
            </w:r>
            <w:r w:rsidR="003306C7" w:rsidRPr="00A1399E">
              <w:rPr>
                <w:rFonts w:eastAsia="Calibri"/>
                <w:b/>
                <w:sz w:val="18"/>
                <w:szCs w:val="18"/>
              </w:rPr>
              <w:t>:</w:t>
            </w:r>
            <w:r w:rsidRPr="00A1399E">
              <w:rPr>
                <w:rFonts w:eastAsia="Calibri"/>
                <w:b/>
                <w:sz w:val="18"/>
                <w:szCs w:val="18"/>
              </w:rPr>
              <w:t xml:space="preserve"> </w:t>
            </w:r>
          </w:p>
          <w:p w14:paraId="3C33BDCD" w14:textId="77777777" w:rsidR="00BC56B7" w:rsidRPr="00A1399E" w:rsidRDefault="00BC56B7" w:rsidP="00826E17">
            <w:pPr>
              <w:rPr>
                <w:rFonts w:eastAsia="Calibri"/>
                <w:sz w:val="18"/>
                <w:szCs w:val="18"/>
              </w:rPr>
            </w:pPr>
            <w:r w:rsidRPr="00A1399E">
              <w:rPr>
                <w:rFonts w:eastAsia="Calibri"/>
                <w:sz w:val="18"/>
                <w:szCs w:val="18"/>
              </w:rPr>
              <w:t>1.1.1: Number of legal and regulatory frameworks aligned to international and regional standards/human rights conventions</w:t>
            </w:r>
          </w:p>
          <w:p w14:paraId="28052655" w14:textId="77777777" w:rsidR="00BC56B7" w:rsidRPr="00A1399E" w:rsidRDefault="00BC56B7"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0  </w:t>
            </w:r>
          </w:p>
          <w:p w14:paraId="689C61F2" w14:textId="77777777" w:rsidR="00BC56B7" w:rsidRPr="00A1399E" w:rsidRDefault="00BC56B7" w:rsidP="00826E17">
            <w:pPr>
              <w:rPr>
                <w:rFonts w:eastAsia="Calibri"/>
                <w:sz w:val="18"/>
                <w:szCs w:val="18"/>
              </w:rPr>
            </w:pPr>
            <w:r w:rsidRPr="00A1399E">
              <w:rPr>
                <w:rFonts w:eastAsia="Calibri"/>
                <w:b/>
                <w:bCs/>
                <w:sz w:val="18"/>
                <w:szCs w:val="18"/>
              </w:rPr>
              <w:t>Target</w:t>
            </w:r>
            <w:r w:rsidRPr="00A1399E">
              <w:rPr>
                <w:rFonts w:eastAsia="Calibri"/>
                <w:sz w:val="18"/>
                <w:szCs w:val="18"/>
              </w:rPr>
              <w:t>:  2</w:t>
            </w:r>
          </w:p>
          <w:p w14:paraId="52665D4D" w14:textId="3EA28790" w:rsidR="00BC56B7" w:rsidRPr="00A1399E" w:rsidRDefault="00BC56B7"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Parliaments </w:t>
            </w:r>
          </w:p>
          <w:p w14:paraId="3C162B63" w14:textId="77777777" w:rsidR="00BC56B7" w:rsidRPr="00A1399E" w:rsidRDefault="00BC56B7" w:rsidP="00826E17">
            <w:pPr>
              <w:rPr>
                <w:rFonts w:eastAsia="Calibri"/>
                <w:sz w:val="18"/>
                <w:szCs w:val="18"/>
              </w:rPr>
            </w:pPr>
            <w:r w:rsidRPr="00A1399E">
              <w:rPr>
                <w:rFonts w:eastAsia="Calibri"/>
                <w:b/>
                <w:bCs/>
                <w:sz w:val="18"/>
                <w:szCs w:val="18"/>
              </w:rPr>
              <w:t>Frequency</w:t>
            </w:r>
            <w:r w:rsidRPr="00A1399E">
              <w:rPr>
                <w:rFonts w:eastAsia="Calibri"/>
                <w:sz w:val="18"/>
                <w:szCs w:val="18"/>
              </w:rPr>
              <w:t>: As applicable</w:t>
            </w:r>
          </w:p>
          <w:p w14:paraId="398B5BB1" w14:textId="77777777" w:rsidR="00BC56B7" w:rsidRPr="00A1399E" w:rsidRDefault="00BC56B7" w:rsidP="00826E17">
            <w:pPr>
              <w:rPr>
                <w:rFonts w:eastAsia="Calibri"/>
                <w:sz w:val="18"/>
                <w:szCs w:val="18"/>
              </w:rPr>
            </w:pPr>
          </w:p>
          <w:p w14:paraId="32497044" w14:textId="50CA0BA4" w:rsidR="00BC56B7" w:rsidRPr="00A1399E" w:rsidRDefault="00BC56B7" w:rsidP="00826E17">
            <w:pPr>
              <w:rPr>
                <w:rFonts w:eastAsia="Calibri"/>
                <w:sz w:val="18"/>
                <w:szCs w:val="18"/>
              </w:rPr>
            </w:pPr>
            <w:r w:rsidRPr="00A1399E">
              <w:rPr>
                <w:rFonts w:eastAsia="Calibri"/>
                <w:sz w:val="18"/>
                <w:szCs w:val="18"/>
              </w:rPr>
              <w:t xml:space="preserve">1.1.2: Women, youth, </w:t>
            </w:r>
            <w:r w:rsidR="00ED5D2C" w:rsidRPr="00A1399E">
              <w:rPr>
                <w:rFonts w:eastAsia="Calibri"/>
                <w:sz w:val="18"/>
                <w:szCs w:val="18"/>
              </w:rPr>
              <w:t xml:space="preserve">persons with disabilities </w:t>
            </w:r>
            <w:r w:rsidRPr="00A1399E">
              <w:rPr>
                <w:rFonts w:eastAsia="Calibri"/>
                <w:sz w:val="18"/>
                <w:szCs w:val="18"/>
              </w:rPr>
              <w:t xml:space="preserve">and IDPs actively engage in political processes </w:t>
            </w:r>
          </w:p>
          <w:p w14:paraId="1E869880" w14:textId="77777777" w:rsidR="00BC56B7" w:rsidRPr="00A1399E" w:rsidRDefault="00BC56B7"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Limited engagement  </w:t>
            </w:r>
          </w:p>
          <w:p w14:paraId="2C953A59" w14:textId="77777777" w:rsidR="00BC56B7" w:rsidRPr="00A1399E" w:rsidRDefault="00BC56B7" w:rsidP="00826E17">
            <w:pPr>
              <w:rPr>
                <w:rFonts w:eastAsia="Calibri"/>
                <w:sz w:val="18"/>
                <w:szCs w:val="18"/>
              </w:rPr>
            </w:pPr>
            <w:r w:rsidRPr="00A1399E">
              <w:rPr>
                <w:rFonts w:eastAsia="Calibri"/>
                <w:b/>
                <w:bCs/>
                <w:sz w:val="18"/>
                <w:szCs w:val="18"/>
              </w:rPr>
              <w:t>Target</w:t>
            </w:r>
            <w:r w:rsidRPr="00A1399E">
              <w:rPr>
                <w:rFonts w:eastAsia="Calibri"/>
                <w:sz w:val="18"/>
                <w:szCs w:val="18"/>
              </w:rPr>
              <w:t>:  Significant engagement</w:t>
            </w:r>
          </w:p>
          <w:p w14:paraId="73EC259F" w14:textId="722D6AB1" w:rsidR="00BC56B7" w:rsidRPr="00A1399E" w:rsidRDefault="00BC56B7" w:rsidP="00826E17">
            <w:pPr>
              <w:rPr>
                <w:rFonts w:eastAsia="Calibri"/>
                <w:sz w:val="18"/>
                <w:szCs w:val="18"/>
              </w:rPr>
            </w:pPr>
            <w:r w:rsidRPr="00A1399E">
              <w:rPr>
                <w:rFonts w:eastAsia="Calibri"/>
                <w:b/>
                <w:bCs/>
                <w:sz w:val="18"/>
                <w:szCs w:val="18"/>
              </w:rPr>
              <w:t>Source</w:t>
            </w:r>
            <w:r w:rsidRPr="00A1399E">
              <w:rPr>
                <w:rFonts w:eastAsia="Calibri"/>
                <w:sz w:val="18"/>
                <w:szCs w:val="18"/>
              </w:rPr>
              <w:t>: T</w:t>
            </w:r>
            <w:r w:rsidR="00FD429C" w:rsidRPr="00A1399E">
              <w:rPr>
                <w:rFonts w:eastAsia="Calibri"/>
                <w:sz w:val="18"/>
                <w:szCs w:val="18"/>
              </w:rPr>
              <w:t>hird-party monitoring</w:t>
            </w:r>
          </w:p>
          <w:p w14:paraId="63376527" w14:textId="5BF796F2" w:rsidR="00BC56B7" w:rsidRPr="00A1399E" w:rsidRDefault="00BC56B7" w:rsidP="00FC5139">
            <w:pPr>
              <w:spacing w:after="60"/>
              <w:rPr>
                <w:rFonts w:eastAsia="Calibri"/>
                <w:sz w:val="18"/>
                <w:szCs w:val="18"/>
              </w:rPr>
            </w:pPr>
            <w:r w:rsidRPr="00A1399E">
              <w:rPr>
                <w:rFonts w:eastAsia="Calibri"/>
                <w:b/>
                <w:bCs/>
                <w:sz w:val="18"/>
                <w:szCs w:val="18"/>
              </w:rPr>
              <w:t>Frequency</w:t>
            </w:r>
            <w:r w:rsidRPr="00A1399E">
              <w:rPr>
                <w:rFonts w:eastAsia="Calibri"/>
                <w:sz w:val="18"/>
                <w:szCs w:val="18"/>
              </w:rPr>
              <w:t>: As applicable</w:t>
            </w:r>
          </w:p>
        </w:tc>
        <w:tc>
          <w:tcPr>
            <w:tcW w:w="2250" w:type="dxa"/>
            <w:vMerge w:val="restart"/>
          </w:tcPr>
          <w:p w14:paraId="5F306913" w14:textId="49B42283" w:rsidR="00BC56B7" w:rsidRPr="00A1399E" w:rsidRDefault="00FD429C" w:rsidP="00826E17">
            <w:pPr>
              <w:rPr>
                <w:rFonts w:eastAsia="Calibri"/>
                <w:b/>
                <w:sz w:val="18"/>
                <w:szCs w:val="18"/>
              </w:rPr>
            </w:pPr>
            <w:r w:rsidRPr="00A1399E">
              <w:rPr>
                <w:rFonts w:eastAsia="Calibri"/>
                <w:bCs/>
                <w:sz w:val="18"/>
                <w:szCs w:val="18"/>
              </w:rPr>
              <w:t>Federal Government of Somalia, Federal Member States</w:t>
            </w:r>
            <w:r w:rsidR="00BC56B7" w:rsidRPr="00A1399E">
              <w:rPr>
                <w:rFonts w:eastAsia="Calibri"/>
                <w:sz w:val="18"/>
                <w:szCs w:val="18"/>
              </w:rPr>
              <w:t xml:space="preserve">, Federal and State </w:t>
            </w:r>
            <w:r w:rsidRPr="00A1399E">
              <w:rPr>
                <w:rFonts w:eastAsia="Calibri"/>
                <w:sz w:val="18"/>
                <w:szCs w:val="18"/>
              </w:rPr>
              <w:t>p</w:t>
            </w:r>
            <w:r w:rsidR="00BC56B7" w:rsidRPr="00A1399E">
              <w:rPr>
                <w:rFonts w:eastAsia="Calibri"/>
                <w:sz w:val="18"/>
                <w:szCs w:val="18"/>
              </w:rPr>
              <w:t xml:space="preserve">arliaments, </w:t>
            </w:r>
            <w:r w:rsidRPr="00A1399E">
              <w:rPr>
                <w:rFonts w:eastAsia="Calibri"/>
                <w:sz w:val="18"/>
                <w:szCs w:val="18"/>
              </w:rPr>
              <w:t>l</w:t>
            </w:r>
            <w:r w:rsidR="00BC56B7" w:rsidRPr="00A1399E">
              <w:rPr>
                <w:rFonts w:eastAsia="Calibri"/>
                <w:sz w:val="18"/>
                <w:szCs w:val="18"/>
              </w:rPr>
              <w:t xml:space="preserve">ocal </w:t>
            </w:r>
            <w:r w:rsidRPr="00A1399E">
              <w:rPr>
                <w:rFonts w:eastAsia="Calibri"/>
                <w:sz w:val="18"/>
                <w:szCs w:val="18"/>
              </w:rPr>
              <w:t>g</w:t>
            </w:r>
            <w:r w:rsidR="00BC56B7" w:rsidRPr="00A1399E">
              <w:rPr>
                <w:rFonts w:eastAsia="Calibri"/>
                <w:sz w:val="18"/>
                <w:szCs w:val="18"/>
              </w:rPr>
              <w:t xml:space="preserve">overnments, CSOs, </w:t>
            </w:r>
            <w:r w:rsidRPr="00A1399E">
              <w:rPr>
                <w:rFonts w:eastAsia="Calibri"/>
                <w:sz w:val="18"/>
                <w:szCs w:val="18"/>
              </w:rPr>
              <w:t>r</w:t>
            </w:r>
            <w:r w:rsidR="00BC56B7" w:rsidRPr="00A1399E">
              <w:rPr>
                <w:rFonts w:eastAsia="Calibri"/>
                <w:sz w:val="18"/>
                <w:szCs w:val="18"/>
              </w:rPr>
              <w:t>eligious/</w:t>
            </w:r>
            <w:r w:rsidRPr="00A1399E">
              <w:rPr>
                <w:rFonts w:eastAsia="Calibri"/>
                <w:sz w:val="18"/>
                <w:szCs w:val="18"/>
              </w:rPr>
              <w:t>t</w:t>
            </w:r>
            <w:r w:rsidR="00BC56B7" w:rsidRPr="00A1399E">
              <w:rPr>
                <w:rFonts w:eastAsia="Calibri"/>
                <w:sz w:val="18"/>
                <w:szCs w:val="18"/>
              </w:rPr>
              <w:t xml:space="preserve">raditional leaders, </w:t>
            </w:r>
            <w:r w:rsidRPr="00A1399E">
              <w:rPr>
                <w:rFonts w:eastAsia="Calibri"/>
                <w:sz w:val="18"/>
                <w:szCs w:val="18"/>
              </w:rPr>
              <w:t xml:space="preserve">the </w:t>
            </w:r>
            <w:r w:rsidR="00BC56B7" w:rsidRPr="00A1399E">
              <w:rPr>
                <w:rFonts w:eastAsia="Calibri"/>
                <w:sz w:val="18"/>
                <w:szCs w:val="18"/>
              </w:rPr>
              <w:t>Electoral Commission, U</w:t>
            </w:r>
            <w:r w:rsidRPr="00A1399E">
              <w:rPr>
                <w:rFonts w:eastAsia="Calibri"/>
                <w:sz w:val="18"/>
                <w:szCs w:val="18"/>
              </w:rPr>
              <w:t xml:space="preserve">nited </w:t>
            </w:r>
            <w:r w:rsidR="00BC56B7" w:rsidRPr="00A1399E">
              <w:rPr>
                <w:rFonts w:eastAsia="Calibri"/>
                <w:sz w:val="18"/>
                <w:szCs w:val="18"/>
              </w:rPr>
              <w:t>N</w:t>
            </w:r>
            <w:r w:rsidRPr="00A1399E">
              <w:rPr>
                <w:rFonts w:eastAsia="Calibri"/>
                <w:sz w:val="18"/>
                <w:szCs w:val="18"/>
              </w:rPr>
              <w:t>ations</w:t>
            </w:r>
            <w:r w:rsidR="00BC56B7" w:rsidRPr="00A1399E">
              <w:rPr>
                <w:rFonts w:eastAsia="Calibri"/>
                <w:sz w:val="18"/>
                <w:szCs w:val="18"/>
              </w:rPr>
              <w:t xml:space="preserve">, donors, Somali people </w:t>
            </w:r>
          </w:p>
        </w:tc>
        <w:tc>
          <w:tcPr>
            <w:tcW w:w="1980" w:type="dxa"/>
            <w:vMerge w:val="restart"/>
          </w:tcPr>
          <w:p w14:paraId="5F3BEAEC" w14:textId="01055687" w:rsidR="00BC56B7" w:rsidRPr="00A1399E" w:rsidRDefault="00BC56B7" w:rsidP="00826E17">
            <w:pPr>
              <w:rPr>
                <w:rFonts w:eastAsia="Calibri"/>
                <w:b/>
                <w:sz w:val="18"/>
                <w:szCs w:val="18"/>
              </w:rPr>
            </w:pPr>
            <w:r w:rsidRPr="00A1399E">
              <w:rPr>
                <w:rFonts w:eastAsia="Calibri"/>
                <w:b/>
                <w:sz w:val="18"/>
                <w:szCs w:val="18"/>
              </w:rPr>
              <w:t xml:space="preserve">Regular: $15 </w:t>
            </w:r>
            <w:r w:rsidR="00FD429C" w:rsidRPr="00A1399E">
              <w:rPr>
                <w:rFonts w:eastAsia="Calibri"/>
                <w:b/>
                <w:sz w:val="18"/>
                <w:szCs w:val="18"/>
              </w:rPr>
              <w:t>m</w:t>
            </w:r>
            <w:r w:rsidRPr="00A1399E">
              <w:rPr>
                <w:rFonts w:eastAsia="Calibri"/>
                <w:b/>
                <w:sz w:val="18"/>
                <w:szCs w:val="18"/>
              </w:rPr>
              <w:t>illion</w:t>
            </w:r>
          </w:p>
          <w:p w14:paraId="2D4C0502" w14:textId="77777777" w:rsidR="00E02FAA" w:rsidRPr="00A1399E" w:rsidRDefault="00E02FAA" w:rsidP="00826E17">
            <w:pPr>
              <w:rPr>
                <w:rFonts w:eastAsia="Calibri"/>
                <w:b/>
                <w:sz w:val="18"/>
                <w:szCs w:val="18"/>
              </w:rPr>
            </w:pPr>
          </w:p>
          <w:p w14:paraId="18B04497" w14:textId="3E763A62" w:rsidR="00BC56B7" w:rsidRPr="00A1399E" w:rsidRDefault="00BC56B7" w:rsidP="00826E17">
            <w:pPr>
              <w:rPr>
                <w:rFonts w:eastAsia="Calibri"/>
                <w:b/>
                <w:sz w:val="18"/>
                <w:szCs w:val="18"/>
              </w:rPr>
            </w:pPr>
            <w:r w:rsidRPr="00A1399E">
              <w:rPr>
                <w:rFonts w:eastAsia="Calibri"/>
                <w:b/>
                <w:sz w:val="18"/>
                <w:szCs w:val="18"/>
              </w:rPr>
              <w:t xml:space="preserve">Other: $79.9 </w:t>
            </w:r>
            <w:r w:rsidR="00FD429C" w:rsidRPr="00A1399E">
              <w:rPr>
                <w:rFonts w:eastAsia="Calibri"/>
                <w:b/>
                <w:sz w:val="18"/>
                <w:szCs w:val="18"/>
              </w:rPr>
              <w:t>m</w:t>
            </w:r>
            <w:r w:rsidRPr="00A1399E">
              <w:rPr>
                <w:rFonts w:eastAsia="Calibri"/>
                <w:b/>
                <w:sz w:val="18"/>
                <w:szCs w:val="18"/>
              </w:rPr>
              <w:t>illion</w:t>
            </w:r>
          </w:p>
        </w:tc>
      </w:tr>
      <w:tr w:rsidR="00BC56B7" w:rsidRPr="00A1399E" w14:paraId="2E34C1A5" w14:textId="77777777" w:rsidTr="00826E17">
        <w:tc>
          <w:tcPr>
            <w:tcW w:w="3290" w:type="dxa"/>
            <w:vMerge/>
          </w:tcPr>
          <w:p w14:paraId="78CF1637" w14:textId="77777777" w:rsidR="00BC56B7" w:rsidRPr="00A1399E" w:rsidRDefault="00BC56B7" w:rsidP="00826E17">
            <w:pPr>
              <w:rPr>
                <w:rFonts w:eastAsia="Calibri"/>
                <w:b/>
                <w:sz w:val="18"/>
                <w:szCs w:val="18"/>
              </w:rPr>
            </w:pPr>
          </w:p>
        </w:tc>
        <w:tc>
          <w:tcPr>
            <w:tcW w:w="3005" w:type="dxa"/>
            <w:vMerge w:val="restart"/>
          </w:tcPr>
          <w:p w14:paraId="3B944147" w14:textId="77777777" w:rsidR="00BC56B7" w:rsidRPr="00A1399E" w:rsidRDefault="00BC56B7" w:rsidP="00826E17">
            <w:pPr>
              <w:rPr>
                <w:rFonts w:eastAsia="Calibri"/>
                <w:b/>
                <w:sz w:val="18"/>
                <w:szCs w:val="18"/>
              </w:rPr>
            </w:pPr>
          </w:p>
        </w:tc>
        <w:tc>
          <w:tcPr>
            <w:tcW w:w="3870" w:type="dxa"/>
          </w:tcPr>
          <w:p w14:paraId="41992007" w14:textId="33E9E58A" w:rsidR="00BC56B7" w:rsidRPr="00A1399E" w:rsidRDefault="00BC56B7" w:rsidP="00826E17">
            <w:pPr>
              <w:rPr>
                <w:rFonts w:eastAsia="Calibri"/>
                <w:b/>
                <w:sz w:val="18"/>
                <w:szCs w:val="18"/>
              </w:rPr>
            </w:pPr>
            <w:r w:rsidRPr="00A1399E">
              <w:rPr>
                <w:rFonts w:eastAsia="Calibri"/>
                <w:b/>
                <w:sz w:val="18"/>
                <w:szCs w:val="18"/>
              </w:rPr>
              <w:t>Output 1.2</w:t>
            </w:r>
            <w:r w:rsidR="00FD429C" w:rsidRPr="00A1399E">
              <w:rPr>
                <w:rFonts w:eastAsia="Calibri"/>
                <w:b/>
                <w:sz w:val="18"/>
                <w:szCs w:val="18"/>
              </w:rPr>
              <w:t>.</w:t>
            </w:r>
            <w:r w:rsidRPr="00A1399E">
              <w:rPr>
                <w:rFonts w:eastAsia="Calibri"/>
                <w:b/>
                <w:sz w:val="18"/>
                <w:szCs w:val="18"/>
              </w:rPr>
              <w:t xml:space="preserve"> Provisional Constitution reviewed and adopted </w:t>
            </w:r>
          </w:p>
          <w:p w14:paraId="2A6E8137" w14:textId="77777777" w:rsidR="00BC56B7" w:rsidRPr="00A1399E" w:rsidRDefault="00BC56B7" w:rsidP="00826E17">
            <w:pPr>
              <w:rPr>
                <w:rFonts w:eastAsia="Calibri"/>
                <w:sz w:val="18"/>
                <w:szCs w:val="18"/>
              </w:rPr>
            </w:pPr>
          </w:p>
          <w:p w14:paraId="6C5FD832" w14:textId="77777777" w:rsidR="00BC56B7" w:rsidRPr="00A1399E" w:rsidRDefault="00BC56B7" w:rsidP="00826E17">
            <w:pPr>
              <w:rPr>
                <w:rFonts w:eastAsia="Calibri"/>
                <w:b/>
                <w:sz w:val="18"/>
                <w:szCs w:val="18"/>
              </w:rPr>
            </w:pPr>
            <w:r w:rsidRPr="00A1399E">
              <w:rPr>
                <w:rFonts w:eastAsia="Calibri"/>
                <w:b/>
                <w:sz w:val="18"/>
                <w:szCs w:val="18"/>
              </w:rPr>
              <w:t>Indicators:</w:t>
            </w:r>
          </w:p>
          <w:p w14:paraId="33F5DF5D" w14:textId="77777777" w:rsidR="00BC56B7" w:rsidRPr="00A1399E" w:rsidRDefault="00BC56B7" w:rsidP="00826E17">
            <w:pPr>
              <w:rPr>
                <w:rFonts w:eastAsia="Calibri"/>
                <w:sz w:val="18"/>
                <w:szCs w:val="18"/>
              </w:rPr>
            </w:pPr>
            <w:r w:rsidRPr="00A1399E">
              <w:rPr>
                <w:rFonts w:eastAsia="Calibri"/>
                <w:sz w:val="18"/>
                <w:szCs w:val="18"/>
              </w:rPr>
              <w:t xml:space="preserve">1.2.1: Number of articles adopted </w:t>
            </w:r>
          </w:p>
          <w:p w14:paraId="2087663F" w14:textId="77777777" w:rsidR="00BC56B7" w:rsidRPr="00A1399E" w:rsidRDefault="00BC56B7"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0    </w:t>
            </w:r>
          </w:p>
          <w:p w14:paraId="056A4D57" w14:textId="77777777" w:rsidR="00BC56B7" w:rsidRPr="00A1399E" w:rsidRDefault="00BC56B7" w:rsidP="00826E17">
            <w:pPr>
              <w:rPr>
                <w:rFonts w:eastAsia="Calibri"/>
                <w:sz w:val="18"/>
                <w:szCs w:val="18"/>
              </w:rPr>
            </w:pPr>
            <w:r w:rsidRPr="00A1399E">
              <w:rPr>
                <w:rFonts w:eastAsia="Calibri"/>
                <w:b/>
                <w:bCs/>
                <w:sz w:val="18"/>
                <w:szCs w:val="18"/>
              </w:rPr>
              <w:t>Target</w:t>
            </w:r>
            <w:r w:rsidRPr="00A1399E">
              <w:rPr>
                <w:rFonts w:eastAsia="Calibri"/>
                <w:sz w:val="18"/>
                <w:szCs w:val="18"/>
              </w:rPr>
              <w:t>: 18</w:t>
            </w:r>
          </w:p>
          <w:p w14:paraId="5A25BCE6" w14:textId="55801CDE" w:rsidR="00BC56B7" w:rsidRPr="00A1399E" w:rsidRDefault="00BC56B7"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4E3008" w:rsidRPr="00A1399E">
              <w:rPr>
                <w:rFonts w:eastAsia="Calibri"/>
                <w:sz w:val="18"/>
                <w:szCs w:val="18"/>
              </w:rPr>
              <w:t>Project reports</w:t>
            </w:r>
            <w:r w:rsidRPr="00A1399E">
              <w:rPr>
                <w:rFonts w:eastAsia="Calibri"/>
                <w:sz w:val="18"/>
                <w:szCs w:val="18"/>
              </w:rPr>
              <w:t xml:space="preserve"> </w:t>
            </w:r>
          </w:p>
          <w:p w14:paraId="74CCA987" w14:textId="77777777" w:rsidR="00BC56B7" w:rsidRPr="00A1399E" w:rsidRDefault="00BC56B7" w:rsidP="00826E17">
            <w:pPr>
              <w:rPr>
                <w:rFonts w:eastAsia="Calibri"/>
                <w:sz w:val="18"/>
                <w:szCs w:val="18"/>
              </w:rPr>
            </w:pPr>
            <w:r w:rsidRPr="00A1399E">
              <w:rPr>
                <w:rFonts w:eastAsia="Calibri"/>
                <w:b/>
                <w:bCs/>
                <w:sz w:val="18"/>
                <w:szCs w:val="18"/>
              </w:rPr>
              <w:t>Frequency</w:t>
            </w:r>
            <w:r w:rsidRPr="00A1399E">
              <w:rPr>
                <w:rFonts w:eastAsia="Calibri"/>
                <w:sz w:val="18"/>
                <w:szCs w:val="18"/>
              </w:rPr>
              <w:t xml:space="preserve">: Annual </w:t>
            </w:r>
          </w:p>
          <w:p w14:paraId="6A90A869" w14:textId="77777777" w:rsidR="00BC56B7" w:rsidRPr="00A1399E" w:rsidRDefault="00BC56B7" w:rsidP="00826E17">
            <w:pPr>
              <w:rPr>
                <w:rFonts w:eastAsia="Calibri"/>
                <w:sz w:val="18"/>
                <w:szCs w:val="18"/>
              </w:rPr>
            </w:pPr>
          </w:p>
          <w:p w14:paraId="4A99B476" w14:textId="2D8A5C25" w:rsidR="00BC56B7" w:rsidRPr="00A1399E" w:rsidRDefault="00BC56B7" w:rsidP="00826E17">
            <w:pPr>
              <w:rPr>
                <w:rFonts w:eastAsia="Calibri"/>
                <w:sz w:val="18"/>
                <w:szCs w:val="18"/>
              </w:rPr>
            </w:pPr>
            <w:r w:rsidRPr="00A1399E">
              <w:rPr>
                <w:rFonts w:eastAsia="Calibri"/>
                <w:sz w:val="18"/>
                <w:szCs w:val="18"/>
              </w:rPr>
              <w:lastRenderedPageBreak/>
              <w:t xml:space="preserve">1.2.2:  Institutionalization of </w:t>
            </w:r>
            <w:r w:rsidR="003306C7" w:rsidRPr="00A1399E">
              <w:rPr>
                <w:rFonts w:eastAsia="Calibri"/>
                <w:sz w:val="18"/>
                <w:szCs w:val="18"/>
              </w:rPr>
              <w:t>a</w:t>
            </w:r>
            <w:r w:rsidRPr="00A1399E">
              <w:rPr>
                <w:rFonts w:eastAsia="Calibri"/>
                <w:sz w:val="18"/>
                <w:szCs w:val="18"/>
              </w:rPr>
              <w:t>rticle 3(v) in the reviewed Constitution</w:t>
            </w:r>
          </w:p>
          <w:p w14:paraId="579CBAEE" w14:textId="77777777" w:rsidR="00BC56B7" w:rsidRPr="00A1399E" w:rsidRDefault="00BC56B7"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Not institutionalized (2020) </w:t>
            </w:r>
          </w:p>
          <w:p w14:paraId="32BC2E5A" w14:textId="77777777" w:rsidR="00BC56B7" w:rsidRPr="00A1399E" w:rsidRDefault="00BC56B7"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Institutionalized </w:t>
            </w:r>
          </w:p>
          <w:p w14:paraId="784B1021" w14:textId="5D08E136" w:rsidR="00BC56B7" w:rsidRPr="00A1399E" w:rsidRDefault="00BC56B7"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3306C7" w:rsidRPr="00A1399E">
              <w:rPr>
                <w:rFonts w:eastAsia="Calibri"/>
                <w:sz w:val="18"/>
                <w:szCs w:val="18"/>
              </w:rPr>
              <w:t>Joint Parliamentary Oversight Committee</w:t>
            </w:r>
          </w:p>
          <w:p w14:paraId="656D6457" w14:textId="6EF64705" w:rsidR="00BC56B7" w:rsidRPr="00FC5139" w:rsidRDefault="00BC56B7" w:rsidP="00FC5139">
            <w:pPr>
              <w:spacing w:after="60"/>
              <w:rPr>
                <w:rFonts w:eastAsia="Calibri"/>
                <w:sz w:val="18"/>
                <w:szCs w:val="18"/>
              </w:rPr>
            </w:pPr>
            <w:r w:rsidRPr="00A1399E">
              <w:rPr>
                <w:rFonts w:eastAsia="Calibri"/>
                <w:b/>
                <w:sz w:val="18"/>
                <w:szCs w:val="18"/>
              </w:rPr>
              <w:t>Frequency</w:t>
            </w:r>
            <w:r w:rsidRPr="00A1399E">
              <w:rPr>
                <w:rFonts w:eastAsia="Calibri"/>
                <w:sz w:val="18"/>
                <w:szCs w:val="18"/>
              </w:rPr>
              <w:t>: As applicable</w:t>
            </w:r>
          </w:p>
        </w:tc>
        <w:tc>
          <w:tcPr>
            <w:tcW w:w="2250" w:type="dxa"/>
            <w:vMerge/>
          </w:tcPr>
          <w:p w14:paraId="30AF4BD4" w14:textId="77777777" w:rsidR="00BC56B7" w:rsidRPr="00A1399E" w:rsidRDefault="00BC56B7" w:rsidP="00826E17">
            <w:pPr>
              <w:rPr>
                <w:rFonts w:eastAsia="Calibri"/>
                <w:b/>
                <w:sz w:val="18"/>
                <w:szCs w:val="18"/>
              </w:rPr>
            </w:pPr>
          </w:p>
        </w:tc>
        <w:tc>
          <w:tcPr>
            <w:tcW w:w="1980" w:type="dxa"/>
            <w:vMerge/>
          </w:tcPr>
          <w:p w14:paraId="4FFCBEE9" w14:textId="77777777" w:rsidR="00BC56B7" w:rsidRPr="00A1399E" w:rsidRDefault="00BC56B7" w:rsidP="00826E17">
            <w:pPr>
              <w:jc w:val="center"/>
              <w:rPr>
                <w:rFonts w:eastAsia="Calibri"/>
                <w:b/>
                <w:sz w:val="18"/>
                <w:szCs w:val="18"/>
              </w:rPr>
            </w:pPr>
          </w:p>
        </w:tc>
      </w:tr>
      <w:tr w:rsidR="00BC56B7" w:rsidRPr="00A1399E" w14:paraId="23A0DE3F" w14:textId="77777777" w:rsidTr="00826E17">
        <w:tc>
          <w:tcPr>
            <w:tcW w:w="3290" w:type="dxa"/>
            <w:vMerge/>
          </w:tcPr>
          <w:p w14:paraId="38F597FB" w14:textId="77777777" w:rsidR="00BC56B7" w:rsidRPr="00A1399E" w:rsidRDefault="00BC56B7" w:rsidP="00826E17">
            <w:pPr>
              <w:rPr>
                <w:rFonts w:eastAsia="Calibri"/>
                <w:b/>
                <w:sz w:val="18"/>
                <w:szCs w:val="18"/>
              </w:rPr>
            </w:pPr>
          </w:p>
        </w:tc>
        <w:tc>
          <w:tcPr>
            <w:tcW w:w="3005" w:type="dxa"/>
            <w:vMerge/>
          </w:tcPr>
          <w:p w14:paraId="40D44523" w14:textId="77777777" w:rsidR="00BC56B7" w:rsidRPr="00A1399E" w:rsidRDefault="00BC56B7" w:rsidP="00826E17">
            <w:pPr>
              <w:rPr>
                <w:rFonts w:eastAsia="Calibri"/>
                <w:b/>
                <w:sz w:val="18"/>
                <w:szCs w:val="18"/>
              </w:rPr>
            </w:pPr>
          </w:p>
        </w:tc>
        <w:tc>
          <w:tcPr>
            <w:tcW w:w="3870" w:type="dxa"/>
          </w:tcPr>
          <w:p w14:paraId="2A6D1819" w14:textId="33486F59" w:rsidR="00BC56B7" w:rsidRPr="00A1399E" w:rsidRDefault="00BC56B7" w:rsidP="00826E17">
            <w:pPr>
              <w:rPr>
                <w:rFonts w:eastAsia="Calibri"/>
                <w:b/>
                <w:bCs/>
                <w:sz w:val="18"/>
                <w:szCs w:val="18"/>
              </w:rPr>
            </w:pPr>
            <w:r w:rsidRPr="00A1399E">
              <w:rPr>
                <w:rFonts w:eastAsia="Calibri"/>
                <w:b/>
                <w:bCs/>
                <w:sz w:val="18"/>
                <w:szCs w:val="18"/>
              </w:rPr>
              <w:t>Output 1.3</w:t>
            </w:r>
            <w:r w:rsidR="003306C7" w:rsidRPr="00A1399E">
              <w:rPr>
                <w:rFonts w:eastAsia="Calibri"/>
                <w:b/>
                <w:bCs/>
                <w:sz w:val="18"/>
                <w:szCs w:val="18"/>
              </w:rPr>
              <w:t>.</w:t>
            </w:r>
            <w:r w:rsidRPr="00A1399E">
              <w:rPr>
                <w:rFonts w:eastAsia="Calibri"/>
                <w:b/>
                <w:sz w:val="18"/>
                <w:szCs w:val="18"/>
              </w:rPr>
              <w:t xml:space="preserve"> </w:t>
            </w:r>
            <w:r w:rsidRPr="00A1399E">
              <w:rPr>
                <w:rFonts w:eastAsia="Calibri"/>
                <w:b/>
                <w:bCs/>
                <w:sz w:val="18"/>
                <w:szCs w:val="18"/>
              </w:rPr>
              <w:t>Federalist governance model strengthened and National Reconciliation Framework (NRF) implemented</w:t>
            </w:r>
          </w:p>
          <w:p w14:paraId="36423C64" w14:textId="77777777" w:rsidR="00BC56B7" w:rsidRPr="00A1399E" w:rsidRDefault="00BC56B7" w:rsidP="00826E17">
            <w:pPr>
              <w:rPr>
                <w:rFonts w:eastAsia="Calibri"/>
                <w:b/>
                <w:sz w:val="18"/>
                <w:szCs w:val="18"/>
              </w:rPr>
            </w:pPr>
          </w:p>
          <w:p w14:paraId="2613A2D8" w14:textId="77777777" w:rsidR="00BC56B7" w:rsidRPr="00A1399E" w:rsidRDefault="00BC56B7" w:rsidP="00826E17">
            <w:pPr>
              <w:rPr>
                <w:rFonts w:eastAsia="Calibri"/>
                <w:b/>
                <w:sz w:val="18"/>
                <w:szCs w:val="18"/>
              </w:rPr>
            </w:pPr>
            <w:r w:rsidRPr="00A1399E">
              <w:rPr>
                <w:rFonts w:eastAsia="Calibri"/>
                <w:b/>
                <w:sz w:val="18"/>
                <w:szCs w:val="18"/>
              </w:rPr>
              <w:t>Indicators:</w:t>
            </w:r>
          </w:p>
          <w:p w14:paraId="5A5AFC21" w14:textId="77777777" w:rsidR="00BC56B7" w:rsidRPr="00A1399E" w:rsidRDefault="00BC56B7" w:rsidP="00F4641E">
            <w:pPr>
              <w:rPr>
                <w:rFonts w:eastAsia="Calibri"/>
                <w:sz w:val="18"/>
                <w:szCs w:val="18"/>
              </w:rPr>
            </w:pPr>
            <w:r w:rsidRPr="00A1399E">
              <w:rPr>
                <w:rFonts w:eastAsia="Calibri"/>
                <w:bCs/>
                <w:sz w:val="18"/>
                <w:szCs w:val="18"/>
              </w:rPr>
              <w:t>1.3.1:</w:t>
            </w:r>
            <w:r w:rsidRPr="00A1399E">
              <w:rPr>
                <w:rFonts w:eastAsia="Calibri"/>
                <w:b/>
                <w:bCs/>
                <w:sz w:val="18"/>
                <w:szCs w:val="18"/>
              </w:rPr>
              <w:t xml:space="preserve"> </w:t>
            </w:r>
            <w:r w:rsidRPr="00A1399E">
              <w:rPr>
                <w:rFonts w:eastAsia="Calibri"/>
                <w:sz w:val="18"/>
                <w:szCs w:val="18"/>
              </w:rPr>
              <w:t xml:space="preserve">Extent to which federal governance architecture for peace and security is functional </w:t>
            </w:r>
          </w:p>
          <w:p w14:paraId="3660D044" w14:textId="77777777" w:rsidR="00BC56B7" w:rsidRPr="00A1399E" w:rsidRDefault="00BC56B7" w:rsidP="00826E17">
            <w:pPr>
              <w:rPr>
                <w:rFonts w:eastAsia="Calibri"/>
                <w:sz w:val="18"/>
                <w:szCs w:val="18"/>
              </w:rPr>
            </w:pPr>
            <w:r w:rsidRPr="00A1399E">
              <w:rPr>
                <w:rFonts w:eastAsia="Calibri"/>
                <w:b/>
                <w:bCs/>
                <w:sz w:val="18"/>
                <w:szCs w:val="18"/>
              </w:rPr>
              <w:t>Baseline</w:t>
            </w:r>
            <w:r w:rsidRPr="00A1399E">
              <w:rPr>
                <w:rFonts w:eastAsia="Calibri"/>
                <w:sz w:val="18"/>
                <w:szCs w:val="18"/>
              </w:rPr>
              <w:t>: Draft Intergovernmental Relations Bill (2020)</w:t>
            </w:r>
          </w:p>
          <w:p w14:paraId="3B229333" w14:textId="77777777" w:rsidR="00BC56B7" w:rsidRPr="00A1399E" w:rsidRDefault="00BC56B7" w:rsidP="00826E17">
            <w:pPr>
              <w:rPr>
                <w:rFonts w:eastAsia="Calibri"/>
                <w:sz w:val="18"/>
                <w:szCs w:val="18"/>
              </w:rPr>
            </w:pPr>
            <w:r w:rsidRPr="00A1399E">
              <w:rPr>
                <w:rFonts w:eastAsia="Calibri"/>
                <w:b/>
                <w:bCs/>
                <w:sz w:val="18"/>
                <w:szCs w:val="18"/>
              </w:rPr>
              <w:t>Target</w:t>
            </w:r>
            <w:r w:rsidRPr="00A1399E">
              <w:rPr>
                <w:rFonts w:eastAsia="Calibri"/>
                <w:sz w:val="18"/>
                <w:szCs w:val="18"/>
              </w:rPr>
              <w:t>: Bill approved and implemented</w:t>
            </w:r>
          </w:p>
          <w:p w14:paraId="3875E4D8" w14:textId="5DA5AC4F" w:rsidR="00BC56B7" w:rsidRPr="00A1399E" w:rsidRDefault="00BC56B7"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501247" w:rsidRPr="00A1399E">
              <w:rPr>
                <w:rFonts w:eastAsia="Calibri"/>
                <w:sz w:val="18"/>
                <w:szCs w:val="18"/>
              </w:rPr>
              <w:t>Ministry of Interior, Federal Affairs and Reconciliation</w:t>
            </w:r>
          </w:p>
          <w:p w14:paraId="1DD8F9BA" w14:textId="77777777" w:rsidR="00BC56B7" w:rsidRPr="00A1399E" w:rsidRDefault="00BC56B7" w:rsidP="00826E17">
            <w:pPr>
              <w:rPr>
                <w:rFonts w:eastAsia="Calibri"/>
                <w:sz w:val="18"/>
                <w:szCs w:val="18"/>
              </w:rPr>
            </w:pPr>
            <w:r w:rsidRPr="00A1399E">
              <w:rPr>
                <w:rFonts w:eastAsia="Calibri"/>
                <w:b/>
                <w:bCs/>
                <w:sz w:val="18"/>
                <w:szCs w:val="18"/>
              </w:rPr>
              <w:t>Frequency</w:t>
            </w:r>
            <w:r w:rsidRPr="00A1399E">
              <w:rPr>
                <w:rFonts w:eastAsia="Calibri"/>
                <w:sz w:val="18"/>
                <w:szCs w:val="18"/>
              </w:rPr>
              <w:t>: As applicable</w:t>
            </w:r>
          </w:p>
          <w:p w14:paraId="27F12472" w14:textId="77777777" w:rsidR="00BC56B7" w:rsidRPr="00A1399E" w:rsidRDefault="00BC56B7" w:rsidP="00826E17">
            <w:pPr>
              <w:jc w:val="both"/>
              <w:rPr>
                <w:rFonts w:eastAsia="Calibri"/>
                <w:sz w:val="18"/>
                <w:szCs w:val="18"/>
              </w:rPr>
            </w:pPr>
          </w:p>
          <w:p w14:paraId="690FF504" w14:textId="77777777" w:rsidR="00BC56B7" w:rsidRPr="00A1399E" w:rsidRDefault="00BC56B7" w:rsidP="00826E17">
            <w:pPr>
              <w:rPr>
                <w:rFonts w:eastAsia="Calibri"/>
                <w:sz w:val="18"/>
                <w:szCs w:val="18"/>
              </w:rPr>
            </w:pPr>
            <w:bookmarkStart w:id="8" w:name="_Hlk52799339"/>
            <w:bookmarkStart w:id="9" w:name="_Hlk52799427"/>
            <w:r w:rsidRPr="00A1399E">
              <w:rPr>
                <w:rFonts w:eastAsia="Calibri"/>
                <w:sz w:val="18"/>
                <w:szCs w:val="18"/>
              </w:rPr>
              <w:t xml:space="preserve">1.3.2: </w:t>
            </w:r>
            <w:bookmarkEnd w:id="8"/>
            <w:r w:rsidRPr="00A1399E">
              <w:rPr>
                <w:rFonts w:eastAsia="Calibri"/>
                <w:sz w:val="18"/>
                <w:szCs w:val="18"/>
              </w:rPr>
              <w:t xml:space="preserve">Extent of implementation of the NRF  </w:t>
            </w:r>
          </w:p>
          <w:p w14:paraId="000A80B0" w14:textId="77777777" w:rsidR="00BC56B7" w:rsidRPr="00A1399E" w:rsidRDefault="00BC56B7"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0% </w:t>
            </w:r>
          </w:p>
          <w:p w14:paraId="2DF78D58" w14:textId="77777777" w:rsidR="00BC56B7" w:rsidRPr="00A1399E" w:rsidRDefault="00BC56B7"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50% </w:t>
            </w:r>
          </w:p>
          <w:p w14:paraId="0CF645A9" w14:textId="7D6C729C" w:rsidR="00BC56B7" w:rsidRPr="00A1399E" w:rsidRDefault="00BC56B7"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501247" w:rsidRPr="00A1399E">
              <w:rPr>
                <w:rFonts w:eastAsia="Calibri"/>
                <w:sz w:val="18"/>
                <w:szCs w:val="18"/>
              </w:rPr>
              <w:t>P</w:t>
            </w:r>
            <w:r w:rsidR="00790243" w:rsidRPr="00A1399E">
              <w:rPr>
                <w:rFonts w:eastAsia="Calibri"/>
                <w:sz w:val="18"/>
                <w:szCs w:val="18"/>
              </w:rPr>
              <w:t>roject reports</w:t>
            </w:r>
          </w:p>
          <w:bookmarkEnd w:id="9"/>
          <w:p w14:paraId="1671B4B6" w14:textId="274C19BF" w:rsidR="00BC56B7" w:rsidRPr="00FC5139" w:rsidRDefault="00BC56B7" w:rsidP="00FC5139">
            <w:pPr>
              <w:spacing w:after="60"/>
              <w:rPr>
                <w:rFonts w:eastAsia="Calibri"/>
                <w:sz w:val="18"/>
                <w:szCs w:val="18"/>
              </w:rPr>
            </w:pPr>
            <w:r w:rsidRPr="00A1399E">
              <w:rPr>
                <w:rFonts w:eastAsia="Calibri"/>
                <w:b/>
                <w:bCs/>
                <w:sz w:val="18"/>
                <w:szCs w:val="18"/>
              </w:rPr>
              <w:t>Frequency</w:t>
            </w:r>
            <w:r w:rsidRPr="00A1399E">
              <w:rPr>
                <w:rFonts w:eastAsia="Calibri"/>
                <w:sz w:val="18"/>
                <w:szCs w:val="18"/>
              </w:rPr>
              <w:t>: Annual</w:t>
            </w:r>
          </w:p>
        </w:tc>
        <w:tc>
          <w:tcPr>
            <w:tcW w:w="2250" w:type="dxa"/>
            <w:vMerge/>
          </w:tcPr>
          <w:p w14:paraId="232E7173" w14:textId="77777777" w:rsidR="00BC56B7" w:rsidRPr="00A1399E" w:rsidRDefault="00BC56B7" w:rsidP="00826E17">
            <w:pPr>
              <w:rPr>
                <w:rFonts w:eastAsia="Calibri"/>
                <w:b/>
                <w:sz w:val="18"/>
                <w:szCs w:val="18"/>
              </w:rPr>
            </w:pPr>
          </w:p>
        </w:tc>
        <w:tc>
          <w:tcPr>
            <w:tcW w:w="1980" w:type="dxa"/>
            <w:vMerge/>
          </w:tcPr>
          <w:p w14:paraId="47C31F9E" w14:textId="77777777" w:rsidR="00BC56B7" w:rsidRPr="00A1399E" w:rsidRDefault="00BC56B7" w:rsidP="00826E17">
            <w:pPr>
              <w:jc w:val="center"/>
              <w:rPr>
                <w:rFonts w:eastAsia="Calibri"/>
                <w:b/>
                <w:sz w:val="18"/>
                <w:szCs w:val="18"/>
              </w:rPr>
            </w:pPr>
          </w:p>
        </w:tc>
      </w:tr>
      <w:tr w:rsidR="00BC56B7" w:rsidRPr="00A1399E" w14:paraId="57954EE1" w14:textId="77777777" w:rsidTr="000237D8">
        <w:tc>
          <w:tcPr>
            <w:tcW w:w="3290" w:type="dxa"/>
            <w:vMerge/>
          </w:tcPr>
          <w:p w14:paraId="6D7AD54D" w14:textId="77777777" w:rsidR="00BC56B7" w:rsidRPr="00A1399E" w:rsidRDefault="00BC56B7" w:rsidP="00826E17">
            <w:pPr>
              <w:rPr>
                <w:rFonts w:eastAsia="Calibri"/>
                <w:b/>
                <w:sz w:val="18"/>
                <w:szCs w:val="18"/>
              </w:rPr>
            </w:pPr>
          </w:p>
        </w:tc>
        <w:tc>
          <w:tcPr>
            <w:tcW w:w="3005" w:type="dxa"/>
            <w:vMerge/>
          </w:tcPr>
          <w:p w14:paraId="1C55D094" w14:textId="77777777" w:rsidR="00BC56B7" w:rsidRPr="00A1399E" w:rsidRDefault="00BC56B7" w:rsidP="00826E17">
            <w:pPr>
              <w:rPr>
                <w:rFonts w:eastAsia="Calibri"/>
                <w:b/>
                <w:sz w:val="18"/>
                <w:szCs w:val="18"/>
              </w:rPr>
            </w:pPr>
          </w:p>
        </w:tc>
        <w:tc>
          <w:tcPr>
            <w:tcW w:w="3870" w:type="dxa"/>
          </w:tcPr>
          <w:p w14:paraId="232F7CEF" w14:textId="5267728D" w:rsidR="00BC56B7" w:rsidRPr="00A1399E" w:rsidRDefault="00BC56B7" w:rsidP="00826E17">
            <w:pPr>
              <w:rPr>
                <w:rFonts w:eastAsia="Times New Roman"/>
                <w:b/>
                <w:bCs/>
                <w:sz w:val="18"/>
                <w:szCs w:val="18"/>
              </w:rPr>
            </w:pPr>
            <w:r w:rsidRPr="00A1399E">
              <w:rPr>
                <w:rFonts w:eastAsia="Times New Roman"/>
                <w:b/>
                <w:bCs/>
                <w:sz w:val="18"/>
                <w:szCs w:val="18"/>
              </w:rPr>
              <w:t>Output 1.4</w:t>
            </w:r>
            <w:r w:rsidR="003306C7" w:rsidRPr="00A1399E">
              <w:rPr>
                <w:rFonts w:eastAsia="Times New Roman"/>
                <w:b/>
                <w:bCs/>
                <w:sz w:val="18"/>
                <w:szCs w:val="18"/>
              </w:rPr>
              <w:t>.</w:t>
            </w:r>
            <w:r w:rsidRPr="00A1399E">
              <w:rPr>
                <w:rFonts w:eastAsia="Times New Roman"/>
                <w:b/>
                <w:bCs/>
                <w:sz w:val="18"/>
                <w:szCs w:val="18"/>
              </w:rPr>
              <w:t xml:space="preserve"> Strengthened electoral institutions and systems for credible elections </w:t>
            </w:r>
          </w:p>
          <w:p w14:paraId="6FD89505" w14:textId="77777777" w:rsidR="00BC56B7" w:rsidRPr="00A1399E" w:rsidRDefault="00BC56B7" w:rsidP="00826E17">
            <w:pPr>
              <w:rPr>
                <w:rFonts w:eastAsia="Times New Roman"/>
                <w:bCs/>
                <w:sz w:val="18"/>
                <w:szCs w:val="18"/>
              </w:rPr>
            </w:pPr>
          </w:p>
          <w:p w14:paraId="62D9C37F" w14:textId="77777777" w:rsidR="00BC56B7" w:rsidRPr="00A1399E" w:rsidRDefault="00BC56B7" w:rsidP="00826E17">
            <w:pPr>
              <w:rPr>
                <w:rFonts w:eastAsia="Calibri"/>
                <w:b/>
                <w:sz w:val="18"/>
                <w:szCs w:val="18"/>
              </w:rPr>
            </w:pPr>
            <w:r w:rsidRPr="00A1399E">
              <w:rPr>
                <w:rFonts w:eastAsia="Calibri"/>
                <w:b/>
                <w:sz w:val="18"/>
                <w:szCs w:val="18"/>
              </w:rPr>
              <w:t xml:space="preserve">Indicators </w:t>
            </w:r>
          </w:p>
          <w:p w14:paraId="572DC184" w14:textId="2EE05833" w:rsidR="00BC56B7" w:rsidRPr="00A1399E" w:rsidRDefault="00BC56B7" w:rsidP="00826E17">
            <w:pPr>
              <w:rPr>
                <w:rFonts w:eastAsia="Calibri"/>
                <w:sz w:val="18"/>
                <w:szCs w:val="18"/>
              </w:rPr>
            </w:pPr>
            <w:r w:rsidRPr="00A1399E">
              <w:rPr>
                <w:rFonts w:eastAsia="Calibri"/>
                <w:sz w:val="18"/>
                <w:szCs w:val="18"/>
              </w:rPr>
              <w:t xml:space="preserve">1.4.1: Proportion of voter turnout by elective category and electoral levels (youth, </w:t>
            </w:r>
            <w:r w:rsidR="003306C7" w:rsidRPr="00A1399E">
              <w:rPr>
                <w:rFonts w:eastAsia="Calibri"/>
                <w:sz w:val="18"/>
                <w:szCs w:val="18"/>
              </w:rPr>
              <w:t>persons with disabilities</w:t>
            </w:r>
            <w:r w:rsidRPr="00A1399E">
              <w:rPr>
                <w:rFonts w:eastAsia="Calibri"/>
                <w:sz w:val="18"/>
                <w:szCs w:val="18"/>
              </w:rPr>
              <w:t xml:space="preserve">) disaggregated by sex </w:t>
            </w:r>
          </w:p>
          <w:p w14:paraId="0A2C82B4" w14:textId="77777777" w:rsidR="00BC56B7" w:rsidRPr="00A1399E" w:rsidRDefault="00BC56B7"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0 </w:t>
            </w:r>
          </w:p>
          <w:p w14:paraId="689EDF99" w14:textId="3522B86F" w:rsidR="00BC56B7" w:rsidRPr="00A1399E" w:rsidRDefault="00BC56B7"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50% voter turnout </w:t>
            </w:r>
          </w:p>
          <w:p w14:paraId="31F4D0DE" w14:textId="05A63076" w:rsidR="00BC56B7" w:rsidRPr="00A1399E" w:rsidRDefault="00BC56B7"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3306C7" w:rsidRPr="00A1399E">
              <w:rPr>
                <w:rFonts w:eastAsia="Calibri"/>
                <w:sz w:val="18"/>
                <w:szCs w:val="18"/>
              </w:rPr>
              <w:t>National Independent Election Commission (NIEC)</w:t>
            </w:r>
          </w:p>
          <w:p w14:paraId="17FD97C9" w14:textId="77777777" w:rsidR="00BC56B7" w:rsidRPr="00A1399E" w:rsidRDefault="00BC56B7" w:rsidP="00826E17">
            <w:pPr>
              <w:rPr>
                <w:rFonts w:eastAsia="Calibri"/>
                <w:b/>
                <w:i/>
                <w:sz w:val="18"/>
                <w:szCs w:val="18"/>
              </w:rPr>
            </w:pPr>
            <w:r w:rsidRPr="00A1399E">
              <w:rPr>
                <w:rFonts w:eastAsia="Calibri"/>
                <w:b/>
                <w:bCs/>
                <w:sz w:val="18"/>
                <w:szCs w:val="18"/>
              </w:rPr>
              <w:t>Frequency</w:t>
            </w:r>
            <w:r w:rsidRPr="00A1399E">
              <w:rPr>
                <w:rFonts w:eastAsia="Calibri"/>
                <w:sz w:val="18"/>
                <w:szCs w:val="18"/>
              </w:rPr>
              <w:t>: As applicable</w:t>
            </w:r>
          </w:p>
          <w:p w14:paraId="76B4CA44" w14:textId="77777777" w:rsidR="00BC56B7" w:rsidRPr="00A1399E" w:rsidRDefault="00BC56B7" w:rsidP="00826E17">
            <w:pPr>
              <w:rPr>
                <w:rFonts w:eastAsia="Calibri"/>
                <w:b/>
                <w:i/>
                <w:sz w:val="18"/>
                <w:szCs w:val="18"/>
              </w:rPr>
            </w:pPr>
          </w:p>
          <w:p w14:paraId="10C08127" w14:textId="77777777" w:rsidR="00BC56B7" w:rsidRPr="00A1399E" w:rsidRDefault="00BC56B7" w:rsidP="00826E17">
            <w:pPr>
              <w:rPr>
                <w:rFonts w:eastAsia="Calibri"/>
                <w:color w:val="000000"/>
                <w:kern w:val="2"/>
                <w:sz w:val="18"/>
                <w:szCs w:val="18"/>
                <w:lang w:eastAsia="ja-JP"/>
              </w:rPr>
            </w:pPr>
            <w:r w:rsidRPr="00A1399E">
              <w:rPr>
                <w:rFonts w:eastAsia="Calibri"/>
                <w:sz w:val="18"/>
                <w:szCs w:val="18"/>
              </w:rPr>
              <w:t xml:space="preserve">1.4.2: Proportion of women in elected positions </w:t>
            </w:r>
          </w:p>
          <w:p w14:paraId="356AE4AF" w14:textId="77777777" w:rsidR="00BC56B7" w:rsidRPr="00A1399E" w:rsidRDefault="00BC56B7" w:rsidP="00826E17">
            <w:pPr>
              <w:rPr>
                <w:rFonts w:eastAsia="Calibri"/>
                <w:sz w:val="18"/>
                <w:szCs w:val="18"/>
              </w:rPr>
            </w:pPr>
            <w:r w:rsidRPr="00A1399E">
              <w:rPr>
                <w:rFonts w:eastAsia="Calibri"/>
                <w:b/>
                <w:bCs/>
                <w:sz w:val="18"/>
                <w:szCs w:val="18"/>
              </w:rPr>
              <w:t>Baseline</w:t>
            </w:r>
            <w:r w:rsidRPr="00A1399E">
              <w:rPr>
                <w:rFonts w:eastAsia="Calibri"/>
                <w:sz w:val="18"/>
                <w:szCs w:val="18"/>
              </w:rPr>
              <w:t>: 24% (2020)</w:t>
            </w:r>
          </w:p>
          <w:p w14:paraId="60D3EDDB" w14:textId="77777777" w:rsidR="00BC56B7" w:rsidRPr="00A1399E" w:rsidRDefault="00BC56B7" w:rsidP="00826E17">
            <w:pPr>
              <w:rPr>
                <w:rFonts w:eastAsia="Calibri"/>
                <w:sz w:val="18"/>
                <w:szCs w:val="18"/>
              </w:rPr>
            </w:pPr>
            <w:r w:rsidRPr="00A1399E">
              <w:rPr>
                <w:rFonts w:eastAsia="Calibri"/>
                <w:b/>
                <w:bCs/>
                <w:sz w:val="18"/>
                <w:szCs w:val="18"/>
              </w:rPr>
              <w:t>Target</w:t>
            </w:r>
            <w:r w:rsidRPr="00A1399E">
              <w:rPr>
                <w:rFonts w:eastAsia="Calibri"/>
                <w:sz w:val="18"/>
                <w:szCs w:val="18"/>
              </w:rPr>
              <w:t>: 30%</w:t>
            </w:r>
          </w:p>
          <w:p w14:paraId="3D58D40F" w14:textId="539DDE8E" w:rsidR="00BC56B7" w:rsidRPr="00A1399E" w:rsidRDefault="00BC56B7" w:rsidP="00826E17">
            <w:pPr>
              <w:rPr>
                <w:rFonts w:eastAsia="Calibri"/>
                <w:sz w:val="18"/>
                <w:szCs w:val="18"/>
              </w:rPr>
            </w:pPr>
            <w:r w:rsidRPr="00A1399E">
              <w:rPr>
                <w:rFonts w:eastAsia="Calibri"/>
                <w:b/>
                <w:bCs/>
                <w:sz w:val="18"/>
                <w:szCs w:val="18"/>
              </w:rPr>
              <w:lastRenderedPageBreak/>
              <w:t>Source</w:t>
            </w:r>
            <w:r w:rsidRPr="00A1399E">
              <w:rPr>
                <w:rFonts w:eastAsia="Calibri"/>
                <w:sz w:val="18"/>
                <w:szCs w:val="18"/>
              </w:rPr>
              <w:t xml:space="preserve">: NIEC, </w:t>
            </w:r>
            <w:r w:rsidR="003306C7" w:rsidRPr="00A1399E">
              <w:rPr>
                <w:rFonts w:eastAsia="Calibri"/>
                <w:sz w:val="18"/>
                <w:szCs w:val="18"/>
              </w:rPr>
              <w:t>p</w:t>
            </w:r>
            <w:r w:rsidRPr="00A1399E">
              <w:rPr>
                <w:rFonts w:eastAsia="Calibri"/>
                <w:sz w:val="18"/>
                <w:szCs w:val="18"/>
              </w:rPr>
              <w:t>arliaments</w:t>
            </w:r>
          </w:p>
          <w:p w14:paraId="171C821C" w14:textId="128CF511" w:rsidR="00BC56B7" w:rsidRPr="00FC5139" w:rsidRDefault="00BC56B7" w:rsidP="00FC5139">
            <w:pPr>
              <w:spacing w:after="60"/>
              <w:rPr>
                <w:rFonts w:eastAsia="Calibri"/>
                <w:sz w:val="18"/>
                <w:szCs w:val="18"/>
              </w:rPr>
            </w:pPr>
            <w:r w:rsidRPr="00A1399E">
              <w:rPr>
                <w:rFonts w:eastAsia="Calibri"/>
                <w:b/>
                <w:bCs/>
                <w:sz w:val="18"/>
                <w:szCs w:val="18"/>
              </w:rPr>
              <w:t>Frequency</w:t>
            </w:r>
            <w:r w:rsidRPr="00A1399E">
              <w:rPr>
                <w:rFonts w:eastAsia="Calibri"/>
                <w:sz w:val="18"/>
                <w:szCs w:val="18"/>
              </w:rPr>
              <w:t>: As applicable</w:t>
            </w:r>
          </w:p>
        </w:tc>
        <w:tc>
          <w:tcPr>
            <w:tcW w:w="2250" w:type="dxa"/>
            <w:vMerge/>
          </w:tcPr>
          <w:p w14:paraId="3BB83BF9" w14:textId="77777777" w:rsidR="00BC56B7" w:rsidRPr="00A1399E" w:rsidDel="00750C08" w:rsidRDefault="00BC56B7" w:rsidP="00826E17">
            <w:pPr>
              <w:rPr>
                <w:rFonts w:eastAsia="Calibri"/>
                <w:sz w:val="18"/>
                <w:szCs w:val="18"/>
              </w:rPr>
            </w:pPr>
          </w:p>
        </w:tc>
        <w:tc>
          <w:tcPr>
            <w:tcW w:w="1980" w:type="dxa"/>
            <w:vMerge/>
          </w:tcPr>
          <w:p w14:paraId="25E18418" w14:textId="77777777" w:rsidR="00BC56B7" w:rsidRPr="00A1399E" w:rsidRDefault="00BC56B7" w:rsidP="00826E17">
            <w:pPr>
              <w:jc w:val="center"/>
              <w:rPr>
                <w:rFonts w:eastAsia="Calibri"/>
                <w:b/>
                <w:sz w:val="18"/>
                <w:szCs w:val="18"/>
              </w:rPr>
            </w:pPr>
          </w:p>
        </w:tc>
      </w:tr>
      <w:tr w:rsidR="00BC56B7" w:rsidRPr="00A1399E" w14:paraId="29F3A928" w14:textId="77777777" w:rsidTr="009612CC">
        <w:tc>
          <w:tcPr>
            <w:tcW w:w="3290" w:type="dxa"/>
            <w:vMerge/>
            <w:tcBorders>
              <w:bottom w:val="single" w:sz="4" w:space="0" w:color="auto"/>
            </w:tcBorders>
          </w:tcPr>
          <w:p w14:paraId="15FFF67E" w14:textId="77777777" w:rsidR="00BC56B7" w:rsidRPr="00A1399E" w:rsidRDefault="00BC56B7" w:rsidP="00826E17">
            <w:pPr>
              <w:rPr>
                <w:rFonts w:eastAsia="Calibri"/>
                <w:b/>
                <w:sz w:val="18"/>
                <w:szCs w:val="18"/>
              </w:rPr>
            </w:pPr>
          </w:p>
        </w:tc>
        <w:tc>
          <w:tcPr>
            <w:tcW w:w="3005" w:type="dxa"/>
            <w:vMerge/>
            <w:tcBorders>
              <w:bottom w:val="single" w:sz="4" w:space="0" w:color="auto"/>
            </w:tcBorders>
          </w:tcPr>
          <w:p w14:paraId="179FF0B4" w14:textId="77777777" w:rsidR="00BC56B7" w:rsidRPr="00A1399E" w:rsidRDefault="00BC56B7" w:rsidP="00826E17">
            <w:pPr>
              <w:rPr>
                <w:rFonts w:eastAsia="Calibri"/>
                <w:b/>
                <w:sz w:val="18"/>
                <w:szCs w:val="18"/>
              </w:rPr>
            </w:pPr>
          </w:p>
        </w:tc>
        <w:tc>
          <w:tcPr>
            <w:tcW w:w="3870" w:type="dxa"/>
            <w:tcBorders>
              <w:bottom w:val="single" w:sz="4" w:space="0" w:color="auto"/>
            </w:tcBorders>
          </w:tcPr>
          <w:p w14:paraId="6DE1F451" w14:textId="312E25A8" w:rsidR="00BC56B7" w:rsidRPr="00A1399E" w:rsidRDefault="00BC56B7" w:rsidP="00826E17">
            <w:pPr>
              <w:rPr>
                <w:rFonts w:eastAsia="Calibri"/>
                <w:b/>
                <w:iCs/>
                <w:sz w:val="18"/>
                <w:szCs w:val="18"/>
              </w:rPr>
            </w:pPr>
            <w:r w:rsidRPr="00A1399E">
              <w:rPr>
                <w:rFonts w:eastAsia="Calibri"/>
                <w:b/>
                <w:sz w:val="18"/>
                <w:szCs w:val="18"/>
              </w:rPr>
              <w:t>Output 1.5</w:t>
            </w:r>
            <w:r w:rsidR="003306C7" w:rsidRPr="00A1399E">
              <w:rPr>
                <w:rFonts w:eastAsia="Calibri"/>
                <w:b/>
                <w:sz w:val="18"/>
                <w:szCs w:val="18"/>
              </w:rPr>
              <w:t>.</w:t>
            </w:r>
            <w:r w:rsidRPr="00A1399E">
              <w:rPr>
                <w:rFonts w:eastAsia="Calibri"/>
                <w:b/>
                <w:sz w:val="18"/>
                <w:szCs w:val="18"/>
              </w:rPr>
              <w:t xml:space="preserve"> </w:t>
            </w:r>
            <w:r w:rsidRPr="00A1399E">
              <w:rPr>
                <w:rFonts w:eastAsia="Calibri"/>
                <w:b/>
                <w:iCs/>
                <w:sz w:val="18"/>
                <w:szCs w:val="18"/>
              </w:rPr>
              <w:t>Institutions at national, state and local government levels strengthened to deliver quality services to citizens</w:t>
            </w:r>
          </w:p>
          <w:p w14:paraId="1066B9D8" w14:textId="77777777" w:rsidR="00BC56B7" w:rsidRPr="00A1399E" w:rsidRDefault="00BC56B7" w:rsidP="00826E17">
            <w:pPr>
              <w:rPr>
                <w:rFonts w:eastAsia="Calibri"/>
                <w:b/>
                <w:sz w:val="18"/>
                <w:szCs w:val="18"/>
              </w:rPr>
            </w:pPr>
          </w:p>
          <w:p w14:paraId="4FF45508" w14:textId="77777777" w:rsidR="00BC56B7" w:rsidRPr="00A1399E" w:rsidRDefault="00BC56B7" w:rsidP="00826E17">
            <w:pPr>
              <w:rPr>
                <w:rFonts w:eastAsia="Calibri"/>
                <w:b/>
                <w:sz w:val="18"/>
                <w:szCs w:val="18"/>
              </w:rPr>
            </w:pPr>
            <w:r w:rsidRPr="00A1399E">
              <w:rPr>
                <w:rFonts w:eastAsia="Calibri"/>
                <w:b/>
                <w:sz w:val="18"/>
                <w:szCs w:val="18"/>
              </w:rPr>
              <w:t xml:space="preserve">Indicators </w:t>
            </w:r>
          </w:p>
          <w:p w14:paraId="6B6EEB45" w14:textId="6A6FD68F" w:rsidR="00BC56B7" w:rsidRPr="00A1399E" w:rsidRDefault="00BC56B7" w:rsidP="00826E17">
            <w:pPr>
              <w:rPr>
                <w:rFonts w:eastAsia="Calibri"/>
                <w:sz w:val="18"/>
                <w:szCs w:val="18"/>
              </w:rPr>
            </w:pPr>
            <w:r w:rsidRPr="00A1399E">
              <w:rPr>
                <w:rFonts w:eastAsia="Calibri"/>
                <w:sz w:val="18"/>
                <w:szCs w:val="18"/>
              </w:rPr>
              <w:t xml:space="preserve">1.5.1: Number of institutions/districts capacitated </w:t>
            </w:r>
          </w:p>
          <w:p w14:paraId="7AE09485" w14:textId="77777777" w:rsidR="00BC56B7" w:rsidRPr="00A1399E" w:rsidRDefault="00BC56B7"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17 (2020) </w:t>
            </w:r>
          </w:p>
          <w:p w14:paraId="14AEA183" w14:textId="73A9F9F4" w:rsidR="00BC56B7" w:rsidRPr="00A1399E" w:rsidRDefault="00BC56B7"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41 (4 per </w:t>
            </w:r>
            <w:r w:rsidR="003306C7" w:rsidRPr="00A1399E">
              <w:rPr>
                <w:rFonts w:eastAsia="Calibri"/>
                <w:sz w:val="18"/>
                <w:szCs w:val="18"/>
              </w:rPr>
              <w:t>Federal Member State</w:t>
            </w:r>
            <w:r w:rsidRPr="00A1399E">
              <w:rPr>
                <w:rFonts w:eastAsia="Calibri"/>
                <w:sz w:val="18"/>
                <w:szCs w:val="18"/>
              </w:rPr>
              <w:t>)</w:t>
            </w:r>
          </w:p>
          <w:p w14:paraId="0A76E759" w14:textId="533791B0" w:rsidR="00BC56B7" w:rsidRPr="00A1399E" w:rsidRDefault="00BC56B7" w:rsidP="00826E17">
            <w:pPr>
              <w:rPr>
                <w:rFonts w:eastAsia="Calibri"/>
                <w:b/>
                <w:sz w:val="18"/>
                <w:szCs w:val="18"/>
              </w:rPr>
            </w:pPr>
            <w:r w:rsidRPr="00A1399E">
              <w:rPr>
                <w:rFonts w:eastAsia="Calibri"/>
                <w:b/>
                <w:sz w:val="18"/>
                <w:szCs w:val="18"/>
              </w:rPr>
              <w:t xml:space="preserve">Source: </w:t>
            </w:r>
            <w:r w:rsidR="00790243" w:rsidRPr="00A1399E">
              <w:rPr>
                <w:rFonts w:eastAsia="Calibri"/>
                <w:sz w:val="18"/>
                <w:szCs w:val="18"/>
              </w:rPr>
              <w:t>project reports</w:t>
            </w:r>
          </w:p>
          <w:p w14:paraId="0E96031F" w14:textId="77777777" w:rsidR="00BC56B7" w:rsidRPr="00A1399E" w:rsidRDefault="00BC56B7" w:rsidP="00826E17">
            <w:pPr>
              <w:rPr>
                <w:rFonts w:eastAsia="Calibri"/>
                <w:sz w:val="18"/>
                <w:szCs w:val="18"/>
              </w:rPr>
            </w:pPr>
            <w:r w:rsidRPr="00A1399E">
              <w:rPr>
                <w:rFonts w:eastAsia="Calibri"/>
                <w:b/>
                <w:sz w:val="18"/>
                <w:szCs w:val="18"/>
              </w:rPr>
              <w:t xml:space="preserve">Frequency: </w:t>
            </w:r>
            <w:r w:rsidRPr="00A1399E">
              <w:rPr>
                <w:rFonts w:eastAsia="Calibri"/>
                <w:sz w:val="18"/>
                <w:szCs w:val="18"/>
              </w:rPr>
              <w:t>Annual</w:t>
            </w:r>
          </w:p>
          <w:p w14:paraId="2C02822C" w14:textId="77777777" w:rsidR="00BC56B7" w:rsidRPr="00A1399E" w:rsidRDefault="00BC56B7" w:rsidP="00826E17">
            <w:pPr>
              <w:rPr>
                <w:rFonts w:eastAsia="Calibri"/>
                <w:sz w:val="18"/>
                <w:szCs w:val="18"/>
              </w:rPr>
            </w:pPr>
          </w:p>
          <w:p w14:paraId="77489784" w14:textId="77777777" w:rsidR="00BC56B7" w:rsidRPr="00A1399E" w:rsidRDefault="00BC56B7" w:rsidP="00826E17">
            <w:pPr>
              <w:rPr>
                <w:rFonts w:eastAsia="Calibri"/>
                <w:sz w:val="18"/>
                <w:szCs w:val="18"/>
              </w:rPr>
            </w:pPr>
            <w:r w:rsidRPr="00A1399E">
              <w:rPr>
                <w:rFonts w:eastAsia="Calibri"/>
                <w:sz w:val="18"/>
                <w:szCs w:val="18"/>
              </w:rPr>
              <w:t>1.5.2 Level of citizen engagement in local level development processes</w:t>
            </w:r>
          </w:p>
          <w:p w14:paraId="39A1243F" w14:textId="77777777" w:rsidR="00BC56B7" w:rsidRPr="00A1399E" w:rsidRDefault="00BC56B7" w:rsidP="00826E17">
            <w:pPr>
              <w:rPr>
                <w:rFonts w:eastAsia="Calibri"/>
                <w:sz w:val="18"/>
                <w:szCs w:val="18"/>
              </w:rPr>
            </w:pPr>
            <w:r w:rsidRPr="00A1399E">
              <w:rPr>
                <w:rFonts w:eastAsia="Calibri"/>
                <w:b/>
                <w:bCs/>
                <w:sz w:val="18"/>
                <w:szCs w:val="18"/>
              </w:rPr>
              <w:t>Baseline</w:t>
            </w:r>
            <w:r w:rsidRPr="00A1399E">
              <w:rPr>
                <w:rFonts w:eastAsia="Calibri"/>
                <w:sz w:val="18"/>
                <w:szCs w:val="18"/>
              </w:rPr>
              <w:t>:  Limited</w:t>
            </w:r>
          </w:p>
          <w:p w14:paraId="75F867A4" w14:textId="77777777" w:rsidR="00BC56B7" w:rsidRPr="00A1399E" w:rsidRDefault="00BC56B7" w:rsidP="00826E17">
            <w:pPr>
              <w:rPr>
                <w:rFonts w:eastAsia="Calibri"/>
                <w:sz w:val="18"/>
                <w:szCs w:val="18"/>
              </w:rPr>
            </w:pPr>
            <w:r w:rsidRPr="00A1399E">
              <w:rPr>
                <w:rFonts w:eastAsia="Calibri"/>
                <w:b/>
                <w:bCs/>
                <w:sz w:val="18"/>
                <w:szCs w:val="18"/>
              </w:rPr>
              <w:t>Target</w:t>
            </w:r>
            <w:r w:rsidRPr="00A1399E">
              <w:rPr>
                <w:rFonts w:eastAsia="Calibri"/>
                <w:sz w:val="18"/>
                <w:szCs w:val="18"/>
              </w:rPr>
              <w:t>: Significant</w:t>
            </w:r>
          </w:p>
          <w:p w14:paraId="55ACE7DA" w14:textId="15DCEA3A" w:rsidR="00BC56B7" w:rsidRPr="00A1399E" w:rsidRDefault="00BC56B7" w:rsidP="00826E17">
            <w:pPr>
              <w:rPr>
                <w:rFonts w:eastAsia="Calibri"/>
                <w:b/>
                <w:sz w:val="18"/>
                <w:szCs w:val="18"/>
              </w:rPr>
            </w:pPr>
            <w:r w:rsidRPr="00A1399E">
              <w:rPr>
                <w:rFonts w:eastAsia="Calibri"/>
                <w:b/>
                <w:sz w:val="18"/>
                <w:szCs w:val="18"/>
              </w:rPr>
              <w:t xml:space="preserve">Source: </w:t>
            </w:r>
            <w:r w:rsidR="003306C7" w:rsidRPr="00A1399E">
              <w:rPr>
                <w:rFonts w:eastAsia="Calibri"/>
                <w:sz w:val="18"/>
                <w:szCs w:val="18"/>
              </w:rPr>
              <w:t>Third-party monitoring</w:t>
            </w:r>
            <w:r w:rsidRPr="00A1399E">
              <w:rPr>
                <w:rFonts w:eastAsia="Calibri"/>
                <w:sz w:val="18"/>
                <w:szCs w:val="18"/>
              </w:rPr>
              <w:t xml:space="preserve"> </w:t>
            </w:r>
          </w:p>
          <w:p w14:paraId="01D28D3D" w14:textId="79DEA0D9" w:rsidR="00BC56B7" w:rsidRPr="00FC5139" w:rsidRDefault="00BC56B7" w:rsidP="00FC5139">
            <w:pPr>
              <w:spacing w:after="60"/>
              <w:rPr>
                <w:rFonts w:eastAsia="Calibri"/>
                <w:sz w:val="18"/>
                <w:szCs w:val="18"/>
              </w:rPr>
            </w:pPr>
            <w:r w:rsidRPr="00A1399E">
              <w:rPr>
                <w:rFonts w:eastAsia="Calibri"/>
                <w:b/>
                <w:sz w:val="18"/>
                <w:szCs w:val="18"/>
              </w:rPr>
              <w:t xml:space="preserve">Frequency: </w:t>
            </w:r>
            <w:r w:rsidRPr="00A1399E">
              <w:rPr>
                <w:rFonts w:eastAsia="Calibri"/>
                <w:sz w:val="18"/>
                <w:szCs w:val="18"/>
              </w:rPr>
              <w:t>Annual</w:t>
            </w:r>
          </w:p>
        </w:tc>
        <w:tc>
          <w:tcPr>
            <w:tcW w:w="2250" w:type="dxa"/>
            <w:vMerge/>
            <w:tcBorders>
              <w:bottom w:val="single" w:sz="4" w:space="0" w:color="auto"/>
            </w:tcBorders>
          </w:tcPr>
          <w:p w14:paraId="0581015B" w14:textId="77777777" w:rsidR="00BC56B7" w:rsidRPr="00A1399E" w:rsidDel="00750C08" w:rsidRDefault="00BC56B7" w:rsidP="00826E17">
            <w:pPr>
              <w:rPr>
                <w:rFonts w:eastAsia="Calibri"/>
                <w:sz w:val="18"/>
                <w:szCs w:val="18"/>
              </w:rPr>
            </w:pPr>
          </w:p>
        </w:tc>
        <w:tc>
          <w:tcPr>
            <w:tcW w:w="1980" w:type="dxa"/>
            <w:vMerge/>
            <w:tcBorders>
              <w:bottom w:val="single" w:sz="4" w:space="0" w:color="auto"/>
            </w:tcBorders>
          </w:tcPr>
          <w:p w14:paraId="411DA946" w14:textId="77777777" w:rsidR="00BC56B7" w:rsidRPr="00A1399E" w:rsidRDefault="00BC56B7" w:rsidP="00826E17">
            <w:pPr>
              <w:jc w:val="center"/>
              <w:rPr>
                <w:rFonts w:eastAsia="Calibri"/>
                <w:b/>
                <w:sz w:val="18"/>
                <w:szCs w:val="18"/>
              </w:rPr>
            </w:pPr>
          </w:p>
        </w:tc>
      </w:tr>
      <w:tr w:rsidR="0051174B" w:rsidRPr="00A1399E" w14:paraId="22BFF4BF" w14:textId="77777777" w:rsidTr="009612CC">
        <w:tc>
          <w:tcPr>
            <w:tcW w:w="14395" w:type="dxa"/>
            <w:gridSpan w:val="5"/>
            <w:shd w:val="clear" w:color="auto" w:fill="auto"/>
          </w:tcPr>
          <w:p w14:paraId="03AD19B5" w14:textId="6FCD7B49" w:rsidR="0051174B" w:rsidRPr="00A1399E" w:rsidRDefault="0051174B" w:rsidP="00CF6154">
            <w:pPr>
              <w:spacing w:before="60" w:after="60"/>
              <w:rPr>
                <w:rFonts w:eastAsia="Calibri"/>
                <w:b/>
                <w:bCs/>
                <w:sz w:val="18"/>
                <w:szCs w:val="18"/>
              </w:rPr>
            </w:pPr>
            <w:r w:rsidRPr="00A1399E">
              <w:rPr>
                <w:rFonts w:eastAsia="Calibri"/>
                <w:b/>
                <w:sz w:val="18"/>
                <w:szCs w:val="18"/>
              </w:rPr>
              <w:t xml:space="preserve">NATIONAL PRIORITY: NDP-9 </w:t>
            </w:r>
            <w:r w:rsidRPr="00A1399E">
              <w:rPr>
                <w:rFonts w:eastAsia="Calibri"/>
                <w:b/>
                <w:bCs/>
                <w:iCs/>
                <w:color w:val="000000"/>
                <w:sz w:val="18"/>
                <w:szCs w:val="18"/>
              </w:rPr>
              <w:t>Pillar 2</w:t>
            </w:r>
            <w:r w:rsidR="0046586E" w:rsidRPr="00A1399E">
              <w:rPr>
                <w:rFonts w:eastAsia="Calibri"/>
                <w:b/>
                <w:bCs/>
                <w:iCs/>
                <w:color w:val="000000"/>
                <w:sz w:val="18"/>
                <w:szCs w:val="18"/>
              </w:rPr>
              <w:t>.</w:t>
            </w:r>
            <w:r w:rsidRPr="00A1399E">
              <w:rPr>
                <w:rFonts w:eastAsia="Calibri"/>
                <w:b/>
                <w:bCs/>
                <w:iCs/>
                <w:color w:val="000000"/>
                <w:sz w:val="18"/>
                <w:szCs w:val="18"/>
              </w:rPr>
              <w:t xml:space="preserve"> </w:t>
            </w:r>
            <w:r w:rsidRPr="00A1399E">
              <w:rPr>
                <w:rFonts w:eastAsia="Calibri"/>
                <w:b/>
                <w:bCs/>
                <w:sz w:val="18"/>
                <w:szCs w:val="18"/>
              </w:rPr>
              <w:t xml:space="preserve">Improved </w:t>
            </w:r>
            <w:r w:rsidR="0046586E" w:rsidRPr="00A1399E">
              <w:rPr>
                <w:rFonts w:eastAsia="Calibri"/>
                <w:b/>
                <w:bCs/>
                <w:sz w:val="18"/>
                <w:szCs w:val="18"/>
              </w:rPr>
              <w:t>s</w:t>
            </w:r>
            <w:r w:rsidRPr="00A1399E">
              <w:rPr>
                <w:rFonts w:eastAsia="Calibri"/>
                <w:b/>
                <w:bCs/>
                <w:sz w:val="18"/>
                <w:szCs w:val="18"/>
              </w:rPr>
              <w:t xml:space="preserve">ecurity and the </w:t>
            </w:r>
            <w:r w:rsidR="0046586E" w:rsidRPr="00A1399E">
              <w:rPr>
                <w:rFonts w:eastAsia="Calibri"/>
                <w:b/>
                <w:bCs/>
                <w:sz w:val="18"/>
                <w:szCs w:val="18"/>
              </w:rPr>
              <w:t>r</w:t>
            </w:r>
            <w:r w:rsidRPr="00A1399E">
              <w:rPr>
                <w:rFonts w:eastAsia="Calibri"/>
                <w:b/>
                <w:bCs/>
                <w:sz w:val="18"/>
                <w:szCs w:val="18"/>
              </w:rPr>
              <w:t xml:space="preserve">ule of </w:t>
            </w:r>
            <w:r w:rsidR="0046586E" w:rsidRPr="00A1399E">
              <w:rPr>
                <w:rFonts w:eastAsia="Calibri"/>
                <w:b/>
                <w:bCs/>
                <w:sz w:val="18"/>
                <w:szCs w:val="18"/>
              </w:rPr>
              <w:t>l</w:t>
            </w:r>
            <w:r w:rsidRPr="00A1399E">
              <w:rPr>
                <w:rFonts w:eastAsia="Calibri"/>
                <w:b/>
                <w:bCs/>
                <w:sz w:val="18"/>
                <w:szCs w:val="18"/>
              </w:rPr>
              <w:t>aw</w:t>
            </w:r>
            <w:r w:rsidR="0046586E" w:rsidRPr="00A1399E">
              <w:rPr>
                <w:rFonts w:eastAsia="Calibri"/>
                <w:b/>
                <w:bCs/>
                <w:sz w:val="18"/>
                <w:szCs w:val="18"/>
              </w:rPr>
              <w:t>.</w:t>
            </w:r>
            <w:r w:rsidRPr="00A1399E">
              <w:rPr>
                <w:rFonts w:eastAsia="Calibri"/>
                <w:b/>
                <w:bCs/>
                <w:sz w:val="18"/>
                <w:szCs w:val="18"/>
              </w:rPr>
              <w:t xml:space="preserve"> </w:t>
            </w:r>
          </w:p>
        </w:tc>
      </w:tr>
      <w:tr w:rsidR="0051174B" w:rsidRPr="00A1399E" w14:paraId="27E985F1" w14:textId="77777777" w:rsidTr="009612CC">
        <w:tc>
          <w:tcPr>
            <w:tcW w:w="14395" w:type="dxa"/>
            <w:gridSpan w:val="5"/>
            <w:shd w:val="clear" w:color="auto" w:fill="auto"/>
          </w:tcPr>
          <w:p w14:paraId="391CFB82" w14:textId="0479815D" w:rsidR="00CF6154" w:rsidRPr="00A1399E" w:rsidRDefault="0046586E" w:rsidP="00CF6154">
            <w:pPr>
              <w:spacing w:before="60" w:after="60"/>
              <w:rPr>
                <w:rFonts w:eastAsia="Calibri"/>
                <w:b/>
                <w:sz w:val="18"/>
                <w:szCs w:val="18"/>
              </w:rPr>
            </w:pPr>
            <w:r w:rsidRPr="00A1399E">
              <w:rPr>
                <w:rFonts w:eastAsia="Calibri"/>
                <w:b/>
                <w:color w:val="000000"/>
                <w:sz w:val="18"/>
                <w:szCs w:val="18"/>
              </w:rPr>
              <w:t>UNSDCF</w:t>
            </w:r>
            <w:r w:rsidR="0051174B" w:rsidRPr="00A1399E">
              <w:rPr>
                <w:rFonts w:eastAsia="Calibri"/>
                <w:b/>
                <w:color w:val="000000"/>
                <w:sz w:val="18"/>
                <w:szCs w:val="18"/>
              </w:rPr>
              <w:t xml:space="preserve"> OUTCOME INVOLVING UNDP 2. </w:t>
            </w:r>
            <w:r w:rsidR="00CF6154" w:rsidRPr="00A1399E">
              <w:rPr>
                <w:rFonts w:eastAsia="Calibri"/>
                <w:b/>
                <w:color w:val="000000"/>
                <w:sz w:val="18"/>
                <w:szCs w:val="18"/>
              </w:rPr>
              <w:t xml:space="preserve">UNSDCF </w:t>
            </w:r>
            <w:r w:rsidR="0051174B" w:rsidRPr="00A1399E">
              <w:rPr>
                <w:rFonts w:eastAsia="Calibri"/>
                <w:b/>
                <w:color w:val="000000"/>
                <w:sz w:val="18"/>
                <w:szCs w:val="18"/>
              </w:rPr>
              <w:t>Outcome 2.1</w:t>
            </w:r>
            <w:r w:rsidR="00CF6154" w:rsidRPr="00A1399E">
              <w:rPr>
                <w:rFonts w:eastAsia="Calibri"/>
                <w:b/>
                <w:color w:val="000000"/>
                <w:sz w:val="18"/>
                <w:szCs w:val="18"/>
              </w:rPr>
              <w:t>.</w:t>
            </w:r>
            <w:r w:rsidR="0051174B" w:rsidRPr="00A1399E">
              <w:rPr>
                <w:rFonts w:eastAsia="Calibri"/>
                <w:b/>
                <w:color w:val="000000"/>
                <w:sz w:val="18"/>
                <w:szCs w:val="18"/>
              </w:rPr>
              <w:t xml:space="preserve"> </w:t>
            </w:r>
            <w:r w:rsidR="0051174B" w:rsidRPr="00A1399E">
              <w:rPr>
                <w:rFonts w:eastAsia="Calibri"/>
                <w:b/>
                <w:sz w:val="18"/>
                <w:szCs w:val="18"/>
              </w:rPr>
              <w:t>Respect, protection and promotion of human rights, gender equality, tolerance, climate security and environmental governance would be sustained by strengthened S</w:t>
            </w:r>
            <w:r w:rsidR="00804411" w:rsidRPr="00A1399E">
              <w:rPr>
                <w:rFonts w:eastAsia="Calibri"/>
                <w:b/>
                <w:sz w:val="18"/>
                <w:szCs w:val="18"/>
              </w:rPr>
              <w:t xml:space="preserve">ecurity and Rule </w:t>
            </w:r>
            <w:r w:rsidR="0051174B" w:rsidRPr="00A1399E">
              <w:rPr>
                <w:rFonts w:eastAsia="Calibri"/>
                <w:b/>
                <w:sz w:val="18"/>
                <w:szCs w:val="18"/>
              </w:rPr>
              <w:t>o</w:t>
            </w:r>
            <w:r w:rsidR="00804411" w:rsidRPr="00A1399E">
              <w:rPr>
                <w:rFonts w:eastAsia="Calibri"/>
                <w:b/>
                <w:sz w:val="18"/>
                <w:szCs w:val="18"/>
              </w:rPr>
              <w:t xml:space="preserve">f </w:t>
            </w:r>
            <w:r w:rsidR="0051174B" w:rsidRPr="00A1399E">
              <w:rPr>
                <w:rFonts w:eastAsia="Calibri"/>
                <w:b/>
                <w:sz w:val="18"/>
                <w:szCs w:val="18"/>
              </w:rPr>
              <w:t>L</w:t>
            </w:r>
            <w:r w:rsidR="00804411" w:rsidRPr="00A1399E">
              <w:rPr>
                <w:rFonts w:eastAsia="Calibri"/>
                <w:b/>
                <w:sz w:val="18"/>
                <w:szCs w:val="18"/>
              </w:rPr>
              <w:t>aw</w:t>
            </w:r>
            <w:r w:rsidR="0051174B" w:rsidRPr="00A1399E">
              <w:rPr>
                <w:rFonts w:eastAsia="Calibri"/>
                <w:b/>
                <w:sz w:val="18"/>
                <w:szCs w:val="18"/>
              </w:rPr>
              <w:t xml:space="preserve"> institutions and improved accountability mechanisms and legal frameworks</w:t>
            </w:r>
            <w:r w:rsidR="00CF6154" w:rsidRPr="00A1399E">
              <w:rPr>
                <w:rFonts w:eastAsia="Calibri"/>
                <w:b/>
                <w:sz w:val="18"/>
                <w:szCs w:val="18"/>
              </w:rPr>
              <w:t>.</w:t>
            </w:r>
          </w:p>
        </w:tc>
      </w:tr>
      <w:tr w:rsidR="0051174B" w:rsidRPr="00A1399E" w14:paraId="353D227D" w14:textId="77777777" w:rsidTr="009612CC">
        <w:tc>
          <w:tcPr>
            <w:tcW w:w="14395" w:type="dxa"/>
            <w:gridSpan w:val="5"/>
            <w:shd w:val="clear" w:color="auto" w:fill="auto"/>
          </w:tcPr>
          <w:p w14:paraId="44C42E9D" w14:textId="08E4FC9E" w:rsidR="0051174B" w:rsidRPr="00A1399E" w:rsidRDefault="0051174B" w:rsidP="00CF6154">
            <w:pPr>
              <w:spacing w:before="60" w:after="60"/>
              <w:rPr>
                <w:rFonts w:eastAsia="Calibri"/>
                <w:b/>
                <w:bCs/>
                <w:color w:val="000000"/>
                <w:sz w:val="18"/>
                <w:szCs w:val="18"/>
              </w:rPr>
            </w:pPr>
            <w:r w:rsidRPr="00A1399E">
              <w:rPr>
                <w:rFonts w:eastAsia="Calibri"/>
                <w:b/>
                <w:sz w:val="18"/>
                <w:szCs w:val="18"/>
              </w:rPr>
              <w:t xml:space="preserve">RELATED </w:t>
            </w:r>
            <w:r w:rsidR="00055E2E" w:rsidRPr="00A1399E">
              <w:rPr>
                <w:rFonts w:eastAsia="Calibri"/>
                <w:b/>
                <w:sz w:val="18"/>
                <w:szCs w:val="18"/>
              </w:rPr>
              <w:t xml:space="preserve">UNDP </w:t>
            </w:r>
            <w:r w:rsidRPr="00A1399E">
              <w:rPr>
                <w:rFonts w:eastAsia="Calibri"/>
                <w:b/>
                <w:sz w:val="18"/>
                <w:szCs w:val="18"/>
              </w:rPr>
              <w:t>STRATEGIC PLAN</w:t>
            </w:r>
            <w:r w:rsidR="00055E2E" w:rsidRPr="00A1399E">
              <w:rPr>
                <w:rFonts w:eastAsia="Calibri"/>
                <w:b/>
                <w:sz w:val="18"/>
                <w:szCs w:val="18"/>
              </w:rPr>
              <w:t xml:space="preserve">, 2018-2021, </w:t>
            </w:r>
            <w:r w:rsidRPr="00A1399E">
              <w:rPr>
                <w:rFonts w:eastAsia="Calibri"/>
                <w:b/>
                <w:sz w:val="18"/>
                <w:szCs w:val="18"/>
              </w:rPr>
              <w:t xml:space="preserve">OUTCOME: </w:t>
            </w:r>
            <w:r w:rsidRPr="00A1399E">
              <w:rPr>
                <w:rFonts w:eastAsia="Calibri"/>
                <w:b/>
                <w:iCs/>
                <w:color w:val="000000"/>
                <w:sz w:val="18"/>
                <w:szCs w:val="18"/>
              </w:rPr>
              <w:t>Outcome 2</w:t>
            </w:r>
            <w:r w:rsidR="00CF6154" w:rsidRPr="00A1399E">
              <w:rPr>
                <w:rFonts w:eastAsia="Calibri"/>
                <w:b/>
                <w:iCs/>
                <w:color w:val="000000"/>
                <w:sz w:val="18"/>
                <w:szCs w:val="18"/>
              </w:rPr>
              <w:t>.</w:t>
            </w:r>
            <w:r w:rsidRPr="00A1399E">
              <w:rPr>
                <w:rFonts w:eastAsia="Calibri"/>
                <w:b/>
                <w:iCs/>
                <w:color w:val="000000"/>
                <w:sz w:val="18"/>
                <w:szCs w:val="18"/>
              </w:rPr>
              <w:t xml:space="preserve"> </w:t>
            </w:r>
            <w:r w:rsidRPr="00A1399E">
              <w:rPr>
                <w:rFonts w:eastAsia="Calibri"/>
                <w:b/>
                <w:bCs/>
                <w:color w:val="000000"/>
                <w:sz w:val="18"/>
                <w:szCs w:val="18"/>
              </w:rPr>
              <w:t>Accelerate structural transformations for sustainable development</w:t>
            </w:r>
            <w:r w:rsidR="00CF6154" w:rsidRPr="00A1399E">
              <w:rPr>
                <w:rFonts w:eastAsia="Calibri"/>
                <w:b/>
                <w:bCs/>
                <w:color w:val="000000"/>
                <w:sz w:val="18"/>
                <w:szCs w:val="18"/>
              </w:rPr>
              <w:t>.</w:t>
            </w:r>
          </w:p>
        </w:tc>
      </w:tr>
      <w:tr w:rsidR="0051174B" w:rsidRPr="00A1399E" w14:paraId="220321B9" w14:textId="77777777" w:rsidTr="000237D8">
        <w:tc>
          <w:tcPr>
            <w:tcW w:w="3290" w:type="dxa"/>
            <w:vMerge w:val="restart"/>
          </w:tcPr>
          <w:p w14:paraId="4115DB6D" w14:textId="77777777" w:rsidR="0051174B" w:rsidRPr="00A1399E" w:rsidRDefault="0051174B" w:rsidP="00826E17">
            <w:pPr>
              <w:rPr>
                <w:rFonts w:eastAsia="Calibri"/>
                <w:b/>
                <w:sz w:val="18"/>
                <w:szCs w:val="18"/>
              </w:rPr>
            </w:pPr>
            <w:r w:rsidRPr="00A1399E">
              <w:rPr>
                <w:rFonts w:eastAsia="Calibri"/>
                <w:b/>
                <w:sz w:val="18"/>
                <w:szCs w:val="18"/>
              </w:rPr>
              <w:t>Indicators</w:t>
            </w:r>
          </w:p>
          <w:p w14:paraId="7E8FB837" w14:textId="53BBF26B" w:rsidR="0051174B" w:rsidRPr="00A1399E" w:rsidRDefault="0051174B" w:rsidP="00F4641E">
            <w:pPr>
              <w:pStyle w:val="ListParagraph"/>
              <w:numPr>
                <w:ilvl w:val="0"/>
                <w:numId w:val="28"/>
              </w:numPr>
              <w:rPr>
                <w:rFonts w:eastAsia="Calibri"/>
                <w:sz w:val="18"/>
                <w:szCs w:val="18"/>
              </w:rPr>
            </w:pPr>
            <w:r w:rsidRPr="00A1399E">
              <w:rPr>
                <w:rFonts w:eastAsia="Calibri"/>
                <w:sz w:val="18"/>
                <w:szCs w:val="18"/>
              </w:rPr>
              <w:t>Proportion of the population who have experienced a dispute in the past two years and who accessed a formal or informal dispute resolution mechanism, by type of mechanism and disaggregated by gender and displacement status</w:t>
            </w:r>
          </w:p>
          <w:p w14:paraId="6A9B0B17" w14:textId="77777777" w:rsidR="0051174B" w:rsidRPr="00A1399E" w:rsidRDefault="0051174B" w:rsidP="00826E17">
            <w:pPr>
              <w:rPr>
                <w:rFonts w:eastAsia="Calibri"/>
                <w:sz w:val="18"/>
                <w:szCs w:val="18"/>
              </w:rPr>
            </w:pPr>
          </w:p>
          <w:p w14:paraId="59056DF6" w14:textId="20608180" w:rsidR="0051174B" w:rsidRPr="00A1399E" w:rsidRDefault="0051174B" w:rsidP="00826E17">
            <w:pPr>
              <w:spacing w:line="257" w:lineRule="auto"/>
              <w:rPr>
                <w:rFonts w:eastAsia="Calibri"/>
                <w:sz w:val="18"/>
                <w:szCs w:val="18"/>
              </w:rPr>
            </w:pPr>
            <w:r w:rsidRPr="00A1399E">
              <w:rPr>
                <w:rFonts w:eastAsia="Calibri"/>
                <w:b/>
                <w:bCs/>
                <w:sz w:val="18"/>
                <w:szCs w:val="18"/>
              </w:rPr>
              <w:t>Baseline:</w:t>
            </w:r>
            <w:r w:rsidRPr="00A1399E">
              <w:rPr>
                <w:rFonts w:eastAsia="Calibri"/>
                <w:sz w:val="18"/>
                <w:szCs w:val="18"/>
              </w:rPr>
              <w:t xml:space="preserve"> 39% accessed clan elders; 8%</w:t>
            </w:r>
            <w:r w:rsidR="00CF6154" w:rsidRPr="00A1399E">
              <w:rPr>
                <w:rFonts w:eastAsia="Calibri"/>
                <w:sz w:val="18"/>
                <w:szCs w:val="18"/>
              </w:rPr>
              <w:t> </w:t>
            </w:r>
            <w:r w:rsidRPr="00A1399E">
              <w:rPr>
                <w:rFonts w:eastAsia="Calibri"/>
                <w:sz w:val="18"/>
                <w:szCs w:val="18"/>
              </w:rPr>
              <w:t>religious leaders; 3%</w:t>
            </w:r>
            <w:r w:rsidR="00CF6154" w:rsidRPr="00A1399E">
              <w:rPr>
                <w:rFonts w:eastAsia="Calibri"/>
                <w:sz w:val="18"/>
                <w:szCs w:val="18"/>
              </w:rPr>
              <w:t> </w:t>
            </w:r>
            <w:r w:rsidRPr="00A1399E">
              <w:rPr>
                <w:rFonts w:eastAsia="Calibri"/>
                <w:sz w:val="18"/>
                <w:szCs w:val="18"/>
              </w:rPr>
              <w:t>informal court; 45%</w:t>
            </w:r>
            <w:r w:rsidR="00CF6154" w:rsidRPr="00A1399E">
              <w:rPr>
                <w:rFonts w:eastAsia="Calibri"/>
                <w:sz w:val="18"/>
                <w:szCs w:val="18"/>
              </w:rPr>
              <w:t> p</w:t>
            </w:r>
            <w:r w:rsidRPr="00A1399E">
              <w:rPr>
                <w:rFonts w:eastAsia="Calibri"/>
                <w:sz w:val="18"/>
                <w:szCs w:val="18"/>
              </w:rPr>
              <w:t>olice; 2.5% formal court; 2.8%</w:t>
            </w:r>
            <w:r w:rsidR="00CF6154" w:rsidRPr="00A1399E">
              <w:rPr>
                <w:rFonts w:eastAsia="Calibri"/>
                <w:sz w:val="18"/>
                <w:szCs w:val="18"/>
              </w:rPr>
              <w:t> </w:t>
            </w:r>
            <w:r w:rsidRPr="00A1399E">
              <w:rPr>
                <w:rFonts w:eastAsia="Calibri"/>
                <w:sz w:val="18"/>
                <w:szCs w:val="18"/>
              </w:rPr>
              <w:t>community leaders</w:t>
            </w:r>
          </w:p>
          <w:p w14:paraId="057D5A0D" w14:textId="77777777" w:rsidR="00CF6154" w:rsidRPr="00A1399E" w:rsidRDefault="00CF6154" w:rsidP="00826E17">
            <w:pPr>
              <w:spacing w:line="257" w:lineRule="auto"/>
              <w:rPr>
                <w:rFonts w:eastAsia="Calibri"/>
                <w:b/>
                <w:bCs/>
                <w:sz w:val="18"/>
                <w:szCs w:val="18"/>
              </w:rPr>
            </w:pPr>
          </w:p>
          <w:p w14:paraId="405852D4" w14:textId="529A5360" w:rsidR="0051174B" w:rsidRPr="00A1399E" w:rsidRDefault="0051174B" w:rsidP="00826E17">
            <w:pPr>
              <w:spacing w:line="257" w:lineRule="auto"/>
              <w:rPr>
                <w:rFonts w:eastAsia="Calibri"/>
                <w:sz w:val="18"/>
                <w:szCs w:val="18"/>
              </w:rPr>
            </w:pPr>
            <w:r w:rsidRPr="00A1399E">
              <w:rPr>
                <w:rFonts w:eastAsia="Calibri"/>
                <w:b/>
                <w:bCs/>
                <w:sz w:val="18"/>
                <w:szCs w:val="18"/>
              </w:rPr>
              <w:t>Target:</w:t>
            </w:r>
            <w:r w:rsidRPr="00A1399E">
              <w:rPr>
                <w:rFonts w:eastAsia="Calibri"/>
                <w:sz w:val="18"/>
                <w:szCs w:val="18"/>
              </w:rPr>
              <w:t xml:space="preserve"> Increased trust in formal justice institutions</w:t>
            </w:r>
          </w:p>
          <w:p w14:paraId="29065ECD" w14:textId="0EB49B0E" w:rsidR="0051174B" w:rsidRPr="00A1399E" w:rsidRDefault="0051174B" w:rsidP="00826E17">
            <w:pPr>
              <w:rPr>
                <w:rFonts w:eastAsia="Calibri"/>
                <w:b/>
                <w:sz w:val="18"/>
                <w:szCs w:val="18"/>
              </w:rPr>
            </w:pPr>
          </w:p>
        </w:tc>
        <w:tc>
          <w:tcPr>
            <w:tcW w:w="3005" w:type="dxa"/>
            <w:vMerge w:val="restart"/>
          </w:tcPr>
          <w:p w14:paraId="746FAB1F" w14:textId="1C29633E" w:rsidR="0051174B" w:rsidRPr="00A1399E" w:rsidRDefault="0051174B" w:rsidP="00826E17">
            <w:pPr>
              <w:rPr>
                <w:rFonts w:eastAsia="Calibri"/>
                <w:b/>
                <w:sz w:val="18"/>
                <w:szCs w:val="18"/>
              </w:rPr>
            </w:pPr>
            <w:r w:rsidRPr="00A1399E">
              <w:rPr>
                <w:rFonts w:eastAsia="Calibri"/>
                <w:b/>
                <w:sz w:val="18"/>
                <w:szCs w:val="18"/>
              </w:rPr>
              <w:lastRenderedPageBreak/>
              <w:t xml:space="preserve">Data </w:t>
            </w:r>
            <w:r w:rsidR="00CF6154" w:rsidRPr="00A1399E">
              <w:rPr>
                <w:rFonts w:eastAsia="Calibri"/>
                <w:b/>
                <w:sz w:val="18"/>
                <w:szCs w:val="18"/>
              </w:rPr>
              <w:t>s</w:t>
            </w:r>
            <w:r w:rsidRPr="00A1399E">
              <w:rPr>
                <w:rFonts w:eastAsia="Calibri"/>
                <w:b/>
                <w:sz w:val="18"/>
                <w:szCs w:val="18"/>
              </w:rPr>
              <w:t>ource and frequency</w:t>
            </w:r>
          </w:p>
          <w:p w14:paraId="7FE68713" w14:textId="77777777" w:rsidR="0051174B" w:rsidRPr="00A1399E" w:rsidRDefault="0051174B" w:rsidP="00826E17">
            <w:pPr>
              <w:spacing w:line="257" w:lineRule="auto"/>
              <w:rPr>
                <w:rFonts w:eastAsia="Calibri"/>
                <w:sz w:val="18"/>
                <w:szCs w:val="18"/>
              </w:rPr>
            </w:pPr>
            <w:r w:rsidRPr="00A1399E">
              <w:rPr>
                <w:rFonts w:eastAsia="Calibri"/>
                <w:b/>
                <w:sz w:val="18"/>
                <w:szCs w:val="18"/>
              </w:rPr>
              <w:t>Source:</w:t>
            </w:r>
            <w:r w:rsidRPr="00A1399E">
              <w:rPr>
                <w:rFonts w:eastAsia="Calibri"/>
                <w:sz w:val="18"/>
                <w:szCs w:val="18"/>
              </w:rPr>
              <w:t xml:space="preserve"> World Bank High Frequency Survey</w:t>
            </w:r>
          </w:p>
          <w:p w14:paraId="49D8F14B" w14:textId="77777777" w:rsidR="0051174B" w:rsidRPr="00A1399E" w:rsidRDefault="0051174B" w:rsidP="00826E17">
            <w:pPr>
              <w:rPr>
                <w:rFonts w:eastAsia="Calibri"/>
                <w:sz w:val="18"/>
                <w:szCs w:val="18"/>
              </w:rPr>
            </w:pPr>
            <w:r w:rsidRPr="00A1399E">
              <w:rPr>
                <w:rFonts w:eastAsia="Calibri"/>
                <w:b/>
                <w:sz w:val="18"/>
                <w:szCs w:val="18"/>
              </w:rPr>
              <w:t>Frequency</w:t>
            </w:r>
            <w:r w:rsidRPr="00A1399E">
              <w:rPr>
                <w:rFonts w:eastAsia="Calibri"/>
                <w:sz w:val="18"/>
                <w:szCs w:val="18"/>
              </w:rPr>
              <w:t xml:space="preserve">: Biennial </w:t>
            </w:r>
          </w:p>
          <w:p w14:paraId="22AD9ACC" w14:textId="77777777" w:rsidR="0051174B" w:rsidRPr="00A1399E" w:rsidRDefault="0051174B" w:rsidP="00826E17">
            <w:pPr>
              <w:rPr>
                <w:rFonts w:eastAsia="Calibri"/>
                <w:sz w:val="18"/>
                <w:szCs w:val="18"/>
              </w:rPr>
            </w:pPr>
            <w:r w:rsidRPr="00A1399E">
              <w:rPr>
                <w:rFonts w:eastAsia="Calibri"/>
                <w:b/>
                <w:sz w:val="18"/>
                <w:szCs w:val="18"/>
              </w:rPr>
              <w:t>Responsibility</w:t>
            </w:r>
            <w:r w:rsidRPr="00A1399E">
              <w:rPr>
                <w:rFonts w:eastAsia="Calibri"/>
                <w:sz w:val="18"/>
                <w:szCs w:val="18"/>
              </w:rPr>
              <w:t>: World Bank, UNDP</w:t>
            </w:r>
          </w:p>
          <w:p w14:paraId="57697137" w14:textId="6DC8AACC" w:rsidR="0051174B" w:rsidRPr="00A1399E" w:rsidRDefault="0051174B" w:rsidP="009612CC">
            <w:pPr>
              <w:rPr>
                <w:rFonts w:eastAsia="Calibri"/>
                <w:sz w:val="18"/>
                <w:szCs w:val="18"/>
              </w:rPr>
            </w:pPr>
          </w:p>
        </w:tc>
        <w:tc>
          <w:tcPr>
            <w:tcW w:w="3870" w:type="dxa"/>
          </w:tcPr>
          <w:p w14:paraId="03292BA4" w14:textId="7AD10DA6" w:rsidR="0051174B" w:rsidRPr="00A1399E" w:rsidRDefault="0051174B" w:rsidP="00826E17">
            <w:pPr>
              <w:rPr>
                <w:rFonts w:eastAsia="Times New Roman"/>
                <w:b/>
                <w:bCs/>
                <w:sz w:val="18"/>
                <w:szCs w:val="18"/>
              </w:rPr>
            </w:pPr>
            <w:r w:rsidRPr="00A1399E">
              <w:rPr>
                <w:rFonts w:eastAsia="Times New Roman"/>
                <w:b/>
                <w:bCs/>
                <w:sz w:val="18"/>
                <w:szCs w:val="18"/>
              </w:rPr>
              <w:t>Output 2.1</w:t>
            </w:r>
            <w:r w:rsidR="00CF6154" w:rsidRPr="00A1399E">
              <w:rPr>
                <w:rFonts w:eastAsia="Times New Roman"/>
                <w:b/>
                <w:bCs/>
                <w:sz w:val="18"/>
                <w:szCs w:val="18"/>
              </w:rPr>
              <w:t>.</w:t>
            </w:r>
            <w:r w:rsidRPr="00A1399E">
              <w:rPr>
                <w:rFonts w:eastAsia="Times New Roman"/>
                <w:b/>
                <w:bCs/>
                <w:sz w:val="18"/>
                <w:szCs w:val="18"/>
              </w:rPr>
              <w:t xml:space="preserve"> </w:t>
            </w:r>
            <w:r w:rsidRPr="00A1399E">
              <w:rPr>
                <w:rFonts w:eastAsia="Calibri Light"/>
                <w:b/>
                <w:sz w:val="18"/>
                <w:szCs w:val="18"/>
              </w:rPr>
              <w:t xml:space="preserve">Capacity of security institutions strengthened to ensure service delivery </w:t>
            </w:r>
            <w:r w:rsidRPr="00A1399E">
              <w:rPr>
                <w:rFonts w:eastAsia="Calibri"/>
                <w:b/>
                <w:sz w:val="18"/>
                <w:szCs w:val="18"/>
              </w:rPr>
              <w:t xml:space="preserve">and compliance with </w:t>
            </w:r>
            <w:r w:rsidR="00CF6154" w:rsidRPr="00A1399E">
              <w:rPr>
                <w:rFonts w:eastAsia="Calibri"/>
                <w:b/>
                <w:sz w:val="18"/>
                <w:szCs w:val="18"/>
              </w:rPr>
              <w:t>human rights due diligence policy (</w:t>
            </w:r>
            <w:r w:rsidRPr="00A1399E">
              <w:rPr>
                <w:rFonts w:eastAsia="Calibri"/>
                <w:b/>
                <w:sz w:val="18"/>
                <w:szCs w:val="18"/>
              </w:rPr>
              <w:t>HRDDP</w:t>
            </w:r>
            <w:r w:rsidR="00CF6154" w:rsidRPr="00A1399E">
              <w:rPr>
                <w:rFonts w:eastAsia="Calibri"/>
                <w:b/>
                <w:sz w:val="18"/>
                <w:szCs w:val="18"/>
              </w:rPr>
              <w:t>)</w:t>
            </w:r>
            <w:r w:rsidRPr="00A1399E">
              <w:rPr>
                <w:rFonts w:eastAsia="Calibri"/>
                <w:b/>
                <w:sz w:val="18"/>
                <w:szCs w:val="18"/>
              </w:rPr>
              <w:t xml:space="preserve"> </w:t>
            </w:r>
            <w:r w:rsidR="00CF6154" w:rsidRPr="00A1399E">
              <w:rPr>
                <w:rFonts w:eastAsia="Calibri"/>
                <w:b/>
                <w:sz w:val="18"/>
                <w:szCs w:val="18"/>
              </w:rPr>
              <w:t>s</w:t>
            </w:r>
            <w:r w:rsidRPr="00A1399E">
              <w:rPr>
                <w:rFonts w:eastAsia="Calibri"/>
                <w:b/>
                <w:sz w:val="18"/>
                <w:szCs w:val="18"/>
              </w:rPr>
              <w:t>tandards</w:t>
            </w:r>
          </w:p>
          <w:p w14:paraId="5D7BF231" w14:textId="77777777" w:rsidR="0051174B" w:rsidRPr="00A1399E" w:rsidRDefault="0051174B" w:rsidP="00826E17">
            <w:pPr>
              <w:rPr>
                <w:rFonts w:eastAsia="Calibri"/>
                <w:b/>
                <w:sz w:val="18"/>
                <w:szCs w:val="18"/>
              </w:rPr>
            </w:pPr>
          </w:p>
          <w:p w14:paraId="770723CE" w14:textId="77777777" w:rsidR="0051174B" w:rsidRPr="00A1399E" w:rsidRDefault="0051174B" w:rsidP="00826E17">
            <w:pPr>
              <w:rPr>
                <w:rFonts w:eastAsia="Calibri"/>
                <w:b/>
                <w:sz w:val="18"/>
                <w:szCs w:val="18"/>
              </w:rPr>
            </w:pPr>
            <w:r w:rsidRPr="00A1399E">
              <w:rPr>
                <w:rFonts w:eastAsia="Calibri"/>
                <w:b/>
                <w:sz w:val="18"/>
                <w:szCs w:val="18"/>
              </w:rPr>
              <w:t xml:space="preserve">Indicators </w:t>
            </w:r>
          </w:p>
          <w:p w14:paraId="67F59D28" w14:textId="1973126E" w:rsidR="0051174B" w:rsidRPr="00A1399E" w:rsidRDefault="0051174B" w:rsidP="00826E17">
            <w:pPr>
              <w:rPr>
                <w:rFonts w:eastAsia="Calibri"/>
                <w:sz w:val="18"/>
                <w:szCs w:val="18"/>
              </w:rPr>
            </w:pPr>
            <w:r w:rsidRPr="00A1399E">
              <w:rPr>
                <w:rFonts w:eastAsia="Calibri"/>
                <w:sz w:val="18"/>
                <w:szCs w:val="18"/>
              </w:rPr>
              <w:t>2.1.1</w:t>
            </w:r>
            <w:r w:rsidR="00CF6154" w:rsidRPr="00A1399E">
              <w:rPr>
                <w:rFonts w:eastAsia="Calibri"/>
                <w:sz w:val="18"/>
                <w:szCs w:val="18"/>
              </w:rPr>
              <w:t>.</w:t>
            </w:r>
            <w:r w:rsidR="00344C1A" w:rsidRPr="00A1399E">
              <w:rPr>
                <w:rFonts w:eastAsia="Calibri"/>
                <w:sz w:val="18"/>
                <w:szCs w:val="18"/>
              </w:rPr>
              <w:t xml:space="preserve"> </w:t>
            </w:r>
            <w:r w:rsidRPr="00A1399E">
              <w:rPr>
                <w:sz w:val="18"/>
                <w:szCs w:val="18"/>
              </w:rPr>
              <w:t xml:space="preserve">Number of </w:t>
            </w:r>
            <w:r w:rsidR="00CF6154" w:rsidRPr="00A1399E">
              <w:rPr>
                <w:sz w:val="18"/>
                <w:szCs w:val="18"/>
              </w:rPr>
              <w:t>i</w:t>
            </w:r>
            <w:r w:rsidRPr="00A1399E">
              <w:rPr>
                <w:sz w:val="18"/>
                <w:szCs w:val="18"/>
              </w:rPr>
              <w:t xml:space="preserve">nstitutional </w:t>
            </w:r>
            <w:r w:rsidR="00CF6154" w:rsidRPr="00A1399E">
              <w:rPr>
                <w:sz w:val="18"/>
                <w:szCs w:val="18"/>
              </w:rPr>
              <w:t>d</w:t>
            </w:r>
            <w:r w:rsidRPr="00A1399E">
              <w:rPr>
                <w:sz w:val="18"/>
                <w:szCs w:val="18"/>
              </w:rPr>
              <w:t xml:space="preserve">evelopment and </w:t>
            </w:r>
            <w:r w:rsidR="00CF6154" w:rsidRPr="00A1399E">
              <w:rPr>
                <w:sz w:val="18"/>
                <w:szCs w:val="18"/>
              </w:rPr>
              <w:t>c</w:t>
            </w:r>
            <w:r w:rsidRPr="00A1399E">
              <w:rPr>
                <w:sz w:val="18"/>
                <w:szCs w:val="18"/>
              </w:rPr>
              <w:t xml:space="preserve">apacity </w:t>
            </w:r>
            <w:r w:rsidR="00CF6154" w:rsidRPr="00A1399E">
              <w:rPr>
                <w:sz w:val="18"/>
                <w:szCs w:val="18"/>
              </w:rPr>
              <w:t>b</w:t>
            </w:r>
            <w:r w:rsidRPr="00A1399E">
              <w:rPr>
                <w:sz w:val="18"/>
                <w:szCs w:val="18"/>
              </w:rPr>
              <w:t xml:space="preserve">uilding </w:t>
            </w:r>
            <w:r w:rsidR="00CF6154" w:rsidRPr="00A1399E">
              <w:rPr>
                <w:sz w:val="18"/>
                <w:szCs w:val="18"/>
              </w:rPr>
              <w:t>p</w:t>
            </w:r>
            <w:r w:rsidRPr="00A1399E">
              <w:rPr>
                <w:sz w:val="18"/>
                <w:szCs w:val="18"/>
              </w:rPr>
              <w:t>lans developed/updated and implemented</w:t>
            </w:r>
          </w:p>
          <w:p w14:paraId="549AE32B" w14:textId="77777777" w:rsidR="0051174B" w:rsidRPr="00A1399E" w:rsidRDefault="0051174B" w:rsidP="00826E17">
            <w:pPr>
              <w:rPr>
                <w:rFonts w:eastAsia="Calibri"/>
                <w:sz w:val="18"/>
                <w:szCs w:val="18"/>
              </w:rPr>
            </w:pPr>
          </w:p>
          <w:p w14:paraId="734D90D6"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13 (2020) </w:t>
            </w:r>
          </w:p>
          <w:p w14:paraId="01BA5F53"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w:t>
            </w:r>
            <w:r w:rsidRPr="00A1399E">
              <w:rPr>
                <w:rFonts w:eastAsia="Calibri"/>
                <w:bCs/>
                <w:sz w:val="18"/>
                <w:szCs w:val="18"/>
              </w:rPr>
              <w:t xml:space="preserve">16 </w:t>
            </w:r>
          </w:p>
          <w:p w14:paraId="65E7B71C" w14:textId="71A4ED36"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UNSOM</w:t>
            </w:r>
          </w:p>
          <w:p w14:paraId="476F3B7F"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w:t>
            </w:r>
          </w:p>
          <w:p w14:paraId="0568A3B7" w14:textId="4E6D0540" w:rsidR="00941F06" w:rsidRPr="00A1399E" w:rsidRDefault="00941F06" w:rsidP="00826E17">
            <w:pPr>
              <w:rPr>
                <w:rFonts w:eastAsia="Calibri"/>
                <w:b/>
                <w:sz w:val="18"/>
                <w:szCs w:val="18"/>
              </w:rPr>
            </w:pPr>
          </w:p>
        </w:tc>
        <w:tc>
          <w:tcPr>
            <w:tcW w:w="2250" w:type="dxa"/>
            <w:vMerge w:val="restart"/>
          </w:tcPr>
          <w:p w14:paraId="1A5D553C" w14:textId="11560B74" w:rsidR="0051174B" w:rsidRPr="00A1399E" w:rsidRDefault="0051174B" w:rsidP="00826E17">
            <w:pPr>
              <w:rPr>
                <w:rFonts w:eastAsia="Calibri"/>
                <w:b/>
                <w:sz w:val="18"/>
                <w:szCs w:val="18"/>
              </w:rPr>
            </w:pPr>
            <w:r w:rsidRPr="00A1399E">
              <w:rPr>
                <w:rFonts w:eastAsia="Calibri"/>
                <w:sz w:val="18"/>
                <w:szCs w:val="18"/>
              </w:rPr>
              <w:t xml:space="preserve">Security, </w:t>
            </w:r>
            <w:r w:rsidR="00CF6154" w:rsidRPr="00A1399E">
              <w:rPr>
                <w:rFonts w:eastAsia="Calibri"/>
                <w:sz w:val="18"/>
                <w:szCs w:val="18"/>
              </w:rPr>
              <w:t>p</w:t>
            </w:r>
            <w:r w:rsidRPr="00A1399E">
              <w:rPr>
                <w:rFonts w:eastAsia="Calibri"/>
                <w:sz w:val="18"/>
                <w:szCs w:val="18"/>
              </w:rPr>
              <w:t xml:space="preserve">olice, </w:t>
            </w:r>
            <w:r w:rsidR="00CF6154" w:rsidRPr="00A1399E">
              <w:rPr>
                <w:rFonts w:eastAsia="Calibri"/>
                <w:sz w:val="18"/>
                <w:szCs w:val="18"/>
              </w:rPr>
              <w:t>j</w:t>
            </w:r>
            <w:r w:rsidRPr="00A1399E">
              <w:rPr>
                <w:rFonts w:eastAsia="Calibri"/>
                <w:sz w:val="18"/>
                <w:szCs w:val="18"/>
              </w:rPr>
              <w:t xml:space="preserve">ustice and </w:t>
            </w:r>
            <w:r w:rsidR="00CF6154" w:rsidRPr="00A1399E">
              <w:rPr>
                <w:rFonts w:eastAsia="Calibri"/>
                <w:sz w:val="18"/>
                <w:szCs w:val="18"/>
              </w:rPr>
              <w:t>human rights</w:t>
            </w:r>
            <w:r w:rsidRPr="00A1399E">
              <w:rPr>
                <w:rFonts w:eastAsia="Calibri"/>
                <w:sz w:val="18"/>
                <w:szCs w:val="18"/>
              </w:rPr>
              <w:t xml:space="preserve"> institutions</w:t>
            </w:r>
            <w:r w:rsidR="00CF6154" w:rsidRPr="00A1399E">
              <w:rPr>
                <w:rFonts w:eastAsia="Calibri"/>
                <w:sz w:val="18"/>
                <w:szCs w:val="18"/>
              </w:rPr>
              <w:t xml:space="preserve"> the </w:t>
            </w:r>
            <w:r w:rsidR="003E1B6D" w:rsidRPr="00A1399E">
              <w:rPr>
                <w:rFonts w:eastAsia="Calibri"/>
                <w:sz w:val="18"/>
                <w:szCs w:val="18"/>
              </w:rPr>
              <w:t>Federal</w:t>
            </w:r>
            <w:r w:rsidR="00CF6154" w:rsidRPr="00A1399E">
              <w:rPr>
                <w:rFonts w:eastAsia="Calibri"/>
                <w:sz w:val="18"/>
                <w:szCs w:val="18"/>
              </w:rPr>
              <w:t xml:space="preserve"> Government and Member States</w:t>
            </w:r>
            <w:r w:rsidRPr="00A1399E">
              <w:rPr>
                <w:rFonts w:eastAsia="Calibri"/>
                <w:sz w:val="18"/>
                <w:szCs w:val="18"/>
              </w:rPr>
              <w:t xml:space="preserve">, CSOs, </w:t>
            </w:r>
            <w:r w:rsidR="00CF6154" w:rsidRPr="00A1399E">
              <w:rPr>
                <w:rFonts w:eastAsia="Calibri"/>
                <w:sz w:val="18"/>
                <w:szCs w:val="18"/>
              </w:rPr>
              <w:t>m</w:t>
            </w:r>
            <w:r w:rsidRPr="00A1399E">
              <w:rPr>
                <w:rFonts w:eastAsia="Calibri"/>
                <w:sz w:val="18"/>
                <w:szCs w:val="18"/>
              </w:rPr>
              <w:t>edia,</w:t>
            </w:r>
            <w:r w:rsidR="00CF6154" w:rsidRPr="00A1399E">
              <w:rPr>
                <w:rFonts w:eastAsia="Calibri"/>
                <w:sz w:val="18"/>
                <w:szCs w:val="18"/>
              </w:rPr>
              <w:t xml:space="preserve"> r</w:t>
            </w:r>
            <w:r w:rsidRPr="00A1399E">
              <w:rPr>
                <w:rFonts w:eastAsia="Calibri"/>
                <w:sz w:val="18"/>
                <w:szCs w:val="18"/>
              </w:rPr>
              <w:t>eligious/</w:t>
            </w:r>
            <w:r w:rsidR="00CF6154" w:rsidRPr="00A1399E">
              <w:rPr>
                <w:rFonts w:eastAsia="Calibri"/>
                <w:sz w:val="18"/>
                <w:szCs w:val="18"/>
              </w:rPr>
              <w:t>t</w:t>
            </w:r>
            <w:r w:rsidRPr="00A1399E">
              <w:rPr>
                <w:rFonts w:eastAsia="Calibri"/>
                <w:sz w:val="18"/>
                <w:szCs w:val="18"/>
              </w:rPr>
              <w:t>raditional leaders, U</w:t>
            </w:r>
            <w:r w:rsidR="00CF6154" w:rsidRPr="00A1399E">
              <w:rPr>
                <w:rFonts w:eastAsia="Calibri"/>
                <w:sz w:val="18"/>
                <w:szCs w:val="18"/>
              </w:rPr>
              <w:t xml:space="preserve">nited </w:t>
            </w:r>
            <w:r w:rsidRPr="00A1399E">
              <w:rPr>
                <w:rFonts w:eastAsia="Calibri"/>
                <w:sz w:val="18"/>
                <w:szCs w:val="18"/>
              </w:rPr>
              <w:t>N</w:t>
            </w:r>
            <w:r w:rsidR="00CF6154" w:rsidRPr="00A1399E">
              <w:rPr>
                <w:rFonts w:eastAsia="Calibri"/>
                <w:sz w:val="18"/>
                <w:szCs w:val="18"/>
              </w:rPr>
              <w:t>ations</w:t>
            </w:r>
            <w:r w:rsidRPr="00A1399E">
              <w:rPr>
                <w:rFonts w:eastAsia="Calibri"/>
                <w:sz w:val="18"/>
                <w:szCs w:val="18"/>
              </w:rPr>
              <w:t xml:space="preserve">, donors, Somali people </w:t>
            </w:r>
          </w:p>
        </w:tc>
        <w:tc>
          <w:tcPr>
            <w:tcW w:w="1980" w:type="dxa"/>
            <w:vMerge w:val="restart"/>
          </w:tcPr>
          <w:p w14:paraId="099BA9A7" w14:textId="4417407C" w:rsidR="0051174B" w:rsidRPr="00A1399E" w:rsidRDefault="0051174B" w:rsidP="00826E17">
            <w:pPr>
              <w:rPr>
                <w:rFonts w:eastAsia="Calibri"/>
                <w:b/>
                <w:sz w:val="18"/>
                <w:szCs w:val="18"/>
              </w:rPr>
            </w:pPr>
            <w:r w:rsidRPr="00A1399E">
              <w:rPr>
                <w:rFonts w:eastAsia="Calibri"/>
                <w:b/>
                <w:sz w:val="18"/>
                <w:szCs w:val="18"/>
              </w:rPr>
              <w:t xml:space="preserve">Regular: $12 </w:t>
            </w:r>
            <w:r w:rsidR="00CF6154" w:rsidRPr="00A1399E">
              <w:rPr>
                <w:rFonts w:eastAsia="Calibri"/>
                <w:b/>
                <w:sz w:val="18"/>
                <w:szCs w:val="18"/>
              </w:rPr>
              <w:t>m</w:t>
            </w:r>
            <w:r w:rsidRPr="00A1399E">
              <w:rPr>
                <w:rFonts w:eastAsia="Calibri"/>
                <w:b/>
                <w:sz w:val="18"/>
                <w:szCs w:val="18"/>
              </w:rPr>
              <w:t>illion</w:t>
            </w:r>
          </w:p>
          <w:p w14:paraId="729E138E" w14:textId="77777777" w:rsidR="00E02FAA" w:rsidRPr="00A1399E" w:rsidRDefault="00E02FAA" w:rsidP="00826E17">
            <w:pPr>
              <w:rPr>
                <w:rFonts w:eastAsia="Calibri"/>
                <w:b/>
                <w:sz w:val="18"/>
                <w:szCs w:val="18"/>
              </w:rPr>
            </w:pPr>
          </w:p>
          <w:p w14:paraId="33C830C1" w14:textId="7F8356BD" w:rsidR="0051174B" w:rsidRPr="00A1399E" w:rsidRDefault="0051174B" w:rsidP="00826E17">
            <w:pPr>
              <w:rPr>
                <w:rFonts w:eastAsia="Calibri"/>
                <w:b/>
                <w:sz w:val="18"/>
                <w:szCs w:val="18"/>
              </w:rPr>
            </w:pPr>
            <w:r w:rsidRPr="00A1399E">
              <w:rPr>
                <w:rFonts w:eastAsia="Calibri"/>
                <w:b/>
                <w:sz w:val="18"/>
                <w:szCs w:val="18"/>
              </w:rPr>
              <w:t xml:space="preserve">Other: $90 </w:t>
            </w:r>
            <w:r w:rsidR="00CF6154" w:rsidRPr="00A1399E">
              <w:rPr>
                <w:rFonts w:eastAsia="Calibri"/>
                <w:b/>
                <w:sz w:val="18"/>
                <w:szCs w:val="18"/>
              </w:rPr>
              <w:t>m</w:t>
            </w:r>
            <w:r w:rsidRPr="00A1399E">
              <w:rPr>
                <w:rFonts w:eastAsia="Calibri"/>
                <w:b/>
                <w:sz w:val="18"/>
                <w:szCs w:val="18"/>
              </w:rPr>
              <w:t>illion</w:t>
            </w:r>
          </w:p>
        </w:tc>
      </w:tr>
      <w:tr w:rsidR="0051174B" w:rsidRPr="00A1399E" w14:paraId="73A9CF58" w14:textId="77777777" w:rsidTr="00826E17">
        <w:tc>
          <w:tcPr>
            <w:tcW w:w="3290" w:type="dxa"/>
            <w:vMerge/>
          </w:tcPr>
          <w:p w14:paraId="6D31863A" w14:textId="77777777" w:rsidR="0051174B" w:rsidRPr="00A1399E" w:rsidRDefault="0051174B" w:rsidP="00826E17">
            <w:pPr>
              <w:rPr>
                <w:rFonts w:eastAsia="Calibri"/>
                <w:b/>
                <w:sz w:val="18"/>
                <w:szCs w:val="18"/>
              </w:rPr>
            </w:pPr>
          </w:p>
        </w:tc>
        <w:tc>
          <w:tcPr>
            <w:tcW w:w="3005" w:type="dxa"/>
            <w:vMerge/>
          </w:tcPr>
          <w:p w14:paraId="1FF75EFA" w14:textId="77777777" w:rsidR="0051174B" w:rsidRPr="00A1399E" w:rsidRDefault="0051174B" w:rsidP="00826E17">
            <w:pPr>
              <w:rPr>
                <w:rFonts w:eastAsia="Calibri"/>
                <w:b/>
                <w:sz w:val="18"/>
                <w:szCs w:val="18"/>
              </w:rPr>
            </w:pPr>
          </w:p>
        </w:tc>
        <w:tc>
          <w:tcPr>
            <w:tcW w:w="3870" w:type="dxa"/>
          </w:tcPr>
          <w:p w14:paraId="700352B1" w14:textId="211ED1B1" w:rsidR="0051174B" w:rsidRPr="00A1399E" w:rsidRDefault="0051174B" w:rsidP="00F4641E">
            <w:pPr>
              <w:rPr>
                <w:rFonts w:eastAsia="Calibri"/>
                <w:b/>
                <w:bCs/>
                <w:sz w:val="18"/>
                <w:szCs w:val="18"/>
              </w:rPr>
            </w:pPr>
            <w:r w:rsidRPr="00A1399E">
              <w:rPr>
                <w:rFonts w:eastAsia="Times New Roman"/>
                <w:b/>
                <w:bCs/>
                <w:sz w:val="18"/>
                <w:szCs w:val="18"/>
              </w:rPr>
              <w:t>Output 2.2</w:t>
            </w:r>
            <w:r w:rsidR="00CF6154" w:rsidRPr="00A1399E">
              <w:rPr>
                <w:rFonts w:eastAsia="Times New Roman"/>
                <w:b/>
                <w:bCs/>
                <w:sz w:val="18"/>
                <w:szCs w:val="18"/>
              </w:rPr>
              <w:t>.</w:t>
            </w:r>
            <w:r w:rsidRPr="00A1399E">
              <w:rPr>
                <w:rFonts w:eastAsia="Times New Roman"/>
                <w:b/>
                <w:bCs/>
                <w:sz w:val="18"/>
                <w:szCs w:val="18"/>
              </w:rPr>
              <w:t xml:space="preserve"> Strengthened capacity of </w:t>
            </w:r>
            <w:r w:rsidRPr="00A1399E">
              <w:rPr>
                <w:rFonts w:eastAsia="Calibri"/>
                <w:b/>
                <w:bCs/>
                <w:sz w:val="18"/>
                <w:szCs w:val="18"/>
              </w:rPr>
              <w:t xml:space="preserve">justice institutions at federal and state levels to promote restorative and alternative justice systems </w:t>
            </w:r>
          </w:p>
          <w:p w14:paraId="4A884124" w14:textId="77777777" w:rsidR="0051174B" w:rsidRPr="00A1399E" w:rsidRDefault="0051174B" w:rsidP="00826E17">
            <w:pPr>
              <w:rPr>
                <w:rFonts w:eastAsia="Calibri"/>
                <w:b/>
                <w:sz w:val="18"/>
                <w:szCs w:val="18"/>
              </w:rPr>
            </w:pPr>
          </w:p>
          <w:p w14:paraId="6837F132" w14:textId="77777777" w:rsidR="0051174B" w:rsidRPr="00A1399E" w:rsidRDefault="0051174B" w:rsidP="00826E17">
            <w:pPr>
              <w:rPr>
                <w:rFonts w:eastAsia="Calibri"/>
                <w:b/>
                <w:sz w:val="18"/>
                <w:szCs w:val="18"/>
              </w:rPr>
            </w:pPr>
            <w:r w:rsidRPr="00A1399E">
              <w:rPr>
                <w:rFonts w:eastAsia="Calibri"/>
                <w:b/>
                <w:sz w:val="18"/>
                <w:szCs w:val="18"/>
              </w:rPr>
              <w:t xml:space="preserve">Indicators </w:t>
            </w:r>
          </w:p>
          <w:p w14:paraId="452CF350" w14:textId="21F632E0" w:rsidR="0051174B" w:rsidRPr="00A1399E" w:rsidRDefault="0051174B" w:rsidP="00826E17">
            <w:pPr>
              <w:rPr>
                <w:rFonts w:eastAsia="Calibri"/>
                <w:b/>
                <w:sz w:val="18"/>
                <w:szCs w:val="18"/>
              </w:rPr>
            </w:pPr>
            <w:r w:rsidRPr="00A1399E">
              <w:rPr>
                <w:rFonts w:eastAsia="Calibri"/>
                <w:sz w:val="18"/>
                <w:szCs w:val="18"/>
              </w:rPr>
              <w:t>2.2.1:</w:t>
            </w:r>
            <w:r w:rsidRPr="00A1399E">
              <w:rPr>
                <w:rFonts w:eastAsia="Calibri"/>
                <w:b/>
                <w:sz w:val="18"/>
                <w:szCs w:val="18"/>
              </w:rPr>
              <w:t xml:space="preserve"> </w:t>
            </w:r>
            <w:r w:rsidRPr="00A1399E">
              <w:rPr>
                <w:rFonts w:eastAsia="Calibri"/>
                <w:color w:val="000000"/>
                <w:sz w:val="18"/>
                <w:szCs w:val="18"/>
              </w:rPr>
              <w:t xml:space="preserve">Progress towards establishment of Human Rights Commission </w:t>
            </w:r>
          </w:p>
          <w:p w14:paraId="726E18C6" w14:textId="77777777" w:rsidR="0051174B" w:rsidRPr="00A1399E" w:rsidRDefault="0051174B" w:rsidP="00826E17">
            <w:pPr>
              <w:spacing w:line="257" w:lineRule="auto"/>
              <w:rPr>
                <w:rFonts w:eastAsia="Calibri"/>
                <w:sz w:val="18"/>
                <w:szCs w:val="18"/>
              </w:rPr>
            </w:pPr>
            <w:r w:rsidRPr="00A1399E">
              <w:rPr>
                <w:rFonts w:eastAsia="Calibri"/>
                <w:b/>
                <w:sz w:val="18"/>
                <w:szCs w:val="18"/>
              </w:rPr>
              <w:t>Baseline:</w:t>
            </w:r>
            <w:r w:rsidRPr="00A1399E">
              <w:rPr>
                <w:rFonts w:eastAsia="Calibri"/>
                <w:sz w:val="18"/>
                <w:szCs w:val="18"/>
              </w:rPr>
              <w:t xml:space="preserve">  Limited progress </w:t>
            </w:r>
          </w:p>
          <w:p w14:paraId="04B9535A" w14:textId="7D0A83FA" w:rsidR="0051174B" w:rsidRPr="00A1399E" w:rsidRDefault="0051174B" w:rsidP="00826E17">
            <w:pPr>
              <w:spacing w:line="257" w:lineRule="auto"/>
              <w:rPr>
                <w:rFonts w:eastAsia="Calibri"/>
                <w:sz w:val="18"/>
                <w:szCs w:val="18"/>
              </w:rPr>
            </w:pPr>
            <w:r w:rsidRPr="00A1399E">
              <w:rPr>
                <w:rFonts w:eastAsia="Calibri"/>
                <w:b/>
                <w:bCs/>
                <w:sz w:val="18"/>
                <w:szCs w:val="18"/>
              </w:rPr>
              <w:t>Target:</w:t>
            </w:r>
            <w:r w:rsidRPr="00A1399E">
              <w:rPr>
                <w:rFonts w:eastAsia="Calibri"/>
                <w:sz w:val="18"/>
                <w:szCs w:val="18"/>
              </w:rPr>
              <w:t xml:space="preserve"> Significant progress </w:t>
            </w:r>
          </w:p>
          <w:p w14:paraId="54BF5B11" w14:textId="6CA38911"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101EE0" w:rsidRPr="00A1399E">
              <w:rPr>
                <w:rFonts w:eastAsia="Calibri"/>
                <w:sz w:val="18"/>
                <w:szCs w:val="18"/>
              </w:rPr>
              <w:t>Federal Government of Somalia</w:t>
            </w:r>
            <w:r w:rsidRPr="00A1399E">
              <w:rPr>
                <w:rFonts w:eastAsia="Calibri"/>
                <w:sz w:val="18"/>
                <w:szCs w:val="18"/>
              </w:rPr>
              <w:t xml:space="preserve">, UNSOM reports </w:t>
            </w:r>
          </w:p>
          <w:p w14:paraId="4C157DEE"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w:t>
            </w:r>
          </w:p>
          <w:p w14:paraId="6F8CFCBC" w14:textId="77777777" w:rsidR="0051174B" w:rsidRPr="00A1399E" w:rsidRDefault="0051174B" w:rsidP="00826E17">
            <w:pPr>
              <w:rPr>
                <w:rFonts w:eastAsia="Calibri"/>
                <w:sz w:val="18"/>
                <w:szCs w:val="18"/>
              </w:rPr>
            </w:pPr>
          </w:p>
          <w:p w14:paraId="0EC89A02" w14:textId="77777777" w:rsidR="0051174B" w:rsidRPr="00A1399E" w:rsidRDefault="0051174B" w:rsidP="00826E17">
            <w:pPr>
              <w:widowControl w:val="0"/>
              <w:autoSpaceDE w:val="0"/>
              <w:autoSpaceDN w:val="0"/>
              <w:adjustRightInd w:val="0"/>
              <w:jc w:val="both"/>
              <w:rPr>
                <w:rFonts w:eastAsia="Calibri"/>
                <w:sz w:val="18"/>
                <w:szCs w:val="18"/>
              </w:rPr>
            </w:pPr>
            <w:r w:rsidRPr="00A1399E">
              <w:rPr>
                <w:rFonts w:eastAsia="Calibri"/>
                <w:color w:val="000000"/>
                <w:sz w:val="18"/>
                <w:szCs w:val="18"/>
              </w:rPr>
              <w:t xml:space="preserve">2.2.2: Number of CSOs capacitated to report on human rights violations </w:t>
            </w:r>
          </w:p>
          <w:p w14:paraId="77318FDF" w14:textId="77777777" w:rsidR="0051174B" w:rsidRPr="00A1399E" w:rsidRDefault="0051174B" w:rsidP="00826E17">
            <w:pPr>
              <w:rPr>
                <w:rFonts w:eastAsia="Calibri"/>
                <w:sz w:val="18"/>
                <w:szCs w:val="18"/>
              </w:rPr>
            </w:pPr>
            <w:r w:rsidRPr="00A1399E">
              <w:rPr>
                <w:rFonts w:eastAsia="Calibri"/>
                <w:b/>
                <w:bCs/>
                <w:sz w:val="18"/>
                <w:szCs w:val="18"/>
              </w:rPr>
              <w:t xml:space="preserve">Baseline: </w:t>
            </w:r>
            <w:r w:rsidRPr="00A1399E">
              <w:rPr>
                <w:rFonts w:eastAsia="Calibri"/>
                <w:sz w:val="18"/>
                <w:szCs w:val="18"/>
              </w:rPr>
              <w:t xml:space="preserve">13 </w:t>
            </w:r>
          </w:p>
          <w:p w14:paraId="43695393" w14:textId="77777777" w:rsidR="0051174B" w:rsidRPr="00A1399E" w:rsidRDefault="0051174B" w:rsidP="00826E17">
            <w:pPr>
              <w:rPr>
                <w:rFonts w:eastAsia="Calibri"/>
                <w:sz w:val="18"/>
                <w:szCs w:val="18"/>
              </w:rPr>
            </w:pPr>
            <w:r w:rsidRPr="00A1399E">
              <w:rPr>
                <w:rFonts w:eastAsia="Calibri"/>
                <w:b/>
                <w:bCs/>
                <w:sz w:val="18"/>
                <w:szCs w:val="18"/>
              </w:rPr>
              <w:t xml:space="preserve">Target: </w:t>
            </w:r>
            <w:r w:rsidRPr="00A1399E">
              <w:rPr>
                <w:rFonts w:eastAsia="Calibri"/>
                <w:bCs/>
                <w:sz w:val="18"/>
                <w:szCs w:val="18"/>
              </w:rPr>
              <w:t xml:space="preserve">40 </w:t>
            </w:r>
          </w:p>
          <w:p w14:paraId="3AB80818" w14:textId="58CE4D7B" w:rsidR="0051174B" w:rsidRPr="00A1399E" w:rsidRDefault="0051174B" w:rsidP="00826E17">
            <w:pPr>
              <w:rPr>
                <w:rFonts w:eastAsia="Calibri"/>
                <w:bCs/>
                <w:sz w:val="18"/>
                <w:szCs w:val="18"/>
              </w:rPr>
            </w:pPr>
            <w:r w:rsidRPr="00A1399E">
              <w:rPr>
                <w:rFonts w:eastAsia="Calibri"/>
                <w:b/>
                <w:bCs/>
                <w:sz w:val="18"/>
                <w:szCs w:val="18"/>
              </w:rPr>
              <w:t xml:space="preserve">Source: </w:t>
            </w:r>
            <w:r w:rsidR="00101EE0" w:rsidRPr="00A1399E">
              <w:rPr>
                <w:rFonts w:eastAsia="Calibri"/>
                <w:sz w:val="18"/>
                <w:szCs w:val="18"/>
              </w:rPr>
              <w:t>Third-party monitoring</w:t>
            </w:r>
          </w:p>
          <w:p w14:paraId="411B4474" w14:textId="77777777" w:rsidR="0051174B" w:rsidRPr="00A1399E" w:rsidRDefault="0051174B" w:rsidP="00826E17">
            <w:pPr>
              <w:rPr>
                <w:rFonts w:eastAsia="Calibri"/>
                <w:bCs/>
                <w:sz w:val="18"/>
                <w:szCs w:val="18"/>
              </w:rPr>
            </w:pPr>
            <w:r w:rsidRPr="00A1399E">
              <w:rPr>
                <w:rFonts w:eastAsia="Calibri"/>
                <w:b/>
                <w:bCs/>
                <w:sz w:val="18"/>
                <w:szCs w:val="18"/>
              </w:rPr>
              <w:t xml:space="preserve">Frequency: </w:t>
            </w:r>
            <w:r w:rsidRPr="00A1399E">
              <w:rPr>
                <w:rFonts w:eastAsia="Calibri"/>
                <w:sz w:val="18"/>
                <w:szCs w:val="18"/>
              </w:rPr>
              <w:t>Annual</w:t>
            </w:r>
          </w:p>
          <w:p w14:paraId="4E1DF7C6" w14:textId="77777777" w:rsidR="0051174B" w:rsidRPr="00A1399E" w:rsidRDefault="0051174B" w:rsidP="00826E17">
            <w:pPr>
              <w:rPr>
                <w:rFonts w:eastAsia="Calibri"/>
                <w:b/>
                <w:sz w:val="18"/>
                <w:szCs w:val="18"/>
              </w:rPr>
            </w:pPr>
          </w:p>
          <w:p w14:paraId="6EB73467" w14:textId="77777777" w:rsidR="0051174B" w:rsidRPr="00A1399E" w:rsidRDefault="0051174B" w:rsidP="00826E17">
            <w:pPr>
              <w:rPr>
                <w:rFonts w:eastAsia="Calibri"/>
                <w:b/>
                <w:sz w:val="18"/>
                <w:szCs w:val="18"/>
              </w:rPr>
            </w:pPr>
            <w:r w:rsidRPr="00A1399E">
              <w:rPr>
                <w:rFonts w:eastAsia="Calibri"/>
                <w:sz w:val="18"/>
                <w:szCs w:val="18"/>
              </w:rPr>
              <w:t xml:space="preserve">2.2.3: Number of community-based dispute resolutions mechanisms established/capacitated to deliver justice services </w:t>
            </w:r>
          </w:p>
          <w:p w14:paraId="272098AB" w14:textId="2381B9FE" w:rsidR="0051174B" w:rsidRPr="00A1399E" w:rsidRDefault="0051174B" w:rsidP="00826E17">
            <w:pPr>
              <w:rPr>
                <w:rFonts w:eastAsia="Calibri"/>
                <w:sz w:val="18"/>
                <w:szCs w:val="18"/>
              </w:rPr>
            </w:pPr>
            <w:r w:rsidRPr="00A1399E">
              <w:rPr>
                <w:rFonts w:eastAsia="Times New Roman"/>
                <w:b/>
                <w:bCs/>
                <w:color w:val="000000"/>
                <w:sz w:val="18"/>
                <w:szCs w:val="18"/>
              </w:rPr>
              <w:t>Baseline</w:t>
            </w:r>
            <w:r w:rsidRPr="00A1399E">
              <w:rPr>
                <w:rFonts w:eastAsia="Times New Roman"/>
                <w:color w:val="000000"/>
                <w:sz w:val="18"/>
                <w:szCs w:val="18"/>
              </w:rPr>
              <w:t xml:space="preserve">: 16 </w:t>
            </w:r>
            <w:r w:rsidR="00101EE0" w:rsidRPr="00A1399E">
              <w:rPr>
                <w:rFonts w:eastAsia="Times New Roman"/>
                <w:color w:val="000000"/>
                <w:sz w:val="18"/>
                <w:szCs w:val="18"/>
              </w:rPr>
              <w:t>alternative dispute resolution c</w:t>
            </w:r>
            <w:r w:rsidRPr="00A1399E">
              <w:rPr>
                <w:rFonts w:eastAsia="Times New Roman"/>
                <w:color w:val="000000"/>
                <w:sz w:val="18"/>
                <w:szCs w:val="18"/>
              </w:rPr>
              <w:t xml:space="preserve">entres in </w:t>
            </w:r>
            <w:r w:rsidR="00101EE0" w:rsidRPr="00A1399E">
              <w:rPr>
                <w:rFonts w:eastAsia="Times New Roman"/>
                <w:color w:val="000000"/>
                <w:sz w:val="18"/>
                <w:szCs w:val="18"/>
              </w:rPr>
              <w:t>5</w:t>
            </w:r>
            <w:r w:rsidRPr="00A1399E">
              <w:rPr>
                <w:rFonts w:eastAsia="Times New Roman"/>
                <w:color w:val="000000"/>
                <w:sz w:val="18"/>
                <w:szCs w:val="18"/>
              </w:rPr>
              <w:t xml:space="preserve"> FMS</w:t>
            </w:r>
            <w:r w:rsidR="00941F06" w:rsidRPr="00A1399E">
              <w:rPr>
                <w:rFonts w:eastAsia="Times New Roman"/>
                <w:color w:val="000000"/>
                <w:sz w:val="18"/>
                <w:szCs w:val="18"/>
              </w:rPr>
              <w:t>,</w:t>
            </w:r>
            <w:r w:rsidR="00101EE0" w:rsidRPr="00A1399E">
              <w:rPr>
                <w:rFonts w:eastAsia="Times New Roman"/>
                <w:color w:val="000000"/>
                <w:sz w:val="18"/>
                <w:szCs w:val="18"/>
              </w:rPr>
              <w:t xml:space="preserve"> </w:t>
            </w:r>
            <w:r w:rsidRPr="00A1399E">
              <w:rPr>
                <w:rFonts w:eastAsia="Times New Roman"/>
                <w:color w:val="000000"/>
                <w:sz w:val="18"/>
                <w:szCs w:val="18"/>
              </w:rPr>
              <w:t>Benadir (2020) </w:t>
            </w:r>
          </w:p>
          <w:p w14:paraId="288D95DD" w14:textId="5C44A5FF" w:rsidR="0051174B" w:rsidRPr="00A1399E" w:rsidRDefault="0051174B" w:rsidP="00826E17">
            <w:pPr>
              <w:rPr>
                <w:rFonts w:eastAsia="Times New Roman"/>
                <w:color w:val="000000"/>
                <w:sz w:val="18"/>
                <w:szCs w:val="18"/>
              </w:rPr>
            </w:pPr>
            <w:r w:rsidRPr="00A1399E">
              <w:rPr>
                <w:rFonts w:eastAsia="Times New Roman"/>
                <w:b/>
                <w:bCs/>
                <w:color w:val="000000"/>
                <w:sz w:val="18"/>
                <w:szCs w:val="18"/>
              </w:rPr>
              <w:t>Target</w:t>
            </w:r>
            <w:r w:rsidRPr="00A1399E">
              <w:rPr>
                <w:rFonts w:eastAsia="Times New Roman"/>
                <w:color w:val="000000"/>
                <w:sz w:val="18"/>
                <w:szCs w:val="18"/>
              </w:rPr>
              <w:t xml:space="preserve">: Additional 2 per </w:t>
            </w:r>
            <w:r w:rsidR="00790243" w:rsidRPr="00A1399E">
              <w:rPr>
                <w:rFonts w:eastAsia="Times New Roman"/>
                <w:color w:val="000000"/>
                <w:sz w:val="18"/>
                <w:szCs w:val="18"/>
              </w:rPr>
              <w:t>state</w:t>
            </w:r>
          </w:p>
          <w:p w14:paraId="5ABB0C89" w14:textId="50A11841" w:rsidR="0051174B" w:rsidRPr="00A1399E" w:rsidRDefault="0051174B" w:rsidP="00826E17">
            <w:pPr>
              <w:rPr>
                <w:rFonts w:eastAsia="Times New Roman"/>
                <w:color w:val="000000"/>
                <w:sz w:val="18"/>
                <w:szCs w:val="18"/>
              </w:rPr>
            </w:pPr>
            <w:r w:rsidRPr="00A1399E">
              <w:rPr>
                <w:rFonts w:eastAsia="Times New Roman"/>
                <w:b/>
                <w:color w:val="000000"/>
                <w:sz w:val="18"/>
                <w:szCs w:val="18"/>
              </w:rPr>
              <w:t>Source:</w:t>
            </w:r>
            <w:r w:rsidRPr="00A1399E">
              <w:rPr>
                <w:rFonts w:eastAsia="Times New Roman"/>
                <w:color w:val="000000"/>
                <w:sz w:val="18"/>
                <w:szCs w:val="18"/>
              </w:rPr>
              <w:t xml:space="preserve"> </w:t>
            </w:r>
            <w:r w:rsidR="00101EE0" w:rsidRPr="00A1399E">
              <w:rPr>
                <w:rFonts w:eastAsia="Times New Roman"/>
                <w:color w:val="000000"/>
                <w:sz w:val="18"/>
                <w:szCs w:val="18"/>
              </w:rPr>
              <w:t>Third-party monitoring</w:t>
            </w:r>
          </w:p>
          <w:p w14:paraId="34F2695E" w14:textId="0374A923" w:rsidR="0051174B" w:rsidRPr="00AC56B5" w:rsidRDefault="0051174B" w:rsidP="00AC56B5">
            <w:pPr>
              <w:spacing w:after="60"/>
              <w:rPr>
                <w:rFonts w:eastAsia="Times New Roman"/>
                <w:color w:val="000000"/>
                <w:sz w:val="18"/>
                <w:szCs w:val="18"/>
              </w:rPr>
            </w:pPr>
            <w:r w:rsidRPr="00A1399E">
              <w:rPr>
                <w:rFonts w:eastAsia="Times New Roman"/>
                <w:b/>
                <w:color w:val="000000"/>
                <w:sz w:val="18"/>
                <w:szCs w:val="18"/>
              </w:rPr>
              <w:t>Frequency</w:t>
            </w:r>
            <w:r w:rsidRPr="00A1399E">
              <w:rPr>
                <w:rFonts w:eastAsia="Times New Roman"/>
                <w:color w:val="000000"/>
                <w:sz w:val="18"/>
                <w:szCs w:val="18"/>
              </w:rPr>
              <w:t>: Annual</w:t>
            </w:r>
          </w:p>
        </w:tc>
        <w:tc>
          <w:tcPr>
            <w:tcW w:w="2250" w:type="dxa"/>
            <w:vMerge/>
          </w:tcPr>
          <w:p w14:paraId="52C11729" w14:textId="77777777" w:rsidR="0051174B" w:rsidRPr="00A1399E" w:rsidRDefault="0051174B" w:rsidP="00826E17">
            <w:pPr>
              <w:rPr>
                <w:rFonts w:eastAsia="Calibri"/>
                <w:b/>
                <w:sz w:val="18"/>
                <w:szCs w:val="18"/>
              </w:rPr>
            </w:pPr>
          </w:p>
        </w:tc>
        <w:tc>
          <w:tcPr>
            <w:tcW w:w="1980" w:type="dxa"/>
            <w:vMerge/>
          </w:tcPr>
          <w:p w14:paraId="54A25BD5" w14:textId="77777777" w:rsidR="0051174B" w:rsidRPr="00A1399E" w:rsidRDefault="0051174B" w:rsidP="00826E17">
            <w:pPr>
              <w:rPr>
                <w:rFonts w:eastAsia="Calibri"/>
                <w:b/>
                <w:sz w:val="18"/>
                <w:szCs w:val="18"/>
              </w:rPr>
            </w:pPr>
          </w:p>
        </w:tc>
      </w:tr>
      <w:tr w:rsidR="0051174B" w:rsidRPr="00A1399E" w14:paraId="229B5A90" w14:textId="77777777" w:rsidTr="000237D8">
        <w:tc>
          <w:tcPr>
            <w:tcW w:w="3290" w:type="dxa"/>
            <w:vMerge/>
          </w:tcPr>
          <w:p w14:paraId="5484626C" w14:textId="77777777" w:rsidR="0051174B" w:rsidRPr="00A1399E" w:rsidRDefault="0051174B" w:rsidP="00826E17">
            <w:pPr>
              <w:rPr>
                <w:rFonts w:eastAsia="Calibri"/>
                <w:b/>
                <w:sz w:val="18"/>
                <w:szCs w:val="18"/>
              </w:rPr>
            </w:pPr>
          </w:p>
        </w:tc>
        <w:tc>
          <w:tcPr>
            <w:tcW w:w="3005" w:type="dxa"/>
            <w:vMerge/>
          </w:tcPr>
          <w:p w14:paraId="75C0A205" w14:textId="77777777" w:rsidR="0051174B" w:rsidRPr="00A1399E" w:rsidRDefault="0051174B" w:rsidP="00826E17">
            <w:pPr>
              <w:rPr>
                <w:rFonts w:eastAsia="Calibri"/>
                <w:b/>
                <w:sz w:val="18"/>
                <w:szCs w:val="18"/>
              </w:rPr>
            </w:pPr>
          </w:p>
        </w:tc>
        <w:tc>
          <w:tcPr>
            <w:tcW w:w="3870" w:type="dxa"/>
          </w:tcPr>
          <w:p w14:paraId="7A14A362" w14:textId="6FA4776A" w:rsidR="0051174B" w:rsidRPr="00A1399E" w:rsidRDefault="0051174B" w:rsidP="00826E17">
            <w:pPr>
              <w:rPr>
                <w:rFonts w:eastAsia="Times New Roman"/>
                <w:b/>
                <w:bCs/>
                <w:sz w:val="18"/>
                <w:szCs w:val="18"/>
              </w:rPr>
            </w:pPr>
            <w:r w:rsidRPr="00A1399E">
              <w:rPr>
                <w:rFonts w:eastAsia="Times New Roman"/>
                <w:b/>
                <w:bCs/>
                <w:sz w:val="18"/>
                <w:szCs w:val="18"/>
              </w:rPr>
              <w:t>Output 2.3</w:t>
            </w:r>
            <w:r w:rsidR="00101EE0" w:rsidRPr="00A1399E">
              <w:rPr>
                <w:rFonts w:eastAsia="Times New Roman"/>
                <w:b/>
                <w:bCs/>
                <w:sz w:val="18"/>
                <w:szCs w:val="18"/>
              </w:rPr>
              <w:t>.</w:t>
            </w:r>
            <w:r w:rsidRPr="00A1399E">
              <w:rPr>
                <w:rFonts w:eastAsia="Times New Roman"/>
                <w:b/>
                <w:bCs/>
                <w:sz w:val="18"/>
                <w:szCs w:val="18"/>
              </w:rPr>
              <w:t xml:space="preserve"> Capacity of women, youth, </w:t>
            </w:r>
            <w:r w:rsidR="00216A5F" w:rsidRPr="00A1399E">
              <w:rPr>
                <w:rFonts w:eastAsia="Times New Roman"/>
                <w:b/>
                <w:bCs/>
                <w:sz w:val="18"/>
                <w:szCs w:val="18"/>
              </w:rPr>
              <w:t>p</w:t>
            </w:r>
            <w:r w:rsidR="00F4641E" w:rsidRPr="00A1399E">
              <w:rPr>
                <w:rFonts w:eastAsia="Times New Roman"/>
                <w:b/>
                <w:bCs/>
                <w:sz w:val="18"/>
                <w:szCs w:val="18"/>
              </w:rPr>
              <w:t>e</w:t>
            </w:r>
            <w:r w:rsidR="00501247" w:rsidRPr="00A1399E">
              <w:rPr>
                <w:rFonts w:eastAsia="Times New Roman"/>
                <w:b/>
                <w:bCs/>
                <w:sz w:val="18"/>
                <w:szCs w:val="18"/>
              </w:rPr>
              <w:t>rsons</w:t>
            </w:r>
            <w:r w:rsidR="00101EE0" w:rsidRPr="00A1399E">
              <w:rPr>
                <w:rFonts w:eastAsia="Times New Roman"/>
                <w:b/>
                <w:bCs/>
                <w:sz w:val="18"/>
                <w:szCs w:val="18"/>
              </w:rPr>
              <w:t xml:space="preserve"> with disabilities </w:t>
            </w:r>
            <w:r w:rsidRPr="00A1399E">
              <w:rPr>
                <w:rFonts w:eastAsia="Times New Roman"/>
                <w:b/>
                <w:bCs/>
                <w:sz w:val="18"/>
                <w:szCs w:val="18"/>
              </w:rPr>
              <w:t xml:space="preserve">and IDPs strengthened to access justice services </w:t>
            </w:r>
          </w:p>
          <w:p w14:paraId="04CCD354" w14:textId="77777777" w:rsidR="0051174B" w:rsidRPr="00A1399E" w:rsidRDefault="0051174B" w:rsidP="00826E17">
            <w:pPr>
              <w:rPr>
                <w:rFonts w:eastAsia="Times New Roman"/>
                <w:b/>
                <w:bCs/>
                <w:sz w:val="18"/>
                <w:szCs w:val="18"/>
              </w:rPr>
            </w:pPr>
          </w:p>
          <w:p w14:paraId="40D3E035" w14:textId="769E5979" w:rsidR="0051174B" w:rsidRPr="00A1399E" w:rsidRDefault="0051174B" w:rsidP="00826E17">
            <w:pPr>
              <w:rPr>
                <w:rFonts w:eastAsia="Calibri"/>
                <w:b/>
                <w:sz w:val="18"/>
                <w:szCs w:val="18"/>
              </w:rPr>
            </w:pPr>
            <w:r w:rsidRPr="00A1399E">
              <w:rPr>
                <w:rFonts w:eastAsia="Calibri"/>
                <w:b/>
                <w:sz w:val="18"/>
                <w:szCs w:val="18"/>
              </w:rPr>
              <w:t>Indicators</w:t>
            </w:r>
          </w:p>
          <w:p w14:paraId="1B4D2EEB" w14:textId="77777777" w:rsidR="0051174B" w:rsidRPr="00A1399E" w:rsidRDefault="0051174B" w:rsidP="00826E17">
            <w:pPr>
              <w:widowControl w:val="0"/>
              <w:autoSpaceDE w:val="0"/>
              <w:autoSpaceDN w:val="0"/>
              <w:adjustRightInd w:val="0"/>
              <w:rPr>
                <w:rFonts w:eastAsia="Calibri"/>
                <w:color w:val="000000"/>
                <w:sz w:val="18"/>
                <w:szCs w:val="18"/>
              </w:rPr>
            </w:pPr>
            <w:r w:rsidRPr="00A1399E">
              <w:rPr>
                <w:rFonts w:eastAsia="Calibri"/>
                <w:sz w:val="18"/>
                <w:szCs w:val="18"/>
              </w:rPr>
              <w:t>2.3.1</w:t>
            </w:r>
            <w:r w:rsidRPr="00A1399E">
              <w:rPr>
                <w:rFonts w:eastAsia="Calibri"/>
                <w:color w:val="000000"/>
                <w:sz w:val="18"/>
                <w:szCs w:val="18"/>
              </w:rPr>
              <w:t xml:space="preserve">: Proportion of marginalized population accessing justice services </w:t>
            </w:r>
          </w:p>
          <w:p w14:paraId="552B3324"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No data (2020)</w:t>
            </w:r>
          </w:p>
          <w:p w14:paraId="7555CD68"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20% increase </w:t>
            </w:r>
          </w:p>
          <w:p w14:paraId="77B60D1B" w14:textId="33DB5E82"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T</w:t>
            </w:r>
            <w:r w:rsidR="00101EE0" w:rsidRPr="00A1399E">
              <w:rPr>
                <w:rFonts w:eastAsia="Calibri"/>
                <w:sz w:val="18"/>
                <w:szCs w:val="18"/>
              </w:rPr>
              <w:t>hird-party monitoring</w:t>
            </w:r>
          </w:p>
          <w:p w14:paraId="1E21CE9B"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w:t>
            </w:r>
          </w:p>
          <w:p w14:paraId="1C40451B" w14:textId="10D3587A" w:rsidR="0051174B" w:rsidRPr="00A1399E" w:rsidRDefault="0051174B" w:rsidP="00826E17">
            <w:pPr>
              <w:rPr>
                <w:rFonts w:eastAsia="Calibri"/>
                <w:sz w:val="18"/>
                <w:szCs w:val="18"/>
              </w:rPr>
            </w:pPr>
            <w:r w:rsidRPr="00A1399E">
              <w:rPr>
                <w:rFonts w:eastAsia="Calibri"/>
                <w:sz w:val="18"/>
                <w:szCs w:val="18"/>
              </w:rPr>
              <w:lastRenderedPageBreak/>
              <w:t xml:space="preserve">2.3.2: </w:t>
            </w:r>
            <w:r w:rsidRPr="00A1399E">
              <w:rPr>
                <w:rFonts w:eastAsia="Calibri"/>
                <w:color w:val="000000"/>
                <w:sz w:val="18"/>
                <w:szCs w:val="18"/>
              </w:rPr>
              <w:t xml:space="preserve">Proportion of </w:t>
            </w:r>
            <w:r w:rsidR="00E03B24" w:rsidRPr="00A1399E">
              <w:rPr>
                <w:rFonts w:eastAsia="Calibri"/>
                <w:color w:val="000000"/>
                <w:sz w:val="18"/>
                <w:szCs w:val="18"/>
              </w:rPr>
              <w:t xml:space="preserve">sexual and gender-based violence </w:t>
            </w:r>
            <w:r w:rsidRPr="00A1399E">
              <w:rPr>
                <w:rFonts w:eastAsia="Calibri"/>
                <w:color w:val="000000"/>
                <w:sz w:val="18"/>
                <w:szCs w:val="18"/>
              </w:rPr>
              <w:t xml:space="preserve">victims empowered to </w:t>
            </w:r>
            <w:r w:rsidR="001F0968" w:rsidRPr="00A1399E">
              <w:rPr>
                <w:rFonts w:eastAsia="Calibri"/>
                <w:color w:val="000000"/>
                <w:sz w:val="18"/>
                <w:szCs w:val="18"/>
              </w:rPr>
              <w:t>access</w:t>
            </w:r>
            <w:r w:rsidRPr="00A1399E">
              <w:rPr>
                <w:rFonts w:eastAsia="Calibri"/>
                <w:sz w:val="18"/>
                <w:szCs w:val="18"/>
              </w:rPr>
              <w:t xml:space="preserve"> formal justice system</w:t>
            </w:r>
          </w:p>
          <w:p w14:paraId="7419D82C" w14:textId="16F6052F" w:rsidR="0051174B" w:rsidRPr="00A1399E" w:rsidRDefault="0051174B" w:rsidP="00826E17">
            <w:pPr>
              <w:rPr>
                <w:rFonts w:eastAsia="Calibri"/>
                <w:sz w:val="18"/>
                <w:szCs w:val="18"/>
              </w:rPr>
            </w:pPr>
            <w:r w:rsidRPr="00A1399E">
              <w:rPr>
                <w:rFonts w:eastAsia="Calibri"/>
                <w:b/>
                <w:sz w:val="18"/>
                <w:szCs w:val="18"/>
              </w:rPr>
              <w:t>Baseline</w:t>
            </w:r>
            <w:r w:rsidRPr="00A1399E">
              <w:rPr>
                <w:rFonts w:eastAsia="Calibri"/>
                <w:sz w:val="18"/>
                <w:szCs w:val="18"/>
              </w:rPr>
              <w:t>: No data</w:t>
            </w:r>
          </w:p>
          <w:p w14:paraId="1E870C38" w14:textId="77777777" w:rsidR="0051174B" w:rsidRPr="00A1399E" w:rsidRDefault="0051174B" w:rsidP="00826E17">
            <w:pPr>
              <w:rPr>
                <w:rFonts w:eastAsia="Calibri"/>
                <w:sz w:val="18"/>
                <w:szCs w:val="18"/>
              </w:rPr>
            </w:pPr>
            <w:r w:rsidRPr="00A1399E">
              <w:rPr>
                <w:rFonts w:eastAsia="Calibri"/>
                <w:b/>
                <w:sz w:val="18"/>
                <w:szCs w:val="18"/>
              </w:rPr>
              <w:t>Target</w:t>
            </w:r>
            <w:r w:rsidRPr="00A1399E">
              <w:rPr>
                <w:rFonts w:eastAsia="Calibri"/>
                <w:sz w:val="18"/>
                <w:szCs w:val="18"/>
              </w:rPr>
              <w:t xml:space="preserve">: 60% </w:t>
            </w:r>
          </w:p>
          <w:p w14:paraId="3DEC7A1D" w14:textId="42F28AAE" w:rsidR="0051174B" w:rsidRPr="00A1399E" w:rsidRDefault="0051174B" w:rsidP="00826E17">
            <w:pPr>
              <w:rPr>
                <w:rFonts w:eastAsia="Calibri"/>
                <w:sz w:val="18"/>
                <w:szCs w:val="18"/>
              </w:rPr>
            </w:pPr>
            <w:r w:rsidRPr="00A1399E">
              <w:rPr>
                <w:rFonts w:eastAsia="Calibri"/>
                <w:b/>
                <w:sz w:val="18"/>
                <w:szCs w:val="18"/>
              </w:rPr>
              <w:t>Source:</w:t>
            </w:r>
            <w:r w:rsidRPr="00A1399E">
              <w:rPr>
                <w:rFonts w:eastAsia="Calibri"/>
                <w:sz w:val="18"/>
                <w:szCs w:val="18"/>
              </w:rPr>
              <w:t xml:space="preserve"> </w:t>
            </w:r>
            <w:r w:rsidR="00E03B24" w:rsidRPr="00A1399E">
              <w:rPr>
                <w:rFonts w:eastAsia="Calibri"/>
                <w:sz w:val="18"/>
                <w:szCs w:val="18"/>
              </w:rPr>
              <w:t>Third-party monitoring</w:t>
            </w:r>
            <w:r w:rsidRPr="00A1399E">
              <w:rPr>
                <w:rFonts w:eastAsia="Calibri"/>
                <w:sz w:val="18"/>
                <w:szCs w:val="18"/>
              </w:rPr>
              <w:t xml:space="preserve"> </w:t>
            </w:r>
          </w:p>
          <w:p w14:paraId="38C64593" w14:textId="3F5A2FF9" w:rsidR="0051174B" w:rsidRPr="00A1399E" w:rsidRDefault="0051174B" w:rsidP="00AC56B5">
            <w:pPr>
              <w:spacing w:after="60"/>
              <w:rPr>
                <w:rFonts w:eastAsia="Calibri"/>
                <w:b/>
                <w:sz w:val="18"/>
                <w:szCs w:val="18"/>
              </w:rPr>
            </w:pPr>
            <w:r w:rsidRPr="00A1399E">
              <w:rPr>
                <w:rFonts w:eastAsia="Calibri"/>
                <w:b/>
                <w:sz w:val="18"/>
                <w:szCs w:val="18"/>
              </w:rPr>
              <w:t>Frequency:</w:t>
            </w:r>
            <w:r w:rsidRPr="00A1399E">
              <w:rPr>
                <w:rFonts w:eastAsia="Calibri"/>
                <w:sz w:val="18"/>
                <w:szCs w:val="18"/>
              </w:rPr>
              <w:t xml:space="preserve"> Annual</w:t>
            </w:r>
          </w:p>
        </w:tc>
        <w:tc>
          <w:tcPr>
            <w:tcW w:w="2250" w:type="dxa"/>
            <w:vMerge/>
          </w:tcPr>
          <w:p w14:paraId="2967DFBC" w14:textId="77777777" w:rsidR="0051174B" w:rsidRPr="00A1399E" w:rsidRDefault="0051174B" w:rsidP="00826E17">
            <w:pPr>
              <w:rPr>
                <w:rFonts w:eastAsia="Calibri"/>
                <w:b/>
                <w:sz w:val="18"/>
                <w:szCs w:val="18"/>
              </w:rPr>
            </w:pPr>
          </w:p>
        </w:tc>
        <w:tc>
          <w:tcPr>
            <w:tcW w:w="1980" w:type="dxa"/>
            <w:vMerge/>
          </w:tcPr>
          <w:p w14:paraId="10FF0624" w14:textId="77777777" w:rsidR="0051174B" w:rsidRPr="00A1399E" w:rsidRDefault="0051174B" w:rsidP="00826E17">
            <w:pPr>
              <w:rPr>
                <w:rFonts w:eastAsia="Calibri"/>
                <w:b/>
                <w:sz w:val="18"/>
                <w:szCs w:val="18"/>
              </w:rPr>
            </w:pPr>
          </w:p>
        </w:tc>
      </w:tr>
      <w:tr w:rsidR="0051174B" w:rsidRPr="00A1399E" w14:paraId="73D579C2" w14:textId="77777777" w:rsidTr="000237D8">
        <w:tc>
          <w:tcPr>
            <w:tcW w:w="3290" w:type="dxa"/>
            <w:vMerge/>
          </w:tcPr>
          <w:p w14:paraId="3CEE04BA" w14:textId="77777777" w:rsidR="0051174B" w:rsidRPr="00A1399E" w:rsidRDefault="0051174B" w:rsidP="00826E17">
            <w:pPr>
              <w:rPr>
                <w:rFonts w:eastAsia="Calibri"/>
                <w:b/>
                <w:sz w:val="18"/>
                <w:szCs w:val="18"/>
              </w:rPr>
            </w:pPr>
          </w:p>
        </w:tc>
        <w:tc>
          <w:tcPr>
            <w:tcW w:w="3005" w:type="dxa"/>
            <w:vMerge/>
          </w:tcPr>
          <w:p w14:paraId="1238392D" w14:textId="77777777" w:rsidR="0051174B" w:rsidRPr="00A1399E" w:rsidRDefault="0051174B" w:rsidP="00826E17">
            <w:pPr>
              <w:rPr>
                <w:rFonts w:eastAsia="Calibri"/>
                <w:b/>
                <w:sz w:val="18"/>
                <w:szCs w:val="18"/>
              </w:rPr>
            </w:pPr>
          </w:p>
        </w:tc>
        <w:tc>
          <w:tcPr>
            <w:tcW w:w="3870" w:type="dxa"/>
          </w:tcPr>
          <w:p w14:paraId="11F63284" w14:textId="6DBF0DB3" w:rsidR="0051174B" w:rsidRPr="00A1399E" w:rsidRDefault="0051174B" w:rsidP="00826E17">
            <w:pPr>
              <w:rPr>
                <w:rFonts w:eastAsia="Calibri Light"/>
                <w:b/>
                <w:bCs/>
                <w:sz w:val="18"/>
                <w:szCs w:val="18"/>
              </w:rPr>
            </w:pPr>
            <w:r w:rsidRPr="00A1399E">
              <w:rPr>
                <w:rFonts w:eastAsia="Calibri"/>
                <w:b/>
                <w:sz w:val="18"/>
                <w:szCs w:val="18"/>
              </w:rPr>
              <w:t>Output 2.4</w:t>
            </w:r>
            <w:r w:rsidR="00E03B24" w:rsidRPr="00A1399E">
              <w:rPr>
                <w:rFonts w:eastAsia="Calibri"/>
                <w:b/>
                <w:sz w:val="18"/>
                <w:szCs w:val="18"/>
              </w:rPr>
              <w:t>.</w:t>
            </w:r>
            <w:r w:rsidRPr="00A1399E">
              <w:rPr>
                <w:rFonts w:eastAsia="Calibri"/>
                <w:b/>
                <w:sz w:val="18"/>
                <w:szCs w:val="18"/>
              </w:rPr>
              <w:t xml:space="preserve"> Enhanced peace and security through tolerance and </w:t>
            </w:r>
            <w:r w:rsidRPr="00A1399E">
              <w:rPr>
                <w:rFonts w:eastAsia="Calibri Light"/>
                <w:b/>
                <w:bCs/>
                <w:sz w:val="18"/>
                <w:szCs w:val="18"/>
              </w:rPr>
              <w:t xml:space="preserve">dialogue </w:t>
            </w:r>
          </w:p>
          <w:p w14:paraId="2CFCAA27" w14:textId="77777777" w:rsidR="0051174B" w:rsidRPr="00A1399E" w:rsidRDefault="0051174B" w:rsidP="00826E17">
            <w:pPr>
              <w:rPr>
                <w:rFonts w:eastAsia="Calibri Light"/>
                <w:sz w:val="18"/>
                <w:szCs w:val="18"/>
              </w:rPr>
            </w:pPr>
          </w:p>
          <w:p w14:paraId="7418567B" w14:textId="77777777" w:rsidR="0051174B" w:rsidRPr="00A1399E" w:rsidRDefault="0051174B" w:rsidP="00826E17">
            <w:pPr>
              <w:rPr>
                <w:rFonts w:eastAsia="Calibri"/>
                <w:b/>
                <w:sz w:val="18"/>
                <w:szCs w:val="18"/>
              </w:rPr>
            </w:pPr>
            <w:r w:rsidRPr="00A1399E">
              <w:rPr>
                <w:rFonts w:eastAsia="Calibri"/>
                <w:b/>
                <w:sz w:val="18"/>
                <w:szCs w:val="18"/>
              </w:rPr>
              <w:t xml:space="preserve">Indicators </w:t>
            </w:r>
          </w:p>
          <w:p w14:paraId="64BAB55A" w14:textId="07040B35" w:rsidR="0051174B" w:rsidRPr="00A1399E" w:rsidRDefault="0051174B" w:rsidP="00826E17">
            <w:pPr>
              <w:rPr>
                <w:rFonts w:eastAsia="Calibri"/>
                <w:sz w:val="18"/>
                <w:szCs w:val="18"/>
              </w:rPr>
            </w:pPr>
            <w:r w:rsidRPr="00A1399E">
              <w:rPr>
                <w:rFonts w:eastAsia="Calibri"/>
                <w:sz w:val="18"/>
                <w:szCs w:val="18"/>
              </w:rPr>
              <w:t>2.4.1:</w:t>
            </w:r>
            <w:r w:rsidRPr="00A1399E">
              <w:rPr>
                <w:b/>
                <w:sz w:val="18"/>
                <w:szCs w:val="18"/>
              </w:rPr>
              <w:t xml:space="preserve"> </w:t>
            </w:r>
            <w:r w:rsidRPr="00A1399E">
              <w:rPr>
                <w:rFonts w:eastAsia="Calibri"/>
                <w:sz w:val="18"/>
                <w:szCs w:val="18"/>
              </w:rPr>
              <w:t xml:space="preserve">Number of community/religious leaders’ networks and </w:t>
            </w:r>
            <w:r w:rsidR="00E03B24" w:rsidRPr="00A1399E">
              <w:rPr>
                <w:rFonts w:eastAsia="Calibri"/>
                <w:sz w:val="18"/>
                <w:szCs w:val="18"/>
              </w:rPr>
              <w:t xml:space="preserve">prevention and countering of violent extremism (PCVE) </w:t>
            </w:r>
            <w:r w:rsidRPr="00A1399E">
              <w:rPr>
                <w:rFonts w:eastAsia="Calibri"/>
                <w:sz w:val="18"/>
                <w:szCs w:val="18"/>
              </w:rPr>
              <w:t xml:space="preserve">platforms established and capacitated </w:t>
            </w:r>
          </w:p>
          <w:p w14:paraId="577B9FC0" w14:textId="34658C0F"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6 (1 </w:t>
            </w:r>
            <w:r w:rsidR="00E03B24" w:rsidRPr="00A1399E">
              <w:rPr>
                <w:rFonts w:eastAsia="Calibri"/>
                <w:sz w:val="18"/>
                <w:szCs w:val="18"/>
              </w:rPr>
              <w:t xml:space="preserve">Federal </w:t>
            </w:r>
            <w:r w:rsidR="00804411" w:rsidRPr="00A1399E">
              <w:rPr>
                <w:rFonts w:eastAsia="Calibri"/>
                <w:sz w:val="18"/>
                <w:szCs w:val="18"/>
              </w:rPr>
              <w:t>level</w:t>
            </w:r>
            <w:r w:rsidR="00E03B24" w:rsidRPr="00A1399E">
              <w:rPr>
                <w:rFonts w:eastAsia="Calibri"/>
                <w:sz w:val="18"/>
                <w:szCs w:val="18"/>
              </w:rPr>
              <w:t xml:space="preserve"> </w:t>
            </w:r>
            <w:r w:rsidRPr="00A1399E">
              <w:rPr>
                <w:rFonts w:eastAsia="Calibri"/>
                <w:sz w:val="18"/>
                <w:szCs w:val="18"/>
              </w:rPr>
              <w:t>religious leaders</w:t>
            </w:r>
            <w:r w:rsidR="00055E2E" w:rsidRPr="00A1399E">
              <w:rPr>
                <w:rFonts w:eastAsia="Calibri"/>
                <w:sz w:val="18"/>
                <w:szCs w:val="18"/>
              </w:rPr>
              <w:t>’</w:t>
            </w:r>
            <w:r w:rsidRPr="00A1399E">
              <w:rPr>
                <w:rFonts w:eastAsia="Calibri"/>
                <w:sz w:val="18"/>
                <w:szCs w:val="18"/>
              </w:rPr>
              <w:t xml:space="preserve"> network; 5 PCVE platforms </w:t>
            </w:r>
            <w:r w:rsidR="00790243" w:rsidRPr="00A1399E">
              <w:rPr>
                <w:rFonts w:eastAsia="Calibri"/>
                <w:sz w:val="18"/>
                <w:szCs w:val="18"/>
              </w:rPr>
              <w:t>at state level</w:t>
            </w:r>
            <w:r w:rsidRPr="00A1399E">
              <w:rPr>
                <w:rFonts w:eastAsia="Calibri"/>
                <w:sz w:val="18"/>
                <w:szCs w:val="18"/>
              </w:rPr>
              <w:t>) </w:t>
            </w:r>
          </w:p>
          <w:p w14:paraId="3CAC5AF2" w14:textId="3C839383"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25 (10 religious leaders</w:t>
            </w:r>
            <w:r w:rsidR="00055E2E" w:rsidRPr="00A1399E">
              <w:rPr>
                <w:rFonts w:eastAsia="Calibri"/>
                <w:sz w:val="18"/>
                <w:szCs w:val="18"/>
              </w:rPr>
              <w:t>’</w:t>
            </w:r>
            <w:r w:rsidRPr="00A1399E">
              <w:rPr>
                <w:rFonts w:eastAsia="Calibri"/>
                <w:sz w:val="18"/>
                <w:szCs w:val="18"/>
              </w:rPr>
              <w:t xml:space="preserve"> networks; 15</w:t>
            </w:r>
            <w:r w:rsidR="00E03B24" w:rsidRPr="00A1399E">
              <w:rPr>
                <w:rFonts w:eastAsia="Calibri"/>
                <w:sz w:val="18"/>
                <w:szCs w:val="18"/>
              </w:rPr>
              <w:t> </w:t>
            </w:r>
            <w:r w:rsidRPr="00A1399E">
              <w:rPr>
                <w:rFonts w:eastAsia="Calibri"/>
                <w:sz w:val="18"/>
                <w:szCs w:val="18"/>
              </w:rPr>
              <w:t>PCVE platforms)</w:t>
            </w:r>
          </w:p>
          <w:p w14:paraId="3B29D9B8" w14:textId="637CCF0F"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804411" w:rsidRPr="00A1399E">
              <w:rPr>
                <w:rFonts w:eastAsia="Calibri"/>
                <w:sz w:val="18"/>
                <w:szCs w:val="18"/>
              </w:rPr>
              <w:t>Project reports</w:t>
            </w:r>
          </w:p>
          <w:p w14:paraId="4F923F96"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  </w:t>
            </w:r>
          </w:p>
          <w:p w14:paraId="389E2BDE" w14:textId="77777777" w:rsidR="0051174B" w:rsidRPr="00A1399E" w:rsidRDefault="0051174B" w:rsidP="00826E17">
            <w:pPr>
              <w:rPr>
                <w:rFonts w:eastAsia="Calibri"/>
                <w:sz w:val="18"/>
                <w:szCs w:val="18"/>
              </w:rPr>
            </w:pPr>
            <w:r w:rsidRPr="00A1399E">
              <w:rPr>
                <w:rFonts w:eastAsia="Calibri"/>
                <w:sz w:val="18"/>
                <w:szCs w:val="18"/>
                <w:highlight w:val="yellow"/>
              </w:rPr>
              <w:t xml:space="preserve"> </w:t>
            </w:r>
          </w:p>
          <w:p w14:paraId="2705BD57" w14:textId="3DEAB74C" w:rsidR="0051174B" w:rsidRPr="00A1399E" w:rsidRDefault="0051174B" w:rsidP="00826E17">
            <w:pPr>
              <w:widowControl w:val="0"/>
              <w:autoSpaceDE w:val="0"/>
              <w:autoSpaceDN w:val="0"/>
              <w:adjustRightInd w:val="0"/>
              <w:jc w:val="both"/>
              <w:rPr>
                <w:rFonts w:eastAsia="Calibri"/>
                <w:color w:val="000000"/>
                <w:sz w:val="18"/>
                <w:szCs w:val="18"/>
              </w:rPr>
            </w:pPr>
            <w:r w:rsidRPr="00A1399E">
              <w:rPr>
                <w:rFonts w:eastAsia="Calibri"/>
                <w:color w:val="000000"/>
                <w:sz w:val="18"/>
                <w:szCs w:val="18"/>
              </w:rPr>
              <w:t xml:space="preserve">2.4.2: Number of grievances successfully mediated by the </w:t>
            </w:r>
            <w:r w:rsidR="00216A5F" w:rsidRPr="00A1399E">
              <w:rPr>
                <w:rFonts w:eastAsia="Calibri"/>
                <w:color w:val="000000"/>
                <w:sz w:val="18"/>
                <w:szCs w:val="18"/>
              </w:rPr>
              <w:t>networks and platforms</w:t>
            </w:r>
          </w:p>
          <w:p w14:paraId="2AF1C93D" w14:textId="77777777" w:rsidR="0051174B" w:rsidRPr="00A1399E" w:rsidRDefault="0051174B" w:rsidP="00826E17">
            <w:pPr>
              <w:widowControl w:val="0"/>
              <w:autoSpaceDE w:val="0"/>
              <w:autoSpaceDN w:val="0"/>
              <w:adjustRightInd w:val="0"/>
              <w:jc w:val="both"/>
              <w:rPr>
                <w:rFonts w:eastAsia="Calibri"/>
                <w:color w:val="000000"/>
                <w:sz w:val="18"/>
                <w:szCs w:val="18"/>
              </w:rPr>
            </w:pPr>
            <w:r w:rsidRPr="00A1399E">
              <w:rPr>
                <w:rFonts w:eastAsia="Calibri"/>
                <w:b/>
                <w:bCs/>
                <w:color w:val="000000"/>
                <w:sz w:val="18"/>
                <w:szCs w:val="18"/>
              </w:rPr>
              <w:t>Baseline</w:t>
            </w:r>
            <w:r w:rsidRPr="00A1399E">
              <w:rPr>
                <w:rFonts w:eastAsia="Calibri"/>
                <w:color w:val="000000"/>
                <w:sz w:val="18"/>
                <w:szCs w:val="18"/>
              </w:rPr>
              <w:t xml:space="preserve">: 4 </w:t>
            </w:r>
          </w:p>
          <w:p w14:paraId="18C1F6A4" w14:textId="77777777" w:rsidR="0051174B" w:rsidRPr="00A1399E" w:rsidRDefault="0051174B" w:rsidP="00826E17">
            <w:pPr>
              <w:widowControl w:val="0"/>
              <w:autoSpaceDE w:val="0"/>
              <w:autoSpaceDN w:val="0"/>
              <w:adjustRightInd w:val="0"/>
              <w:jc w:val="both"/>
              <w:rPr>
                <w:rFonts w:eastAsia="Calibri"/>
                <w:color w:val="000000"/>
                <w:sz w:val="18"/>
                <w:szCs w:val="18"/>
              </w:rPr>
            </w:pPr>
            <w:r w:rsidRPr="00A1399E">
              <w:rPr>
                <w:rFonts w:eastAsia="Calibri"/>
                <w:b/>
                <w:bCs/>
                <w:color w:val="000000"/>
                <w:sz w:val="18"/>
                <w:szCs w:val="18"/>
              </w:rPr>
              <w:t>Target</w:t>
            </w:r>
            <w:r w:rsidRPr="00A1399E">
              <w:rPr>
                <w:rFonts w:eastAsia="Calibri"/>
                <w:color w:val="000000"/>
                <w:sz w:val="18"/>
                <w:szCs w:val="18"/>
              </w:rPr>
              <w:t>: 60</w:t>
            </w:r>
          </w:p>
          <w:p w14:paraId="641F9E02" w14:textId="14F084D1" w:rsidR="0051174B" w:rsidRPr="00A1399E" w:rsidRDefault="0051174B" w:rsidP="00826E17">
            <w:pPr>
              <w:widowControl w:val="0"/>
              <w:autoSpaceDE w:val="0"/>
              <w:autoSpaceDN w:val="0"/>
              <w:adjustRightInd w:val="0"/>
              <w:jc w:val="both"/>
              <w:rPr>
                <w:rFonts w:eastAsia="Calibri"/>
                <w:b/>
                <w:bCs/>
                <w:color w:val="000000"/>
                <w:sz w:val="18"/>
                <w:szCs w:val="18"/>
              </w:rPr>
            </w:pPr>
            <w:r w:rsidRPr="00A1399E">
              <w:rPr>
                <w:rFonts w:eastAsia="Calibri"/>
                <w:b/>
                <w:bCs/>
                <w:color w:val="000000"/>
                <w:sz w:val="18"/>
                <w:szCs w:val="18"/>
              </w:rPr>
              <w:t xml:space="preserve">Source: </w:t>
            </w:r>
            <w:r w:rsidR="004E3008" w:rsidRPr="00A1399E">
              <w:rPr>
                <w:rFonts w:eastAsia="Calibri"/>
                <w:sz w:val="18"/>
                <w:szCs w:val="18"/>
              </w:rPr>
              <w:t>Third-party monitoring</w:t>
            </w:r>
          </w:p>
          <w:p w14:paraId="3D1F9925" w14:textId="7F7A0863" w:rsidR="0051174B" w:rsidRPr="00AC56B5" w:rsidRDefault="0051174B" w:rsidP="00AC56B5">
            <w:pPr>
              <w:widowControl w:val="0"/>
              <w:autoSpaceDE w:val="0"/>
              <w:autoSpaceDN w:val="0"/>
              <w:adjustRightInd w:val="0"/>
              <w:spacing w:after="60"/>
              <w:jc w:val="both"/>
              <w:rPr>
                <w:rFonts w:eastAsia="Calibri"/>
                <w:color w:val="000000"/>
                <w:sz w:val="18"/>
                <w:szCs w:val="18"/>
              </w:rPr>
            </w:pPr>
            <w:r w:rsidRPr="00A1399E">
              <w:rPr>
                <w:rFonts w:eastAsia="Calibri"/>
                <w:b/>
                <w:bCs/>
                <w:color w:val="000000"/>
                <w:sz w:val="18"/>
                <w:szCs w:val="18"/>
              </w:rPr>
              <w:t>Frequency</w:t>
            </w:r>
            <w:r w:rsidRPr="00A1399E">
              <w:rPr>
                <w:rFonts w:eastAsia="Calibri"/>
                <w:color w:val="000000"/>
                <w:sz w:val="18"/>
                <w:szCs w:val="18"/>
              </w:rPr>
              <w:t>: Annual </w:t>
            </w:r>
          </w:p>
        </w:tc>
        <w:tc>
          <w:tcPr>
            <w:tcW w:w="2250" w:type="dxa"/>
            <w:vMerge/>
          </w:tcPr>
          <w:p w14:paraId="0042F1D1" w14:textId="77777777" w:rsidR="0051174B" w:rsidRPr="00A1399E" w:rsidRDefault="0051174B" w:rsidP="00826E17">
            <w:pPr>
              <w:rPr>
                <w:rFonts w:eastAsia="Calibri"/>
                <w:sz w:val="18"/>
                <w:szCs w:val="18"/>
              </w:rPr>
            </w:pPr>
          </w:p>
        </w:tc>
        <w:tc>
          <w:tcPr>
            <w:tcW w:w="1980" w:type="dxa"/>
            <w:vMerge/>
          </w:tcPr>
          <w:p w14:paraId="23439C72" w14:textId="77777777" w:rsidR="0051174B" w:rsidRPr="00A1399E" w:rsidRDefault="0051174B" w:rsidP="00826E17">
            <w:pPr>
              <w:rPr>
                <w:rFonts w:eastAsia="Calibri"/>
                <w:b/>
                <w:sz w:val="18"/>
                <w:szCs w:val="18"/>
              </w:rPr>
            </w:pPr>
          </w:p>
        </w:tc>
      </w:tr>
      <w:tr w:rsidR="0051174B" w:rsidRPr="00A1399E" w14:paraId="2A1F91BF" w14:textId="77777777" w:rsidTr="009612CC">
        <w:tc>
          <w:tcPr>
            <w:tcW w:w="3290" w:type="dxa"/>
            <w:vMerge/>
            <w:tcBorders>
              <w:bottom w:val="single" w:sz="4" w:space="0" w:color="auto"/>
            </w:tcBorders>
            <w:shd w:val="clear" w:color="auto" w:fill="auto"/>
          </w:tcPr>
          <w:p w14:paraId="5FAD067A" w14:textId="77777777" w:rsidR="0051174B" w:rsidRPr="00A1399E" w:rsidRDefault="0051174B" w:rsidP="00826E17">
            <w:pPr>
              <w:rPr>
                <w:rFonts w:eastAsia="Calibri"/>
                <w:b/>
                <w:sz w:val="18"/>
                <w:szCs w:val="18"/>
              </w:rPr>
            </w:pPr>
          </w:p>
        </w:tc>
        <w:tc>
          <w:tcPr>
            <w:tcW w:w="3005" w:type="dxa"/>
            <w:vMerge/>
            <w:tcBorders>
              <w:bottom w:val="single" w:sz="4" w:space="0" w:color="auto"/>
            </w:tcBorders>
            <w:shd w:val="clear" w:color="auto" w:fill="auto"/>
          </w:tcPr>
          <w:p w14:paraId="0BDE7208" w14:textId="77777777" w:rsidR="0051174B" w:rsidRPr="00A1399E" w:rsidRDefault="0051174B" w:rsidP="00826E17">
            <w:pPr>
              <w:rPr>
                <w:rFonts w:eastAsia="Calibri"/>
                <w:b/>
                <w:sz w:val="18"/>
                <w:szCs w:val="18"/>
              </w:rPr>
            </w:pPr>
          </w:p>
        </w:tc>
        <w:tc>
          <w:tcPr>
            <w:tcW w:w="3870" w:type="dxa"/>
            <w:tcBorders>
              <w:bottom w:val="single" w:sz="4" w:space="0" w:color="auto"/>
            </w:tcBorders>
            <w:shd w:val="clear" w:color="auto" w:fill="auto"/>
          </w:tcPr>
          <w:p w14:paraId="6FC94C1C" w14:textId="77777777" w:rsidR="0051174B" w:rsidRPr="00A1399E" w:rsidRDefault="0051174B" w:rsidP="00826E17">
            <w:pPr>
              <w:rPr>
                <w:rFonts w:eastAsia="Calibri Light"/>
                <w:b/>
                <w:sz w:val="18"/>
                <w:szCs w:val="18"/>
              </w:rPr>
            </w:pPr>
            <w:bookmarkStart w:id="10" w:name="_Hlk53322303"/>
            <w:r w:rsidRPr="00A1399E">
              <w:rPr>
                <w:rFonts w:eastAsia="Calibri"/>
                <w:b/>
                <w:sz w:val="18"/>
                <w:szCs w:val="18"/>
              </w:rPr>
              <w:t>Output 2.5: Legal and regulatory frameworks for</w:t>
            </w:r>
            <w:r w:rsidRPr="00A1399E">
              <w:rPr>
                <w:rFonts w:eastAsia="Calibri Light"/>
                <w:b/>
                <w:sz w:val="18"/>
                <w:szCs w:val="18"/>
              </w:rPr>
              <w:t xml:space="preserve"> climate security developed and implemented</w:t>
            </w:r>
          </w:p>
          <w:p w14:paraId="1879B8A6" w14:textId="77777777" w:rsidR="0051174B" w:rsidRPr="00A1399E" w:rsidRDefault="0051174B" w:rsidP="00826E17">
            <w:pPr>
              <w:rPr>
                <w:rFonts w:eastAsia="Calibri Light"/>
                <w:sz w:val="18"/>
                <w:szCs w:val="18"/>
              </w:rPr>
            </w:pPr>
          </w:p>
          <w:p w14:paraId="10AD7021" w14:textId="77777777" w:rsidR="0051174B" w:rsidRPr="00A1399E" w:rsidRDefault="0051174B" w:rsidP="00826E17">
            <w:pPr>
              <w:rPr>
                <w:rFonts w:eastAsia="Calibri Light"/>
                <w:b/>
                <w:sz w:val="18"/>
                <w:szCs w:val="18"/>
              </w:rPr>
            </w:pPr>
            <w:r w:rsidRPr="00A1399E">
              <w:rPr>
                <w:rFonts w:eastAsia="Calibri Light"/>
                <w:b/>
                <w:sz w:val="18"/>
                <w:szCs w:val="18"/>
              </w:rPr>
              <w:t>Indicators</w:t>
            </w:r>
          </w:p>
          <w:p w14:paraId="68B361D3" w14:textId="77777777" w:rsidR="0051174B" w:rsidRPr="00A1399E" w:rsidRDefault="0051174B" w:rsidP="00826E17">
            <w:pPr>
              <w:rPr>
                <w:rFonts w:eastAsia="Calibri Light"/>
                <w:sz w:val="18"/>
                <w:szCs w:val="18"/>
              </w:rPr>
            </w:pPr>
            <w:r w:rsidRPr="00A1399E">
              <w:rPr>
                <w:rFonts w:eastAsia="Calibri Light"/>
                <w:sz w:val="18"/>
                <w:szCs w:val="18"/>
              </w:rPr>
              <w:t>2.5.1: Number of policies enacted and implemented</w:t>
            </w:r>
          </w:p>
          <w:p w14:paraId="1AE6C245"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2</w:t>
            </w:r>
          </w:p>
          <w:p w14:paraId="21B79062"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4 </w:t>
            </w:r>
          </w:p>
          <w:p w14:paraId="1A2AC5BD" w14:textId="040954BA"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4E3008" w:rsidRPr="00A1399E">
              <w:rPr>
                <w:rFonts w:eastAsia="Calibri"/>
                <w:sz w:val="18"/>
                <w:szCs w:val="18"/>
              </w:rPr>
              <w:t>Project report</w:t>
            </w:r>
          </w:p>
          <w:p w14:paraId="75F097BB"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w:t>
            </w:r>
          </w:p>
          <w:p w14:paraId="29F9EA5B" w14:textId="77777777" w:rsidR="0051174B" w:rsidRPr="00A1399E" w:rsidRDefault="0051174B" w:rsidP="00826E17">
            <w:pPr>
              <w:rPr>
                <w:rFonts w:eastAsia="Calibri"/>
                <w:sz w:val="18"/>
                <w:szCs w:val="18"/>
              </w:rPr>
            </w:pPr>
          </w:p>
          <w:p w14:paraId="73A05DA0" w14:textId="75042188" w:rsidR="0051174B" w:rsidRPr="00A1399E" w:rsidRDefault="0051174B" w:rsidP="00826E17">
            <w:pPr>
              <w:rPr>
                <w:rFonts w:eastAsia="Calibri"/>
                <w:sz w:val="18"/>
                <w:szCs w:val="18"/>
              </w:rPr>
            </w:pPr>
            <w:r w:rsidRPr="00A1399E">
              <w:rPr>
                <w:rFonts w:eastAsia="Calibri"/>
                <w:sz w:val="18"/>
                <w:szCs w:val="18"/>
              </w:rPr>
              <w:lastRenderedPageBreak/>
              <w:t xml:space="preserve">2.5.2: </w:t>
            </w:r>
            <w:r w:rsidR="00055E2E" w:rsidRPr="00A1399E">
              <w:rPr>
                <w:rFonts w:eastAsia="Calibri"/>
                <w:sz w:val="18"/>
                <w:szCs w:val="18"/>
              </w:rPr>
              <w:t xml:space="preserve">Percentage </w:t>
            </w:r>
            <w:r w:rsidRPr="00A1399E">
              <w:rPr>
                <w:rFonts w:eastAsia="Calibri"/>
                <w:sz w:val="18"/>
                <w:szCs w:val="18"/>
              </w:rPr>
              <w:t>reduction of climate-related security incidences in target areas</w:t>
            </w:r>
          </w:p>
          <w:p w14:paraId="06025629" w14:textId="3A8766ED"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w:t>
            </w:r>
            <w:r w:rsidR="00055E2E" w:rsidRPr="00A1399E">
              <w:rPr>
                <w:rFonts w:eastAsia="Calibri"/>
                <w:sz w:val="18"/>
                <w:szCs w:val="18"/>
              </w:rPr>
              <w:t xml:space="preserve">To be determined </w:t>
            </w:r>
          </w:p>
          <w:p w14:paraId="22B00BCF" w14:textId="2DE8AAF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w:t>
            </w:r>
            <w:r w:rsidR="00216A5F" w:rsidRPr="00A1399E">
              <w:rPr>
                <w:rFonts w:eastAsia="Calibri"/>
                <w:sz w:val="18"/>
                <w:szCs w:val="18"/>
              </w:rPr>
              <w:t>F</w:t>
            </w:r>
            <w:r w:rsidR="00055E2E" w:rsidRPr="00A1399E">
              <w:rPr>
                <w:rFonts w:eastAsia="Calibri"/>
                <w:sz w:val="18"/>
                <w:szCs w:val="18"/>
              </w:rPr>
              <w:t>ive</w:t>
            </w:r>
            <w:r w:rsidRPr="00A1399E">
              <w:rPr>
                <w:rFonts w:eastAsia="Calibri"/>
                <w:sz w:val="18"/>
                <w:szCs w:val="18"/>
              </w:rPr>
              <w:t xml:space="preserve">-point reduction per target area </w:t>
            </w:r>
          </w:p>
          <w:p w14:paraId="56C1BE6B" w14:textId="51F38F16"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T</w:t>
            </w:r>
            <w:r w:rsidR="00055E2E" w:rsidRPr="00A1399E">
              <w:rPr>
                <w:rFonts w:eastAsia="Calibri"/>
                <w:sz w:val="18"/>
                <w:szCs w:val="18"/>
              </w:rPr>
              <w:t>hird-party monitoring</w:t>
            </w:r>
          </w:p>
          <w:p w14:paraId="285CB6DE" w14:textId="3294951A" w:rsidR="0051174B" w:rsidRPr="00AC56B5" w:rsidRDefault="0051174B" w:rsidP="00AC56B5">
            <w:pPr>
              <w:spacing w:after="60"/>
              <w:rPr>
                <w:rFonts w:eastAsia="Calibri"/>
                <w:sz w:val="18"/>
                <w:szCs w:val="18"/>
              </w:rPr>
            </w:pPr>
            <w:r w:rsidRPr="00A1399E">
              <w:rPr>
                <w:rFonts w:eastAsia="Calibri"/>
                <w:b/>
                <w:bCs/>
                <w:sz w:val="18"/>
                <w:szCs w:val="18"/>
              </w:rPr>
              <w:t>Frequency</w:t>
            </w:r>
            <w:r w:rsidRPr="00A1399E">
              <w:rPr>
                <w:rFonts w:eastAsia="Calibri"/>
                <w:sz w:val="18"/>
                <w:szCs w:val="18"/>
              </w:rPr>
              <w:t>: Annual</w:t>
            </w:r>
            <w:bookmarkEnd w:id="10"/>
          </w:p>
        </w:tc>
        <w:tc>
          <w:tcPr>
            <w:tcW w:w="2250" w:type="dxa"/>
            <w:vMerge/>
            <w:tcBorders>
              <w:bottom w:val="single" w:sz="4" w:space="0" w:color="auto"/>
            </w:tcBorders>
            <w:shd w:val="clear" w:color="auto" w:fill="auto"/>
          </w:tcPr>
          <w:p w14:paraId="07E02C3B" w14:textId="77777777" w:rsidR="0051174B" w:rsidRPr="00A1399E" w:rsidRDefault="0051174B" w:rsidP="00826E17">
            <w:pPr>
              <w:rPr>
                <w:rFonts w:eastAsia="Calibri Light"/>
                <w:iCs/>
                <w:sz w:val="18"/>
                <w:szCs w:val="18"/>
              </w:rPr>
            </w:pPr>
          </w:p>
        </w:tc>
        <w:tc>
          <w:tcPr>
            <w:tcW w:w="1980" w:type="dxa"/>
            <w:vMerge/>
            <w:tcBorders>
              <w:bottom w:val="single" w:sz="4" w:space="0" w:color="auto"/>
            </w:tcBorders>
            <w:shd w:val="clear" w:color="auto" w:fill="auto"/>
          </w:tcPr>
          <w:p w14:paraId="3E0D9525" w14:textId="77777777" w:rsidR="0051174B" w:rsidRPr="00A1399E" w:rsidRDefault="0051174B" w:rsidP="00826E17">
            <w:pPr>
              <w:rPr>
                <w:rFonts w:eastAsia="Calibri"/>
                <w:b/>
                <w:sz w:val="18"/>
                <w:szCs w:val="18"/>
              </w:rPr>
            </w:pPr>
          </w:p>
        </w:tc>
      </w:tr>
      <w:tr w:rsidR="0051174B" w:rsidRPr="00A1399E" w14:paraId="2E856CAE" w14:textId="77777777" w:rsidTr="009612CC">
        <w:tc>
          <w:tcPr>
            <w:tcW w:w="14395" w:type="dxa"/>
            <w:gridSpan w:val="5"/>
            <w:shd w:val="clear" w:color="auto" w:fill="auto"/>
          </w:tcPr>
          <w:p w14:paraId="1827160B" w14:textId="182AC637" w:rsidR="0051174B" w:rsidRPr="00A1399E" w:rsidRDefault="0051174B" w:rsidP="00826E17">
            <w:pPr>
              <w:spacing w:before="60" w:after="60"/>
              <w:rPr>
                <w:rFonts w:eastAsia="Calibri"/>
                <w:b/>
                <w:sz w:val="18"/>
                <w:szCs w:val="18"/>
              </w:rPr>
            </w:pPr>
            <w:r w:rsidRPr="00A1399E">
              <w:rPr>
                <w:rFonts w:eastAsia="Calibri"/>
                <w:b/>
                <w:sz w:val="18"/>
                <w:szCs w:val="18"/>
              </w:rPr>
              <w:t xml:space="preserve">NATIONAL PRIORITY: NDP-9 </w:t>
            </w:r>
            <w:r w:rsidRPr="00A1399E">
              <w:rPr>
                <w:rFonts w:eastAsia="Calibri"/>
                <w:b/>
                <w:bCs/>
                <w:iCs/>
                <w:color w:val="000000"/>
                <w:sz w:val="18"/>
                <w:szCs w:val="18"/>
              </w:rPr>
              <w:t>Pillar 3</w:t>
            </w:r>
            <w:r w:rsidR="00055E2E" w:rsidRPr="00A1399E">
              <w:rPr>
                <w:rFonts w:eastAsia="Calibri"/>
                <w:b/>
                <w:bCs/>
                <w:iCs/>
                <w:color w:val="000000"/>
                <w:sz w:val="18"/>
                <w:szCs w:val="18"/>
              </w:rPr>
              <w:t>.</w:t>
            </w:r>
            <w:r w:rsidRPr="00A1399E">
              <w:rPr>
                <w:rFonts w:eastAsia="Calibri"/>
                <w:b/>
                <w:bCs/>
                <w:iCs/>
                <w:color w:val="000000"/>
                <w:sz w:val="18"/>
                <w:szCs w:val="18"/>
              </w:rPr>
              <w:t xml:space="preserve"> </w:t>
            </w:r>
            <w:r w:rsidRPr="00A1399E">
              <w:rPr>
                <w:rFonts w:eastAsia="Calibri"/>
                <w:b/>
                <w:bCs/>
                <w:sz w:val="18"/>
                <w:szCs w:val="18"/>
              </w:rPr>
              <w:t xml:space="preserve">Economic </w:t>
            </w:r>
            <w:r w:rsidR="00055E2E" w:rsidRPr="00A1399E">
              <w:rPr>
                <w:rFonts w:eastAsia="Calibri"/>
                <w:b/>
                <w:bCs/>
                <w:sz w:val="18"/>
                <w:szCs w:val="18"/>
              </w:rPr>
              <w:t>d</w:t>
            </w:r>
            <w:r w:rsidRPr="00A1399E">
              <w:rPr>
                <w:rFonts w:eastAsia="Calibri"/>
                <w:b/>
                <w:bCs/>
                <w:sz w:val="18"/>
                <w:szCs w:val="18"/>
              </w:rPr>
              <w:t>evelopment</w:t>
            </w:r>
            <w:r w:rsidR="00055E2E" w:rsidRPr="00A1399E">
              <w:rPr>
                <w:rFonts w:eastAsia="Calibri"/>
                <w:b/>
                <w:bCs/>
                <w:sz w:val="18"/>
                <w:szCs w:val="18"/>
              </w:rPr>
              <w:t>.</w:t>
            </w:r>
            <w:r w:rsidRPr="00A1399E">
              <w:rPr>
                <w:rFonts w:eastAsia="Calibri"/>
                <w:b/>
                <w:bCs/>
                <w:sz w:val="18"/>
                <w:szCs w:val="18"/>
              </w:rPr>
              <w:t xml:space="preserve"> </w:t>
            </w:r>
          </w:p>
        </w:tc>
      </w:tr>
      <w:tr w:rsidR="0051174B" w:rsidRPr="00A1399E" w14:paraId="56389EEF" w14:textId="77777777" w:rsidTr="00AC56B5">
        <w:trPr>
          <w:trHeight w:val="458"/>
        </w:trPr>
        <w:tc>
          <w:tcPr>
            <w:tcW w:w="14395" w:type="dxa"/>
            <w:gridSpan w:val="5"/>
            <w:shd w:val="clear" w:color="auto" w:fill="auto"/>
            <w:vAlign w:val="center"/>
          </w:tcPr>
          <w:p w14:paraId="4FA70A07" w14:textId="58D5740D" w:rsidR="0051174B" w:rsidRPr="00A1399E" w:rsidRDefault="00055E2E" w:rsidP="00826E17">
            <w:pPr>
              <w:rPr>
                <w:rFonts w:eastAsia="Calibri"/>
                <w:b/>
                <w:color w:val="000000"/>
                <w:sz w:val="18"/>
                <w:szCs w:val="18"/>
              </w:rPr>
            </w:pPr>
            <w:r w:rsidRPr="00A1399E">
              <w:rPr>
                <w:rFonts w:eastAsia="Calibri"/>
                <w:b/>
                <w:color w:val="000000"/>
                <w:sz w:val="18"/>
                <w:szCs w:val="18"/>
              </w:rPr>
              <w:t xml:space="preserve">UNSDCF </w:t>
            </w:r>
            <w:r w:rsidR="0051174B" w:rsidRPr="00A1399E">
              <w:rPr>
                <w:rFonts w:eastAsia="Calibri"/>
                <w:b/>
                <w:color w:val="000000"/>
                <w:sz w:val="18"/>
                <w:szCs w:val="18"/>
              </w:rPr>
              <w:t xml:space="preserve">OUTCOME INVOLVING UNDP 3. </w:t>
            </w:r>
            <w:r w:rsidRPr="00A1399E">
              <w:rPr>
                <w:rFonts w:eastAsia="Calibri"/>
                <w:b/>
                <w:color w:val="000000"/>
                <w:sz w:val="18"/>
                <w:szCs w:val="18"/>
              </w:rPr>
              <w:t xml:space="preserve">UNSDCF </w:t>
            </w:r>
            <w:r w:rsidR="0051174B" w:rsidRPr="00A1399E">
              <w:rPr>
                <w:rFonts w:eastAsia="Calibri"/>
                <w:b/>
                <w:color w:val="000000"/>
                <w:sz w:val="18"/>
                <w:szCs w:val="18"/>
              </w:rPr>
              <w:t>Outcome 3.1</w:t>
            </w:r>
            <w:r w:rsidRPr="00A1399E">
              <w:rPr>
                <w:rFonts w:eastAsia="Calibri"/>
                <w:b/>
                <w:color w:val="000000"/>
                <w:sz w:val="18"/>
                <w:szCs w:val="18"/>
              </w:rPr>
              <w:t>.</w:t>
            </w:r>
            <w:r w:rsidR="0051174B" w:rsidRPr="00A1399E">
              <w:rPr>
                <w:rFonts w:eastAsia="Calibri"/>
                <w:b/>
                <w:color w:val="000000"/>
                <w:sz w:val="18"/>
                <w:szCs w:val="18"/>
              </w:rPr>
              <w:t xml:space="preserve"> </w:t>
            </w:r>
            <w:r w:rsidR="0051174B" w:rsidRPr="00A1399E">
              <w:rPr>
                <w:rFonts w:eastAsia="Calibri"/>
                <w:b/>
                <w:sz w:val="18"/>
                <w:szCs w:val="18"/>
              </w:rPr>
              <w:t xml:space="preserve">Economic governance institutions are strengthened, and an enabling environment established for inclusive, sustainable and broad-based economic growth driven by the emerging </w:t>
            </w:r>
            <w:r w:rsidRPr="00A1399E">
              <w:rPr>
                <w:rFonts w:eastAsia="Calibri"/>
                <w:b/>
                <w:sz w:val="18"/>
                <w:szCs w:val="18"/>
              </w:rPr>
              <w:t>small and medium enterprise (</w:t>
            </w:r>
            <w:r w:rsidR="0051174B" w:rsidRPr="00A1399E">
              <w:rPr>
                <w:rFonts w:eastAsia="Calibri"/>
                <w:b/>
                <w:sz w:val="18"/>
                <w:szCs w:val="18"/>
              </w:rPr>
              <w:t>SME</w:t>
            </w:r>
            <w:r w:rsidRPr="00A1399E">
              <w:rPr>
                <w:rFonts w:eastAsia="Calibri"/>
                <w:b/>
                <w:sz w:val="18"/>
                <w:szCs w:val="18"/>
              </w:rPr>
              <w:t>)</w:t>
            </w:r>
            <w:r w:rsidR="0051174B" w:rsidRPr="00A1399E">
              <w:rPr>
                <w:rFonts w:eastAsia="Calibri"/>
                <w:b/>
                <w:sz w:val="18"/>
                <w:szCs w:val="18"/>
              </w:rPr>
              <w:t xml:space="preserve"> sector</w:t>
            </w:r>
            <w:r w:rsidRPr="00A1399E">
              <w:rPr>
                <w:rFonts w:eastAsia="Calibri"/>
                <w:b/>
                <w:sz w:val="18"/>
                <w:szCs w:val="18"/>
              </w:rPr>
              <w:t>.</w:t>
            </w:r>
            <w:r w:rsidR="0051174B" w:rsidRPr="00A1399E">
              <w:rPr>
                <w:rFonts w:eastAsia="Calibri"/>
                <w:i/>
                <w:iCs/>
                <w:sz w:val="18"/>
                <w:szCs w:val="18"/>
              </w:rPr>
              <w:t xml:space="preserve"> </w:t>
            </w:r>
          </w:p>
        </w:tc>
      </w:tr>
      <w:tr w:rsidR="0051174B" w:rsidRPr="00A1399E" w14:paraId="18D07CE9" w14:textId="77777777" w:rsidTr="009612CC">
        <w:tc>
          <w:tcPr>
            <w:tcW w:w="14395" w:type="dxa"/>
            <w:gridSpan w:val="5"/>
            <w:shd w:val="clear" w:color="auto" w:fill="auto"/>
          </w:tcPr>
          <w:p w14:paraId="55362258" w14:textId="0309A15E" w:rsidR="0051174B" w:rsidRPr="00A1399E" w:rsidRDefault="0051174B" w:rsidP="00826E17">
            <w:pPr>
              <w:spacing w:before="60" w:after="60"/>
              <w:rPr>
                <w:rFonts w:eastAsia="Calibri"/>
                <w:b/>
                <w:sz w:val="18"/>
                <w:szCs w:val="18"/>
              </w:rPr>
            </w:pPr>
            <w:r w:rsidRPr="00A1399E">
              <w:rPr>
                <w:rFonts w:eastAsia="Calibri"/>
                <w:b/>
                <w:sz w:val="18"/>
                <w:szCs w:val="18"/>
              </w:rPr>
              <w:t xml:space="preserve">RELATED </w:t>
            </w:r>
            <w:r w:rsidR="00055E2E" w:rsidRPr="00A1399E">
              <w:rPr>
                <w:rFonts w:eastAsia="Calibri"/>
                <w:b/>
                <w:sz w:val="18"/>
                <w:szCs w:val="18"/>
              </w:rPr>
              <w:t xml:space="preserve">UNDP </w:t>
            </w:r>
            <w:r w:rsidRPr="00A1399E">
              <w:rPr>
                <w:rFonts w:eastAsia="Calibri"/>
                <w:b/>
                <w:sz w:val="18"/>
                <w:szCs w:val="18"/>
              </w:rPr>
              <w:t>STRATEGIC PLAN</w:t>
            </w:r>
            <w:r w:rsidR="00055E2E" w:rsidRPr="00A1399E">
              <w:rPr>
                <w:rFonts w:eastAsia="Calibri"/>
                <w:b/>
                <w:sz w:val="18"/>
                <w:szCs w:val="18"/>
              </w:rPr>
              <w:t xml:space="preserve">, 2018-2021, </w:t>
            </w:r>
            <w:r w:rsidRPr="00A1399E">
              <w:rPr>
                <w:rFonts w:eastAsia="Calibri"/>
                <w:b/>
                <w:sz w:val="18"/>
                <w:szCs w:val="18"/>
              </w:rPr>
              <w:t xml:space="preserve">OUTCOME: </w:t>
            </w:r>
            <w:r w:rsidRPr="00A1399E">
              <w:rPr>
                <w:rFonts w:eastAsia="Calibri"/>
                <w:b/>
                <w:iCs/>
                <w:color w:val="000000"/>
                <w:sz w:val="18"/>
                <w:szCs w:val="18"/>
              </w:rPr>
              <w:t>Outcome 1</w:t>
            </w:r>
            <w:r w:rsidR="00055E2E" w:rsidRPr="00A1399E">
              <w:rPr>
                <w:rFonts w:eastAsia="Calibri"/>
                <w:b/>
                <w:iCs/>
                <w:color w:val="000000"/>
                <w:sz w:val="18"/>
                <w:szCs w:val="18"/>
              </w:rPr>
              <w:t>.</w:t>
            </w:r>
            <w:r w:rsidRPr="00A1399E">
              <w:rPr>
                <w:rFonts w:eastAsia="Calibri"/>
                <w:b/>
                <w:iCs/>
                <w:color w:val="000000"/>
                <w:sz w:val="18"/>
                <w:szCs w:val="18"/>
              </w:rPr>
              <w:t xml:space="preserve"> Advance poverty eradication in all its forms and dimensions</w:t>
            </w:r>
            <w:r w:rsidR="00055E2E" w:rsidRPr="00A1399E">
              <w:rPr>
                <w:rFonts w:eastAsia="Calibri"/>
                <w:b/>
                <w:iCs/>
                <w:color w:val="000000"/>
                <w:sz w:val="18"/>
                <w:szCs w:val="18"/>
              </w:rPr>
              <w:t>.</w:t>
            </w:r>
            <w:r w:rsidRPr="00A1399E">
              <w:rPr>
                <w:rFonts w:eastAsia="Calibri"/>
                <w:b/>
                <w:bCs/>
                <w:color w:val="000000"/>
                <w:sz w:val="18"/>
                <w:szCs w:val="18"/>
              </w:rPr>
              <w:t xml:space="preserve"> </w:t>
            </w:r>
          </w:p>
        </w:tc>
      </w:tr>
      <w:tr w:rsidR="0051174B" w:rsidRPr="00A1399E" w14:paraId="515F579E" w14:textId="77777777" w:rsidTr="000237D8">
        <w:tc>
          <w:tcPr>
            <w:tcW w:w="3290" w:type="dxa"/>
            <w:vMerge w:val="restart"/>
          </w:tcPr>
          <w:p w14:paraId="0978D642" w14:textId="77777777" w:rsidR="0051174B" w:rsidRPr="00A1399E" w:rsidRDefault="0051174B" w:rsidP="00826E17">
            <w:pPr>
              <w:rPr>
                <w:rFonts w:eastAsia="Calibri"/>
                <w:b/>
                <w:sz w:val="18"/>
                <w:szCs w:val="18"/>
              </w:rPr>
            </w:pPr>
            <w:r w:rsidRPr="00A1399E">
              <w:rPr>
                <w:rFonts w:eastAsia="Calibri"/>
                <w:b/>
                <w:sz w:val="18"/>
                <w:szCs w:val="18"/>
              </w:rPr>
              <w:t>Indicators</w:t>
            </w:r>
          </w:p>
          <w:p w14:paraId="7BC0475D" w14:textId="77777777" w:rsidR="0051174B" w:rsidRPr="00A1399E" w:rsidRDefault="0051174B" w:rsidP="00826E17">
            <w:pPr>
              <w:rPr>
                <w:rFonts w:eastAsia="Calibri"/>
                <w:b/>
                <w:sz w:val="18"/>
                <w:szCs w:val="18"/>
              </w:rPr>
            </w:pPr>
          </w:p>
          <w:p w14:paraId="1A7EAD21" w14:textId="618CE2D8" w:rsidR="0051174B" w:rsidRPr="00A1399E" w:rsidRDefault="0051174B" w:rsidP="00826E17">
            <w:pPr>
              <w:rPr>
                <w:rFonts w:eastAsia="Calibri"/>
                <w:sz w:val="18"/>
                <w:szCs w:val="18"/>
              </w:rPr>
            </w:pPr>
            <w:r w:rsidRPr="00A1399E">
              <w:rPr>
                <w:rFonts w:eastAsia="Calibri"/>
                <w:b/>
                <w:iCs/>
                <w:sz w:val="18"/>
                <w:szCs w:val="18"/>
              </w:rPr>
              <w:t>'Doing Business' global ranking</w:t>
            </w:r>
            <w:r w:rsidRPr="00A1399E" w:rsidDel="00F75C79">
              <w:rPr>
                <w:rFonts w:eastAsia="Calibri"/>
                <w:b/>
                <w:sz w:val="18"/>
                <w:szCs w:val="18"/>
              </w:rPr>
              <w:t xml:space="preserve"> </w:t>
            </w:r>
            <w:r w:rsidRPr="00A1399E">
              <w:rPr>
                <w:rFonts w:eastAsia="Calibri"/>
                <w:b/>
                <w:sz w:val="18"/>
                <w:szCs w:val="18"/>
              </w:rPr>
              <w:t>Baseline:</w:t>
            </w:r>
            <w:r w:rsidRPr="00A1399E">
              <w:rPr>
                <w:rFonts w:eastAsia="Calibri"/>
                <w:sz w:val="18"/>
                <w:szCs w:val="18"/>
              </w:rPr>
              <w:t xml:space="preserve"> </w:t>
            </w:r>
            <w:r w:rsidR="00055E2E" w:rsidRPr="00A1399E">
              <w:rPr>
                <w:rFonts w:eastAsia="Calibri"/>
                <w:sz w:val="18"/>
                <w:szCs w:val="18"/>
              </w:rPr>
              <w:t xml:space="preserve">Rank </w:t>
            </w:r>
            <w:r w:rsidRPr="00A1399E">
              <w:rPr>
                <w:rFonts w:eastAsia="Calibri"/>
                <w:sz w:val="18"/>
                <w:szCs w:val="18"/>
              </w:rPr>
              <w:t xml:space="preserve">190 out of 190 countries </w:t>
            </w:r>
            <w:r w:rsidRPr="00A1399E">
              <w:rPr>
                <w:rFonts w:eastAsia="Calibri"/>
                <w:b/>
                <w:sz w:val="18"/>
                <w:szCs w:val="18"/>
              </w:rPr>
              <w:t>Target</w:t>
            </w:r>
            <w:r w:rsidRPr="00A1399E">
              <w:rPr>
                <w:rFonts w:eastAsia="Calibri"/>
                <w:i/>
                <w:sz w:val="18"/>
                <w:szCs w:val="18"/>
              </w:rPr>
              <w:t xml:space="preserve">: </w:t>
            </w:r>
            <w:r w:rsidR="00055E2E" w:rsidRPr="00A1399E">
              <w:rPr>
                <w:rFonts w:eastAsia="Calibri"/>
                <w:iCs/>
                <w:sz w:val="18"/>
                <w:szCs w:val="18"/>
              </w:rPr>
              <w:t>Rank</w:t>
            </w:r>
            <w:r w:rsidR="00055E2E" w:rsidRPr="00A1399E">
              <w:rPr>
                <w:rFonts w:eastAsia="Calibri"/>
                <w:i/>
                <w:sz w:val="18"/>
                <w:szCs w:val="18"/>
              </w:rPr>
              <w:t xml:space="preserve"> </w:t>
            </w:r>
            <w:r w:rsidR="00055E2E" w:rsidRPr="00A1399E">
              <w:rPr>
                <w:rFonts w:eastAsia="Calibri"/>
                <w:sz w:val="18"/>
                <w:szCs w:val="18"/>
              </w:rPr>
              <w:t>a</w:t>
            </w:r>
            <w:r w:rsidRPr="00A1399E">
              <w:rPr>
                <w:rFonts w:eastAsia="Calibri"/>
                <w:sz w:val="18"/>
                <w:szCs w:val="18"/>
              </w:rPr>
              <w:t xml:space="preserve">t least 150  </w:t>
            </w:r>
          </w:p>
          <w:p w14:paraId="7648607C" w14:textId="77777777" w:rsidR="0051174B" w:rsidRPr="00A1399E" w:rsidRDefault="0051174B" w:rsidP="00826E17">
            <w:pPr>
              <w:rPr>
                <w:rFonts w:eastAsia="Calibri"/>
                <w:sz w:val="18"/>
                <w:szCs w:val="18"/>
              </w:rPr>
            </w:pPr>
          </w:p>
        </w:tc>
        <w:tc>
          <w:tcPr>
            <w:tcW w:w="3005" w:type="dxa"/>
            <w:vMerge w:val="restart"/>
          </w:tcPr>
          <w:p w14:paraId="51AA68CF" w14:textId="6E86163B" w:rsidR="0051174B" w:rsidRPr="00A1399E" w:rsidRDefault="0051174B" w:rsidP="00826E17">
            <w:pPr>
              <w:rPr>
                <w:rFonts w:eastAsia="Calibri"/>
                <w:b/>
                <w:sz w:val="18"/>
                <w:szCs w:val="18"/>
              </w:rPr>
            </w:pPr>
            <w:r w:rsidRPr="00A1399E">
              <w:rPr>
                <w:rFonts w:eastAsia="Calibri"/>
                <w:b/>
                <w:sz w:val="18"/>
                <w:szCs w:val="18"/>
              </w:rPr>
              <w:t xml:space="preserve">Data </w:t>
            </w:r>
            <w:r w:rsidR="00261FAF" w:rsidRPr="00A1399E">
              <w:rPr>
                <w:rFonts w:eastAsia="Calibri"/>
                <w:b/>
                <w:sz w:val="18"/>
                <w:szCs w:val="18"/>
              </w:rPr>
              <w:t>s</w:t>
            </w:r>
            <w:r w:rsidRPr="00A1399E">
              <w:rPr>
                <w:rFonts w:eastAsia="Calibri"/>
                <w:b/>
                <w:sz w:val="18"/>
                <w:szCs w:val="18"/>
              </w:rPr>
              <w:t>ource and frequency</w:t>
            </w:r>
          </w:p>
          <w:p w14:paraId="2FA76ADA" w14:textId="77777777" w:rsidR="00261FAF" w:rsidRPr="00A1399E" w:rsidRDefault="00261FAF" w:rsidP="00826E17">
            <w:pPr>
              <w:rPr>
                <w:rFonts w:eastAsia="Calibri"/>
                <w:b/>
                <w:sz w:val="18"/>
                <w:szCs w:val="18"/>
              </w:rPr>
            </w:pPr>
          </w:p>
          <w:p w14:paraId="06551226" w14:textId="77777777" w:rsidR="0051174B" w:rsidRPr="00A1399E" w:rsidRDefault="0051174B" w:rsidP="00826E17">
            <w:pPr>
              <w:rPr>
                <w:rFonts w:eastAsia="Calibri"/>
                <w:sz w:val="18"/>
                <w:szCs w:val="18"/>
              </w:rPr>
            </w:pPr>
            <w:r w:rsidRPr="00A1399E">
              <w:rPr>
                <w:rFonts w:eastAsia="Calibri"/>
                <w:b/>
                <w:sz w:val="18"/>
                <w:szCs w:val="18"/>
              </w:rPr>
              <w:t>Source:</w:t>
            </w:r>
            <w:r w:rsidRPr="00A1399E">
              <w:rPr>
                <w:rFonts w:eastAsia="Calibri"/>
                <w:b/>
                <w:i/>
                <w:sz w:val="18"/>
                <w:szCs w:val="18"/>
              </w:rPr>
              <w:t xml:space="preserve"> </w:t>
            </w:r>
            <w:r w:rsidRPr="00A1399E">
              <w:rPr>
                <w:rFonts w:eastAsia="Calibri"/>
                <w:sz w:val="18"/>
                <w:szCs w:val="18"/>
              </w:rPr>
              <w:t>World Bank</w:t>
            </w:r>
          </w:p>
          <w:p w14:paraId="08A5EE16" w14:textId="77777777" w:rsidR="0051174B" w:rsidRPr="00A1399E" w:rsidRDefault="0051174B" w:rsidP="00826E17">
            <w:pPr>
              <w:rPr>
                <w:rFonts w:eastAsia="Calibri"/>
                <w:sz w:val="18"/>
                <w:szCs w:val="18"/>
              </w:rPr>
            </w:pPr>
            <w:r w:rsidRPr="00A1399E">
              <w:rPr>
                <w:rFonts w:eastAsia="Calibri"/>
                <w:b/>
                <w:sz w:val="18"/>
                <w:szCs w:val="18"/>
              </w:rPr>
              <w:t>Frequency</w:t>
            </w:r>
            <w:r w:rsidRPr="00A1399E">
              <w:rPr>
                <w:rFonts w:eastAsia="Calibri"/>
                <w:sz w:val="18"/>
                <w:szCs w:val="18"/>
              </w:rPr>
              <w:t>: Annual</w:t>
            </w:r>
          </w:p>
          <w:p w14:paraId="75922339" w14:textId="2941DF21" w:rsidR="0051174B" w:rsidRPr="00A1399E" w:rsidRDefault="0051174B" w:rsidP="00AC55FA">
            <w:pPr>
              <w:rPr>
                <w:rFonts w:eastAsia="Calibri"/>
                <w:sz w:val="18"/>
                <w:szCs w:val="18"/>
              </w:rPr>
            </w:pPr>
            <w:r w:rsidRPr="00A1399E">
              <w:rPr>
                <w:rFonts w:eastAsia="Calibri"/>
                <w:b/>
                <w:sz w:val="18"/>
                <w:szCs w:val="18"/>
              </w:rPr>
              <w:t>Responsibility</w:t>
            </w:r>
            <w:r w:rsidRPr="00A1399E">
              <w:rPr>
                <w:rFonts w:eastAsia="Calibri"/>
                <w:sz w:val="18"/>
                <w:szCs w:val="18"/>
              </w:rPr>
              <w:t>: World Bank</w:t>
            </w:r>
          </w:p>
        </w:tc>
        <w:tc>
          <w:tcPr>
            <w:tcW w:w="3870" w:type="dxa"/>
          </w:tcPr>
          <w:p w14:paraId="025E3746" w14:textId="520EA3DE" w:rsidR="0051174B" w:rsidRPr="00A1399E" w:rsidRDefault="0051174B" w:rsidP="00826E17">
            <w:pPr>
              <w:rPr>
                <w:rFonts w:eastAsia="Calibri"/>
                <w:b/>
                <w:bCs/>
                <w:sz w:val="18"/>
                <w:szCs w:val="18"/>
              </w:rPr>
            </w:pPr>
            <w:r w:rsidRPr="00A1399E">
              <w:rPr>
                <w:rFonts w:eastAsia="Calibri"/>
                <w:b/>
                <w:bCs/>
                <w:sz w:val="18"/>
                <w:szCs w:val="18"/>
              </w:rPr>
              <w:t>Output 3.1</w:t>
            </w:r>
            <w:r w:rsidR="00261FAF" w:rsidRPr="00A1399E">
              <w:rPr>
                <w:rFonts w:eastAsia="Calibri"/>
                <w:b/>
                <w:bCs/>
                <w:sz w:val="18"/>
                <w:szCs w:val="18"/>
              </w:rPr>
              <w:t>.</w:t>
            </w:r>
            <w:r w:rsidRPr="00A1399E">
              <w:rPr>
                <w:rFonts w:eastAsia="Calibri"/>
                <w:b/>
                <w:bCs/>
                <w:sz w:val="18"/>
                <w:szCs w:val="18"/>
              </w:rPr>
              <w:t xml:space="preserve"> Capacity of governmental organizations strengthened for effective regulatory oversight of productive sectors (blue, green, grey economies) </w:t>
            </w:r>
          </w:p>
          <w:p w14:paraId="737B2BC1" w14:textId="77777777" w:rsidR="0051174B" w:rsidRPr="00A1399E" w:rsidRDefault="0051174B" w:rsidP="00826E17">
            <w:pPr>
              <w:rPr>
                <w:rFonts w:eastAsia="Calibri"/>
                <w:b/>
                <w:bCs/>
                <w:sz w:val="18"/>
                <w:szCs w:val="18"/>
              </w:rPr>
            </w:pPr>
          </w:p>
          <w:p w14:paraId="574A7537" w14:textId="77777777" w:rsidR="0051174B" w:rsidRPr="00A1399E" w:rsidRDefault="0051174B" w:rsidP="00826E17">
            <w:pPr>
              <w:rPr>
                <w:rFonts w:eastAsia="Calibri"/>
                <w:b/>
                <w:bCs/>
                <w:sz w:val="18"/>
                <w:szCs w:val="18"/>
              </w:rPr>
            </w:pPr>
            <w:r w:rsidRPr="00A1399E">
              <w:rPr>
                <w:rFonts w:eastAsia="Calibri"/>
                <w:b/>
                <w:bCs/>
                <w:sz w:val="18"/>
                <w:szCs w:val="18"/>
              </w:rPr>
              <w:t>Indicators</w:t>
            </w:r>
          </w:p>
          <w:p w14:paraId="5E7F9153" w14:textId="77777777" w:rsidR="0051174B" w:rsidRPr="00A1399E" w:rsidRDefault="0051174B" w:rsidP="00826E17">
            <w:pPr>
              <w:rPr>
                <w:rFonts w:eastAsia="Calibri"/>
                <w:bCs/>
                <w:sz w:val="18"/>
                <w:szCs w:val="18"/>
              </w:rPr>
            </w:pPr>
            <w:r w:rsidRPr="00A1399E">
              <w:rPr>
                <w:rFonts w:eastAsia="Calibri"/>
                <w:bCs/>
                <w:sz w:val="18"/>
                <w:szCs w:val="18"/>
              </w:rPr>
              <w:t>3.1.1: Number of policies, legal and regulatory frameworks developed/revised to meet international standards</w:t>
            </w:r>
          </w:p>
          <w:p w14:paraId="5EF70EE4" w14:textId="2C1140AB" w:rsidR="0051174B" w:rsidRPr="00A1399E" w:rsidRDefault="0051174B" w:rsidP="00826E17">
            <w:pPr>
              <w:rPr>
                <w:rFonts w:eastAsia="Calibri"/>
                <w:bCs/>
                <w:sz w:val="18"/>
                <w:szCs w:val="18"/>
              </w:rPr>
            </w:pPr>
            <w:r w:rsidRPr="00A1399E">
              <w:rPr>
                <w:rFonts w:eastAsia="Calibri"/>
                <w:b/>
                <w:bCs/>
                <w:sz w:val="18"/>
                <w:szCs w:val="18"/>
              </w:rPr>
              <w:t>Baseline</w:t>
            </w:r>
            <w:r w:rsidRPr="00A1399E">
              <w:rPr>
                <w:rFonts w:eastAsia="Calibri"/>
                <w:bCs/>
                <w:sz w:val="18"/>
                <w:szCs w:val="18"/>
              </w:rPr>
              <w:t>:10 (2020)</w:t>
            </w:r>
          </w:p>
          <w:p w14:paraId="470336B1" w14:textId="77777777" w:rsidR="0051174B" w:rsidRPr="00A1399E" w:rsidRDefault="0051174B" w:rsidP="00826E17">
            <w:pPr>
              <w:rPr>
                <w:rFonts w:eastAsia="Calibri"/>
                <w:bCs/>
                <w:sz w:val="18"/>
                <w:szCs w:val="18"/>
              </w:rPr>
            </w:pPr>
            <w:r w:rsidRPr="00A1399E">
              <w:rPr>
                <w:rFonts w:eastAsia="Calibri"/>
                <w:b/>
                <w:bCs/>
                <w:sz w:val="18"/>
                <w:szCs w:val="18"/>
              </w:rPr>
              <w:t>Target</w:t>
            </w:r>
            <w:r w:rsidRPr="00A1399E">
              <w:rPr>
                <w:rFonts w:eastAsia="Calibri"/>
                <w:bCs/>
                <w:sz w:val="18"/>
                <w:szCs w:val="18"/>
              </w:rPr>
              <w:t xml:space="preserve">: 30 </w:t>
            </w:r>
          </w:p>
          <w:p w14:paraId="6155F36C" w14:textId="5FBD1D60" w:rsidR="0051174B" w:rsidRPr="00A1399E" w:rsidRDefault="0051174B" w:rsidP="00826E17">
            <w:pPr>
              <w:rPr>
                <w:rFonts w:eastAsia="Calibri"/>
                <w:bCs/>
                <w:sz w:val="18"/>
                <w:szCs w:val="18"/>
              </w:rPr>
            </w:pPr>
            <w:r w:rsidRPr="00A1399E">
              <w:rPr>
                <w:rFonts w:eastAsia="Calibri"/>
                <w:b/>
                <w:bCs/>
                <w:sz w:val="18"/>
                <w:szCs w:val="18"/>
              </w:rPr>
              <w:t>Source</w:t>
            </w:r>
            <w:r w:rsidRPr="00A1399E">
              <w:rPr>
                <w:rFonts w:eastAsia="Calibri"/>
                <w:bCs/>
                <w:sz w:val="18"/>
                <w:szCs w:val="18"/>
              </w:rPr>
              <w:t xml:space="preserve">: </w:t>
            </w:r>
            <w:r w:rsidR="004E3008" w:rsidRPr="00A1399E">
              <w:rPr>
                <w:rFonts w:eastAsia="Calibri"/>
                <w:bCs/>
                <w:sz w:val="18"/>
                <w:szCs w:val="18"/>
              </w:rPr>
              <w:t>Project report</w:t>
            </w:r>
          </w:p>
          <w:p w14:paraId="39686F3F" w14:textId="77777777" w:rsidR="0051174B" w:rsidRPr="00A1399E" w:rsidRDefault="0051174B" w:rsidP="00826E17">
            <w:pPr>
              <w:rPr>
                <w:rFonts w:eastAsia="Calibri"/>
                <w:bCs/>
                <w:sz w:val="18"/>
                <w:szCs w:val="18"/>
              </w:rPr>
            </w:pPr>
            <w:r w:rsidRPr="00A1399E">
              <w:rPr>
                <w:rFonts w:eastAsia="Calibri"/>
                <w:b/>
                <w:bCs/>
                <w:sz w:val="18"/>
                <w:szCs w:val="18"/>
              </w:rPr>
              <w:t>Frequency</w:t>
            </w:r>
            <w:r w:rsidRPr="00A1399E">
              <w:rPr>
                <w:rFonts w:eastAsia="Calibri"/>
                <w:bCs/>
                <w:sz w:val="18"/>
                <w:szCs w:val="18"/>
              </w:rPr>
              <w:t>: Annual</w:t>
            </w:r>
          </w:p>
          <w:p w14:paraId="768084C6" w14:textId="77777777" w:rsidR="0051174B" w:rsidRPr="00A1399E" w:rsidRDefault="0051174B" w:rsidP="00826E17">
            <w:pPr>
              <w:rPr>
                <w:rFonts w:eastAsia="Calibri"/>
                <w:bCs/>
                <w:sz w:val="18"/>
                <w:szCs w:val="18"/>
              </w:rPr>
            </w:pPr>
          </w:p>
          <w:p w14:paraId="3B72854F" w14:textId="77777777" w:rsidR="0051174B" w:rsidRPr="00A1399E" w:rsidRDefault="0051174B" w:rsidP="00826E17">
            <w:pPr>
              <w:rPr>
                <w:rFonts w:eastAsia="Calibri"/>
                <w:bCs/>
                <w:sz w:val="18"/>
                <w:szCs w:val="18"/>
              </w:rPr>
            </w:pPr>
            <w:r w:rsidRPr="00A1399E">
              <w:rPr>
                <w:rFonts w:eastAsia="Calibri"/>
                <w:bCs/>
                <w:sz w:val="18"/>
                <w:szCs w:val="18"/>
              </w:rPr>
              <w:t>3.1.2: Proportion of SMEs reporting improved business environment</w:t>
            </w:r>
          </w:p>
          <w:p w14:paraId="3370F866" w14:textId="1CCD4C8F"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0% (2020)</w:t>
            </w:r>
          </w:p>
          <w:p w14:paraId="0FF62C96"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60%</w:t>
            </w:r>
          </w:p>
          <w:p w14:paraId="72192D90" w14:textId="751CC689"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261FAF" w:rsidRPr="00A1399E">
              <w:rPr>
                <w:rFonts w:eastAsia="Calibri"/>
                <w:bCs/>
                <w:sz w:val="18"/>
                <w:szCs w:val="18"/>
              </w:rPr>
              <w:t>Third-party monitoring</w:t>
            </w:r>
          </w:p>
          <w:p w14:paraId="54CE737E" w14:textId="7BBF8843" w:rsidR="0051174B" w:rsidRPr="00AC56B5" w:rsidRDefault="0051174B" w:rsidP="00AC56B5">
            <w:pPr>
              <w:spacing w:after="60"/>
              <w:rPr>
                <w:rFonts w:eastAsia="Calibri"/>
                <w:b/>
                <w:sz w:val="18"/>
                <w:szCs w:val="18"/>
              </w:rPr>
            </w:pPr>
            <w:r w:rsidRPr="00A1399E">
              <w:rPr>
                <w:rFonts w:eastAsia="Calibri"/>
                <w:b/>
                <w:bCs/>
                <w:sz w:val="18"/>
                <w:szCs w:val="18"/>
              </w:rPr>
              <w:t>Frequency</w:t>
            </w:r>
            <w:r w:rsidRPr="00A1399E">
              <w:rPr>
                <w:rFonts w:eastAsia="Calibri"/>
                <w:sz w:val="18"/>
                <w:szCs w:val="18"/>
              </w:rPr>
              <w:t>: Annual</w:t>
            </w:r>
          </w:p>
        </w:tc>
        <w:tc>
          <w:tcPr>
            <w:tcW w:w="2250" w:type="dxa"/>
            <w:vMerge w:val="restart"/>
          </w:tcPr>
          <w:p w14:paraId="0F3196EC" w14:textId="5AF3716E" w:rsidR="0051174B" w:rsidRPr="00A1399E" w:rsidRDefault="0051174B" w:rsidP="00826E17">
            <w:pPr>
              <w:rPr>
                <w:rFonts w:eastAsia="Calibri"/>
                <w:b/>
                <w:sz w:val="18"/>
                <w:szCs w:val="18"/>
              </w:rPr>
            </w:pPr>
            <w:r w:rsidRPr="00A1399E">
              <w:rPr>
                <w:rFonts w:eastAsia="Calibri"/>
                <w:sz w:val="18"/>
                <w:szCs w:val="18"/>
              </w:rPr>
              <w:t>Federal and state government entities, private sector, investors, academia/think tanks; target communities, UN, donors, Somali people (including the diaspora)</w:t>
            </w:r>
          </w:p>
        </w:tc>
        <w:tc>
          <w:tcPr>
            <w:tcW w:w="1980" w:type="dxa"/>
            <w:vMerge w:val="restart"/>
          </w:tcPr>
          <w:p w14:paraId="7C778FA8" w14:textId="41F0E4EC" w:rsidR="0051174B" w:rsidRPr="00A1399E" w:rsidRDefault="0051174B" w:rsidP="00826E17">
            <w:pPr>
              <w:rPr>
                <w:rFonts w:eastAsia="Calibri"/>
                <w:b/>
                <w:sz w:val="18"/>
                <w:szCs w:val="18"/>
              </w:rPr>
            </w:pPr>
            <w:r w:rsidRPr="00A1399E">
              <w:rPr>
                <w:rFonts w:eastAsia="Calibri"/>
                <w:b/>
                <w:sz w:val="18"/>
                <w:szCs w:val="18"/>
              </w:rPr>
              <w:t xml:space="preserve">Regular: $24.2 </w:t>
            </w:r>
            <w:r w:rsidR="001E390F" w:rsidRPr="00A1399E">
              <w:rPr>
                <w:rFonts w:eastAsia="Calibri"/>
                <w:b/>
                <w:sz w:val="18"/>
                <w:szCs w:val="18"/>
              </w:rPr>
              <w:t>m</w:t>
            </w:r>
            <w:r w:rsidRPr="00A1399E">
              <w:rPr>
                <w:rFonts w:eastAsia="Calibri"/>
                <w:b/>
                <w:sz w:val="18"/>
                <w:szCs w:val="18"/>
              </w:rPr>
              <w:t>illion</w:t>
            </w:r>
          </w:p>
          <w:p w14:paraId="6931EBDB" w14:textId="77777777" w:rsidR="00E02FAA" w:rsidRPr="00A1399E" w:rsidRDefault="00E02FAA" w:rsidP="00826E17">
            <w:pPr>
              <w:rPr>
                <w:rFonts w:eastAsia="Calibri"/>
                <w:b/>
                <w:sz w:val="18"/>
                <w:szCs w:val="18"/>
              </w:rPr>
            </w:pPr>
          </w:p>
          <w:p w14:paraId="11CF1B84" w14:textId="5C2B7063" w:rsidR="0051174B" w:rsidRPr="00A1399E" w:rsidRDefault="0051174B" w:rsidP="00826E17">
            <w:pPr>
              <w:rPr>
                <w:rFonts w:eastAsia="Calibri"/>
                <w:b/>
                <w:sz w:val="18"/>
                <w:szCs w:val="18"/>
              </w:rPr>
            </w:pPr>
            <w:r w:rsidRPr="00A1399E">
              <w:rPr>
                <w:rFonts w:eastAsia="Calibri"/>
                <w:b/>
                <w:sz w:val="18"/>
                <w:szCs w:val="18"/>
              </w:rPr>
              <w:t xml:space="preserve">Other: $27 </w:t>
            </w:r>
            <w:r w:rsidR="001E390F" w:rsidRPr="00A1399E">
              <w:rPr>
                <w:rFonts w:eastAsia="Calibri"/>
                <w:b/>
                <w:sz w:val="18"/>
                <w:szCs w:val="18"/>
              </w:rPr>
              <w:t>m</w:t>
            </w:r>
            <w:r w:rsidRPr="00A1399E">
              <w:rPr>
                <w:rFonts w:eastAsia="Calibri"/>
                <w:b/>
                <w:sz w:val="18"/>
                <w:szCs w:val="18"/>
              </w:rPr>
              <w:t>illion</w:t>
            </w:r>
          </w:p>
        </w:tc>
      </w:tr>
      <w:tr w:rsidR="0051174B" w:rsidRPr="00A1399E" w14:paraId="34AC6CB0" w14:textId="77777777" w:rsidTr="000237D8">
        <w:tc>
          <w:tcPr>
            <w:tcW w:w="3290" w:type="dxa"/>
            <w:vMerge/>
          </w:tcPr>
          <w:p w14:paraId="51B118DF" w14:textId="77777777" w:rsidR="0051174B" w:rsidRPr="00A1399E" w:rsidRDefault="0051174B" w:rsidP="00826E17">
            <w:pPr>
              <w:rPr>
                <w:rFonts w:eastAsia="Calibri"/>
                <w:b/>
                <w:sz w:val="18"/>
                <w:szCs w:val="18"/>
              </w:rPr>
            </w:pPr>
          </w:p>
        </w:tc>
        <w:tc>
          <w:tcPr>
            <w:tcW w:w="3005" w:type="dxa"/>
            <w:vMerge/>
          </w:tcPr>
          <w:p w14:paraId="12140000" w14:textId="77777777" w:rsidR="0051174B" w:rsidRPr="00A1399E" w:rsidRDefault="0051174B" w:rsidP="00826E17">
            <w:pPr>
              <w:rPr>
                <w:rFonts w:eastAsia="Calibri"/>
                <w:b/>
                <w:sz w:val="18"/>
                <w:szCs w:val="18"/>
              </w:rPr>
            </w:pPr>
          </w:p>
        </w:tc>
        <w:tc>
          <w:tcPr>
            <w:tcW w:w="3870" w:type="dxa"/>
          </w:tcPr>
          <w:p w14:paraId="2450C370" w14:textId="4914037F" w:rsidR="0051174B" w:rsidRPr="00A1399E" w:rsidRDefault="0051174B" w:rsidP="00826E17">
            <w:pPr>
              <w:rPr>
                <w:rFonts w:eastAsia="Calibri"/>
                <w:b/>
                <w:bCs/>
                <w:sz w:val="18"/>
                <w:szCs w:val="18"/>
              </w:rPr>
            </w:pPr>
            <w:r w:rsidRPr="00A1399E">
              <w:rPr>
                <w:rFonts w:eastAsia="Calibri"/>
                <w:b/>
                <w:bCs/>
                <w:sz w:val="18"/>
                <w:szCs w:val="18"/>
              </w:rPr>
              <w:t>Output 3.2</w:t>
            </w:r>
            <w:r w:rsidR="00261FAF" w:rsidRPr="00A1399E">
              <w:rPr>
                <w:rFonts w:eastAsia="Calibri"/>
                <w:b/>
                <w:bCs/>
                <w:sz w:val="18"/>
                <w:szCs w:val="18"/>
              </w:rPr>
              <w:t>.</w:t>
            </w:r>
            <w:r w:rsidRPr="00A1399E">
              <w:rPr>
                <w:rFonts w:eastAsia="Calibri"/>
                <w:b/>
                <w:bCs/>
                <w:sz w:val="18"/>
                <w:szCs w:val="18"/>
              </w:rPr>
              <w:t xml:space="preserve"> Enhanced access of SMEs to business development services (BDS)</w:t>
            </w:r>
          </w:p>
          <w:p w14:paraId="49666572" w14:textId="77777777" w:rsidR="0051174B" w:rsidRPr="00A1399E" w:rsidRDefault="0051174B" w:rsidP="00826E17">
            <w:pPr>
              <w:rPr>
                <w:rFonts w:eastAsia="Calibri"/>
                <w:b/>
                <w:bCs/>
                <w:sz w:val="18"/>
                <w:szCs w:val="18"/>
              </w:rPr>
            </w:pPr>
          </w:p>
          <w:p w14:paraId="784EA45F" w14:textId="77777777" w:rsidR="0051174B" w:rsidRPr="00A1399E" w:rsidRDefault="0051174B" w:rsidP="00826E17">
            <w:pPr>
              <w:rPr>
                <w:rFonts w:eastAsia="Calibri"/>
                <w:b/>
                <w:bCs/>
                <w:sz w:val="18"/>
                <w:szCs w:val="18"/>
              </w:rPr>
            </w:pPr>
            <w:r w:rsidRPr="00A1399E">
              <w:rPr>
                <w:rFonts w:eastAsia="Calibri"/>
                <w:b/>
                <w:bCs/>
                <w:sz w:val="18"/>
                <w:szCs w:val="18"/>
              </w:rPr>
              <w:t>Indicators</w:t>
            </w:r>
          </w:p>
          <w:p w14:paraId="7C04C82B" w14:textId="77777777" w:rsidR="0051174B" w:rsidRPr="00A1399E" w:rsidRDefault="0051174B" w:rsidP="00826E17">
            <w:pPr>
              <w:rPr>
                <w:rFonts w:eastAsia="Calibri"/>
                <w:bCs/>
                <w:sz w:val="18"/>
                <w:szCs w:val="18"/>
              </w:rPr>
            </w:pPr>
            <w:r w:rsidRPr="00A1399E">
              <w:rPr>
                <w:rFonts w:eastAsia="Calibri"/>
                <w:bCs/>
                <w:sz w:val="18"/>
                <w:szCs w:val="18"/>
              </w:rPr>
              <w:t>3.2.1: Number of enterprises receiving BDS disaggregated by sector</w:t>
            </w:r>
          </w:p>
          <w:p w14:paraId="73E43FF7"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1 (2020)</w:t>
            </w:r>
          </w:p>
          <w:p w14:paraId="1676D9D3" w14:textId="110D675B"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10 per </w:t>
            </w:r>
            <w:r w:rsidR="00804411" w:rsidRPr="00A1399E">
              <w:rPr>
                <w:rFonts w:eastAsia="Calibri"/>
                <w:sz w:val="18"/>
                <w:szCs w:val="18"/>
              </w:rPr>
              <w:t>state</w:t>
            </w:r>
          </w:p>
          <w:p w14:paraId="688F2720" w14:textId="5FF07C90"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0162D1" w:rsidRPr="00A1399E">
              <w:rPr>
                <w:rFonts w:eastAsia="Calibri"/>
                <w:sz w:val="18"/>
                <w:szCs w:val="18"/>
              </w:rPr>
              <w:t>T</w:t>
            </w:r>
            <w:r w:rsidR="00261FAF" w:rsidRPr="00A1399E">
              <w:rPr>
                <w:rFonts w:eastAsia="Calibri"/>
                <w:bCs/>
                <w:sz w:val="18"/>
                <w:szCs w:val="18"/>
              </w:rPr>
              <w:t>hird-party monitoring</w:t>
            </w:r>
          </w:p>
          <w:p w14:paraId="56DCEEA9" w14:textId="77777777" w:rsidR="0051174B" w:rsidRPr="00A1399E" w:rsidRDefault="0051174B" w:rsidP="00826E17">
            <w:pPr>
              <w:rPr>
                <w:rFonts w:eastAsia="Calibri"/>
                <w:b/>
                <w:sz w:val="18"/>
                <w:szCs w:val="18"/>
              </w:rPr>
            </w:pPr>
            <w:r w:rsidRPr="00A1399E">
              <w:rPr>
                <w:rFonts w:eastAsia="Calibri"/>
                <w:b/>
                <w:bCs/>
                <w:sz w:val="18"/>
                <w:szCs w:val="18"/>
              </w:rPr>
              <w:t>Frequency</w:t>
            </w:r>
            <w:r w:rsidRPr="00A1399E">
              <w:rPr>
                <w:rFonts w:eastAsia="Calibri"/>
                <w:sz w:val="18"/>
                <w:szCs w:val="18"/>
              </w:rPr>
              <w:t>: Annual</w:t>
            </w:r>
          </w:p>
          <w:p w14:paraId="74BCA2C8" w14:textId="77777777" w:rsidR="0051174B" w:rsidRPr="00A1399E" w:rsidRDefault="0051174B" w:rsidP="00826E17">
            <w:pPr>
              <w:rPr>
                <w:rFonts w:eastAsia="Calibri"/>
                <w:bCs/>
                <w:sz w:val="18"/>
                <w:szCs w:val="18"/>
              </w:rPr>
            </w:pPr>
          </w:p>
          <w:p w14:paraId="03BDC740" w14:textId="27E77FFF" w:rsidR="0051174B" w:rsidRPr="00A1399E" w:rsidRDefault="0051174B" w:rsidP="00826E17">
            <w:pPr>
              <w:rPr>
                <w:rFonts w:eastAsia="Calibri"/>
                <w:bCs/>
                <w:sz w:val="18"/>
                <w:szCs w:val="18"/>
              </w:rPr>
            </w:pPr>
            <w:r w:rsidRPr="00A1399E">
              <w:rPr>
                <w:rFonts w:eastAsia="Calibri"/>
                <w:bCs/>
                <w:sz w:val="18"/>
                <w:szCs w:val="18"/>
              </w:rPr>
              <w:t xml:space="preserve">3.2.2: Number of women, youth and </w:t>
            </w:r>
            <w:r w:rsidR="00261FAF" w:rsidRPr="00A1399E">
              <w:rPr>
                <w:rFonts w:eastAsia="Calibri"/>
                <w:bCs/>
                <w:sz w:val="18"/>
                <w:szCs w:val="18"/>
              </w:rPr>
              <w:t>persons with disabilities</w:t>
            </w:r>
            <w:r w:rsidRPr="00A1399E">
              <w:rPr>
                <w:rFonts w:eastAsia="Calibri"/>
                <w:bCs/>
                <w:sz w:val="18"/>
                <w:szCs w:val="18"/>
              </w:rPr>
              <w:t>–owned enterprises capacitated</w:t>
            </w:r>
          </w:p>
          <w:p w14:paraId="440D6A8E"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0 (2020)</w:t>
            </w:r>
          </w:p>
          <w:p w14:paraId="51BDAA78"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10 per category</w:t>
            </w:r>
          </w:p>
          <w:p w14:paraId="7441921C" w14:textId="78868640"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0162D1" w:rsidRPr="00A1399E">
              <w:rPr>
                <w:rFonts w:eastAsia="Calibri"/>
                <w:sz w:val="18"/>
                <w:szCs w:val="18"/>
              </w:rPr>
              <w:t>T</w:t>
            </w:r>
            <w:r w:rsidR="00261FAF" w:rsidRPr="00A1399E">
              <w:rPr>
                <w:rFonts w:eastAsia="Calibri"/>
                <w:bCs/>
                <w:sz w:val="18"/>
                <w:szCs w:val="18"/>
              </w:rPr>
              <w:t>hird-party monitoring</w:t>
            </w:r>
          </w:p>
          <w:p w14:paraId="1B6B07DE" w14:textId="71EDCB06" w:rsidR="0051174B" w:rsidRPr="00AC56B5" w:rsidRDefault="0051174B" w:rsidP="00AC56B5">
            <w:pPr>
              <w:spacing w:after="60"/>
              <w:rPr>
                <w:rFonts w:eastAsia="Calibri"/>
                <w:b/>
                <w:sz w:val="18"/>
                <w:szCs w:val="18"/>
              </w:rPr>
            </w:pPr>
            <w:r w:rsidRPr="00A1399E">
              <w:rPr>
                <w:rFonts w:eastAsia="Calibri"/>
                <w:b/>
                <w:bCs/>
                <w:sz w:val="18"/>
                <w:szCs w:val="18"/>
              </w:rPr>
              <w:t>Frequency</w:t>
            </w:r>
            <w:r w:rsidRPr="00A1399E">
              <w:rPr>
                <w:rFonts w:eastAsia="Calibri"/>
                <w:sz w:val="18"/>
                <w:szCs w:val="18"/>
              </w:rPr>
              <w:t>: Annual</w:t>
            </w:r>
          </w:p>
        </w:tc>
        <w:tc>
          <w:tcPr>
            <w:tcW w:w="2250" w:type="dxa"/>
            <w:vMerge/>
          </w:tcPr>
          <w:p w14:paraId="74198A3D" w14:textId="77777777" w:rsidR="0051174B" w:rsidRPr="00A1399E" w:rsidRDefault="0051174B" w:rsidP="00826E17">
            <w:pPr>
              <w:rPr>
                <w:rFonts w:eastAsia="Calibri"/>
                <w:sz w:val="18"/>
                <w:szCs w:val="18"/>
              </w:rPr>
            </w:pPr>
          </w:p>
        </w:tc>
        <w:tc>
          <w:tcPr>
            <w:tcW w:w="1980" w:type="dxa"/>
            <w:vMerge/>
          </w:tcPr>
          <w:p w14:paraId="12D94804" w14:textId="77777777" w:rsidR="0051174B" w:rsidRPr="00A1399E" w:rsidRDefault="0051174B" w:rsidP="00826E17">
            <w:pPr>
              <w:rPr>
                <w:rFonts w:eastAsia="Calibri"/>
                <w:b/>
                <w:sz w:val="18"/>
                <w:szCs w:val="18"/>
              </w:rPr>
            </w:pPr>
          </w:p>
        </w:tc>
      </w:tr>
      <w:tr w:rsidR="0051174B" w:rsidRPr="00A1399E" w14:paraId="335D3B5A" w14:textId="77777777" w:rsidTr="000237D8">
        <w:tc>
          <w:tcPr>
            <w:tcW w:w="3290" w:type="dxa"/>
            <w:vMerge/>
          </w:tcPr>
          <w:p w14:paraId="55D26E5C" w14:textId="77777777" w:rsidR="0051174B" w:rsidRPr="00A1399E" w:rsidRDefault="0051174B" w:rsidP="00826E17">
            <w:pPr>
              <w:rPr>
                <w:rFonts w:eastAsia="Calibri"/>
                <w:b/>
                <w:sz w:val="18"/>
                <w:szCs w:val="18"/>
              </w:rPr>
            </w:pPr>
          </w:p>
        </w:tc>
        <w:tc>
          <w:tcPr>
            <w:tcW w:w="3005" w:type="dxa"/>
            <w:vMerge/>
          </w:tcPr>
          <w:p w14:paraId="04E091C6" w14:textId="77777777" w:rsidR="0051174B" w:rsidRPr="00A1399E" w:rsidRDefault="0051174B" w:rsidP="00826E17">
            <w:pPr>
              <w:rPr>
                <w:rFonts w:eastAsia="Calibri"/>
                <w:b/>
                <w:sz w:val="18"/>
                <w:szCs w:val="18"/>
              </w:rPr>
            </w:pPr>
          </w:p>
        </w:tc>
        <w:tc>
          <w:tcPr>
            <w:tcW w:w="3870" w:type="dxa"/>
          </w:tcPr>
          <w:p w14:paraId="3644FDF2" w14:textId="77777777" w:rsidR="0051174B" w:rsidRPr="00A1399E" w:rsidRDefault="0051174B" w:rsidP="00826E17">
            <w:pPr>
              <w:rPr>
                <w:rFonts w:eastAsia="Calibri"/>
                <w:b/>
                <w:sz w:val="18"/>
                <w:szCs w:val="18"/>
              </w:rPr>
            </w:pPr>
            <w:r w:rsidRPr="00A1399E">
              <w:rPr>
                <w:rFonts w:eastAsia="Calibri"/>
                <w:b/>
                <w:sz w:val="18"/>
                <w:szCs w:val="18"/>
              </w:rPr>
              <w:t>Output 3.3 Enhanced access to clean, affordable and sustainable energy for economic growth</w:t>
            </w:r>
          </w:p>
          <w:p w14:paraId="0FCEFC6B" w14:textId="77777777" w:rsidR="0051174B" w:rsidRPr="00A1399E" w:rsidRDefault="0051174B" w:rsidP="00826E17">
            <w:pPr>
              <w:rPr>
                <w:rFonts w:eastAsia="Calibri"/>
                <w:sz w:val="18"/>
                <w:szCs w:val="18"/>
              </w:rPr>
            </w:pPr>
          </w:p>
          <w:p w14:paraId="12B63DA3" w14:textId="77777777" w:rsidR="0051174B" w:rsidRPr="00A1399E" w:rsidRDefault="0051174B" w:rsidP="00826E17">
            <w:pPr>
              <w:rPr>
                <w:rFonts w:eastAsia="Calibri"/>
                <w:b/>
                <w:sz w:val="18"/>
                <w:szCs w:val="18"/>
              </w:rPr>
            </w:pPr>
            <w:r w:rsidRPr="00A1399E">
              <w:rPr>
                <w:rFonts w:eastAsia="Calibri"/>
                <w:b/>
                <w:sz w:val="18"/>
                <w:szCs w:val="18"/>
              </w:rPr>
              <w:t>Indicators</w:t>
            </w:r>
          </w:p>
          <w:p w14:paraId="7467427F" w14:textId="25418E84" w:rsidR="0051174B" w:rsidRPr="00A1399E" w:rsidRDefault="0051174B" w:rsidP="00826E17">
            <w:pPr>
              <w:rPr>
                <w:rFonts w:eastAsia="Calibri"/>
                <w:sz w:val="18"/>
                <w:szCs w:val="18"/>
              </w:rPr>
            </w:pPr>
            <w:r w:rsidRPr="00A1399E">
              <w:rPr>
                <w:rFonts w:eastAsia="Calibri"/>
                <w:sz w:val="18"/>
                <w:szCs w:val="18"/>
              </w:rPr>
              <w:t>3.3.1: Number of households benefitting from clean, affordable and sustainable energy access, by category (women, pastoralists, IDPs)</w:t>
            </w:r>
          </w:p>
          <w:p w14:paraId="11FC607F"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58,682 households (86% women headed households) (2020)</w:t>
            </w:r>
          </w:p>
          <w:p w14:paraId="1A0EA056"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350,000 households (90% women headed households)</w:t>
            </w:r>
          </w:p>
          <w:p w14:paraId="3E29BF8F" w14:textId="5BD93830"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A9466F" w:rsidRPr="00A1399E">
              <w:rPr>
                <w:rFonts w:eastAsia="Calibri"/>
                <w:bCs/>
                <w:sz w:val="18"/>
                <w:szCs w:val="18"/>
              </w:rPr>
              <w:t>Third-party monitoring</w:t>
            </w:r>
          </w:p>
          <w:p w14:paraId="62A6B341"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w:t>
            </w:r>
          </w:p>
          <w:p w14:paraId="3037AA71" w14:textId="77777777" w:rsidR="0051174B" w:rsidRPr="00A1399E" w:rsidRDefault="0051174B" w:rsidP="00826E17">
            <w:pPr>
              <w:rPr>
                <w:rFonts w:eastAsia="Calibri"/>
                <w:sz w:val="18"/>
                <w:szCs w:val="18"/>
              </w:rPr>
            </w:pPr>
          </w:p>
          <w:p w14:paraId="6292851E" w14:textId="77777777" w:rsidR="0051174B" w:rsidRPr="00A1399E" w:rsidRDefault="0051174B" w:rsidP="00826E17">
            <w:pPr>
              <w:rPr>
                <w:rFonts w:eastAsia="Calibri"/>
                <w:sz w:val="18"/>
                <w:szCs w:val="18"/>
              </w:rPr>
            </w:pPr>
            <w:r w:rsidRPr="00A1399E">
              <w:rPr>
                <w:rFonts w:eastAsia="Calibri"/>
                <w:sz w:val="18"/>
                <w:szCs w:val="18"/>
              </w:rPr>
              <w:t xml:space="preserve">3.3.2: Number of legal and regulatory frameworks on energy developed and implemented </w:t>
            </w:r>
          </w:p>
          <w:p w14:paraId="545C144F"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5 (2020)</w:t>
            </w:r>
          </w:p>
          <w:p w14:paraId="6B83F270"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10</w:t>
            </w:r>
          </w:p>
          <w:p w14:paraId="3FF8A76D" w14:textId="374D7BDB"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A9466F" w:rsidRPr="00A1399E">
              <w:rPr>
                <w:rFonts w:eastAsia="Calibri"/>
                <w:bCs/>
                <w:sz w:val="18"/>
                <w:szCs w:val="18"/>
              </w:rPr>
              <w:t>Third-party monitoring</w:t>
            </w:r>
          </w:p>
          <w:p w14:paraId="413BDA70"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As applicable</w:t>
            </w:r>
          </w:p>
          <w:p w14:paraId="3037CC5C" w14:textId="77777777" w:rsidR="0051174B" w:rsidRPr="00A1399E" w:rsidRDefault="0051174B" w:rsidP="00826E17">
            <w:pPr>
              <w:rPr>
                <w:rFonts w:eastAsia="Calibri"/>
                <w:b/>
                <w:sz w:val="18"/>
                <w:szCs w:val="18"/>
              </w:rPr>
            </w:pPr>
          </w:p>
          <w:p w14:paraId="67A7BECF" w14:textId="5F05232F" w:rsidR="0051174B" w:rsidRPr="00A1399E" w:rsidRDefault="0051174B" w:rsidP="00826E17">
            <w:pPr>
              <w:rPr>
                <w:rFonts w:eastAsia="Calibri"/>
                <w:sz w:val="18"/>
                <w:szCs w:val="18"/>
              </w:rPr>
            </w:pPr>
            <w:r w:rsidRPr="00A1399E">
              <w:rPr>
                <w:rFonts w:eastAsia="Calibri"/>
                <w:sz w:val="18"/>
                <w:szCs w:val="18"/>
              </w:rPr>
              <w:t xml:space="preserve">3.3.3 Number of clean energy systems </w:t>
            </w:r>
          </w:p>
          <w:p w14:paraId="7D14B422"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9 (2020)</w:t>
            </w:r>
          </w:p>
          <w:p w14:paraId="1E4F6EB2"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15</w:t>
            </w:r>
          </w:p>
          <w:p w14:paraId="68565D55" w14:textId="231396C2"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0162D1" w:rsidRPr="00A1399E">
              <w:rPr>
                <w:rFonts w:eastAsia="Calibri"/>
                <w:sz w:val="18"/>
                <w:szCs w:val="18"/>
              </w:rPr>
              <w:t>Third-party monitoring</w:t>
            </w:r>
          </w:p>
          <w:p w14:paraId="527A78A4" w14:textId="57CB2115" w:rsidR="00AC56B5" w:rsidRPr="00A1399E" w:rsidRDefault="0051174B" w:rsidP="00FC5139">
            <w:pPr>
              <w:spacing w:after="60"/>
              <w:rPr>
                <w:rFonts w:eastAsia="Calibri"/>
                <w:b/>
                <w:sz w:val="18"/>
                <w:szCs w:val="18"/>
              </w:rPr>
            </w:pPr>
            <w:r w:rsidRPr="00A1399E">
              <w:rPr>
                <w:rFonts w:eastAsia="Calibri"/>
                <w:b/>
                <w:bCs/>
                <w:sz w:val="18"/>
                <w:szCs w:val="18"/>
              </w:rPr>
              <w:t>Frequency</w:t>
            </w:r>
            <w:r w:rsidRPr="00A1399E">
              <w:rPr>
                <w:rFonts w:eastAsia="Calibri"/>
                <w:sz w:val="18"/>
                <w:szCs w:val="18"/>
              </w:rPr>
              <w:t>: Annual</w:t>
            </w:r>
          </w:p>
        </w:tc>
        <w:tc>
          <w:tcPr>
            <w:tcW w:w="2250" w:type="dxa"/>
            <w:vMerge/>
          </w:tcPr>
          <w:p w14:paraId="3F731DC5" w14:textId="77777777" w:rsidR="0051174B" w:rsidRPr="00A1399E" w:rsidRDefault="0051174B" w:rsidP="00826E17">
            <w:pPr>
              <w:rPr>
                <w:rFonts w:eastAsia="Calibri"/>
                <w:sz w:val="18"/>
                <w:szCs w:val="18"/>
              </w:rPr>
            </w:pPr>
          </w:p>
        </w:tc>
        <w:tc>
          <w:tcPr>
            <w:tcW w:w="1980" w:type="dxa"/>
            <w:vMerge/>
          </w:tcPr>
          <w:p w14:paraId="3E49E183" w14:textId="77777777" w:rsidR="0051174B" w:rsidRPr="00A1399E" w:rsidRDefault="0051174B" w:rsidP="00826E17">
            <w:pPr>
              <w:ind w:firstLine="720"/>
              <w:rPr>
                <w:rFonts w:eastAsia="Calibri"/>
                <w:b/>
                <w:sz w:val="18"/>
                <w:szCs w:val="18"/>
              </w:rPr>
            </w:pPr>
          </w:p>
        </w:tc>
      </w:tr>
      <w:tr w:rsidR="0051174B" w:rsidRPr="00A1399E" w14:paraId="3F48BE4C" w14:textId="77777777" w:rsidTr="000237D8">
        <w:tc>
          <w:tcPr>
            <w:tcW w:w="3290" w:type="dxa"/>
            <w:vMerge/>
          </w:tcPr>
          <w:p w14:paraId="1ABAC097" w14:textId="77777777" w:rsidR="0051174B" w:rsidRPr="00A1399E" w:rsidRDefault="0051174B" w:rsidP="00826E17">
            <w:pPr>
              <w:rPr>
                <w:rFonts w:eastAsia="Calibri"/>
                <w:b/>
                <w:sz w:val="18"/>
                <w:szCs w:val="18"/>
              </w:rPr>
            </w:pPr>
          </w:p>
        </w:tc>
        <w:tc>
          <w:tcPr>
            <w:tcW w:w="3005" w:type="dxa"/>
            <w:vMerge/>
          </w:tcPr>
          <w:p w14:paraId="097B32FB" w14:textId="77777777" w:rsidR="0051174B" w:rsidRPr="00A1399E" w:rsidRDefault="0051174B" w:rsidP="00826E17">
            <w:pPr>
              <w:rPr>
                <w:rFonts w:eastAsia="Calibri"/>
                <w:b/>
                <w:sz w:val="18"/>
                <w:szCs w:val="18"/>
              </w:rPr>
            </w:pPr>
          </w:p>
        </w:tc>
        <w:tc>
          <w:tcPr>
            <w:tcW w:w="3870" w:type="dxa"/>
          </w:tcPr>
          <w:p w14:paraId="565F7DA8" w14:textId="418B667F" w:rsidR="0051174B" w:rsidRPr="00A1399E" w:rsidRDefault="0051174B" w:rsidP="00826E17">
            <w:pPr>
              <w:rPr>
                <w:rFonts w:eastAsia="Calibri"/>
                <w:b/>
                <w:bCs/>
                <w:sz w:val="18"/>
                <w:szCs w:val="18"/>
              </w:rPr>
            </w:pPr>
            <w:r w:rsidRPr="00A1399E">
              <w:rPr>
                <w:rFonts w:eastAsia="Calibri"/>
                <w:b/>
                <w:bCs/>
                <w:sz w:val="18"/>
                <w:szCs w:val="18"/>
              </w:rPr>
              <w:t>Output 3.4</w:t>
            </w:r>
            <w:r w:rsidR="00A9466F" w:rsidRPr="00A1399E">
              <w:rPr>
                <w:rFonts w:eastAsia="Calibri"/>
                <w:b/>
                <w:bCs/>
                <w:sz w:val="18"/>
                <w:szCs w:val="18"/>
              </w:rPr>
              <w:t xml:space="preserve">. </w:t>
            </w:r>
            <w:r w:rsidRPr="00A1399E">
              <w:rPr>
                <w:rFonts w:eastAsia="Calibri"/>
                <w:b/>
                <w:bCs/>
                <w:sz w:val="18"/>
                <w:szCs w:val="18"/>
              </w:rPr>
              <w:t xml:space="preserve">Strengthened national capacities for planning and data generation for inclusive economic growth </w:t>
            </w:r>
          </w:p>
          <w:p w14:paraId="286471E5" w14:textId="77777777" w:rsidR="0051174B" w:rsidRPr="00A1399E" w:rsidRDefault="0051174B" w:rsidP="00826E17">
            <w:pPr>
              <w:rPr>
                <w:rFonts w:eastAsia="Calibri"/>
                <w:b/>
                <w:bCs/>
                <w:sz w:val="18"/>
                <w:szCs w:val="18"/>
              </w:rPr>
            </w:pPr>
          </w:p>
          <w:p w14:paraId="30722C31" w14:textId="77777777" w:rsidR="0051174B" w:rsidRPr="00A1399E" w:rsidRDefault="0051174B" w:rsidP="00826E17">
            <w:pPr>
              <w:rPr>
                <w:rFonts w:eastAsia="Calibri"/>
                <w:b/>
                <w:bCs/>
                <w:sz w:val="18"/>
                <w:szCs w:val="18"/>
              </w:rPr>
            </w:pPr>
            <w:r w:rsidRPr="00A1399E">
              <w:rPr>
                <w:rFonts w:eastAsia="Calibri"/>
                <w:b/>
                <w:bCs/>
                <w:sz w:val="18"/>
                <w:szCs w:val="18"/>
              </w:rPr>
              <w:t>Indicators:</w:t>
            </w:r>
          </w:p>
          <w:p w14:paraId="27163103" w14:textId="2930BB0D" w:rsidR="0051174B" w:rsidRPr="00A1399E" w:rsidRDefault="0051174B" w:rsidP="00826E17">
            <w:pPr>
              <w:rPr>
                <w:rFonts w:eastAsia="Calibri"/>
                <w:bCs/>
                <w:sz w:val="18"/>
                <w:szCs w:val="18"/>
              </w:rPr>
            </w:pPr>
            <w:r w:rsidRPr="00A1399E">
              <w:rPr>
                <w:rFonts w:eastAsia="Calibri"/>
                <w:bCs/>
                <w:sz w:val="18"/>
                <w:szCs w:val="18"/>
              </w:rPr>
              <w:t xml:space="preserve">3.4.1: Number of </w:t>
            </w:r>
            <w:r w:rsidR="00A9466F" w:rsidRPr="00A1399E">
              <w:rPr>
                <w:rFonts w:eastAsia="Calibri"/>
                <w:bCs/>
                <w:sz w:val="18"/>
                <w:szCs w:val="18"/>
              </w:rPr>
              <w:t xml:space="preserve">Federal </w:t>
            </w:r>
            <w:r w:rsidR="00216A5F" w:rsidRPr="00A1399E">
              <w:rPr>
                <w:rFonts w:eastAsia="Calibri"/>
                <w:bCs/>
                <w:sz w:val="18"/>
                <w:szCs w:val="18"/>
              </w:rPr>
              <w:t>M</w:t>
            </w:r>
            <w:r w:rsidR="00A9466F" w:rsidRPr="00A1399E">
              <w:rPr>
                <w:rFonts w:eastAsia="Calibri"/>
                <w:bCs/>
                <w:sz w:val="18"/>
                <w:szCs w:val="18"/>
              </w:rPr>
              <w:t xml:space="preserve">ember States </w:t>
            </w:r>
            <w:r w:rsidRPr="00A1399E">
              <w:rPr>
                <w:rFonts w:eastAsia="Calibri"/>
                <w:bCs/>
                <w:sz w:val="18"/>
                <w:szCs w:val="18"/>
              </w:rPr>
              <w:t>development plans finalized and implemented</w:t>
            </w:r>
          </w:p>
          <w:p w14:paraId="09AD13B9" w14:textId="77777777" w:rsidR="0051174B" w:rsidRPr="00A1399E" w:rsidRDefault="0051174B" w:rsidP="00826E17">
            <w:pPr>
              <w:rPr>
                <w:rFonts w:eastAsia="Calibri"/>
                <w:sz w:val="18"/>
                <w:szCs w:val="18"/>
              </w:rPr>
            </w:pPr>
            <w:r w:rsidRPr="00A1399E">
              <w:rPr>
                <w:rFonts w:eastAsia="Calibri"/>
                <w:b/>
                <w:bCs/>
                <w:sz w:val="18"/>
                <w:szCs w:val="18"/>
              </w:rPr>
              <w:lastRenderedPageBreak/>
              <w:t>Baseline</w:t>
            </w:r>
            <w:r w:rsidRPr="00A1399E">
              <w:rPr>
                <w:rFonts w:eastAsia="Calibri"/>
                <w:sz w:val="18"/>
                <w:szCs w:val="18"/>
              </w:rPr>
              <w:t>: 2 (2020)</w:t>
            </w:r>
          </w:p>
          <w:p w14:paraId="4FDA58ED"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6</w:t>
            </w:r>
          </w:p>
          <w:p w14:paraId="06926932" w14:textId="552F89C3"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4E3008" w:rsidRPr="00A1399E">
              <w:rPr>
                <w:rFonts w:eastAsia="Calibri"/>
                <w:sz w:val="18"/>
                <w:szCs w:val="18"/>
              </w:rPr>
              <w:t>Project report</w:t>
            </w:r>
          </w:p>
          <w:p w14:paraId="39DA68A0"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w:t>
            </w:r>
          </w:p>
          <w:p w14:paraId="0AEC8437" w14:textId="77777777" w:rsidR="0051174B" w:rsidRPr="00A1399E" w:rsidRDefault="0051174B" w:rsidP="00826E17">
            <w:pPr>
              <w:rPr>
                <w:rFonts w:eastAsia="Calibri"/>
                <w:b/>
                <w:bCs/>
                <w:sz w:val="18"/>
                <w:szCs w:val="18"/>
              </w:rPr>
            </w:pPr>
          </w:p>
          <w:p w14:paraId="2E98ED66" w14:textId="2C0EEA43" w:rsidR="0051174B" w:rsidRPr="00A1399E" w:rsidRDefault="0051174B" w:rsidP="00826E17">
            <w:pPr>
              <w:rPr>
                <w:rFonts w:eastAsia="Calibri"/>
                <w:bCs/>
                <w:sz w:val="18"/>
                <w:szCs w:val="18"/>
              </w:rPr>
            </w:pPr>
            <w:r w:rsidRPr="00A1399E">
              <w:rPr>
                <w:rFonts w:eastAsia="Calibri"/>
                <w:bCs/>
                <w:sz w:val="18"/>
                <w:szCs w:val="18"/>
              </w:rPr>
              <w:t xml:space="preserve">3.4.2: Extent of implementation of </w:t>
            </w:r>
            <w:r w:rsidR="00A9466F" w:rsidRPr="00A1399E">
              <w:rPr>
                <w:rFonts w:eastAsia="Calibri"/>
                <w:bCs/>
                <w:sz w:val="18"/>
                <w:szCs w:val="18"/>
              </w:rPr>
              <w:t>n</w:t>
            </w:r>
            <w:r w:rsidRPr="00A1399E">
              <w:rPr>
                <w:rFonts w:eastAsia="Calibri"/>
                <w:bCs/>
                <w:sz w:val="18"/>
                <w:szCs w:val="18"/>
              </w:rPr>
              <w:t xml:space="preserve">ational </w:t>
            </w:r>
            <w:r w:rsidR="00A9466F" w:rsidRPr="00A1399E">
              <w:rPr>
                <w:rFonts w:eastAsia="Calibri"/>
                <w:bCs/>
                <w:sz w:val="18"/>
                <w:szCs w:val="18"/>
              </w:rPr>
              <w:t>s</w:t>
            </w:r>
            <w:r w:rsidRPr="00A1399E">
              <w:rPr>
                <w:rFonts w:eastAsia="Calibri"/>
                <w:bCs/>
                <w:sz w:val="18"/>
                <w:szCs w:val="18"/>
              </w:rPr>
              <w:t xml:space="preserve">tatistics </w:t>
            </w:r>
            <w:r w:rsidR="00A9466F" w:rsidRPr="00A1399E">
              <w:rPr>
                <w:rFonts w:eastAsia="Calibri"/>
                <w:bCs/>
                <w:sz w:val="18"/>
                <w:szCs w:val="18"/>
              </w:rPr>
              <w:t>s</w:t>
            </w:r>
            <w:r w:rsidRPr="00A1399E">
              <w:rPr>
                <w:rFonts w:eastAsia="Calibri"/>
                <w:bCs/>
                <w:sz w:val="18"/>
                <w:szCs w:val="18"/>
              </w:rPr>
              <w:t xml:space="preserve">trategic </w:t>
            </w:r>
            <w:r w:rsidR="00A9466F" w:rsidRPr="00A1399E">
              <w:rPr>
                <w:rFonts w:eastAsia="Calibri"/>
                <w:bCs/>
                <w:sz w:val="18"/>
                <w:szCs w:val="18"/>
              </w:rPr>
              <w:t>p</w:t>
            </w:r>
            <w:r w:rsidRPr="00A1399E">
              <w:rPr>
                <w:rFonts w:eastAsia="Calibri"/>
                <w:bCs/>
                <w:sz w:val="18"/>
                <w:szCs w:val="18"/>
              </w:rPr>
              <w:t xml:space="preserve">lan </w:t>
            </w:r>
          </w:p>
          <w:p w14:paraId="71BAEF25"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0</w:t>
            </w:r>
          </w:p>
          <w:p w14:paraId="2B755461"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90%</w:t>
            </w:r>
          </w:p>
          <w:p w14:paraId="4F32E37B" w14:textId="32D6FF6E"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4E3008" w:rsidRPr="00A1399E">
              <w:rPr>
                <w:rFonts w:eastAsia="Calibri"/>
                <w:sz w:val="18"/>
                <w:szCs w:val="18"/>
              </w:rPr>
              <w:t>Project report</w:t>
            </w:r>
            <w:r w:rsidR="00A9466F" w:rsidRPr="00A1399E">
              <w:rPr>
                <w:rFonts w:eastAsia="Calibri"/>
                <w:sz w:val="18"/>
                <w:szCs w:val="18"/>
              </w:rPr>
              <w:t xml:space="preserve"> </w:t>
            </w:r>
          </w:p>
          <w:p w14:paraId="6E4DC225"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xml:space="preserve">: As applicable </w:t>
            </w:r>
          </w:p>
          <w:p w14:paraId="381DE4D3" w14:textId="77777777" w:rsidR="0051174B" w:rsidRPr="00A1399E" w:rsidRDefault="0051174B" w:rsidP="00826E17">
            <w:pPr>
              <w:rPr>
                <w:rFonts w:eastAsia="Calibri"/>
                <w:b/>
                <w:bCs/>
                <w:sz w:val="18"/>
                <w:szCs w:val="18"/>
              </w:rPr>
            </w:pPr>
          </w:p>
          <w:p w14:paraId="6DE05555" w14:textId="6323BBFB" w:rsidR="0051174B" w:rsidRPr="00A1399E" w:rsidRDefault="0051174B" w:rsidP="00826E17">
            <w:pPr>
              <w:rPr>
                <w:rFonts w:eastAsia="Calibri"/>
                <w:bCs/>
                <w:sz w:val="18"/>
                <w:szCs w:val="18"/>
              </w:rPr>
            </w:pPr>
            <w:r w:rsidRPr="00A1399E">
              <w:rPr>
                <w:rFonts w:eastAsia="Calibri"/>
                <w:bCs/>
                <w:sz w:val="18"/>
                <w:szCs w:val="18"/>
              </w:rPr>
              <w:t xml:space="preserve">3.4.3: Number of institutions strengthened for effective programme management </w:t>
            </w:r>
          </w:p>
          <w:p w14:paraId="0FE070E8"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25 (2020)</w:t>
            </w:r>
          </w:p>
          <w:p w14:paraId="305821FD"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100</w:t>
            </w:r>
          </w:p>
          <w:p w14:paraId="401CB91B" w14:textId="7D11E0AB"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A9466F" w:rsidRPr="00A1399E">
              <w:rPr>
                <w:rFonts w:eastAsia="Calibri"/>
                <w:sz w:val="18"/>
                <w:szCs w:val="18"/>
              </w:rPr>
              <w:t>Third-party monitoring</w:t>
            </w:r>
          </w:p>
          <w:p w14:paraId="05E772C8" w14:textId="6D5478AF" w:rsidR="0051174B" w:rsidRPr="00FC5139" w:rsidRDefault="0051174B" w:rsidP="00FC5139">
            <w:pPr>
              <w:spacing w:after="60"/>
              <w:rPr>
                <w:rFonts w:eastAsia="Calibri"/>
                <w:b/>
                <w:bCs/>
                <w:sz w:val="18"/>
                <w:szCs w:val="18"/>
              </w:rPr>
            </w:pPr>
            <w:r w:rsidRPr="00A1399E">
              <w:rPr>
                <w:rFonts w:eastAsia="Calibri"/>
                <w:b/>
                <w:bCs/>
                <w:sz w:val="18"/>
                <w:szCs w:val="18"/>
              </w:rPr>
              <w:t>Frequency</w:t>
            </w:r>
            <w:r w:rsidRPr="00A1399E">
              <w:rPr>
                <w:rFonts w:eastAsia="Calibri"/>
                <w:sz w:val="18"/>
                <w:szCs w:val="18"/>
              </w:rPr>
              <w:t>: Annual</w:t>
            </w:r>
          </w:p>
        </w:tc>
        <w:tc>
          <w:tcPr>
            <w:tcW w:w="2250" w:type="dxa"/>
            <w:vMerge/>
          </w:tcPr>
          <w:p w14:paraId="1B2B0AAC" w14:textId="77777777" w:rsidR="0051174B" w:rsidRPr="00A1399E" w:rsidDel="00D12175" w:rsidRDefault="0051174B" w:rsidP="00826E17">
            <w:pPr>
              <w:rPr>
                <w:rFonts w:eastAsia="Calibri"/>
                <w:sz w:val="18"/>
                <w:szCs w:val="18"/>
              </w:rPr>
            </w:pPr>
          </w:p>
        </w:tc>
        <w:tc>
          <w:tcPr>
            <w:tcW w:w="1980" w:type="dxa"/>
            <w:vMerge/>
          </w:tcPr>
          <w:p w14:paraId="5D451BCF" w14:textId="77777777" w:rsidR="0051174B" w:rsidRPr="00A1399E" w:rsidRDefault="0051174B" w:rsidP="00826E17">
            <w:pPr>
              <w:ind w:firstLine="720"/>
              <w:rPr>
                <w:rFonts w:eastAsia="Calibri"/>
                <w:b/>
                <w:sz w:val="18"/>
                <w:szCs w:val="18"/>
              </w:rPr>
            </w:pPr>
          </w:p>
        </w:tc>
      </w:tr>
      <w:tr w:rsidR="0051174B" w:rsidRPr="00A1399E" w14:paraId="0DAFE6CB" w14:textId="77777777" w:rsidTr="000237D8">
        <w:tc>
          <w:tcPr>
            <w:tcW w:w="3290" w:type="dxa"/>
            <w:vMerge/>
          </w:tcPr>
          <w:p w14:paraId="64B94B3D" w14:textId="77777777" w:rsidR="0051174B" w:rsidRPr="00A1399E" w:rsidRDefault="0051174B" w:rsidP="00826E17">
            <w:pPr>
              <w:rPr>
                <w:rFonts w:eastAsia="Calibri"/>
                <w:b/>
                <w:sz w:val="18"/>
                <w:szCs w:val="18"/>
              </w:rPr>
            </w:pPr>
          </w:p>
        </w:tc>
        <w:tc>
          <w:tcPr>
            <w:tcW w:w="3005" w:type="dxa"/>
            <w:vMerge/>
          </w:tcPr>
          <w:p w14:paraId="33885700" w14:textId="77777777" w:rsidR="0051174B" w:rsidRPr="00A1399E" w:rsidRDefault="0051174B" w:rsidP="00826E17">
            <w:pPr>
              <w:rPr>
                <w:rFonts w:eastAsia="Calibri"/>
                <w:b/>
                <w:sz w:val="18"/>
                <w:szCs w:val="18"/>
              </w:rPr>
            </w:pPr>
          </w:p>
        </w:tc>
        <w:tc>
          <w:tcPr>
            <w:tcW w:w="3870" w:type="dxa"/>
          </w:tcPr>
          <w:p w14:paraId="107E6DCD" w14:textId="31E50BCA" w:rsidR="0051174B" w:rsidRPr="00A1399E" w:rsidRDefault="0051174B" w:rsidP="00826E17">
            <w:pPr>
              <w:rPr>
                <w:rFonts w:eastAsia="Calibri"/>
                <w:b/>
                <w:bCs/>
                <w:sz w:val="18"/>
                <w:szCs w:val="18"/>
              </w:rPr>
            </w:pPr>
            <w:r w:rsidRPr="00A1399E">
              <w:rPr>
                <w:rFonts w:eastAsia="Calibri"/>
                <w:b/>
                <w:bCs/>
                <w:sz w:val="18"/>
                <w:szCs w:val="18"/>
              </w:rPr>
              <w:t>Output 3.5</w:t>
            </w:r>
            <w:r w:rsidR="00A9466F" w:rsidRPr="00A1399E">
              <w:rPr>
                <w:rFonts w:eastAsia="Calibri"/>
                <w:b/>
                <w:bCs/>
                <w:sz w:val="18"/>
                <w:szCs w:val="18"/>
              </w:rPr>
              <w:t xml:space="preserve">. </w:t>
            </w:r>
            <w:r w:rsidRPr="00A1399E">
              <w:rPr>
                <w:rFonts w:eastAsia="Calibri"/>
                <w:b/>
                <w:bCs/>
                <w:sz w:val="18"/>
                <w:szCs w:val="18"/>
              </w:rPr>
              <w:t xml:space="preserve">Expedited digital economy application for target groups </w:t>
            </w:r>
          </w:p>
          <w:p w14:paraId="5D46F9EF" w14:textId="77777777" w:rsidR="0051174B" w:rsidRPr="00A1399E" w:rsidRDefault="0051174B" w:rsidP="00826E17">
            <w:pPr>
              <w:rPr>
                <w:rFonts w:eastAsia="Calibri"/>
                <w:b/>
                <w:bCs/>
                <w:sz w:val="18"/>
                <w:szCs w:val="18"/>
              </w:rPr>
            </w:pPr>
          </w:p>
          <w:p w14:paraId="06EF22F7" w14:textId="77777777" w:rsidR="0051174B" w:rsidRPr="00A1399E" w:rsidRDefault="0051174B" w:rsidP="00826E17">
            <w:pPr>
              <w:rPr>
                <w:rFonts w:eastAsia="Calibri"/>
                <w:b/>
                <w:bCs/>
                <w:sz w:val="18"/>
                <w:szCs w:val="18"/>
              </w:rPr>
            </w:pPr>
            <w:r w:rsidRPr="00A1399E">
              <w:rPr>
                <w:rFonts w:eastAsia="Calibri"/>
                <w:b/>
                <w:bCs/>
                <w:sz w:val="18"/>
                <w:szCs w:val="18"/>
              </w:rPr>
              <w:t>Indicators:</w:t>
            </w:r>
          </w:p>
          <w:p w14:paraId="1F1D08BE" w14:textId="58E15E50" w:rsidR="0051174B" w:rsidRPr="00A1399E" w:rsidRDefault="0051174B" w:rsidP="00826E17">
            <w:pPr>
              <w:rPr>
                <w:rFonts w:eastAsia="Calibri"/>
                <w:bCs/>
                <w:sz w:val="18"/>
                <w:szCs w:val="18"/>
              </w:rPr>
            </w:pPr>
            <w:r w:rsidRPr="00A1399E">
              <w:rPr>
                <w:rFonts w:eastAsia="Calibri"/>
                <w:bCs/>
                <w:sz w:val="18"/>
                <w:szCs w:val="18"/>
              </w:rPr>
              <w:t xml:space="preserve">3.5.1: Increase of service sector (as proxy for </w:t>
            </w:r>
            <w:r w:rsidR="00A303C6" w:rsidRPr="00A1399E">
              <w:rPr>
                <w:rFonts w:eastAsia="Calibri"/>
                <w:bCs/>
                <w:sz w:val="18"/>
                <w:szCs w:val="18"/>
              </w:rPr>
              <w:t>a d</w:t>
            </w:r>
            <w:r w:rsidRPr="00A1399E">
              <w:rPr>
                <w:rFonts w:eastAsia="Calibri"/>
                <w:bCs/>
                <w:sz w:val="18"/>
                <w:szCs w:val="18"/>
              </w:rPr>
              <w:t xml:space="preserve">igital </w:t>
            </w:r>
            <w:r w:rsidR="00A303C6" w:rsidRPr="00A1399E">
              <w:rPr>
                <w:rFonts w:eastAsia="Calibri"/>
                <w:bCs/>
                <w:sz w:val="18"/>
                <w:szCs w:val="18"/>
              </w:rPr>
              <w:t>e</w:t>
            </w:r>
            <w:r w:rsidRPr="00A1399E">
              <w:rPr>
                <w:rFonts w:eastAsia="Calibri"/>
                <w:bCs/>
                <w:sz w:val="18"/>
                <w:szCs w:val="18"/>
              </w:rPr>
              <w:t>conomy) contribution to GDP</w:t>
            </w:r>
          </w:p>
          <w:p w14:paraId="6BD172D7" w14:textId="77777777" w:rsidR="0051174B" w:rsidRPr="00A1399E" w:rsidRDefault="0051174B" w:rsidP="00826E17">
            <w:pPr>
              <w:rPr>
                <w:rFonts w:eastAsia="Calibri"/>
                <w:bCs/>
                <w:sz w:val="18"/>
                <w:szCs w:val="18"/>
              </w:rPr>
            </w:pPr>
            <w:r w:rsidRPr="00A1399E">
              <w:rPr>
                <w:rFonts w:eastAsia="Calibri"/>
                <w:b/>
                <w:bCs/>
                <w:sz w:val="18"/>
                <w:szCs w:val="18"/>
              </w:rPr>
              <w:t>Baseline:</w:t>
            </w:r>
            <w:r w:rsidRPr="00A1399E">
              <w:rPr>
                <w:rFonts w:eastAsia="Calibri"/>
                <w:bCs/>
                <w:sz w:val="18"/>
                <w:szCs w:val="18"/>
              </w:rPr>
              <w:t xml:space="preserve"> 0 </w:t>
            </w:r>
          </w:p>
          <w:p w14:paraId="5D2F92B9" w14:textId="77777777" w:rsidR="0051174B" w:rsidRPr="00A1399E" w:rsidRDefault="0051174B" w:rsidP="00826E17">
            <w:pPr>
              <w:rPr>
                <w:rFonts w:eastAsia="Calibri"/>
                <w:bCs/>
                <w:sz w:val="18"/>
                <w:szCs w:val="18"/>
              </w:rPr>
            </w:pPr>
            <w:r w:rsidRPr="00A1399E">
              <w:rPr>
                <w:rFonts w:eastAsia="Calibri"/>
                <w:b/>
                <w:bCs/>
                <w:sz w:val="18"/>
                <w:szCs w:val="18"/>
              </w:rPr>
              <w:t>Target:</w:t>
            </w:r>
            <w:r w:rsidRPr="00A1399E">
              <w:rPr>
                <w:rFonts w:eastAsia="Calibri"/>
                <w:bCs/>
                <w:sz w:val="18"/>
                <w:szCs w:val="18"/>
              </w:rPr>
              <w:t xml:space="preserve"> 2% annual increase </w:t>
            </w:r>
          </w:p>
          <w:p w14:paraId="051C9D5A" w14:textId="58EC043E" w:rsidR="0051174B" w:rsidRPr="00A1399E" w:rsidRDefault="0051174B" w:rsidP="00826E17">
            <w:pPr>
              <w:rPr>
                <w:rFonts w:eastAsia="Calibri"/>
                <w:b/>
                <w:bCs/>
                <w:sz w:val="18"/>
                <w:szCs w:val="18"/>
              </w:rPr>
            </w:pPr>
            <w:r w:rsidRPr="00A1399E">
              <w:rPr>
                <w:rFonts w:eastAsia="Calibri"/>
                <w:b/>
                <w:bCs/>
                <w:sz w:val="18"/>
                <w:szCs w:val="18"/>
              </w:rPr>
              <w:t xml:space="preserve">Source: </w:t>
            </w:r>
            <w:r w:rsidR="00A303C6" w:rsidRPr="00A1399E">
              <w:rPr>
                <w:rFonts w:eastAsia="Calibri"/>
                <w:bCs/>
                <w:sz w:val="18"/>
                <w:szCs w:val="18"/>
              </w:rPr>
              <w:t>Third-party monitoring</w:t>
            </w:r>
          </w:p>
          <w:p w14:paraId="35CD2684" w14:textId="77777777" w:rsidR="0051174B" w:rsidRPr="00A1399E" w:rsidRDefault="0051174B" w:rsidP="00826E17">
            <w:pPr>
              <w:rPr>
                <w:rFonts w:eastAsia="Calibri"/>
                <w:bCs/>
                <w:sz w:val="18"/>
                <w:szCs w:val="18"/>
              </w:rPr>
            </w:pPr>
            <w:r w:rsidRPr="00A1399E">
              <w:rPr>
                <w:rFonts w:eastAsia="Calibri"/>
                <w:b/>
                <w:bCs/>
                <w:sz w:val="18"/>
                <w:szCs w:val="18"/>
              </w:rPr>
              <w:t xml:space="preserve">Frequency: </w:t>
            </w:r>
            <w:r w:rsidRPr="00A1399E">
              <w:rPr>
                <w:rFonts w:eastAsia="Calibri"/>
                <w:bCs/>
                <w:sz w:val="18"/>
                <w:szCs w:val="18"/>
              </w:rPr>
              <w:t>Annual</w:t>
            </w:r>
          </w:p>
          <w:p w14:paraId="1A4B5EDC" w14:textId="77777777" w:rsidR="0051174B" w:rsidRPr="00A1399E" w:rsidRDefault="0051174B" w:rsidP="00826E17">
            <w:pPr>
              <w:rPr>
                <w:rFonts w:eastAsia="Calibri"/>
                <w:bCs/>
                <w:sz w:val="18"/>
                <w:szCs w:val="18"/>
              </w:rPr>
            </w:pPr>
          </w:p>
          <w:p w14:paraId="5882EDA5" w14:textId="77777777" w:rsidR="0051174B" w:rsidRPr="00A1399E" w:rsidRDefault="0051174B" w:rsidP="00826E17">
            <w:pPr>
              <w:rPr>
                <w:rFonts w:eastAsia="Calibri"/>
                <w:bCs/>
                <w:sz w:val="18"/>
                <w:szCs w:val="18"/>
              </w:rPr>
            </w:pPr>
            <w:r w:rsidRPr="00A1399E">
              <w:rPr>
                <w:rFonts w:eastAsia="Calibri"/>
                <w:bCs/>
                <w:sz w:val="18"/>
                <w:szCs w:val="18"/>
              </w:rPr>
              <w:t xml:space="preserve">3.5.2: Number of youths trained on digital literacy </w:t>
            </w:r>
          </w:p>
          <w:p w14:paraId="07EF34BE"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100(2020)</w:t>
            </w:r>
          </w:p>
          <w:p w14:paraId="7EC71F08"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10,000</w:t>
            </w:r>
          </w:p>
          <w:p w14:paraId="37FE7715" w14:textId="6DB40A51"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4E3008" w:rsidRPr="00A1399E">
              <w:rPr>
                <w:rFonts w:eastAsia="Calibri"/>
                <w:bCs/>
                <w:sz w:val="18"/>
                <w:szCs w:val="18"/>
              </w:rPr>
              <w:t>Project reports</w:t>
            </w:r>
          </w:p>
          <w:p w14:paraId="382B402A"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w:t>
            </w:r>
          </w:p>
          <w:p w14:paraId="6E49556F" w14:textId="77777777" w:rsidR="0051174B" w:rsidRPr="00A1399E" w:rsidRDefault="0051174B" w:rsidP="00826E17">
            <w:pPr>
              <w:rPr>
                <w:rFonts w:eastAsia="Calibri"/>
                <w:b/>
                <w:bCs/>
                <w:sz w:val="18"/>
                <w:szCs w:val="18"/>
              </w:rPr>
            </w:pPr>
          </w:p>
          <w:p w14:paraId="0E5F7CC9" w14:textId="77777777" w:rsidR="0051174B" w:rsidRPr="00A1399E" w:rsidRDefault="0051174B" w:rsidP="00826E17">
            <w:pPr>
              <w:rPr>
                <w:rFonts w:eastAsia="Calibri"/>
                <w:bCs/>
                <w:sz w:val="18"/>
                <w:szCs w:val="18"/>
              </w:rPr>
            </w:pPr>
            <w:r w:rsidRPr="00A1399E">
              <w:rPr>
                <w:rFonts w:eastAsia="Calibri"/>
                <w:bCs/>
                <w:sz w:val="18"/>
                <w:szCs w:val="18"/>
              </w:rPr>
              <w:t>3.5.3: Number of private sector entities employing youths</w:t>
            </w:r>
          </w:p>
          <w:p w14:paraId="22E82295"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No data (2020)</w:t>
            </w:r>
          </w:p>
          <w:p w14:paraId="3E837CE1"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Additional 6 </w:t>
            </w:r>
          </w:p>
          <w:p w14:paraId="555AA84B" w14:textId="2EFCC1BC"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A303C6" w:rsidRPr="00A1399E">
              <w:rPr>
                <w:rFonts w:eastAsia="Calibri"/>
                <w:sz w:val="18"/>
                <w:szCs w:val="18"/>
              </w:rPr>
              <w:t>Third-party monitoring</w:t>
            </w:r>
          </w:p>
          <w:p w14:paraId="11F715F2"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w:t>
            </w:r>
          </w:p>
          <w:p w14:paraId="4F11B071" w14:textId="77777777" w:rsidR="0051174B" w:rsidRPr="00A1399E" w:rsidDel="00DD4F18" w:rsidRDefault="0051174B" w:rsidP="00826E17">
            <w:pPr>
              <w:rPr>
                <w:rFonts w:eastAsia="Calibri"/>
                <w:b/>
                <w:sz w:val="18"/>
                <w:szCs w:val="18"/>
              </w:rPr>
            </w:pPr>
          </w:p>
        </w:tc>
        <w:tc>
          <w:tcPr>
            <w:tcW w:w="2250" w:type="dxa"/>
            <w:vMerge/>
          </w:tcPr>
          <w:p w14:paraId="74AABC7C" w14:textId="77777777" w:rsidR="0051174B" w:rsidRPr="00A1399E" w:rsidDel="00D12175" w:rsidRDefault="0051174B" w:rsidP="00826E17">
            <w:pPr>
              <w:rPr>
                <w:rFonts w:eastAsia="Calibri"/>
                <w:sz w:val="18"/>
                <w:szCs w:val="18"/>
              </w:rPr>
            </w:pPr>
          </w:p>
        </w:tc>
        <w:tc>
          <w:tcPr>
            <w:tcW w:w="1980" w:type="dxa"/>
            <w:vMerge/>
          </w:tcPr>
          <w:p w14:paraId="550DCE4B" w14:textId="77777777" w:rsidR="0051174B" w:rsidRPr="00A1399E" w:rsidRDefault="0051174B" w:rsidP="00826E17">
            <w:pPr>
              <w:ind w:firstLine="720"/>
              <w:rPr>
                <w:rFonts w:eastAsia="Calibri"/>
                <w:b/>
                <w:sz w:val="18"/>
                <w:szCs w:val="18"/>
              </w:rPr>
            </w:pPr>
          </w:p>
        </w:tc>
      </w:tr>
      <w:tr w:rsidR="0051174B" w:rsidRPr="00A1399E" w14:paraId="3EDFE35A" w14:textId="77777777" w:rsidTr="00AC55FA">
        <w:tc>
          <w:tcPr>
            <w:tcW w:w="3290" w:type="dxa"/>
            <w:vMerge/>
            <w:tcBorders>
              <w:bottom w:val="single" w:sz="4" w:space="0" w:color="auto"/>
            </w:tcBorders>
          </w:tcPr>
          <w:p w14:paraId="3035C187" w14:textId="77777777" w:rsidR="0051174B" w:rsidRPr="00A1399E" w:rsidRDefault="0051174B" w:rsidP="00826E17">
            <w:pPr>
              <w:rPr>
                <w:rFonts w:eastAsia="Calibri"/>
                <w:b/>
                <w:sz w:val="18"/>
                <w:szCs w:val="18"/>
              </w:rPr>
            </w:pPr>
          </w:p>
        </w:tc>
        <w:tc>
          <w:tcPr>
            <w:tcW w:w="3005" w:type="dxa"/>
            <w:vMerge/>
            <w:tcBorders>
              <w:bottom w:val="single" w:sz="4" w:space="0" w:color="auto"/>
            </w:tcBorders>
          </w:tcPr>
          <w:p w14:paraId="194E3256" w14:textId="77777777" w:rsidR="0051174B" w:rsidRPr="00A1399E" w:rsidRDefault="0051174B" w:rsidP="00826E17">
            <w:pPr>
              <w:rPr>
                <w:rFonts w:eastAsia="Calibri"/>
                <w:b/>
                <w:sz w:val="18"/>
                <w:szCs w:val="18"/>
              </w:rPr>
            </w:pPr>
          </w:p>
        </w:tc>
        <w:tc>
          <w:tcPr>
            <w:tcW w:w="3870" w:type="dxa"/>
            <w:tcBorders>
              <w:bottom w:val="single" w:sz="4" w:space="0" w:color="auto"/>
            </w:tcBorders>
          </w:tcPr>
          <w:p w14:paraId="67EDBBFF" w14:textId="24BE0373" w:rsidR="0051174B" w:rsidRPr="00A1399E" w:rsidRDefault="0051174B" w:rsidP="00826E17">
            <w:pPr>
              <w:rPr>
                <w:rFonts w:eastAsia="Calibri"/>
                <w:b/>
                <w:sz w:val="18"/>
                <w:szCs w:val="18"/>
              </w:rPr>
            </w:pPr>
            <w:r w:rsidRPr="00A1399E">
              <w:rPr>
                <w:rFonts w:eastAsia="Calibri"/>
                <w:b/>
                <w:sz w:val="18"/>
                <w:szCs w:val="18"/>
              </w:rPr>
              <w:t>Output 3.6</w:t>
            </w:r>
            <w:r w:rsidR="0049436A" w:rsidRPr="00A1399E">
              <w:rPr>
                <w:rFonts w:eastAsia="Calibri"/>
                <w:b/>
                <w:sz w:val="18"/>
                <w:szCs w:val="18"/>
              </w:rPr>
              <w:t>.</w:t>
            </w:r>
            <w:r w:rsidRPr="00A1399E">
              <w:rPr>
                <w:rFonts w:eastAsia="Calibri"/>
                <w:b/>
                <w:sz w:val="18"/>
                <w:szCs w:val="18"/>
              </w:rPr>
              <w:t xml:space="preserve"> Durable Solutions for IDPs are implemented for stabilization, livelihoods and peace </w:t>
            </w:r>
          </w:p>
          <w:p w14:paraId="26520CAA" w14:textId="77777777" w:rsidR="0051174B" w:rsidRPr="00A1399E" w:rsidRDefault="0051174B" w:rsidP="00826E17">
            <w:pPr>
              <w:rPr>
                <w:rFonts w:eastAsia="Calibri"/>
                <w:b/>
                <w:sz w:val="18"/>
                <w:szCs w:val="18"/>
              </w:rPr>
            </w:pPr>
          </w:p>
          <w:p w14:paraId="34BCA63B" w14:textId="77777777" w:rsidR="0051174B" w:rsidRPr="00A1399E" w:rsidRDefault="0051174B" w:rsidP="00826E17">
            <w:pPr>
              <w:rPr>
                <w:rFonts w:eastAsia="Calibri"/>
                <w:b/>
                <w:sz w:val="18"/>
                <w:szCs w:val="18"/>
              </w:rPr>
            </w:pPr>
            <w:r w:rsidRPr="00A1399E">
              <w:rPr>
                <w:rFonts w:eastAsia="Calibri"/>
                <w:b/>
                <w:sz w:val="18"/>
                <w:szCs w:val="18"/>
              </w:rPr>
              <w:t>Indicators:</w:t>
            </w:r>
          </w:p>
          <w:p w14:paraId="3363ACAC" w14:textId="0A07F2D8" w:rsidR="0051174B" w:rsidRPr="00A1399E" w:rsidRDefault="0051174B" w:rsidP="00826E17">
            <w:pPr>
              <w:rPr>
                <w:rFonts w:eastAsia="Calibri"/>
                <w:sz w:val="18"/>
                <w:szCs w:val="18"/>
              </w:rPr>
            </w:pPr>
            <w:r w:rsidRPr="00A1399E">
              <w:rPr>
                <w:rFonts w:eastAsia="Calibri"/>
                <w:sz w:val="18"/>
                <w:szCs w:val="18"/>
              </w:rPr>
              <w:t>3.6.1: Number of IDPs benefitting from livelihoods initiatives</w:t>
            </w:r>
          </w:p>
          <w:p w14:paraId="741D107B"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23,557 (2020)</w:t>
            </w:r>
          </w:p>
          <w:p w14:paraId="1A0E3659"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250,000</w:t>
            </w:r>
          </w:p>
          <w:p w14:paraId="2E47AAF5" w14:textId="6DFBFF17"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49436A" w:rsidRPr="00A1399E">
              <w:rPr>
                <w:rFonts w:eastAsia="Calibri"/>
                <w:sz w:val="18"/>
                <w:szCs w:val="18"/>
              </w:rPr>
              <w:t>Third-party monitoring</w:t>
            </w:r>
          </w:p>
          <w:p w14:paraId="0E763C71"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w:t>
            </w:r>
          </w:p>
          <w:p w14:paraId="68F980CF" w14:textId="77777777" w:rsidR="0051174B" w:rsidRPr="00A1399E" w:rsidRDefault="0051174B" w:rsidP="00826E17">
            <w:pPr>
              <w:rPr>
                <w:rFonts w:eastAsia="Calibri"/>
                <w:sz w:val="18"/>
                <w:szCs w:val="18"/>
              </w:rPr>
            </w:pPr>
          </w:p>
          <w:p w14:paraId="1D1BED32" w14:textId="7775FF27" w:rsidR="0051174B" w:rsidRPr="00A1399E" w:rsidRDefault="0051174B" w:rsidP="00826E17">
            <w:pPr>
              <w:rPr>
                <w:rFonts w:eastAsia="Calibri"/>
                <w:sz w:val="18"/>
                <w:szCs w:val="18"/>
              </w:rPr>
            </w:pPr>
            <w:r w:rsidRPr="00A1399E">
              <w:rPr>
                <w:rFonts w:eastAsia="Calibri"/>
                <w:sz w:val="18"/>
                <w:szCs w:val="18"/>
              </w:rPr>
              <w:t>3.6.2: Number of IDPs/</w:t>
            </w:r>
            <w:r w:rsidR="0049436A" w:rsidRPr="00A1399E">
              <w:rPr>
                <w:rFonts w:eastAsia="Calibri"/>
                <w:sz w:val="18"/>
                <w:szCs w:val="18"/>
              </w:rPr>
              <w:t>r</w:t>
            </w:r>
            <w:r w:rsidRPr="00A1399E">
              <w:rPr>
                <w:rFonts w:eastAsia="Calibri"/>
                <w:sz w:val="18"/>
                <w:szCs w:val="18"/>
              </w:rPr>
              <w:t xml:space="preserve">eturnees reintegrated </w:t>
            </w:r>
          </w:p>
          <w:p w14:paraId="3D1D21F3"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4,398 (2020)</w:t>
            </w:r>
          </w:p>
          <w:p w14:paraId="21AC3129"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10,000</w:t>
            </w:r>
          </w:p>
          <w:p w14:paraId="65E6A91D" w14:textId="04CA674B"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49436A" w:rsidRPr="00A1399E">
              <w:rPr>
                <w:rFonts w:eastAsia="Calibri"/>
                <w:sz w:val="18"/>
                <w:szCs w:val="18"/>
              </w:rPr>
              <w:t>Third-party monitoring</w:t>
            </w:r>
          </w:p>
          <w:p w14:paraId="66A535FF" w14:textId="5F19C66F" w:rsidR="0051174B" w:rsidRPr="00A1399E" w:rsidRDefault="0051174B" w:rsidP="00FC5139">
            <w:pPr>
              <w:spacing w:after="60"/>
              <w:rPr>
                <w:rFonts w:eastAsia="Calibri"/>
                <w:sz w:val="18"/>
                <w:szCs w:val="18"/>
              </w:rPr>
            </w:pPr>
            <w:r w:rsidRPr="00A1399E">
              <w:rPr>
                <w:rFonts w:eastAsia="Calibri"/>
                <w:b/>
                <w:bCs/>
                <w:sz w:val="18"/>
                <w:szCs w:val="18"/>
              </w:rPr>
              <w:t>Frequency</w:t>
            </w:r>
            <w:r w:rsidRPr="00A1399E">
              <w:rPr>
                <w:rFonts w:eastAsia="Calibri"/>
                <w:sz w:val="18"/>
                <w:szCs w:val="18"/>
              </w:rPr>
              <w:t>: Annual</w:t>
            </w:r>
          </w:p>
        </w:tc>
        <w:tc>
          <w:tcPr>
            <w:tcW w:w="2250" w:type="dxa"/>
            <w:vMerge/>
            <w:tcBorders>
              <w:bottom w:val="single" w:sz="4" w:space="0" w:color="auto"/>
            </w:tcBorders>
          </w:tcPr>
          <w:p w14:paraId="6B155897" w14:textId="77777777" w:rsidR="0051174B" w:rsidRPr="00A1399E" w:rsidDel="00D12175" w:rsidRDefault="0051174B" w:rsidP="00826E17">
            <w:pPr>
              <w:rPr>
                <w:rFonts w:eastAsia="Calibri"/>
                <w:sz w:val="18"/>
                <w:szCs w:val="18"/>
              </w:rPr>
            </w:pPr>
          </w:p>
        </w:tc>
        <w:tc>
          <w:tcPr>
            <w:tcW w:w="1980" w:type="dxa"/>
            <w:vMerge/>
            <w:tcBorders>
              <w:bottom w:val="single" w:sz="4" w:space="0" w:color="auto"/>
            </w:tcBorders>
          </w:tcPr>
          <w:p w14:paraId="2CF49AB5" w14:textId="77777777" w:rsidR="0051174B" w:rsidRPr="00A1399E" w:rsidRDefault="0051174B" w:rsidP="00826E17">
            <w:pPr>
              <w:ind w:firstLine="720"/>
              <w:rPr>
                <w:rFonts w:eastAsia="Calibri"/>
                <w:b/>
                <w:sz w:val="18"/>
                <w:szCs w:val="18"/>
              </w:rPr>
            </w:pPr>
          </w:p>
        </w:tc>
      </w:tr>
      <w:tr w:rsidR="0051174B" w:rsidRPr="00A1399E" w14:paraId="60BA3F3E" w14:textId="77777777" w:rsidTr="00AC55FA">
        <w:tc>
          <w:tcPr>
            <w:tcW w:w="14395" w:type="dxa"/>
            <w:gridSpan w:val="5"/>
            <w:shd w:val="clear" w:color="auto" w:fill="auto"/>
          </w:tcPr>
          <w:p w14:paraId="2E21C61E" w14:textId="3C335001" w:rsidR="0051174B" w:rsidRPr="00A1399E" w:rsidRDefault="0051174B" w:rsidP="00826E17">
            <w:pPr>
              <w:spacing w:before="60" w:after="60"/>
              <w:rPr>
                <w:rFonts w:eastAsia="Calibri"/>
                <w:b/>
                <w:sz w:val="18"/>
                <w:szCs w:val="18"/>
              </w:rPr>
            </w:pPr>
            <w:r w:rsidRPr="00A1399E">
              <w:rPr>
                <w:rFonts w:eastAsia="Calibri"/>
                <w:b/>
                <w:sz w:val="18"/>
                <w:szCs w:val="18"/>
              </w:rPr>
              <w:t>NATIONAL PRIORITY: NDP-9 Pillar 4</w:t>
            </w:r>
            <w:r w:rsidR="0049436A" w:rsidRPr="00A1399E">
              <w:rPr>
                <w:rFonts w:eastAsia="Calibri"/>
                <w:b/>
                <w:sz w:val="18"/>
                <w:szCs w:val="18"/>
              </w:rPr>
              <w:t>.</w:t>
            </w:r>
            <w:r w:rsidRPr="00A1399E">
              <w:rPr>
                <w:rFonts w:eastAsia="Calibri"/>
                <w:b/>
                <w:sz w:val="18"/>
                <w:szCs w:val="18"/>
              </w:rPr>
              <w:t xml:space="preserve"> Social </w:t>
            </w:r>
            <w:r w:rsidR="0049436A" w:rsidRPr="00A1399E">
              <w:rPr>
                <w:rFonts w:eastAsia="Calibri"/>
                <w:b/>
                <w:sz w:val="18"/>
                <w:szCs w:val="18"/>
              </w:rPr>
              <w:t>d</w:t>
            </w:r>
            <w:r w:rsidRPr="00A1399E">
              <w:rPr>
                <w:rFonts w:eastAsia="Calibri"/>
                <w:b/>
                <w:sz w:val="18"/>
                <w:szCs w:val="18"/>
              </w:rPr>
              <w:t>evelopment</w:t>
            </w:r>
            <w:r w:rsidR="0049436A" w:rsidRPr="00A1399E">
              <w:rPr>
                <w:rFonts w:eastAsia="Calibri"/>
                <w:b/>
                <w:sz w:val="18"/>
                <w:szCs w:val="18"/>
              </w:rPr>
              <w:t>.</w:t>
            </w:r>
          </w:p>
        </w:tc>
      </w:tr>
      <w:tr w:rsidR="0051174B" w:rsidRPr="00A1399E" w14:paraId="32D14334" w14:textId="77777777" w:rsidTr="00AC55FA">
        <w:tc>
          <w:tcPr>
            <w:tcW w:w="14395" w:type="dxa"/>
            <w:gridSpan w:val="5"/>
            <w:shd w:val="clear" w:color="auto" w:fill="auto"/>
          </w:tcPr>
          <w:p w14:paraId="64191F43" w14:textId="17911992" w:rsidR="0051174B" w:rsidRPr="00A1399E" w:rsidRDefault="00BE00B1" w:rsidP="00826E17">
            <w:pPr>
              <w:spacing w:before="60" w:after="60"/>
              <w:rPr>
                <w:rFonts w:eastAsia="Calibri"/>
                <w:b/>
                <w:sz w:val="18"/>
                <w:szCs w:val="18"/>
              </w:rPr>
            </w:pPr>
            <w:r w:rsidRPr="00A1399E">
              <w:rPr>
                <w:rFonts w:eastAsia="Calibri"/>
                <w:b/>
                <w:sz w:val="18"/>
                <w:szCs w:val="18"/>
              </w:rPr>
              <w:t xml:space="preserve">UNSDCF </w:t>
            </w:r>
            <w:r w:rsidR="0051174B" w:rsidRPr="00A1399E">
              <w:rPr>
                <w:rFonts w:eastAsia="Calibri"/>
                <w:b/>
                <w:sz w:val="18"/>
                <w:szCs w:val="18"/>
              </w:rPr>
              <w:t xml:space="preserve">OUTCOME INVOLVING UNDP 4. </w:t>
            </w:r>
            <w:r w:rsidRPr="00A1399E">
              <w:rPr>
                <w:rFonts w:eastAsia="Calibri"/>
                <w:b/>
                <w:sz w:val="18"/>
                <w:szCs w:val="18"/>
              </w:rPr>
              <w:t>UNSD</w:t>
            </w:r>
            <w:r w:rsidR="0051174B" w:rsidRPr="00A1399E">
              <w:rPr>
                <w:rFonts w:eastAsia="Calibri"/>
                <w:b/>
                <w:sz w:val="18"/>
                <w:szCs w:val="18"/>
              </w:rPr>
              <w:t>CF Outcome 4.2. The number of people impacted by climate change, natural disasters and environmental degradation reduced</w:t>
            </w:r>
            <w:r w:rsidRPr="00A1399E">
              <w:rPr>
                <w:rFonts w:eastAsia="Calibri"/>
                <w:b/>
                <w:sz w:val="18"/>
                <w:szCs w:val="18"/>
              </w:rPr>
              <w:t>.</w:t>
            </w:r>
          </w:p>
        </w:tc>
      </w:tr>
      <w:tr w:rsidR="0051174B" w:rsidRPr="00A1399E" w14:paraId="6229F919" w14:textId="77777777" w:rsidTr="00AC55FA">
        <w:tc>
          <w:tcPr>
            <w:tcW w:w="14395" w:type="dxa"/>
            <w:gridSpan w:val="5"/>
            <w:shd w:val="clear" w:color="auto" w:fill="auto"/>
          </w:tcPr>
          <w:p w14:paraId="210BF104" w14:textId="62DE5E08" w:rsidR="0051174B" w:rsidRPr="00A1399E" w:rsidRDefault="0051174B" w:rsidP="00826E17">
            <w:pPr>
              <w:spacing w:before="60" w:after="60"/>
              <w:rPr>
                <w:rFonts w:eastAsia="Calibri"/>
                <w:b/>
                <w:sz w:val="18"/>
                <w:szCs w:val="18"/>
              </w:rPr>
            </w:pPr>
            <w:r w:rsidRPr="00A1399E">
              <w:rPr>
                <w:rFonts w:eastAsia="Calibri"/>
                <w:b/>
                <w:sz w:val="18"/>
                <w:szCs w:val="18"/>
              </w:rPr>
              <w:t xml:space="preserve">RELATED </w:t>
            </w:r>
            <w:r w:rsidR="00BE00B1" w:rsidRPr="00A1399E">
              <w:rPr>
                <w:rFonts w:eastAsia="Calibri"/>
                <w:b/>
                <w:sz w:val="18"/>
                <w:szCs w:val="18"/>
              </w:rPr>
              <w:t xml:space="preserve">UNDP </w:t>
            </w:r>
            <w:r w:rsidRPr="00A1399E">
              <w:rPr>
                <w:rFonts w:eastAsia="Calibri"/>
                <w:b/>
                <w:sz w:val="18"/>
                <w:szCs w:val="18"/>
              </w:rPr>
              <w:t>STRATEGIC PLAN</w:t>
            </w:r>
            <w:r w:rsidR="00BE00B1" w:rsidRPr="00A1399E">
              <w:rPr>
                <w:rFonts w:eastAsia="Calibri"/>
                <w:b/>
                <w:sz w:val="18"/>
                <w:szCs w:val="18"/>
              </w:rPr>
              <w:t xml:space="preserve">, 2018-2021, </w:t>
            </w:r>
            <w:r w:rsidRPr="00A1399E">
              <w:rPr>
                <w:rFonts w:eastAsia="Calibri"/>
                <w:b/>
                <w:sz w:val="18"/>
                <w:szCs w:val="18"/>
              </w:rPr>
              <w:t>OUTCOME: Outcome 3</w:t>
            </w:r>
            <w:r w:rsidR="00BE00B1" w:rsidRPr="00A1399E">
              <w:rPr>
                <w:rFonts w:eastAsia="Calibri"/>
                <w:b/>
                <w:sz w:val="18"/>
                <w:szCs w:val="18"/>
              </w:rPr>
              <w:t>.</w:t>
            </w:r>
            <w:r w:rsidRPr="00A1399E">
              <w:rPr>
                <w:rFonts w:eastAsia="Calibri"/>
                <w:b/>
                <w:sz w:val="18"/>
                <w:szCs w:val="18"/>
              </w:rPr>
              <w:t xml:space="preserve"> </w:t>
            </w:r>
            <w:r w:rsidRPr="00A1399E">
              <w:rPr>
                <w:rFonts w:eastAsia="Calibri"/>
                <w:b/>
                <w:iCs/>
                <w:color w:val="000000"/>
                <w:sz w:val="18"/>
                <w:szCs w:val="18"/>
              </w:rPr>
              <w:t>Strengthen resilience to shocks and crises</w:t>
            </w:r>
            <w:r w:rsidR="00BE00B1" w:rsidRPr="00A1399E">
              <w:rPr>
                <w:rFonts w:eastAsia="Calibri"/>
                <w:b/>
                <w:iCs/>
                <w:color w:val="000000"/>
                <w:sz w:val="18"/>
                <w:szCs w:val="18"/>
              </w:rPr>
              <w:t>.</w:t>
            </w:r>
            <w:r w:rsidRPr="00A1399E">
              <w:rPr>
                <w:rFonts w:eastAsia="Calibri"/>
                <w:b/>
                <w:sz w:val="18"/>
                <w:szCs w:val="18"/>
              </w:rPr>
              <w:t xml:space="preserve"> </w:t>
            </w:r>
          </w:p>
        </w:tc>
      </w:tr>
      <w:tr w:rsidR="0051174B" w:rsidRPr="00A1399E" w14:paraId="1F4A364A" w14:textId="77777777" w:rsidTr="000237D8">
        <w:tc>
          <w:tcPr>
            <w:tcW w:w="3290" w:type="dxa"/>
            <w:vMerge w:val="restart"/>
          </w:tcPr>
          <w:p w14:paraId="7F461B54" w14:textId="77777777" w:rsidR="0051174B" w:rsidRPr="00A1399E" w:rsidRDefault="0051174B" w:rsidP="00826E17">
            <w:pPr>
              <w:rPr>
                <w:rFonts w:eastAsia="Calibri"/>
                <w:b/>
                <w:sz w:val="18"/>
                <w:szCs w:val="18"/>
              </w:rPr>
            </w:pPr>
            <w:r w:rsidRPr="00A1399E">
              <w:rPr>
                <w:rFonts w:eastAsia="Calibri"/>
                <w:b/>
                <w:sz w:val="18"/>
                <w:szCs w:val="18"/>
              </w:rPr>
              <w:t>Indicators</w:t>
            </w:r>
          </w:p>
          <w:p w14:paraId="3F937142" w14:textId="77777777" w:rsidR="0051174B" w:rsidRPr="00A1399E" w:rsidRDefault="0051174B" w:rsidP="00826E17">
            <w:pPr>
              <w:rPr>
                <w:rFonts w:eastAsia="Calibri"/>
                <w:b/>
                <w:sz w:val="18"/>
                <w:szCs w:val="18"/>
              </w:rPr>
            </w:pPr>
          </w:p>
          <w:p w14:paraId="166CC1AD" w14:textId="77777777" w:rsidR="0051174B" w:rsidRPr="00A1399E" w:rsidRDefault="0051174B" w:rsidP="00826E17">
            <w:pPr>
              <w:rPr>
                <w:rFonts w:eastAsia="Calibri"/>
                <w:b/>
                <w:sz w:val="18"/>
                <w:szCs w:val="18"/>
              </w:rPr>
            </w:pPr>
            <w:r w:rsidRPr="00A1399E">
              <w:rPr>
                <w:rFonts w:eastAsia="Calibri"/>
                <w:iCs/>
                <w:sz w:val="18"/>
                <w:szCs w:val="18"/>
              </w:rPr>
              <w:t>Number/proportion of people impacted by climate change, natural disasters and environmental degradation.</w:t>
            </w:r>
          </w:p>
          <w:p w14:paraId="654ED560" w14:textId="77777777" w:rsidR="0051174B" w:rsidRPr="00A1399E" w:rsidRDefault="0051174B" w:rsidP="00826E17">
            <w:pPr>
              <w:rPr>
                <w:rFonts w:eastAsia="Calibri"/>
                <w:sz w:val="18"/>
                <w:szCs w:val="18"/>
              </w:rPr>
            </w:pPr>
            <w:r w:rsidRPr="00A1399E">
              <w:rPr>
                <w:rFonts w:eastAsia="Calibri"/>
                <w:b/>
                <w:sz w:val="18"/>
                <w:szCs w:val="18"/>
              </w:rPr>
              <w:t>Baseline:</w:t>
            </w:r>
            <w:r w:rsidRPr="00A1399E">
              <w:rPr>
                <w:rFonts w:eastAsia="Calibri"/>
                <w:sz w:val="18"/>
                <w:szCs w:val="18"/>
              </w:rPr>
              <w:t xml:space="preserve"> 50% of population (2020)</w:t>
            </w:r>
          </w:p>
          <w:p w14:paraId="66B9574F" w14:textId="529CCF1B" w:rsidR="0051174B" w:rsidRPr="00A1399E" w:rsidRDefault="0051174B" w:rsidP="00826E17">
            <w:pPr>
              <w:rPr>
                <w:rFonts w:eastAsia="Calibri"/>
                <w:sz w:val="18"/>
                <w:szCs w:val="18"/>
              </w:rPr>
            </w:pPr>
            <w:r w:rsidRPr="00A1399E">
              <w:rPr>
                <w:rFonts w:eastAsia="Calibri"/>
                <w:b/>
                <w:sz w:val="18"/>
                <w:szCs w:val="18"/>
              </w:rPr>
              <w:t>Target:</w:t>
            </w:r>
            <w:r w:rsidRPr="00A1399E">
              <w:rPr>
                <w:rFonts w:eastAsia="Calibri"/>
                <w:sz w:val="18"/>
                <w:szCs w:val="18"/>
              </w:rPr>
              <w:t xml:space="preserve"> 20%</w:t>
            </w:r>
          </w:p>
          <w:p w14:paraId="6F5751E8" w14:textId="77777777" w:rsidR="0051174B" w:rsidRPr="00A1399E" w:rsidRDefault="0051174B" w:rsidP="00826E17">
            <w:pPr>
              <w:rPr>
                <w:rFonts w:eastAsia="Calibri"/>
                <w:sz w:val="18"/>
                <w:szCs w:val="18"/>
              </w:rPr>
            </w:pPr>
          </w:p>
        </w:tc>
        <w:tc>
          <w:tcPr>
            <w:tcW w:w="3005" w:type="dxa"/>
            <w:vMerge w:val="restart"/>
          </w:tcPr>
          <w:p w14:paraId="03EE13D1" w14:textId="77777777" w:rsidR="0051174B" w:rsidRPr="00A1399E" w:rsidRDefault="0051174B" w:rsidP="00826E17">
            <w:pPr>
              <w:rPr>
                <w:rFonts w:eastAsia="Calibri"/>
                <w:b/>
                <w:sz w:val="18"/>
                <w:szCs w:val="18"/>
              </w:rPr>
            </w:pPr>
            <w:r w:rsidRPr="00A1399E">
              <w:rPr>
                <w:rFonts w:eastAsia="Calibri"/>
                <w:b/>
                <w:sz w:val="18"/>
                <w:szCs w:val="18"/>
              </w:rPr>
              <w:t>Data Source and frequency:</w:t>
            </w:r>
          </w:p>
          <w:p w14:paraId="5F7AE701" w14:textId="77777777" w:rsidR="0051174B" w:rsidRPr="00A1399E" w:rsidRDefault="0051174B" w:rsidP="00826E17">
            <w:pPr>
              <w:rPr>
                <w:rFonts w:eastAsia="Calibri"/>
                <w:b/>
                <w:sz w:val="18"/>
                <w:szCs w:val="18"/>
              </w:rPr>
            </w:pPr>
          </w:p>
          <w:p w14:paraId="08FD0668" w14:textId="78509E46" w:rsidR="0051174B" w:rsidRPr="00A1399E" w:rsidRDefault="0051174B" w:rsidP="00826E17">
            <w:pPr>
              <w:rPr>
                <w:rFonts w:eastAsia="Calibri"/>
                <w:sz w:val="18"/>
                <w:szCs w:val="18"/>
              </w:rPr>
            </w:pPr>
            <w:r w:rsidRPr="00A1399E">
              <w:rPr>
                <w:rFonts w:eastAsia="Calibri"/>
                <w:sz w:val="18"/>
                <w:szCs w:val="18"/>
              </w:rPr>
              <w:t>Source: OCHA/Relief</w:t>
            </w:r>
            <w:r w:rsidR="00E60176" w:rsidRPr="00A1399E">
              <w:rPr>
                <w:rFonts w:eastAsia="Calibri"/>
                <w:sz w:val="18"/>
                <w:szCs w:val="18"/>
              </w:rPr>
              <w:t>W</w:t>
            </w:r>
            <w:r w:rsidRPr="00A1399E">
              <w:rPr>
                <w:rFonts w:eastAsia="Calibri"/>
                <w:sz w:val="18"/>
                <w:szCs w:val="18"/>
              </w:rPr>
              <w:t>eb</w:t>
            </w:r>
          </w:p>
          <w:p w14:paraId="6DEB6C9D" w14:textId="77777777" w:rsidR="0051174B" w:rsidRPr="00A1399E" w:rsidRDefault="0051174B" w:rsidP="00826E17">
            <w:pPr>
              <w:rPr>
                <w:rFonts w:eastAsia="Calibri"/>
                <w:sz w:val="18"/>
                <w:szCs w:val="18"/>
              </w:rPr>
            </w:pPr>
            <w:r w:rsidRPr="00A1399E">
              <w:rPr>
                <w:rFonts w:eastAsia="Calibri"/>
                <w:sz w:val="18"/>
                <w:szCs w:val="18"/>
              </w:rPr>
              <w:t>Frequency: As applicable</w:t>
            </w:r>
          </w:p>
          <w:p w14:paraId="2697A30E" w14:textId="47D4D073" w:rsidR="0051174B" w:rsidRPr="00A1399E" w:rsidRDefault="0051174B" w:rsidP="00826E17">
            <w:pPr>
              <w:rPr>
                <w:rFonts w:eastAsia="Calibri"/>
                <w:sz w:val="18"/>
                <w:szCs w:val="18"/>
              </w:rPr>
            </w:pPr>
            <w:r w:rsidRPr="00A1399E">
              <w:rPr>
                <w:rFonts w:eastAsia="Calibri"/>
                <w:sz w:val="18"/>
                <w:szCs w:val="18"/>
              </w:rPr>
              <w:t>Responsibility: OCHA/</w:t>
            </w:r>
            <w:r w:rsidR="00E60176" w:rsidRPr="00A1399E">
              <w:rPr>
                <w:rFonts w:eastAsia="Calibri"/>
                <w:sz w:val="18"/>
                <w:szCs w:val="18"/>
              </w:rPr>
              <w:t>humanitarian country team</w:t>
            </w:r>
          </w:p>
          <w:p w14:paraId="22572249" w14:textId="77777777" w:rsidR="0051174B" w:rsidRPr="00A1399E" w:rsidRDefault="0051174B" w:rsidP="00826E17">
            <w:pPr>
              <w:rPr>
                <w:rFonts w:eastAsia="Calibri"/>
                <w:sz w:val="18"/>
                <w:szCs w:val="18"/>
              </w:rPr>
            </w:pPr>
          </w:p>
        </w:tc>
        <w:tc>
          <w:tcPr>
            <w:tcW w:w="3870" w:type="dxa"/>
          </w:tcPr>
          <w:p w14:paraId="03CB15CA" w14:textId="7C257B69" w:rsidR="0051174B" w:rsidRPr="00A1399E" w:rsidRDefault="0051174B" w:rsidP="00826E17">
            <w:pPr>
              <w:rPr>
                <w:rFonts w:eastAsia="Calibri"/>
                <w:b/>
                <w:bCs/>
                <w:sz w:val="18"/>
                <w:szCs w:val="18"/>
              </w:rPr>
            </w:pPr>
            <w:r w:rsidRPr="00A1399E">
              <w:rPr>
                <w:rFonts w:eastAsia="Calibri"/>
                <w:b/>
                <w:sz w:val="18"/>
                <w:szCs w:val="18"/>
              </w:rPr>
              <w:t>Output 4.1</w:t>
            </w:r>
            <w:r w:rsidR="00E60176" w:rsidRPr="00A1399E">
              <w:rPr>
                <w:rFonts w:eastAsia="Calibri"/>
                <w:b/>
                <w:sz w:val="18"/>
                <w:szCs w:val="18"/>
              </w:rPr>
              <w:t>.</w:t>
            </w:r>
            <w:r w:rsidRPr="00A1399E">
              <w:rPr>
                <w:rFonts w:eastAsia="Calibri"/>
                <w:sz w:val="18"/>
                <w:szCs w:val="18"/>
              </w:rPr>
              <w:t xml:space="preserve"> </w:t>
            </w:r>
            <w:r w:rsidRPr="00A1399E">
              <w:rPr>
                <w:rFonts w:eastAsia="Calibri"/>
                <w:b/>
                <w:bCs/>
                <w:sz w:val="18"/>
                <w:szCs w:val="18"/>
              </w:rPr>
              <w:t>Enhanced capacities of government institutions and communities at federal, state, local levels to mitigate and adapt to climate change</w:t>
            </w:r>
          </w:p>
          <w:p w14:paraId="210F9840" w14:textId="77777777" w:rsidR="0051174B" w:rsidRPr="00A1399E" w:rsidRDefault="0051174B" w:rsidP="00826E17">
            <w:pPr>
              <w:rPr>
                <w:sz w:val="18"/>
                <w:szCs w:val="18"/>
              </w:rPr>
            </w:pPr>
          </w:p>
          <w:p w14:paraId="6E50915F" w14:textId="77777777" w:rsidR="0051174B" w:rsidRPr="00A1399E" w:rsidRDefault="0051174B" w:rsidP="00826E17">
            <w:pPr>
              <w:rPr>
                <w:rFonts w:eastAsia="Times New Roman"/>
                <w:b/>
                <w:bCs/>
                <w:sz w:val="18"/>
                <w:szCs w:val="18"/>
              </w:rPr>
            </w:pPr>
            <w:r w:rsidRPr="00A1399E">
              <w:rPr>
                <w:rFonts w:eastAsia="Times New Roman"/>
                <w:b/>
                <w:bCs/>
                <w:sz w:val="18"/>
                <w:szCs w:val="18"/>
              </w:rPr>
              <w:t xml:space="preserve">Indicators: </w:t>
            </w:r>
          </w:p>
          <w:p w14:paraId="23E5E1F6" w14:textId="2180DCEF" w:rsidR="0051174B" w:rsidRPr="00A1399E" w:rsidRDefault="0051174B" w:rsidP="00826E17">
            <w:pPr>
              <w:rPr>
                <w:rFonts w:eastAsia="Calibri"/>
                <w:sz w:val="18"/>
                <w:szCs w:val="18"/>
              </w:rPr>
            </w:pPr>
            <w:r w:rsidRPr="00A1399E">
              <w:rPr>
                <w:rFonts w:eastAsia="Calibri"/>
                <w:bCs/>
                <w:sz w:val="18"/>
                <w:szCs w:val="18"/>
              </w:rPr>
              <w:t>4.1.1</w:t>
            </w:r>
            <w:r w:rsidRPr="00A1399E">
              <w:rPr>
                <w:rFonts w:eastAsia="Calibri"/>
                <w:sz w:val="18"/>
                <w:szCs w:val="18"/>
              </w:rPr>
              <w:t>: Number of target communities benefitting from early warning systems</w:t>
            </w:r>
          </w:p>
          <w:p w14:paraId="1FF7C8D0" w14:textId="1061F07D"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100,000 agro-</w:t>
            </w:r>
            <w:r w:rsidR="00BC56B7" w:rsidRPr="00A1399E">
              <w:rPr>
                <w:rFonts w:eastAsia="Calibri"/>
                <w:sz w:val="18"/>
                <w:szCs w:val="18"/>
              </w:rPr>
              <w:t>pastoralists (</w:t>
            </w:r>
            <w:r w:rsidRPr="00A1399E">
              <w:rPr>
                <w:rFonts w:eastAsia="Calibri"/>
                <w:sz w:val="18"/>
                <w:szCs w:val="18"/>
              </w:rPr>
              <w:t>2020)</w:t>
            </w:r>
          </w:p>
          <w:p w14:paraId="7FDF8C21" w14:textId="293A82B5" w:rsidR="0051174B" w:rsidRPr="00A1399E" w:rsidRDefault="0051174B" w:rsidP="00826E17">
            <w:pPr>
              <w:rPr>
                <w:rFonts w:eastAsia="Calibri"/>
                <w:sz w:val="18"/>
                <w:szCs w:val="18"/>
              </w:rPr>
            </w:pPr>
            <w:r w:rsidRPr="00A1399E">
              <w:rPr>
                <w:rFonts w:eastAsia="Calibri"/>
                <w:b/>
                <w:bCs/>
                <w:sz w:val="18"/>
                <w:szCs w:val="18"/>
              </w:rPr>
              <w:t>Target:</w:t>
            </w:r>
            <w:r w:rsidR="00BC56B7" w:rsidRPr="00A1399E">
              <w:rPr>
                <w:rFonts w:eastAsia="Calibri"/>
                <w:sz w:val="18"/>
                <w:szCs w:val="18"/>
              </w:rPr>
              <w:t xml:space="preserve"> </w:t>
            </w:r>
            <w:r w:rsidRPr="00A1399E">
              <w:rPr>
                <w:rFonts w:eastAsia="Calibri"/>
                <w:sz w:val="18"/>
                <w:szCs w:val="18"/>
              </w:rPr>
              <w:t>1,000,000 agro-pastoralists</w:t>
            </w:r>
          </w:p>
          <w:p w14:paraId="3E0FD383" w14:textId="719E5FE2"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A42494" w:rsidRPr="00A1399E">
              <w:rPr>
                <w:rFonts w:eastAsia="Calibri"/>
                <w:sz w:val="18"/>
                <w:szCs w:val="18"/>
              </w:rPr>
              <w:t>Humanitarian Affairs and Disaster Management Agency</w:t>
            </w:r>
            <w:r w:rsidR="00216A5F" w:rsidRPr="00A1399E">
              <w:rPr>
                <w:rFonts w:eastAsia="Calibri"/>
                <w:sz w:val="18"/>
                <w:szCs w:val="18"/>
              </w:rPr>
              <w:t xml:space="preserve"> (HAMDA); </w:t>
            </w:r>
            <w:r w:rsidR="00F25EED" w:rsidRPr="00A1399E">
              <w:rPr>
                <w:rFonts w:eastAsia="Calibri"/>
                <w:sz w:val="18"/>
                <w:szCs w:val="18"/>
              </w:rPr>
              <w:t>Third-party monitoring</w:t>
            </w:r>
          </w:p>
          <w:p w14:paraId="00321672" w14:textId="77777777" w:rsidR="0051174B" w:rsidRPr="00A1399E" w:rsidRDefault="0051174B" w:rsidP="00826E17">
            <w:pPr>
              <w:rPr>
                <w:rFonts w:eastAsia="Calibri"/>
                <w:sz w:val="18"/>
                <w:szCs w:val="18"/>
              </w:rPr>
            </w:pPr>
          </w:p>
          <w:p w14:paraId="1C93BC54" w14:textId="77777777" w:rsidR="0051174B" w:rsidRPr="00A1399E" w:rsidRDefault="0051174B" w:rsidP="00826E17">
            <w:pPr>
              <w:rPr>
                <w:sz w:val="18"/>
                <w:szCs w:val="18"/>
              </w:rPr>
            </w:pPr>
            <w:r w:rsidRPr="00A1399E">
              <w:rPr>
                <w:sz w:val="18"/>
                <w:szCs w:val="18"/>
              </w:rPr>
              <w:t xml:space="preserve">4.1.2: Number of sectoral institutions engaged in the implementation of the nationally determined contributions to climate change </w:t>
            </w:r>
          </w:p>
          <w:p w14:paraId="7B05C5B0" w14:textId="63D143A1" w:rsidR="0051174B" w:rsidRPr="00A1399E" w:rsidRDefault="0051174B" w:rsidP="00826E17">
            <w:pPr>
              <w:rPr>
                <w:sz w:val="18"/>
                <w:szCs w:val="18"/>
              </w:rPr>
            </w:pPr>
            <w:r w:rsidRPr="00A1399E">
              <w:rPr>
                <w:b/>
                <w:bCs/>
                <w:sz w:val="18"/>
                <w:szCs w:val="18"/>
              </w:rPr>
              <w:t>Baseline</w:t>
            </w:r>
            <w:r w:rsidRPr="00A1399E">
              <w:rPr>
                <w:sz w:val="18"/>
                <w:szCs w:val="18"/>
              </w:rPr>
              <w:t xml:space="preserve">: 5 at </w:t>
            </w:r>
            <w:r w:rsidR="004D2D8B" w:rsidRPr="00A1399E">
              <w:rPr>
                <w:sz w:val="18"/>
                <w:szCs w:val="18"/>
              </w:rPr>
              <w:t>f</w:t>
            </w:r>
            <w:r w:rsidRPr="00A1399E">
              <w:rPr>
                <w:sz w:val="18"/>
                <w:szCs w:val="18"/>
              </w:rPr>
              <w:t xml:space="preserve">ederal level (2020) </w:t>
            </w:r>
          </w:p>
          <w:p w14:paraId="277DF8A2" w14:textId="5FAA7E6A" w:rsidR="0051174B" w:rsidRPr="00A1399E" w:rsidRDefault="0051174B" w:rsidP="00826E17">
            <w:pPr>
              <w:rPr>
                <w:sz w:val="18"/>
                <w:szCs w:val="18"/>
              </w:rPr>
            </w:pPr>
            <w:r w:rsidRPr="00A1399E">
              <w:rPr>
                <w:b/>
                <w:bCs/>
                <w:sz w:val="18"/>
                <w:szCs w:val="18"/>
              </w:rPr>
              <w:t>Target</w:t>
            </w:r>
            <w:r w:rsidRPr="00A1399E">
              <w:rPr>
                <w:sz w:val="18"/>
                <w:szCs w:val="18"/>
              </w:rPr>
              <w:t xml:space="preserve">: 11 (6 </w:t>
            </w:r>
            <w:r w:rsidR="000162D1" w:rsidRPr="00A1399E">
              <w:rPr>
                <w:sz w:val="18"/>
                <w:szCs w:val="18"/>
              </w:rPr>
              <w:t>at</w:t>
            </w:r>
            <w:r w:rsidR="00A42494" w:rsidRPr="00A1399E">
              <w:rPr>
                <w:sz w:val="18"/>
                <w:szCs w:val="18"/>
              </w:rPr>
              <w:t xml:space="preserve"> </w:t>
            </w:r>
            <w:r w:rsidR="000162D1" w:rsidRPr="00A1399E">
              <w:rPr>
                <w:sz w:val="18"/>
                <w:szCs w:val="18"/>
              </w:rPr>
              <w:t>s</w:t>
            </w:r>
            <w:r w:rsidR="00A42494" w:rsidRPr="00A1399E">
              <w:rPr>
                <w:sz w:val="18"/>
                <w:szCs w:val="18"/>
              </w:rPr>
              <w:t>tate</w:t>
            </w:r>
            <w:r w:rsidRPr="00A1399E">
              <w:rPr>
                <w:sz w:val="18"/>
                <w:szCs w:val="18"/>
              </w:rPr>
              <w:t>/local levels)</w:t>
            </w:r>
          </w:p>
          <w:p w14:paraId="26B836E5" w14:textId="383B2C26" w:rsidR="0051174B" w:rsidRPr="00A1399E" w:rsidRDefault="0051174B" w:rsidP="00826E17">
            <w:pPr>
              <w:rPr>
                <w:sz w:val="18"/>
                <w:szCs w:val="18"/>
              </w:rPr>
            </w:pPr>
            <w:r w:rsidRPr="00A1399E">
              <w:rPr>
                <w:b/>
                <w:bCs/>
                <w:sz w:val="18"/>
                <w:szCs w:val="18"/>
              </w:rPr>
              <w:t>Source</w:t>
            </w:r>
            <w:r w:rsidRPr="00A1399E">
              <w:rPr>
                <w:sz w:val="18"/>
                <w:szCs w:val="18"/>
              </w:rPr>
              <w:t xml:space="preserve">: </w:t>
            </w:r>
            <w:r w:rsidR="00F25EED" w:rsidRPr="00A1399E">
              <w:rPr>
                <w:sz w:val="18"/>
                <w:szCs w:val="18"/>
              </w:rPr>
              <w:t>Third-party monitoring</w:t>
            </w:r>
          </w:p>
          <w:p w14:paraId="28C8CF79" w14:textId="41CD4FC8" w:rsidR="0051174B" w:rsidRPr="00FC5139" w:rsidRDefault="0051174B" w:rsidP="00FC5139">
            <w:pPr>
              <w:spacing w:after="60"/>
              <w:rPr>
                <w:sz w:val="18"/>
                <w:szCs w:val="18"/>
              </w:rPr>
            </w:pPr>
            <w:r w:rsidRPr="00A1399E">
              <w:rPr>
                <w:b/>
                <w:bCs/>
                <w:sz w:val="18"/>
                <w:szCs w:val="18"/>
              </w:rPr>
              <w:lastRenderedPageBreak/>
              <w:t>Frequency</w:t>
            </w:r>
            <w:r w:rsidRPr="00A1399E">
              <w:rPr>
                <w:sz w:val="18"/>
                <w:szCs w:val="18"/>
              </w:rPr>
              <w:t>: Annual</w:t>
            </w:r>
          </w:p>
        </w:tc>
        <w:tc>
          <w:tcPr>
            <w:tcW w:w="2250" w:type="dxa"/>
            <w:vMerge w:val="restart"/>
          </w:tcPr>
          <w:p w14:paraId="17E35DD4" w14:textId="5A81419B" w:rsidR="0051174B" w:rsidRPr="00A1399E" w:rsidRDefault="0051174B" w:rsidP="00826E17">
            <w:pPr>
              <w:rPr>
                <w:rFonts w:eastAsia="Calibri"/>
                <w:sz w:val="18"/>
                <w:szCs w:val="18"/>
              </w:rPr>
            </w:pPr>
            <w:r w:rsidRPr="00A1399E">
              <w:rPr>
                <w:rFonts w:eastAsia="Calibri"/>
                <w:sz w:val="18"/>
                <w:szCs w:val="18"/>
              </w:rPr>
              <w:lastRenderedPageBreak/>
              <w:t xml:space="preserve">Institutions at FGS and FMS, CSOs, Media, </w:t>
            </w:r>
            <w:r w:rsidR="00F62236" w:rsidRPr="00A1399E">
              <w:rPr>
                <w:rFonts w:eastAsia="Calibri"/>
                <w:sz w:val="18"/>
                <w:szCs w:val="18"/>
              </w:rPr>
              <w:t>t</w:t>
            </w:r>
            <w:r w:rsidRPr="00A1399E">
              <w:rPr>
                <w:rFonts w:eastAsia="Calibri"/>
                <w:sz w:val="18"/>
                <w:szCs w:val="18"/>
              </w:rPr>
              <w:t>raditional leaders, UN, target communities</w:t>
            </w:r>
          </w:p>
          <w:p w14:paraId="08933CC6" w14:textId="77777777" w:rsidR="0051174B" w:rsidRPr="00A1399E" w:rsidRDefault="0051174B" w:rsidP="00826E17">
            <w:pPr>
              <w:rPr>
                <w:rFonts w:eastAsia="Calibri"/>
                <w:sz w:val="18"/>
                <w:szCs w:val="18"/>
              </w:rPr>
            </w:pPr>
          </w:p>
        </w:tc>
        <w:tc>
          <w:tcPr>
            <w:tcW w:w="1980" w:type="dxa"/>
            <w:vMerge w:val="restart"/>
          </w:tcPr>
          <w:p w14:paraId="138F3899" w14:textId="4E4E2896" w:rsidR="0051174B" w:rsidRPr="00A1399E" w:rsidRDefault="0051174B" w:rsidP="00826E17">
            <w:pPr>
              <w:rPr>
                <w:rFonts w:eastAsia="Calibri"/>
                <w:b/>
                <w:sz w:val="18"/>
                <w:szCs w:val="18"/>
              </w:rPr>
            </w:pPr>
            <w:r w:rsidRPr="00A1399E">
              <w:rPr>
                <w:rFonts w:eastAsia="Calibri"/>
                <w:b/>
                <w:sz w:val="18"/>
                <w:szCs w:val="18"/>
              </w:rPr>
              <w:t xml:space="preserve">Regular: $15 </w:t>
            </w:r>
            <w:r w:rsidR="00A42494" w:rsidRPr="00A1399E">
              <w:rPr>
                <w:rFonts w:eastAsia="Calibri"/>
                <w:b/>
                <w:sz w:val="18"/>
                <w:szCs w:val="18"/>
              </w:rPr>
              <w:t>m</w:t>
            </w:r>
            <w:r w:rsidRPr="00A1399E">
              <w:rPr>
                <w:rFonts w:eastAsia="Calibri"/>
                <w:b/>
                <w:sz w:val="18"/>
                <w:szCs w:val="18"/>
              </w:rPr>
              <w:t>illion</w:t>
            </w:r>
          </w:p>
          <w:p w14:paraId="0368103C" w14:textId="77777777" w:rsidR="00E02FAA" w:rsidRPr="00A1399E" w:rsidRDefault="00E02FAA" w:rsidP="00826E17">
            <w:pPr>
              <w:rPr>
                <w:rFonts w:eastAsia="Calibri"/>
                <w:b/>
                <w:sz w:val="18"/>
                <w:szCs w:val="18"/>
              </w:rPr>
            </w:pPr>
          </w:p>
          <w:p w14:paraId="787AEFB0" w14:textId="3ECD7DB6" w:rsidR="0051174B" w:rsidRPr="00A1399E" w:rsidRDefault="0051174B" w:rsidP="00826E17">
            <w:pPr>
              <w:rPr>
                <w:rFonts w:eastAsia="Calibri"/>
                <w:sz w:val="18"/>
                <w:szCs w:val="18"/>
              </w:rPr>
            </w:pPr>
            <w:r w:rsidRPr="00A1399E">
              <w:rPr>
                <w:rFonts w:eastAsia="Calibri"/>
                <w:b/>
                <w:sz w:val="18"/>
                <w:szCs w:val="18"/>
              </w:rPr>
              <w:t xml:space="preserve">Other: $42.6 </w:t>
            </w:r>
            <w:r w:rsidR="00A42494" w:rsidRPr="00A1399E">
              <w:rPr>
                <w:rFonts w:eastAsia="Calibri"/>
                <w:b/>
                <w:sz w:val="18"/>
                <w:szCs w:val="18"/>
              </w:rPr>
              <w:t>m</w:t>
            </w:r>
            <w:r w:rsidRPr="00A1399E">
              <w:rPr>
                <w:rFonts w:eastAsia="Calibri"/>
                <w:b/>
                <w:sz w:val="18"/>
                <w:szCs w:val="18"/>
              </w:rPr>
              <w:t>illion</w:t>
            </w:r>
          </w:p>
        </w:tc>
      </w:tr>
      <w:tr w:rsidR="0051174B" w:rsidRPr="00A1399E" w14:paraId="735C93AF" w14:textId="77777777" w:rsidTr="000237D8">
        <w:tc>
          <w:tcPr>
            <w:tcW w:w="3290" w:type="dxa"/>
            <w:vMerge/>
          </w:tcPr>
          <w:p w14:paraId="7D117864" w14:textId="77777777" w:rsidR="0051174B" w:rsidRPr="00A1399E" w:rsidRDefault="0051174B" w:rsidP="00826E17">
            <w:pPr>
              <w:rPr>
                <w:rFonts w:eastAsia="Calibri"/>
                <w:b/>
                <w:sz w:val="18"/>
                <w:szCs w:val="18"/>
              </w:rPr>
            </w:pPr>
          </w:p>
        </w:tc>
        <w:tc>
          <w:tcPr>
            <w:tcW w:w="3005" w:type="dxa"/>
            <w:vMerge/>
          </w:tcPr>
          <w:p w14:paraId="2244876C" w14:textId="77777777" w:rsidR="0051174B" w:rsidRPr="00A1399E" w:rsidRDefault="0051174B" w:rsidP="00826E17">
            <w:pPr>
              <w:rPr>
                <w:rFonts w:eastAsia="Calibri"/>
                <w:b/>
                <w:sz w:val="18"/>
                <w:szCs w:val="18"/>
              </w:rPr>
            </w:pPr>
          </w:p>
        </w:tc>
        <w:tc>
          <w:tcPr>
            <w:tcW w:w="3870" w:type="dxa"/>
          </w:tcPr>
          <w:p w14:paraId="3A0BEDB6" w14:textId="430F68E2" w:rsidR="0051174B" w:rsidRPr="00A1399E" w:rsidRDefault="0051174B" w:rsidP="00826E17">
            <w:pPr>
              <w:rPr>
                <w:rFonts w:eastAsia="Calibri"/>
                <w:b/>
                <w:bCs/>
                <w:sz w:val="18"/>
                <w:szCs w:val="18"/>
              </w:rPr>
            </w:pPr>
            <w:r w:rsidRPr="00A1399E">
              <w:rPr>
                <w:rFonts w:eastAsia="Calibri"/>
                <w:b/>
                <w:sz w:val="18"/>
                <w:szCs w:val="18"/>
              </w:rPr>
              <w:t>Output 4.2</w:t>
            </w:r>
            <w:r w:rsidR="00A42494" w:rsidRPr="00A1399E">
              <w:rPr>
                <w:rFonts w:eastAsia="Calibri"/>
                <w:b/>
                <w:sz w:val="18"/>
                <w:szCs w:val="18"/>
              </w:rPr>
              <w:t>.</w:t>
            </w:r>
            <w:r w:rsidRPr="00A1399E">
              <w:rPr>
                <w:rFonts w:eastAsia="Calibri"/>
                <w:b/>
                <w:sz w:val="18"/>
                <w:szCs w:val="18"/>
              </w:rPr>
              <w:t xml:space="preserve"> </w:t>
            </w:r>
            <w:r w:rsidRPr="00A1399E">
              <w:rPr>
                <w:rFonts w:eastAsia="Calibri"/>
                <w:b/>
                <w:bCs/>
                <w:sz w:val="18"/>
                <w:szCs w:val="18"/>
              </w:rPr>
              <w:t>People</w:t>
            </w:r>
            <w:r w:rsidR="00A42494" w:rsidRPr="00A1399E">
              <w:rPr>
                <w:rFonts w:eastAsia="Calibri"/>
                <w:b/>
                <w:bCs/>
                <w:sz w:val="18"/>
                <w:szCs w:val="18"/>
              </w:rPr>
              <w:t>-</w:t>
            </w:r>
            <w:r w:rsidRPr="00A1399E">
              <w:rPr>
                <w:rFonts w:eastAsia="Calibri"/>
                <w:b/>
                <w:bCs/>
                <w:sz w:val="18"/>
                <w:szCs w:val="18"/>
              </w:rPr>
              <w:t xml:space="preserve">centred environment </w:t>
            </w:r>
            <w:r w:rsidR="00A42494" w:rsidRPr="00A1399E">
              <w:rPr>
                <w:rFonts w:eastAsia="Calibri"/>
                <w:b/>
                <w:bCs/>
                <w:sz w:val="18"/>
                <w:szCs w:val="18"/>
              </w:rPr>
              <w:t xml:space="preserve">and </w:t>
            </w:r>
            <w:r w:rsidRPr="00A1399E">
              <w:rPr>
                <w:rFonts w:eastAsia="Calibri"/>
                <w:b/>
                <w:bCs/>
                <w:sz w:val="18"/>
                <w:szCs w:val="18"/>
              </w:rPr>
              <w:t>climate</w:t>
            </w:r>
            <w:r w:rsidR="00A42494" w:rsidRPr="00A1399E">
              <w:rPr>
                <w:rFonts w:eastAsia="Calibri"/>
                <w:b/>
                <w:bCs/>
                <w:sz w:val="18"/>
                <w:szCs w:val="18"/>
              </w:rPr>
              <w:t>-</w:t>
            </w:r>
            <w:r w:rsidRPr="00A1399E">
              <w:rPr>
                <w:rFonts w:eastAsia="Calibri"/>
                <w:b/>
                <w:bCs/>
                <w:sz w:val="18"/>
                <w:szCs w:val="18"/>
              </w:rPr>
              <w:t xml:space="preserve">smart strategies </w:t>
            </w:r>
            <w:r w:rsidR="00941F06" w:rsidRPr="00A1399E">
              <w:rPr>
                <w:rFonts w:eastAsia="Calibri"/>
                <w:b/>
                <w:bCs/>
                <w:sz w:val="18"/>
                <w:szCs w:val="18"/>
              </w:rPr>
              <w:t>established</w:t>
            </w:r>
            <w:r w:rsidRPr="00A1399E">
              <w:rPr>
                <w:rFonts w:eastAsia="Calibri"/>
                <w:b/>
                <w:bCs/>
                <w:sz w:val="18"/>
                <w:szCs w:val="18"/>
              </w:rPr>
              <w:t xml:space="preserve"> for sustainable natural resources management</w:t>
            </w:r>
          </w:p>
          <w:p w14:paraId="76AB30C9" w14:textId="77777777" w:rsidR="0051174B" w:rsidRPr="00A1399E" w:rsidRDefault="0051174B" w:rsidP="00826E17">
            <w:pPr>
              <w:rPr>
                <w:rFonts w:eastAsia="Calibri"/>
                <w:b/>
                <w:bCs/>
                <w:sz w:val="18"/>
                <w:szCs w:val="18"/>
              </w:rPr>
            </w:pPr>
          </w:p>
          <w:p w14:paraId="207B8EC6" w14:textId="0E0ABC0F" w:rsidR="0051174B" w:rsidRPr="00A1399E" w:rsidRDefault="0051174B" w:rsidP="00826E17">
            <w:pPr>
              <w:rPr>
                <w:rFonts w:eastAsia="Calibri"/>
                <w:b/>
                <w:bCs/>
                <w:sz w:val="18"/>
                <w:szCs w:val="18"/>
              </w:rPr>
            </w:pPr>
            <w:r w:rsidRPr="00A1399E">
              <w:rPr>
                <w:rFonts w:eastAsia="Calibri"/>
                <w:b/>
                <w:bCs/>
                <w:sz w:val="18"/>
                <w:szCs w:val="18"/>
              </w:rPr>
              <w:t>Indicators</w:t>
            </w:r>
            <w:r w:rsidR="00A42494" w:rsidRPr="00A1399E">
              <w:rPr>
                <w:rFonts w:eastAsia="Calibri"/>
                <w:b/>
                <w:bCs/>
                <w:sz w:val="18"/>
                <w:szCs w:val="18"/>
              </w:rPr>
              <w:t>:</w:t>
            </w:r>
          </w:p>
          <w:p w14:paraId="72787A27" w14:textId="41376D6F" w:rsidR="0051174B" w:rsidRPr="00A1399E" w:rsidRDefault="0051174B" w:rsidP="00826E17">
            <w:pPr>
              <w:rPr>
                <w:rFonts w:eastAsia="Calibri"/>
                <w:bCs/>
                <w:sz w:val="18"/>
                <w:szCs w:val="18"/>
              </w:rPr>
            </w:pPr>
            <w:r w:rsidRPr="00A1399E">
              <w:rPr>
                <w:rFonts w:eastAsia="Calibri"/>
                <w:bCs/>
                <w:sz w:val="18"/>
                <w:szCs w:val="18"/>
              </w:rPr>
              <w:t xml:space="preserve">4.2.1: Number of policies and legal frameworks for </w:t>
            </w:r>
            <w:r w:rsidR="00A42494" w:rsidRPr="00A1399E">
              <w:rPr>
                <w:rFonts w:eastAsia="Calibri"/>
                <w:sz w:val="18"/>
                <w:szCs w:val="18"/>
              </w:rPr>
              <w:t>natural resources management</w:t>
            </w:r>
            <w:r w:rsidR="00A42494" w:rsidRPr="00A1399E" w:rsidDel="00A42494">
              <w:rPr>
                <w:rFonts w:eastAsia="Calibri"/>
                <w:bCs/>
                <w:sz w:val="18"/>
                <w:szCs w:val="18"/>
              </w:rPr>
              <w:t xml:space="preserve"> </w:t>
            </w:r>
            <w:r w:rsidRPr="00A1399E">
              <w:rPr>
                <w:rFonts w:eastAsia="Calibri"/>
                <w:bCs/>
                <w:sz w:val="18"/>
                <w:szCs w:val="18"/>
              </w:rPr>
              <w:t>developed and implemented at federal and state levels</w:t>
            </w:r>
            <w:r w:rsidR="007C782A" w:rsidRPr="00A1399E">
              <w:rPr>
                <w:rFonts w:eastAsia="Calibri"/>
                <w:bCs/>
                <w:sz w:val="18"/>
                <w:szCs w:val="18"/>
              </w:rPr>
              <w:t>,</w:t>
            </w:r>
            <w:r w:rsidRPr="00A1399E">
              <w:rPr>
                <w:rFonts w:eastAsia="Calibri"/>
                <w:bCs/>
                <w:sz w:val="18"/>
                <w:szCs w:val="18"/>
              </w:rPr>
              <w:t xml:space="preserve"> disaggregated by sector </w:t>
            </w:r>
          </w:p>
          <w:p w14:paraId="12FB6F4D"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5 (2020) </w:t>
            </w:r>
          </w:p>
          <w:p w14:paraId="52E98E93"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9 </w:t>
            </w:r>
          </w:p>
          <w:p w14:paraId="650F80AE" w14:textId="4BD5D53A"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0162D1" w:rsidRPr="00A1399E">
              <w:rPr>
                <w:rFonts w:eastAsia="Calibri"/>
                <w:sz w:val="18"/>
                <w:szCs w:val="18"/>
              </w:rPr>
              <w:t>project reports</w:t>
            </w:r>
          </w:p>
          <w:p w14:paraId="1EC886E7"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w:t>
            </w:r>
          </w:p>
          <w:p w14:paraId="0DEC10C8" w14:textId="77777777" w:rsidR="0051174B" w:rsidRPr="00A1399E" w:rsidRDefault="0051174B" w:rsidP="00826E17">
            <w:pPr>
              <w:rPr>
                <w:rFonts w:eastAsia="Calibri"/>
                <w:sz w:val="18"/>
                <w:szCs w:val="18"/>
              </w:rPr>
            </w:pPr>
          </w:p>
          <w:p w14:paraId="344C795C" w14:textId="6561F0A1" w:rsidR="0051174B" w:rsidRPr="00A1399E" w:rsidRDefault="0051174B" w:rsidP="00826E17">
            <w:pPr>
              <w:rPr>
                <w:rFonts w:eastAsia="Calibri"/>
                <w:sz w:val="18"/>
                <w:szCs w:val="18"/>
              </w:rPr>
            </w:pPr>
            <w:r w:rsidRPr="00A1399E">
              <w:rPr>
                <w:rFonts w:eastAsia="Calibri"/>
                <w:sz w:val="18"/>
                <w:szCs w:val="18"/>
              </w:rPr>
              <w:t xml:space="preserve">4.2.2: Number of target groups (pastoralists, agro-pastoralists, fishermen) benefitting from </w:t>
            </w:r>
            <w:r w:rsidR="000A7723" w:rsidRPr="00A1399E">
              <w:rPr>
                <w:rFonts w:eastAsia="Calibri"/>
                <w:sz w:val="18"/>
                <w:szCs w:val="18"/>
              </w:rPr>
              <w:t>natural resources management</w:t>
            </w:r>
            <w:r w:rsidRPr="00A1399E">
              <w:rPr>
                <w:rFonts w:eastAsia="Calibri"/>
                <w:sz w:val="18"/>
                <w:szCs w:val="18"/>
              </w:rPr>
              <w:t xml:space="preserve"> initiatives </w:t>
            </w:r>
          </w:p>
          <w:p w14:paraId="34B7CF9E" w14:textId="77777777" w:rsidR="0051174B" w:rsidRPr="00A1399E" w:rsidRDefault="0051174B" w:rsidP="00826E17">
            <w:pPr>
              <w:rPr>
                <w:rFonts w:eastAsia="Calibri"/>
                <w:sz w:val="18"/>
                <w:szCs w:val="18"/>
              </w:rPr>
            </w:pPr>
            <w:r w:rsidRPr="00A1399E">
              <w:rPr>
                <w:rFonts w:eastAsia="Calibri"/>
                <w:b/>
                <w:sz w:val="18"/>
                <w:szCs w:val="18"/>
              </w:rPr>
              <w:t>Baseline:</w:t>
            </w:r>
            <w:r w:rsidRPr="00A1399E">
              <w:rPr>
                <w:rFonts w:eastAsia="Calibri"/>
                <w:sz w:val="18"/>
                <w:szCs w:val="18"/>
              </w:rPr>
              <w:t xml:space="preserve"> 53,320 (42% women) (2020)</w:t>
            </w:r>
          </w:p>
          <w:p w14:paraId="0AA4A0C4" w14:textId="77777777" w:rsidR="0051174B" w:rsidRPr="00A1399E" w:rsidRDefault="0051174B" w:rsidP="00826E17">
            <w:pPr>
              <w:rPr>
                <w:rFonts w:eastAsia="Calibri"/>
                <w:sz w:val="18"/>
                <w:szCs w:val="18"/>
              </w:rPr>
            </w:pPr>
            <w:r w:rsidRPr="00A1399E">
              <w:rPr>
                <w:rFonts w:eastAsia="Calibri"/>
                <w:b/>
                <w:sz w:val="18"/>
                <w:szCs w:val="18"/>
              </w:rPr>
              <w:t>Target</w:t>
            </w:r>
            <w:r w:rsidRPr="00A1399E">
              <w:rPr>
                <w:rFonts w:eastAsia="Calibri"/>
                <w:sz w:val="18"/>
                <w:szCs w:val="18"/>
              </w:rPr>
              <w:t xml:space="preserve">: 100,000 (50% women) </w:t>
            </w:r>
          </w:p>
          <w:p w14:paraId="68B833CD" w14:textId="74CDCEC3" w:rsidR="0051174B" w:rsidRPr="00A1399E" w:rsidRDefault="0051174B" w:rsidP="00826E17">
            <w:pPr>
              <w:rPr>
                <w:rFonts w:eastAsia="Calibri"/>
                <w:sz w:val="18"/>
                <w:szCs w:val="18"/>
              </w:rPr>
            </w:pPr>
            <w:r w:rsidRPr="00A1399E">
              <w:rPr>
                <w:rFonts w:eastAsia="Calibri"/>
                <w:b/>
                <w:sz w:val="18"/>
                <w:szCs w:val="18"/>
              </w:rPr>
              <w:t>Source:</w:t>
            </w:r>
            <w:r w:rsidRPr="00A1399E">
              <w:rPr>
                <w:rFonts w:eastAsia="Calibri"/>
                <w:sz w:val="18"/>
                <w:szCs w:val="18"/>
              </w:rPr>
              <w:t xml:space="preserve"> </w:t>
            </w:r>
            <w:r w:rsidR="00216A5F" w:rsidRPr="00A1399E">
              <w:rPr>
                <w:rFonts w:eastAsia="Calibri"/>
                <w:sz w:val="18"/>
                <w:szCs w:val="18"/>
              </w:rPr>
              <w:t>P</w:t>
            </w:r>
            <w:r w:rsidR="000162D1" w:rsidRPr="00A1399E">
              <w:rPr>
                <w:rFonts w:eastAsia="Calibri"/>
                <w:sz w:val="18"/>
                <w:szCs w:val="18"/>
              </w:rPr>
              <w:t>roject reports</w:t>
            </w:r>
          </w:p>
          <w:p w14:paraId="37D101DA" w14:textId="15643A30" w:rsidR="0051174B" w:rsidRPr="00FC5139" w:rsidRDefault="0051174B" w:rsidP="00FC5139">
            <w:pPr>
              <w:spacing w:after="60"/>
              <w:rPr>
                <w:rFonts w:eastAsia="Calibri"/>
                <w:sz w:val="18"/>
                <w:szCs w:val="18"/>
              </w:rPr>
            </w:pPr>
            <w:r w:rsidRPr="00A1399E">
              <w:rPr>
                <w:rFonts w:eastAsia="Calibri"/>
                <w:b/>
                <w:sz w:val="18"/>
                <w:szCs w:val="18"/>
              </w:rPr>
              <w:t>Frequency:</w:t>
            </w:r>
            <w:r w:rsidRPr="00A1399E">
              <w:rPr>
                <w:rFonts w:eastAsia="Calibri"/>
                <w:sz w:val="18"/>
                <w:szCs w:val="18"/>
              </w:rPr>
              <w:t xml:space="preserve"> Annual</w:t>
            </w:r>
          </w:p>
        </w:tc>
        <w:tc>
          <w:tcPr>
            <w:tcW w:w="2250" w:type="dxa"/>
            <w:vMerge/>
          </w:tcPr>
          <w:p w14:paraId="6840DC0A" w14:textId="77777777" w:rsidR="0051174B" w:rsidRPr="00A1399E" w:rsidRDefault="0051174B" w:rsidP="00826E17">
            <w:pPr>
              <w:rPr>
                <w:rFonts w:eastAsia="Calibri"/>
                <w:sz w:val="18"/>
                <w:szCs w:val="18"/>
              </w:rPr>
            </w:pPr>
          </w:p>
        </w:tc>
        <w:tc>
          <w:tcPr>
            <w:tcW w:w="1980" w:type="dxa"/>
            <w:vMerge/>
          </w:tcPr>
          <w:p w14:paraId="1B464F4A" w14:textId="77777777" w:rsidR="0051174B" w:rsidRPr="00A1399E" w:rsidRDefault="0051174B" w:rsidP="00826E17">
            <w:pPr>
              <w:rPr>
                <w:rFonts w:eastAsia="Calibri"/>
                <w:sz w:val="18"/>
                <w:szCs w:val="18"/>
              </w:rPr>
            </w:pPr>
          </w:p>
        </w:tc>
      </w:tr>
      <w:tr w:rsidR="0051174B" w:rsidRPr="00A1399E" w14:paraId="3F33F0B9" w14:textId="77777777" w:rsidTr="000237D8">
        <w:tc>
          <w:tcPr>
            <w:tcW w:w="3290" w:type="dxa"/>
            <w:vMerge/>
          </w:tcPr>
          <w:p w14:paraId="419A9D8E" w14:textId="77777777" w:rsidR="0051174B" w:rsidRPr="00A1399E" w:rsidRDefault="0051174B" w:rsidP="00826E17">
            <w:pPr>
              <w:rPr>
                <w:rFonts w:eastAsia="Calibri"/>
                <w:sz w:val="18"/>
                <w:szCs w:val="18"/>
              </w:rPr>
            </w:pPr>
          </w:p>
        </w:tc>
        <w:tc>
          <w:tcPr>
            <w:tcW w:w="3005" w:type="dxa"/>
            <w:vMerge/>
          </w:tcPr>
          <w:p w14:paraId="639B2986" w14:textId="77777777" w:rsidR="0051174B" w:rsidRPr="00A1399E" w:rsidRDefault="0051174B" w:rsidP="00826E17">
            <w:pPr>
              <w:rPr>
                <w:rFonts w:eastAsia="Calibri"/>
                <w:sz w:val="18"/>
                <w:szCs w:val="18"/>
              </w:rPr>
            </w:pPr>
          </w:p>
        </w:tc>
        <w:tc>
          <w:tcPr>
            <w:tcW w:w="3870" w:type="dxa"/>
          </w:tcPr>
          <w:p w14:paraId="5294EAD2" w14:textId="1681F57F" w:rsidR="0051174B" w:rsidRPr="00A1399E" w:rsidRDefault="0051174B" w:rsidP="00826E17">
            <w:pPr>
              <w:rPr>
                <w:rFonts w:eastAsia="Times New Roman"/>
                <w:b/>
                <w:bCs/>
                <w:sz w:val="18"/>
                <w:szCs w:val="18"/>
              </w:rPr>
            </w:pPr>
            <w:r w:rsidRPr="00A1399E">
              <w:rPr>
                <w:rFonts w:eastAsia="Times New Roman"/>
                <w:b/>
                <w:bCs/>
                <w:sz w:val="18"/>
                <w:szCs w:val="18"/>
              </w:rPr>
              <w:t>Output 4.3</w:t>
            </w:r>
            <w:r w:rsidR="00E235DC" w:rsidRPr="00A1399E">
              <w:rPr>
                <w:rFonts w:eastAsia="Times New Roman"/>
                <w:b/>
                <w:bCs/>
                <w:sz w:val="18"/>
                <w:szCs w:val="18"/>
              </w:rPr>
              <w:t>.</w:t>
            </w:r>
            <w:r w:rsidRPr="00A1399E">
              <w:rPr>
                <w:rFonts w:eastAsia="Times New Roman"/>
                <w:b/>
                <w:bCs/>
                <w:sz w:val="18"/>
                <w:szCs w:val="18"/>
              </w:rPr>
              <w:t xml:space="preserve"> </w:t>
            </w:r>
            <w:r w:rsidR="00216A5F" w:rsidRPr="00A1399E">
              <w:rPr>
                <w:rFonts w:eastAsia="Calibri"/>
                <w:b/>
                <w:sz w:val="18"/>
                <w:szCs w:val="18"/>
              </w:rPr>
              <w:t>I</w:t>
            </w:r>
            <w:r w:rsidRPr="00A1399E">
              <w:rPr>
                <w:rFonts w:eastAsia="Calibri"/>
                <w:b/>
                <w:sz w:val="18"/>
                <w:szCs w:val="18"/>
              </w:rPr>
              <w:t xml:space="preserve">nstitutions at federal and state levels adapting and implementing disaster risk management systems in line with Sendai </w:t>
            </w:r>
            <w:r w:rsidRPr="00A1399E">
              <w:rPr>
                <w:rFonts w:eastAsia="Calibri"/>
                <w:b/>
                <w:color w:val="000000"/>
                <w:sz w:val="18"/>
                <w:szCs w:val="18"/>
              </w:rPr>
              <w:t>Framework</w:t>
            </w:r>
            <w:r w:rsidRPr="00A1399E">
              <w:rPr>
                <w:rFonts w:eastAsia="Times New Roman"/>
                <w:b/>
                <w:bCs/>
                <w:sz w:val="18"/>
                <w:szCs w:val="18"/>
              </w:rPr>
              <w:t xml:space="preserve"> </w:t>
            </w:r>
          </w:p>
          <w:p w14:paraId="36015EC5" w14:textId="77777777" w:rsidR="0051174B" w:rsidRPr="00A1399E" w:rsidRDefault="0051174B" w:rsidP="00826E17">
            <w:pPr>
              <w:rPr>
                <w:rFonts w:eastAsia="Times New Roman"/>
                <w:b/>
                <w:bCs/>
                <w:sz w:val="18"/>
                <w:szCs w:val="18"/>
              </w:rPr>
            </w:pPr>
          </w:p>
          <w:p w14:paraId="6D9D754B" w14:textId="77777777" w:rsidR="0051174B" w:rsidRPr="00A1399E" w:rsidRDefault="0051174B" w:rsidP="00826E17">
            <w:pPr>
              <w:rPr>
                <w:rFonts w:eastAsia="Times New Roman"/>
                <w:b/>
                <w:bCs/>
                <w:sz w:val="18"/>
                <w:szCs w:val="18"/>
              </w:rPr>
            </w:pPr>
            <w:r w:rsidRPr="00A1399E">
              <w:rPr>
                <w:rFonts w:eastAsia="Times New Roman"/>
                <w:b/>
                <w:bCs/>
                <w:sz w:val="18"/>
                <w:szCs w:val="18"/>
              </w:rPr>
              <w:t>Indicators</w:t>
            </w:r>
          </w:p>
          <w:p w14:paraId="2575251D" w14:textId="13860403" w:rsidR="0051174B" w:rsidRPr="00A1399E" w:rsidRDefault="0051174B" w:rsidP="00826E17">
            <w:pPr>
              <w:rPr>
                <w:rFonts w:eastAsia="Calibri"/>
                <w:b/>
                <w:sz w:val="18"/>
                <w:szCs w:val="18"/>
              </w:rPr>
            </w:pPr>
            <w:r w:rsidRPr="00A1399E">
              <w:rPr>
                <w:rFonts w:eastAsia="Calibri"/>
                <w:sz w:val="18"/>
                <w:szCs w:val="18"/>
              </w:rPr>
              <w:t xml:space="preserve">4.3.1: </w:t>
            </w:r>
            <w:r w:rsidRPr="00A1399E">
              <w:rPr>
                <w:rFonts w:eastAsia="Calibri"/>
                <w:color w:val="000000"/>
                <w:sz w:val="18"/>
                <w:szCs w:val="18"/>
              </w:rPr>
              <w:t>Number of institutions adopt</w:t>
            </w:r>
            <w:r w:rsidR="007C782A" w:rsidRPr="00A1399E">
              <w:rPr>
                <w:rFonts w:eastAsia="Calibri"/>
                <w:color w:val="000000"/>
                <w:sz w:val="18"/>
                <w:szCs w:val="18"/>
              </w:rPr>
              <w:t>ing</w:t>
            </w:r>
            <w:r w:rsidRPr="00A1399E">
              <w:rPr>
                <w:rFonts w:eastAsia="Calibri"/>
                <w:color w:val="000000"/>
                <w:sz w:val="18"/>
                <w:szCs w:val="18"/>
              </w:rPr>
              <w:t xml:space="preserve"> and implement</w:t>
            </w:r>
            <w:r w:rsidR="007C782A" w:rsidRPr="00A1399E">
              <w:rPr>
                <w:rFonts w:eastAsia="Calibri"/>
                <w:color w:val="000000"/>
                <w:sz w:val="18"/>
                <w:szCs w:val="18"/>
              </w:rPr>
              <w:t>ing</w:t>
            </w:r>
            <w:r w:rsidRPr="00A1399E">
              <w:rPr>
                <w:rFonts w:eastAsia="Calibri"/>
                <w:color w:val="000000"/>
                <w:sz w:val="18"/>
                <w:szCs w:val="18"/>
              </w:rPr>
              <w:t xml:space="preserve"> </w:t>
            </w:r>
            <w:r w:rsidR="00E235DC" w:rsidRPr="00A1399E">
              <w:rPr>
                <w:rFonts w:eastAsia="Calibri"/>
                <w:color w:val="000000"/>
                <w:sz w:val="18"/>
                <w:szCs w:val="18"/>
              </w:rPr>
              <w:t xml:space="preserve">disaster risk reduction </w:t>
            </w:r>
            <w:r w:rsidRPr="00A1399E">
              <w:rPr>
                <w:rFonts w:eastAsia="Calibri"/>
                <w:color w:val="000000"/>
                <w:sz w:val="18"/>
                <w:szCs w:val="18"/>
              </w:rPr>
              <w:t xml:space="preserve">strategies </w:t>
            </w:r>
          </w:p>
          <w:p w14:paraId="7CCC9A28" w14:textId="2758F7FC"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xml:space="preserve">: 3 </w:t>
            </w:r>
            <w:r w:rsidR="00E235DC" w:rsidRPr="00A1399E">
              <w:rPr>
                <w:rFonts w:eastAsia="Calibri"/>
                <w:sz w:val="18"/>
                <w:szCs w:val="18"/>
              </w:rPr>
              <w:t>early warning systems</w:t>
            </w:r>
            <w:r w:rsidRPr="00A1399E">
              <w:rPr>
                <w:rFonts w:eastAsia="Calibri"/>
                <w:sz w:val="18"/>
                <w:szCs w:val="18"/>
              </w:rPr>
              <w:t xml:space="preserve"> operational in </w:t>
            </w:r>
            <w:r w:rsidR="00E235DC" w:rsidRPr="00A1399E">
              <w:rPr>
                <w:rFonts w:eastAsia="Calibri"/>
                <w:sz w:val="18"/>
                <w:szCs w:val="18"/>
              </w:rPr>
              <w:t>Federal Government of Somalia</w:t>
            </w:r>
            <w:r w:rsidRPr="00A1399E">
              <w:rPr>
                <w:rFonts w:eastAsia="Calibri"/>
                <w:sz w:val="18"/>
                <w:szCs w:val="18"/>
              </w:rPr>
              <w:t>, S</w:t>
            </w:r>
            <w:r w:rsidR="001F0968" w:rsidRPr="00A1399E">
              <w:rPr>
                <w:rFonts w:eastAsia="Calibri"/>
                <w:sz w:val="18"/>
                <w:szCs w:val="18"/>
              </w:rPr>
              <w:t>omaliland</w:t>
            </w:r>
            <w:r w:rsidRPr="00A1399E">
              <w:rPr>
                <w:rFonts w:eastAsia="Calibri"/>
                <w:sz w:val="18"/>
                <w:szCs w:val="18"/>
              </w:rPr>
              <w:t xml:space="preserve"> </w:t>
            </w:r>
            <w:r w:rsidR="003234AA" w:rsidRPr="00A1399E">
              <w:rPr>
                <w:rFonts w:eastAsia="Calibri"/>
                <w:sz w:val="18"/>
                <w:szCs w:val="18"/>
              </w:rPr>
              <w:t>and</w:t>
            </w:r>
            <w:r w:rsidRPr="00A1399E">
              <w:rPr>
                <w:rFonts w:eastAsia="Calibri"/>
                <w:sz w:val="18"/>
                <w:szCs w:val="18"/>
              </w:rPr>
              <w:t xml:space="preserve"> P</w:t>
            </w:r>
            <w:r w:rsidR="001F0968" w:rsidRPr="00A1399E">
              <w:rPr>
                <w:rFonts w:eastAsia="Calibri"/>
                <w:sz w:val="18"/>
                <w:szCs w:val="18"/>
              </w:rPr>
              <w:t>untland</w:t>
            </w:r>
            <w:r w:rsidRPr="00A1399E">
              <w:rPr>
                <w:rFonts w:eastAsia="Calibri"/>
                <w:sz w:val="18"/>
                <w:szCs w:val="18"/>
              </w:rPr>
              <w:t xml:space="preserve"> (2020)</w:t>
            </w:r>
          </w:p>
          <w:p w14:paraId="5042F59A" w14:textId="39A9CBC6"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32 (7 at state</w:t>
            </w:r>
            <w:r w:rsidR="00E235DC" w:rsidRPr="00A1399E">
              <w:rPr>
                <w:rFonts w:eastAsia="Calibri"/>
                <w:sz w:val="18"/>
                <w:szCs w:val="18"/>
              </w:rPr>
              <w:t xml:space="preserve"> level</w:t>
            </w:r>
            <w:r w:rsidRPr="00A1399E">
              <w:rPr>
                <w:rFonts w:eastAsia="Calibri"/>
                <w:sz w:val="18"/>
                <w:szCs w:val="18"/>
              </w:rPr>
              <w:t xml:space="preserve">; 25 at local level) </w:t>
            </w:r>
          </w:p>
          <w:p w14:paraId="33D50590" w14:textId="3F59FB24" w:rsidR="0051174B" w:rsidRPr="00A1399E" w:rsidRDefault="0051174B" w:rsidP="00826E17">
            <w:pPr>
              <w:rPr>
                <w:rFonts w:eastAsia="Calibri"/>
                <w:sz w:val="18"/>
                <w:szCs w:val="18"/>
              </w:rPr>
            </w:pPr>
            <w:r w:rsidRPr="00A1399E">
              <w:rPr>
                <w:rFonts w:eastAsia="Calibri"/>
                <w:b/>
                <w:bCs/>
                <w:sz w:val="18"/>
                <w:szCs w:val="18"/>
              </w:rPr>
              <w:t>Source</w:t>
            </w:r>
            <w:r w:rsidRPr="00A1399E">
              <w:rPr>
                <w:rFonts w:eastAsia="Calibri"/>
                <w:sz w:val="18"/>
                <w:szCs w:val="18"/>
              </w:rPr>
              <w:t xml:space="preserve">: </w:t>
            </w:r>
            <w:r w:rsidR="00E235DC" w:rsidRPr="00A1399E">
              <w:rPr>
                <w:rFonts w:eastAsia="Calibri"/>
                <w:sz w:val="18"/>
                <w:szCs w:val="18"/>
              </w:rPr>
              <w:t xml:space="preserve">Disaster Management </w:t>
            </w:r>
            <w:r w:rsidRPr="00A1399E">
              <w:rPr>
                <w:rFonts w:eastAsia="Calibri"/>
                <w:sz w:val="18"/>
                <w:szCs w:val="18"/>
              </w:rPr>
              <w:t xml:space="preserve">authorities </w:t>
            </w:r>
          </w:p>
          <w:p w14:paraId="0E433F61" w14:textId="77777777" w:rsidR="0051174B" w:rsidRPr="00A1399E" w:rsidRDefault="0051174B" w:rsidP="00826E17">
            <w:pPr>
              <w:rPr>
                <w:rFonts w:eastAsia="Calibri"/>
                <w:sz w:val="18"/>
                <w:szCs w:val="18"/>
              </w:rPr>
            </w:pPr>
            <w:r w:rsidRPr="00A1399E">
              <w:rPr>
                <w:rFonts w:eastAsia="Calibri"/>
                <w:b/>
                <w:bCs/>
                <w:sz w:val="18"/>
                <w:szCs w:val="18"/>
              </w:rPr>
              <w:t>Frequency</w:t>
            </w:r>
            <w:r w:rsidRPr="00A1399E">
              <w:rPr>
                <w:rFonts w:eastAsia="Calibri"/>
                <w:sz w:val="18"/>
                <w:szCs w:val="18"/>
              </w:rPr>
              <w:t>: Annual</w:t>
            </w:r>
          </w:p>
          <w:p w14:paraId="44E32C74" w14:textId="77777777" w:rsidR="0051174B" w:rsidRPr="00A1399E" w:rsidRDefault="0051174B" w:rsidP="00826E17">
            <w:pPr>
              <w:rPr>
                <w:rFonts w:eastAsia="Calibri"/>
                <w:b/>
                <w:sz w:val="18"/>
                <w:szCs w:val="18"/>
              </w:rPr>
            </w:pPr>
          </w:p>
          <w:p w14:paraId="5A2D2B2A" w14:textId="7A047BDA" w:rsidR="0051174B" w:rsidRPr="00A1399E" w:rsidRDefault="0051174B" w:rsidP="00826E17">
            <w:pPr>
              <w:rPr>
                <w:rFonts w:eastAsia="Calibri"/>
                <w:sz w:val="18"/>
                <w:szCs w:val="18"/>
              </w:rPr>
            </w:pPr>
            <w:r w:rsidRPr="00A1399E">
              <w:rPr>
                <w:rFonts w:eastAsia="Calibri"/>
                <w:sz w:val="18"/>
                <w:szCs w:val="18"/>
              </w:rPr>
              <w:t>4.3.2: Proportion of target groups</w:t>
            </w:r>
            <w:r w:rsidR="001F0968" w:rsidRPr="00A1399E">
              <w:rPr>
                <w:rFonts w:eastAsia="Calibri"/>
                <w:sz w:val="18"/>
                <w:szCs w:val="18"/>
              </w:rPr>
              <w:t>/</w:t>
            </w:r>
            <w:r w:rsidRPr="00A1399E">
              <w:rPr>
                <w:rFonts w:eastAsia="Calibri"/>
                <w:sz w:val="18"/>
                <w:szCs w:val="18"/>
              </w:rPr>
              <w:t>communities adopting DRR measures</w:t>
            </w:r>
          </w:p>
          <w:p w14:paraId="07E614A6" w14:textId="77777777" w:rsidR="0051174B" w:rsidRPr="00A1399E" w:rsidRDefault="0051174B" w:rsidP="00826E17">
            <w:pPr>
              <w:rPr>
                <w:rFonts w:eastAsia="Calibri"/>
                <w:sz w:val="18"/>
                <w:szCs w:val="18"/>
              </w:rPr>
            </w:pPr>
            <w:r w:rsidRPr="00A1399E">
              <w:rPr>
                <w:rFonts w:eastAsia="Calibri"/>
                <w:b/>
                <w:bCs/>
                <w:sz w:val="18"/>
                <w:szCs w:val="18"/>
              </w:rPr>
              <w:t>Baseline</w:t>
            </w:r>
            <w:r w:rsidRPr="00A1399E">
              <w:rPr>
                <w:rFonts w:eastAsia="Calibri"/>
                <w:sz w:val="18"/>
                <w:szCs w:val="18"/>
              </w:rPr>
              <w:t>: 25% (2020)</w:t>
            </w:r>
          </w:p>
          <w:p w14:paraId="20B2D8D5" w14:textId="77777777" w:rsidR="0051174B" w:rsidRPr="00A1399E" w:rsidRDefault="0051174B" w:rsidP="00826E17">
            <w:pPr>
              <w:rPr>
                <w:rFonts w:eastAsia="Calibri"/>
                <w:sz w:val="18"/>
                <w:szCs w:val="18"/>
              </w:rPr>
            </w:pPr>
            <w:r w:rsidRPr="00A1399E">
              <w:rPr>
                <w:rFonts w:eastAsia="Calibri"/>
                <w:b/>
                <w:bCs/>
                <w:sz w:val="18"/>
                <w:szCs w:val="18"/>
              </w:rPr>
              <w:t>Target</w:t>
            </w:r>
            <w:r w:rsidRPr="00A1399E">
              <w:rPr>
                <w:rFonts w:eastAsia="Calibri"/>
                <w:sz w:val="18"/>
                <w:szCs w:val="18"/>
              </w:rPr>
              <w:t xml:space="preserve">: 80% </w:t>
            </w:r>
          </w:p>
          <w:p w14:paraId="08352385" w14:textId="5916E9D4" w:rsidR="0051174B" w:rsidRPr="00A1399E" w:rsidRDefault="0051174B" w:rsidP="00826E17">
            <w:pPr>
              <w:rPr>
                <w:rFonts w:eastAsia="Calibri"/>
                <w:sz w:val="18"/>
                <w:szCs w:val="18"/>
              </w:rPr>
            </w:pPr>
            <w:r w:rsidRPr="00A1399E">
              <w:rPr>
                <w:rFonts w:eastAsia="Calibri"/>
                <w:b/>
                <w:bCs/>
                <w:sz w:val="18"/>
                <w:szCs w:val="18"/>
              </w:rPr>
              <w:lastRenderedPageBreak/>
              <w:t>Source: Source</w:t>
            </w:r>
            <w:r w:rsidRPr="00A1399E">
              <w:rPr>
                <w:rFonts w:eastAsia="Calibri"/>
                <w:sz w:val="18"/>
                <w:szCs w:val="18"/>
              </w:rPr>
              <w:t xml:space="preserve">: </w:t>
            </w:r>
            <w:r w:rsidR="00E235DC" w:rsidRPr="00A1399E">
              <w:rPr>
                <w:rFonts w:eastAsia="Calibri"/>
                <w:sz w:val="18"/>
                <w:szCs w:val="18"/>
              </w:rPr>
              <w:t xml:space="preserve">Disaster </w:t>
            </w:r>
            <w:r w:rsidR="003234AA" w:rsidRPr="00A1399E">
              <w:rPr>
                <w:rFonts w:eastAsia="Calibri"/>
                <w:sz w:val="18"/>
                <w:szCs w:val="18"/>
              </w:rPr>
              <w:t>m</w:t>
            </w:r>
            <w:r w:rsidR="00E235DC" w:rsidRPr="00A1399E">
              <w:rPr>
                <w:rFonts w:eastAsia="Calibri"/>
                <w:sz w:val="18"/>
                <w:szCs w:val="18"/>
              </w:rPr>
              <w:t>anagement</w:t>
            </w:r>
            <w:r w:rsidR="00790243" w:rsidRPr="00A1399E">
              <w:rPr>
                <w:rFonts w:eastAsia="Calibri"/>
                <w:sz w:val="18"/>
                <w:szCs w:val="18"/>
              </w:rPr>
              <w:t xml:space="preserve"> authorities </w:t>
            </w:r>
          </w:p>
          <w:p w14:paraId="1A441559" w14:textId="48EE8F85" w:rsidR="0051174B" w:rsidRPr="00A1399E" w:rsidRDefault="0051174B" w:rsidP="00FC5139">
            <w:pPr>
              <w:spacing w:after="60"/>
              <w:rPr>
                <w:rFonts w:eastAsia="Calibri"/>
                <w:sz w:val="18"/>
                <w:szCs w:val="18"/>
              </w:rPr>
            </w:pPr>
            <w:r w:rsidRPr="00A1399E">
              <w:rPr>
                <w:rFonts w:eastAsia="Calibri"/>
                <w:b/>
                <w:bCs/>
                <w:sz w:val="18"/>
                <w:szCs w:val="18"/>
              </w:rPr>
              <w:t>Frequency</w:t>
            </w:r>
            <w:r w:rsidRPr="00A1399E">
              <w:rPr>
                <w:rFonts w:eastAsia="Calibri"/>
                <w:sz w:val="18"/>
                <w:szCs w:val="18"/>
              </w:rPr>
              <w:t>: Annual</w:t>
            </w:r>
          </w:p>
        </w:tc>
        <w:tc>
          <w:tcPr>
            <w:tcW w:w="2250" w:type="dxa"/>
            <w:vMerge/>
          </w:tcPr>
          <w:p w14:paraId="40F3B84C" w14:textId="77777777" w:rsidR="0051174B" w:rsidRPr="00A1399E" w:rsidRDefault="0051174B" w:rsidP="00826E17">
            <w:pPr>
              <w:rPr>
                <w:rFonts w:eastAsia="Calibri"/>
                <w:sz w:val="18"/>
                <w:szCs w:val="18"/>
              </w:rPr>
            </w:pPr>
          </w:p>
        </w:tc>
        <w:tc>
          <w:tcPr>
            <w:tcW w:w="1980" w:type="dxa"/>
            <w:vMerge/>
          </w:tcPr>
          <w:p w14:paraId="60F20197" w14:textId="77777777" w:rsidR="0051174B" w:rsidRPr="00A1399E" w:rsidRDefault="0051174B" w:rsidP="00826E17">
            <w:pPr>
              <w:ind w:firstLine="720"/>
              <w:rPr>
                <w:rFonts w:eastAsia="Calibri"/>
                <w:sz w:val="18"/>
                <w:szCs w:val="18"/>
              </w:rPr>
            </w:pPr>
          </w:p>
        </w:tc>
      </w:tr>
    </w:tbl>
    <w:p w14:paraId="0ADAB926" w14:textId="5B3739EB" w:rsidR="00B66A65" w:rsidRPr="00A1399E" w:rsidRDefault="00B66A65" w:rsidP="002F0813">
      <w:pPr>
        <w:rPr>
          <w:sz w:val="22"/>
          <w:szCs w:val="22"/>
        </w:rPr>
      </w:pPr>
    </w:p>
    <w:p w14:paraId="1C8192B5" w14:textId="70B5E4C7" w:rsidR="00132560" w:rsidRPr="00A1399E" w:rsidRDefault="00132560" w:rsidP="002F0813">
      <w:pPr>
        <w:rPr>
          <w:sz w:val="22"/>
          <w:szCs w:val="22"/>
        </w:rPr>
      </w:pPr>
      <w:r w:rsidRPr="00A1399E">
        <w:rPr>
          <w:rFonts w:eastAsia="MS Mincho"/>
          <w:noProof/>
          <w:sz w:val="22"/>
          <w:szCs w:val="22"/>
          <w:lang w:eastAsia="en-US"/>
        </w:rPr>
        <mc:AlternateContent>
          <mc:Choice Requires="wps">
            <w:drawing>
              <wp:anchor distT="0" distB="0" distL="114300" distR="114300" simplePos="0" relativeHeight="251659264" behindDoc="0" locked="0" layoutInCell="1" allowOverlap="1" wp14:anchorId="14608637" wp14:editId="399390F2">
                <wp:simplePos x="0" y="0"/>
                <wp:positionH relativeFrom="column">
                  <wp:posOffset>3895725</wp:posOffset>
                </wp:positionH>
                <wp:positionV relativeFrom="paragraph">
                  <wp:posOffset>142240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B92BA"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1.2pt" to="37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" strokeweight=".25pt"/>
            </w:pict>
          </mc:Fallback>
        </mc:AlternateContent>
      </w:r>
    </w:p>
    <w:sectPr w:rsidR="00132560" w:rsidRPr="00A1399E" w:rsidSect="00D96969">
      <w:headerReference w:type="even" r:id="rId22"/>
      <w:headerReference w:type="default" r:id="rId23"/>
      <w:footerReference w:type="even" r:id="rId24"/>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0484" w14:textId="77777777" w:rsidR="003905FF" w:rsidRDefault="003905FF" w:rsidP="005E253C">
      <w:r>
        <w:separator/>
      </w:r>
    </w:p>
  </w:endnote>
  <w:endnote w:type="continuationSeparator" w:id="0">
    <w:p w14:paraId="431CDA48" w14:textId="77777777" w:rsidR="003905FF" w:rsidRDefault="003905FF" w:rsidP="005E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444523"/>
      <w:docPartObj>
        <w:docPartGallery w:val="Page Numbers (Bottom of Page)"/>
        <w:docPartUnique/>
      </w:docPartObj>
    </w:sdtPr>
    <w:sdtEndPr>
      <w:rPr>
        <w:rFonts w:ascii="Times New Roman" w:hAnsi="Times New Roman" w:cs="Times New Roman"/>
        <w:b/>
        <w:bCs/>
        <w:noProof/>
        <w:sz w:val="17"/>
        <w:szCs w:val="17"/>
      </w:rPr>
    </w:sdtEndPr>
    <w:sdtContent>
      <w:p w14:paraId="55B7A8F9" w14:textId="50D5536D" w:rsidR="00361292" w:rsidRPr="00503084" w:rsidRDefault="00361292" w:rsidP="00AC56B5">
        <w:pPr>
          <w:pStyle w:val="Footer"/>
          <w:ind w:firstLine="540"/>
          <w:rPr>
            <w:rFonts w:ascii="Times New Roman" w:hAnsi="Times New Roman" w:cs="Times New Roman"/>
            <w:b/>
            <w:bCs/>
            <w:sz w:val="17"/>
            <w:szCs w:val="17"/>
          </w:rPr>
        </w:pPr>
        <w:r w:rsidRPr="00503084">
          <w:rPr>
            <w:rFonts w:ascii="Times New Roman" w:hAnsi="Times New Roman" w:cs="Times New Roman"/>
            <w:b/>
            <w:bCs/>
            <w:sz w:val="17"/>
            <w:szCs w:val="17"/>
          </w:rPr>
          <w:fldChar w:fldCharType="begin"/>
        </w:r>
        <w:r w:rsidRPr="00503084">
          <w:rPr>
            <w:rFonts w:ascii="Times New Roman" w:hAnsi="Times New Roman" w:cs="Times New Roman"/>
            <w:b/>
            <w:bCs/>
            <w:sz w:val="17"/>
            <w:szCs w:val="17"/>
          </w:rPr>
          <w:instrText xml:space="preserve"> PAGE   \* MERGEFORMAT </w:instrText>
        </w:r>
        <w:r w:rsidRPr="00503084">
          <w:rPr>
            <w:rFonts w:ascii="Times New Roman" w:hAnsi="Times New Roman" w:cs="Times New Roman"/>
            <w:b/>
            <w:bCs/>
            <w:sz w:val="17"/>
            <w:szCs w:val="17"/>
          </w:rPr>
          <w:fldChar w:fldCharType="separate"/>
        </w:r>
        <w:r w:rsidRPr="00503084">
          <w:rPr>
            <w:rFonts w:ascii="Times New Roman" w:hAnsi="Times New Roman" w:cs="Times New Roman"/>
            <w:b/>
            <w:bCs/>
            <w:noProof/>
            <w:sz w:val="17"/>
            <w:szCs w:val="17"/>
          </w:rPr>
          <w:t>2</w:t>
        </w:r>
        <w:r w:rsidRPr="00503084">
          <w:rPr>
            <w:rFonts w:ascii="Times New Roman" w:hAnsi="Times New Roman" w:cs="Times New Roman"/>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B6B" w14:textId="77777777" w:rsidR="00361292" w:rsidRDefault="00361292" w:rsidP="00EA2A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721766"/>
      <w:docPartObj>
        <w:docPartGallery w:val="Page Numbers (Bottom of Page)"/>
        <w:docPartUnique/>
      </w:docPartObj>
    </w:sdtPr>
    <w:sdtEndPr>
      <w:rPr>
        <w:rFonts w:ascii="Times New Roman" w:hAnsi="Times New Roman" w:cs="Times New Roman"/>
        <w:b/>
        <w:bCs/>
        <w:noProof/>
        <w:sz w:val="17"/>
        <w:szCs w:val="17"/>
      </w:rPr>
    </w:sdtEndPr>
    <w:sdtContent>
      <w:p w14:paraId="401772E4" w14:textId="62CA2DD0" w:rsidR="00361292" w:rsidRPr="00503084" w:rsidRDefault="00361292" w:rsidP="00AC56B5">
        <w:pPr>
          <w:pStyle w:val="Footer"/>
          <w:tabs>
            <w:tab w:val="left" w:pos="8910"/>
          </w:tabs>
          <w:ind w:right="-270"/>
          <w:jc w:val="right"/>
          <w:rPr>
            <w:rFonts w:ascii="Times New Roman" w:hAnsi="Times New Roman" w:cs="Times New Roman"/>
            <w:b/>
            <w:bCs/>
            <w:sz w:val="17"/>
            <w:szCs w:val="17"/>
          </w:rPr>
        </w:pPr>
        <w:r w:rsidRPr="00503084">
          <w:rPr>
            <w:rFonts w:ascii="Times New Roman" w:hAnsi="Times New Roman" w:cs="Times New Roman"/>
            <w:b/>
            <w:bCs/>
            <w:sz w:val="17"/>
            <w:szCs w:val="17"/>
          </w:rPr>
          <w:fldChar w:fldCharType="begin"/>
        </w:r>
        <w:r w:rsidRPr="00503084">
          <w:rPr>
            <w:rFonts w:ascii="Times New Roman" w:hAnsi="Times New Roman" w:cs="Times New Roman"/>
            <w:b/>
            <w:bCs/>
            <w:sz w:val="17"/>
            <w:szCs w:val="17"/>
          </w:rPr>
          <w:instrText xml:space="preserve"> PAGE   \* MERGEFORMAT </w:instrText>
        </w:r>
        <w:r w:rsidRPr="00503084">
          <w:rPr>
            <w:rFonts w:ascii="Times New Roman" w:hAnsi="Times New Roman" w:cs="Times New Roman"/>
            <w:b/>
            <w:bCs/>
            <w:sz w:val="17"/>
            <w:szCs w:val="17"/>
          </w:rPr>
          <w:fldChar w:fldCharType="separate"/>
        </w:r>
        <w:r w:rsidRPr="00503084">
          <w:rPr>
            <w:rFonts w:ascii="Times New Roman" w:hAnsi="Times New Roman" w:cs="Times New Roman"/>
            <w:b/>
            <w:bCs/>
            <w:noProof/>
            <w:sz w:val="17"/>
            <w:szCs w:val="17"/>
          </w:rPr>
          <w:t>2</w:t>
        </w:r>
        <w:r w:rsidRPr="00503084">
          <w:rPr>
            <w:rFonts w:ascii="Times New Roman" w:hAnsi="Times New Roman" w:cs="Times New Roman"/>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765906"/>
      <w:docPartObj>
        <w:docPartGallery w:val="Page Numbers (Bottom of Page)"/>
        <w:docPartUnique/>
      </w:docPartObj>
    </w:sdtPr>
    <w:sdtEndPr>
      <w:rPr>
        <w:rFonts w:ascii="Times New Roman" w:hAnsi="Times New Roman" w:cs="Times New Roman"/>
        <w:b/>
        <w:bCs/>
        <w:noProof/>
        <w:sz w:val="17"/>
        <w:szCs w:val="17"/>
      </w:rPr>
    </w:sdtEndPr>
    <w:sdtContent>
      <w:p w14:paraId="5855BCB1" w14:textId="1CF6CCBD" w:rsidR="00361292" w:rsidRPr="00503084" w:rsidRDefault="00361292" w:rsidP="00AC56B5">
        <w:pPr>
          <w:pStyle w:val="Footer"/>
          <w:ind w:firstLine="540"/>
          <w:rPr>
            <w:rFonts w:ascii="Times New Roman" w:hAnsi="Times New Roman" w:cs="Times New Roman"/>
            <w:b/>
            <w:bCs/>
            <w:sz w:val="17"/>
            <w:szCs w:val="17"/>
          </w:rPr>
        </w:pPr>
        <w:r w:rsidRPr="00503084">
          <w:rPr>
            <w:rFonts w:ascii="Times New Roman" w:hAnsi="Times New Roman" w:cs="Times New Roman"/>
            <w:b/>
            <w:bCs/>
            <w:sz w:val="17"/>
            <w:szCs w:val="17"/>
          </w:rPr>
          <w:fldChar w:fldCharType="begin"/>
        </w:r>
        <w:r w:rsidRPr="00503084">
          <w:rPr>
            <w:rFonts w:ascii="Times New Roman" w:hAnsi="Times New Roman" w:cs="Times New Roman"/>
            <w:b/>
            <w:bCs/>
            <w:sz w:val="17"/>
            <w:szCs w:val="17"/>
          </w:rPr>
          <w:instrText xml:space="preserve"> PAGE   \* MERGEFORMAT </w:instrText>
        </w:r>
        <w:r w:rsidRPr="00503084">
          <w:rPr>
            <w:rFonts w:ascii="Times New Roman" w:hAnsi="Times New Roman" w:cs="Times New Roman"/>
            <w:b/>
            <w:bCs/>
            <w:sz w:val="17"/>
            <w:szCs w:val="17"/>
          </w:rPr>
          <w:fldChar w:fldCharType="separate"/>
        </w:r>
        <w:r w:rsidRPr="00503084">
          <w:rPr>
            <w:rFonts w:ascii="Times New Roman" w:hAnsi="Times New Roman" w:cs="Times New Roman"/>
            <w:b/>
            <w:bCs/>
            <w:noProof/>
            <w:sz w:val="17"/>
            <w:szCs w:val="17"/>
          </w:rPr>
          <w:t>2</w:t>
        </w:r>
        <w:r w:rsidRPr="00503084">
          <w:rPr>
            <w:rFonts w:ascii="Times New Roman" w:hAnsi="Times New Roman" w:cs="Times New Roman"/>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012022"/>
      <w:docPartObj>
        <w:docPartGallery w:val="Page Numbers (Bottom of Page)"/>
        <w:docPartUnique/>
      </w:docPartObj>
    </w:sdtPr>
    <w:sdtEndPr>
      <w:rPr>
        <w:rFonts w:ascii="Times New Roman" w:hAnsi="Times New Roman" w:cs="Times New Roman"/>
        <w:b/>
        <w:bCs/>
        <w:noProof/>
        <w:sz w:val="17"/>
        <w:szCs w:val="17"/>
      </w:rPr>
    </w:sdtEndPr>
    <w:sdtContent>
      <w:p w14:paraId="6884FFC9" w14:textId="77777777" w:rsidR="00AC56B5" w:rsidRPr="00503084" w:rsidRDefault="00AC56B5" w:rsidP="00AC56B5">
        <w:pPr>
          <w:pStyle w:val="Footer"/>
          <w:rPr>
            <w:rFonts w:ascii="Times New Roman" w:hAnsi="Times New Roman" w:cs="Times New Roman"/>
            <w:b/>
            <w:bCs/>
            <w:sz w:val="17"/>
            <w:szCs w:val="17"/>
          </w:rPr>
        </w:pPr>
        <w:r w:rsidRPr="00503084">
          <w:rPr>
            <w:rFonts w:ascii="Times New Roman" w:hAnsi="Times New Roman" w:cs="Times New Roman"/>
            <w:b/>
            <w:bCs/>
            <w:sz w:val="17"/>
            <w:szCs w:val="17"/>
          </w:rPr>
          <w:fldChar w:fldCharType="begin"/>
        </w:r>
        <w:r w:rsidRPr="00503084">
          <w:rPr>
            <w:rFonts w:ascii="Times New Roman" w:hAnsi="Times New Roman" w:cs="Times New Roman"/>
            <w:b/>
            <w:bCs/>
            <w:sz w:val="17"/>
            <w:szCs w:val="17"/>
          </w:rPr>
          <w:instrText xml:space="preserve"> PAGE   \* MERGEFORMAT </w:instrText>
        </w:r>
        <w:r w:rsidRPr="00503084">
          <w:rPr>
            <w:rFonts w:ascii="Times New Roman" w:hAnsi="Times New Roman" w:cs="Times New Roman"/>
            <w:b/>
            <w:bCs/>
            <w:sz w:val="17"/>
            <w:szCs w:val="17"/>
          </w:rPr>
          <w:fldChar w:fldCharType="separate"/>
        </w:r>
        <w:r w:rsidRPr="00503084">
          <w:rPr>
            <w:rFonts w:ascii="Times New Roman" w:hAnsi="Times New Roman" w:cs="Times New Roman"/>
            <w:b/>
            <w:bCs/>
            <w:noProof/>
            <w:sz w:val="17"/>
            <w:szCs w:val="17"/>
          </w:rPr>
          <w:t>2</w:t>
        </w:r>
        <w:r w:rsidRPr="00503084">
          <w:rPr>
            <w:rFonts w:ascii="Times New Roman" w:hAnsi="Times New Roman" w:cs="Times New Roman"/>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858BB" w14:textId="77777777" w:rsidR="003905FF" w:rsidRDefault="003905FF" w:rsidP="005E253C">
      <w:r>
        <w:separator/>
      </w:r>
    </w:p>
  </w:footnote>
  <w:footnote w:type="continuationSeparator" w:id="0">
    <w:p w14:paraId="02526D18" w14:textId="77777777" w:rsidR="003905FF" w:rsidRDefault="003905FF" w:rsidP="005E253C">
      <w:r>
        <w:continuationSeparator/>
      </w:r>
    </w:p>
  </w:footnote>
  <w:footnote w:id="1">
    <w:p w14:paraId="48BB87DD" w14:textId="665EEC63" w:rsidR="00361292" w:rsidRPr="00A1399E" w:rsidRDefault="00361292" w:rsidP="00F4641E">
      <w:pPr>
        <w:pStyle w:val="FootnoteText"/>
        <w:tabs>
          <w:tab w:val="left" w:pos="180"/>
        </w:tabs>
        <w:ind w:left="90" w:hanging="90"/>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UNDP, 2019. “Measuring the economic impact of violent extremism leading to terrorism in Africa” (2007-2016), Ibrahim Index of African Governance (IIAG) International, 2007-2017.</w:t>
      </w:r>
    </w:p>
  </w:footnote>
  <w:footnote w:id="2">
    <w:p w14:paraId="4C5BB3EA" w14:textId="0700D7A4" w:rsidR="00361292" w:rsidRPr="00A1399E" w:rsidRDefault="00361292" w:rsidP="00F4641E">
      <w:pPr>
        <w:pStyle w:val="FootnoteText"/>
        <w:tabs>
          <w:tab w:val="left" w:pos="180"/>
        </w:tabs>
        <w:ind w:left="90" w:hanging="90"/>
        <w:rPr>
          <w:rFonts w:asciiTheme="majorBidi" w:hAnsiTheme="majorBidi" w:cstheme="majorBidi"/>
          <w:iCs/>
          <w:sz w:val="16"/>
          <w:szCs w:val="16"/>
          <w:lang w:val="en-GB"/>
        </w:rPr>
      </w:pPr>
      <w:r w:rsidRPr="00A1399E">
        <w:rPr>
          <w:rFonts w:asciiTheme="majorBidi" w:hAnsiTheme="majorBidi" w:cstheme="majorBidi"/>
          <w:iCs/>
          <w:sz w:val="16"/>
          <w:szCs w:val="16"/>
          <w:vertAlign w:val="superscript"/>
          <w:lang w:val="en-GB"/>
        </w:rPr>
        <w:footnoteRef/>
      </w:r>
      <w:r w:rsidRPr="00A1399E">
        <w:rPr>
          <w:rFonts w:asciiTheme="majorBidi" w:hAnsiTheme="majorBidi" w:cstheme="majorBidi"/>
          <w:iCs/>
          <w:sz w:val="16"/>
          <w:szCs w:val="16"/>
          <w:lang w:val="en-GB"/>
        </w:rPr>
        <w:t xml:space="preserve"> Felbab-Brown, Vanda. “Developments in Somalia” (14 November 2018): Brookings Institute and “Somalia: A Political Economy Analysis” (22 June 2018): Norwegian Institute of International Affairs.</w:t>
      </w:r>
    </w:p>
  </w:footnote>
  <w:footnote w:id="3">
    <w:p w14:paraId="7544C942" w14:textId="465D529E" w:rsidR="00361292" w:rsidRPr="00A1399E" w:rsidRDefault="00361292" w:rsidP="00F4641E">
      <w:pPr>
        <w:pStyle w:val="FootnoteText"/>
        <w:tabs>
          <w:tab w:val="left" w:pos="180"/>
        </w:tabs>
        <w:ind w:left="90" w:hanging="90"/>
        <w:rPr>
          <w:rFonts w:asciiTheme="majorBidi" w:hAnsiTheme="majorBidi" w:cstheme="majorBidi"/>
          <w:iCs/>
          <w:sz w:val="16"/>
          <w:szCs w:val="16"/>
          <w:lang w:val="en-GB"/>
        </w:rPr>
      </w:pPr>
      <w:r w:rsidRPr="00A1399E">
        <w:rPr>
          <w:rFonts w:asciiTheme="majorBidi" w:hAnsiTheme="majorBidi" w:cstheme="majorBidi"/>
          <w:iCs/>
          <w:sz w:val="16"/>
          <w:szCs w:val="16"/>
          <w:vertAlign w:val="superscript"/>
          <w:lang w:val="en-GB"/>
        </w:rPr>
        <w:footnoteRef/>
      </w:r>
      <w:r w:rsidRPr="00A1399E">
        <w:rPr>
          <w:rFonts w:asciiTheme="majorBidi" w:hAnsiTheme="majorBidi" w:cstheme="majorBidi"/>
          <w:iCs/>
          <w:sz w:val="16"/>
          <w:szCs w:val="16"/>
          <w:lang w:val="en-GB"/>
        </w:rPr>
        <w:t xml:space="preserve"> Felbab-Brown, Vanda. “Developments in Somalia” (14 November 2018): Brookings Institute.</w:t>
      </w:r>
    </w:p>
  </w:footnote>
  <w:footnote w:id="4">
    <w:p w14:paraId="5A16BEF4" w14:textId="6857B01D" w:rsidR="00361292" w:rsidRPr="00A1399E" w:rsidRDefault="00361292" w:rsidP="00F4641E">
      <w:pPr>
        <w:pStyle w:val="FootnoteText"/>
        <w:tabs>
          <w:tab w:val="left" w:pos="180"/>
        </w:tabs>
        <w:ind w:left="90" w:hanging="90"/>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Federal Government of Somalia. 2019. Somalia National Development Plan, 2020-2021; World Bank. 2019. Somalia Poverty and Vulnerability Assessment (Findings from Wave 2 of Somalia High Frequency Survey; Federal Republic of Somalia. 2018; Somalia Recovery and Resilience Framework; FGS. 2018. Somalia Drought Impact and Needs Assessment (DINA), Volume II: Sector Reports; World Bank. 2017. “Strengthening Somalia´s Systems Smartly: A Country System Risk Benefit Analysis”. </w:t>
      </w:r>
    </w:p>
  </w:footnote>
  <w:footnote w:id="5">
    <w:p w14:paraId="141818D4" w14:textId="79333BA9" w:rsidR="00361292" w:rsidRPr="00A1399E" w:rsidRDefault="00361292" w:rsidP="00F4641E">
      <w:pPr>
        <w:pStyle w:val="FootnoteText"/>
        <w:tabs>
          <w:tab w:val="left" w:pos="180"/>
        </w:tabs>
        <w:ind w:left="90" w:hanging="90"/>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World Bank, 2019. “Somalia Economic Update: Building Education to Boost Human Capital”, August, Edition No.4.</w:t>
      </w:r>
    </w:p>
  </w:footnote>
  <w:footnote w:id="6">
    <w:p w14:paraId="7B7D26D3" w14:textId="2AEAA528" w:rsidR="00361292" w:rsidRPr="00A1399E" w:rsidRDefault="00361292" w:rsidP="00F4641E">
      <w:pPr>
        <w:pStyle w:val="FootnoteText"/>
        <w:tabs>
          <w:tab w:val="left" w:pos="180"/>
        </w:tabs>
        <w:ind w:left="90" w:hanging="90"/>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Federal Republic of Somalia. 2018. Somalia Recovery and Resilience Framework.</w:t>
      </w:r>
    </w:p>
  </w:footnote>
  <w:footnote w:id="7">
    <w:p w14:paraId="0B475422" w14:textId="5E1CB158" w:rsidR="00361292" w:rsidRPr="00A1399E" w:rsidRDefault="00361292" w:rsidP="00F4641E">
      <w:pPr>
        <w:pStyle w:val="FootnoteText"/>
        <w:tabs>
          <w:tab w:val="left" w:pos="180"/>
        </w:tabs>
        <w:ind w:left="90" w:hanging="90"/>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RAAGSAN. May 2020. “Socioeconomic implication of COVID-19 on micro, small and medium women-owned enterprises: A case of Mogadishu”.</w:t>
      </w:r>
    </w:p>
  </w:footnote>
  <w:footnote w:id="8">
    <w:p w14:paraId="4A7349FC" w14:textId="06383176" w:rsidR="00361292" w:rsidRPr="00A1399E" w:rsidRDefault="00361292" w:rsidP="00F4641E">
      <w:pPr>
        <w:widowControl w:val="0"/>
        <w:tabs>
          <w:tab w:val="left" w:pos="180"/>
        </w:tabs>
        <w:autoSpaceDE w:val="0"/>
        <w:adjustRightInd w:val="0"/>
        <w:ind w:left="90" w:hanging="90"/>
        <w:rPr>
          <w:rFonts w:asciiTheme="majorBidi" w:hAnsiTheme="majorBidi" w:cstheme="majorBidi"/>
          <w:iCs/>
          <w:color w:val="000000"/>
          <w:sz w:val="16"/>
          <w:szCs w:val="16"/>
        </w:rPr>
      </w:pPr>
      <w:r w:rsidRPr="00A1399E">
        <w:rPr>
          <w:rStyle w:val="FootnoteReference"/>
          <w:rFonts w:asciiTheme="majorBidi" w:hAnsiTheme="majorBidi" w:cstheme="majorBidi"/>
          <w:iCs/>
          <w:sz w:val="16"/>
          <w:szCs w:val="16"/>
        </w:rPr>
        <w:footnoteRef/>
      </w:r>
      <w:r w:rsidRPr="00A1399E">
        <w:rPr>
          <w:rFonts w:asciiTheme="majorBidi" w:hAnsiTheme="majorBidi" w:cstheme="majorBidi"/>
          <w:iCs/>
          <w:sz w:val="16"/>
          <w:szCs w:val="16"/>
        </w:rPr>
        <w:t xml:space="preserve"> United Nations Office for the Coordination of Humanitarian Affairs (OCHA), 2020 Humanitarian Response Plan Somalia.</w:t>
      </w:r>
      <w:r w:rsidRPr="00A1399E">
        <w:rPr>
          <w:rFonts w:asciiTheme="majorBidi" w:hAnsiTheme="majorBidi" w:cstheme="majorBidi"/>
          <w:iCs/>
          <w:color w:val="000000"/>
          <w:sz w:val="16"/>
          <w:szCs w:val="16"/>
        </w:rPr>
        <w:t xml:space="preserve"> </w:t>
      </w:r>
    </w:p>
  </w:footnote>
  <w:footnote w:id="9">
    <w:p w14:paraId="43EA13C6" w14:textId="42C928EE" w:rsidR="00361292" w:rsidRPr="00A1399E" w:rsidRDefault="00361292" w:rsidP="00AB7D06">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United States for UNHCR. 2020. Somalia Refugee Crisis Explained (www.unrefugees.org).</w:t>
      </w:r>
    </w:p>
  </w:footnote>
  <w:footnote w:id="10">
    <w:p w14:paraId="06057ADC" w14:textId="086CBB23" w:rsidR="00361292" w:rsidRPr="00A1399E" w:rsidRDefault="00361292" w:rsidP="00AB7D06">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OCHA. January 2020. Humanitarian Response Plan Somalia. Humanitarian programme cycle 2020.</w:t>
      </w:r>
    </w:p>
  </w:footnote>
  <w:footnote w:id="11">
    <w:p w14:paraId="0D1527FF" w14:textId="0453865A" w:rsidR="00361292" w:rsidRPr="00A1399E" w:rsidRDefault="00361292" w:rsidP="00AB7D06">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World Bank. 2019. Somalia Poverty and Vulnerability Assessment: Findings from Wave 2 of Somalia High Frequency Survey; Federal Republic of Somalia. 2018; National Development Plan, 2020-2024.</w:t>
      </w:r>
    </w:p>
  </w:footnote>
  <w:footnote w:id="12">
    <w:p w14:paraId="6BFA1960" w14:textId="3AD5FD31" w:rsidR="00361292" w:rsidRPr="00A1399E" w:rsidRDefault="00361292">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w:t>
      </w:r>
      <w:r w:rsidRPr="00A1399E">
        <w:rPr>
          <w:rFonts w:asciiTheme="majorBidi" w:eastAsia="Times New Roman" w:hAnsiTheme="majorBidi" w:cstheme="majorBidi"/>
          <w:iCs/>
          <w:sz w:val="16"/>
          <w:szCs w:val="16"/>
          <w:lang w:val="en-GB"/>
        </w:rPr>
        <w:t xml:space="preserve">Approximately 82.2 per cent of the population is multidimensionally poor and about 8.7 per cent are vulnerable to poverty (source: </w:t>
      </w:r>
      <w:hyperlink r:id="rId1" w:history="1">
        <w:r w:rsidRPr="00A1399E">
          <w:rPr>
            <w:rStyle w:val="Hyperlink"/>
            <w:rFonts w:asciiTheme="majorBidi" w:eastAsia="Times New Roman" w:hAnsiTheme="majorBidi" w:cstheme="majorBidi"/>
            <w:iCs/>
            <w:sz w:val="16"/>
            <w:szCs w:val="16"/>
            <w:lang w:val="en-GB"/>
          </w:rPr>
          <w:t>https://ophi.org.uk/wp-content/uploads/CB_SOM_2018.pdf</w:t>
        </w:r>
      </w:hyperlink>
      <w:r w:rsidRPr="00A1399E">
        <w:rPr>
          <w:rFonts w:asciiTheme="majorBidi" w:eastAsia="Times New Roman" w:hAnsiTheme="majorBidi" w:cstheme="majorBidi"/>
          <w:iCs/>
          <w:sz w:val="16"/>
          <w:szCs w:val="16"/>
          <w:lang w:val="en-GB"/>
        </w:rPr>
        <w:t>).</w:t>
      </w:r>
    </w:p>
  </w:footnote>
  <w:footnote w:id="13">
    <w:p w14:paraId="7FAC2990" w14:textId="497D37BA" w:rsidR="00361292" w:rsidRPr="00A1399E" w:rsidRDefault="00361292" w:rsidP="00AB7D06">
      <w:pPr>
        <w:widowControl w:val="0"/>
        <w:autoSpaceDE w:val="0"/>
        <w:adjustRightInd w:val="0"/>
        <w:jc w:val="both"/>
        <w:rPr>
          <w:rFonts w:asciiTheme="majorBidi" w:hAnsiTheme="majorBidi" w:cstheme="majorBidi"/>
          <w:iCs/>
          <w:color w:val="000000"/>
          <w:sz w:val="16"/>
          <w:szCs w:val="16"/>
        </w:rPr>
      </w:pPr>
      <w:r w:rsidRPr="00A1399E">
        <w:rPr>
          <w:rStyle w:val="FootnoteReference"/>
          <w:rFonts w:asciiTheme="majorBidi" w:hAnsiTheme="majorBidi" w:cstheme="majorBidi"/>
          <w:iCs/>
          <w:sz w:val="16"/>
          <w:szCs w:val="16"/>
        </w:rPr>
        <w:footnoteRef/>
      </w:r>
      <w:r w:rsidRPr="00A1399E">
        <w:rPr>
          <w:rFonts w:asciiTheme="majorBidi" w:hAnsiTheme="majorBidi" w:cstheme="majorBidi"/>
          <w:iCs/>
          <w:sz w:val="16"/>
          <w:szCs w:val="16"/>
        </w:rPr>
        <w:t xml:space="preserve"> World Bank. 2019. Somalia Poverty and Vulnerability Assessment: Findings of Wave 2 of </w:t>
      </w:r>
      <w:r w:rsidRPr="00A1399E">
        <w:rPr>
          <w:rFonts w:asciiTheme="majorBidi" w:hAnsiTheme="majorBidi" w:cstheme="majorBidi"/>
          <w:iCs/>
          <w:color w:val="000000"/>
          <w:sz w:val="16"/>
          <w:szCs w:val="16"/>
        </w:rPr>
        <w:t>Somali High Frequency Survey; Somalia National Development Plan, 2020-2024.</w:t>
      </w:r>
    </w:p>
  </w:footnote>
  <w:footnote w:id="14">
    <w:p w14:paraId="0AC387E8" w14:textId="75E7E604" w:rsidR="00361292" w:rsidRPr="00A1399E" w:rsidRDefault="00361292" w:rsidP="00AB7D06">
      <w:pPr>
        <w:widowControl w:val="0"/>
        <w:autoSpaceDE w:val="0"/>
        <w:autoSpaceDN w:val="0"/>
        <w:adjustRightInd w:val="0"/>
        <w:rPr>
          <w:rFonts w:asciiTheme="majorBidi" w:hAnsiTheme="majorBidi" w:cstheme="majorBidi"/>
          <w:iCs/>
          <w:color w:val="000000"/>
          <w:sz w:val="16"/>
          <w:szCs w:val="16"/>
        </w:rPr>
      </w:pPr>
      <w:r w:rsidRPr="00A1399E">
        <w:rPr>
          <w:rStyle w:val="FootnoteReference"/>
          <w:rFonts w:asciiTheme="majorBidi" w:hAnsiTheme="majorBidi" w:cstheme="majorBidi"/>
          <w:iCs/>
          <w:sz w:val="16"/>
          <w:szCs w:val="16"/>
        </w:rPr>
        <w:footnoteRef/>
      </w:r>
      <w:r w:rsidRPr="00A1399E">
        <w:rPr>
          <w:rFonts w:asciiTheme="majorBidi" w:hAnsiTheme="majorBidi" w:cstheme="majorBidi"/>
          <w:iCs/>
          <w:sz w:val="16"/>
          <w:szCs w:val="16"/>
        </w:rPr>
        <w:t xml:space="preserve"> </w:t>
      </w:r>
      <w:r w:rsidRPr="00A1399E">
        <w:rPr>
          <w:rFonts w:asciiTheme="majorBidi" w:hAnsiTheme="majorBidi" w:cstheme="majorBidi"/>
          <w:iCs/>
          <w:color w:val="000000"/>
          <w:sz w:val="16"/>
          <w:szCs w:val="16"/>
        </w:rPr>
        <w:t>World Bank, Somalia Poverty and Vulnerability Report 2019 (http://microdata.worldbank.org/index.php/catalog/3181).</w:t>
      </w:r>
    </w:p>
  </w:footnote>
  <w:footnote w:id="15">
    <w:p w14:paraId="0A4175DF" w14:textId="5C702901" w:rsidR="00361292" w:rsidRPr="00A1399E" w:rsidRDefault="00361292" w:rsidP="00AB7D06">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World Bank. 2019. Somalia Poverty and Vulnerability Assessment: Findings of Wave 2 of </w:t>
      </w:r>
      <w:r w:rsidRPr="00A1399E">
        <w:rPr>
          <w:rFonts w:asciiTheme="majorBidi" w:hAnsiTheme="majorBidi" w:cstheme="majorBidi"/>
          <w:iCs/>
          <w:color w:val="000000"/>
          <w:sz w:val="16"/>
          <w:szCs w:val="16"/>
          <w:lang w:val="en-GB"/>
        </w:rPr>
        <w:t>Somali High Frequency Survey; Somalia National Development Plan, 2020-2024.</w:t>
      </w:r>
    </w:p>
  </w:footnote>
  <w:footnote w:id="16">
    <w:p w14:paraId="0C53B465" w14:textId="3B74BBB3" w:rsidR="00361292" w:rsidRPr="00A1399E" w:rsidRDefault="00361292" w:rsidP="00AB7D06">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Ministry of Women and Human Rights. 2020.  Rapid Assessment of Impact of COVID-19 on Somali Women Leading Small-scale </w:t>
      </w:r>
    </w:p>
    <w:p w14:paraId="023C4C01" w14:textId="77777777" w:rsidR="00361292" w:rsidRPr="00A1399E" w:rsidRDefault="00361292" w:rsidP="00AB7D06">
      <w:pPr>
        <w:pStyle w:val="FootnoteText"/>
        <w:rPr>
          <w:rFonts w:asciiTheme="majorBidi" w:hAnsiTheme="majorBidi" w:cstheme="majorBidi"/>
          <w:iCs/>
          <w:sz w:val="16"/>
          <w:szCs w:val="16"/>
          <w:lang w:val="en-GB"/>
        </w:rPr>
      </w:pPr>
      <w:r w:rsidRPr="00A1399E">
        <w:rPr>
          <w:rFonts w:asciiTheme="majorBidi" w:hAnsiTheme="majorBidi" w:cstheme="majorBidi"/>
          <w:iCs/>
          <w:sz w:val="16"/>
          <w:szCs w:val="16"/>
          <w:lang w:val="en-GB"/>
        </w:rPr>
        <w:t xml:space="preserve">    Businesses. </w:t>
      </w:r>
    </w:p>
  </w:footnote>
  <w:footnote w:id="17">
    <w:p w14:paraId="3E3176D3" w14:textId="77BC8EA7" w:rsidR="00361292" w:rsidRPr="00A1399E" w:rsidRDefault="00361292">
      <w:pPr>
        <w:pStyle w:val="FootnoteText"/>
        <w:rPr>
          <w:rFonts w:asciiTheme="majorBidi" w:hAnsiTheme="majorBidi" w:cstheme="majorBidi"/>
          <w:sz w:val="16"/>
          <w:szCs w:val="16"/>
          <w:lang w:val="en-GB"/>
        </w:rPr>
      </w:pPr>
      <w:r w:rsidRPr="00A1399E">
        <w:rPr>
          <w:rStyle w:val="FootnoteReference"/>
          <w:rFonts w:asciiTheme="majorBidi" w:hAnsiTheme="majorBidi" w:cstheme="majorBidi"/>
          <w:sz w:val="16"/>
          <w:szCs w:val="16"/>
          <w:lang w:val="en-GB"/>
        </w:rPr>
        <w:footnoteRef/>
      </w:r>
      <w:r w:rsidRPr="00A1399E">
        <w:rPr>
          <w:rFonts w:asciiTheme="majorBidi" w:hAnsiTheme="majorBidi" w:cstheme="majorBidi"/>
          <w:sz w:val="16"/>
          <w:szCs w:val="16"/>
          <w:lang w:val="en-GB"/>
        </w:rPr>
        <w:t xml:space="preserve"> </w:t>
      </w:r>
      <w:r w:rsidRPr="00A1399E">
        <w:rPr>
          <w:rFonts w:asciiTheme="majorBidi" w:hAnsiTheme="majorBidi" w:cstheme="majorBidi"/>
          <w:sz w:val="16"/>
          <w:szCs w:val="16"/>
          <w:lang w:val="en-GB" w:eastAsia="en-GB"/>
        </w:rPr>
        <w:t>A study o</w:t>
      </w:r>
      <w:r w:rsidR="00A1399E">
        <w:rPr>
          <w:rFonts w:asciiTheme="majorBidi" w:hAnsiTheme="majorBidi" w:cstheme="majorBidi"/>
          <w:sz w:val="16"/>
          <w:szCs w:val="16"/>
          <w:lang w:val="en-GB" w:eastAsia="en-GB"/>
        </w:rPr>
        <w:t>f</w:t>
      </w:r>
      <w:r w:rsidRPr="00A1399E">
        <w:rPr>
          <w:rFonts w:asciiTheme="majorBidi" w:hAnsiTheme="majorBidi" w:cstheme="majorBidi"/>
          <w:sz w:val="16"/>
          <w:szCs w:val="16"/>
          <w:lang w:val="en-GB" w:eastAsia="en-GB"/>
        </w:rPr>
        <w:t xml:space="preserve"> socioeconomic implications of COVID-19 on micro, small and medium women-owned enterprises in Mogadishu showed that 43 </w:t>
      </w:r>
      <w:r w:rsidR="00A1399E">
        <w:rPr>
          <w:rFonts w:asciiTheme="majorBidi" w:hAnsiTheme="majorBidi" w:cstheme="majorBidi"/>
          <w:sz w:val="16"/>
          <w:szCs w:val="16"/>
          <w:lang w:val="en-GB" w:eastAsia="en-GB"/>
        </w:rPr>
        <w:t xml:space="preserve">per cent </w:t>
      </w:r>
      <w:r w:rsidRPr="00A1399E">
        <w:rPr>
          <w:rFonts w:asciiTheme="majorBidi" w:hAnsiTheme="majorBidi" w:cstheme="majorBidi"/>
          <w:sz w:val="16"/>
          <w:szCs w:val="16"/>
          <w:lang w:val="en-GB" w:eastAsia="en-GB"/>
        </w:rPr>
        <w:t xml:space="preserve">of businesses had to stop operations while 98 </w:t>
      </w:r>
      <w:r w:rsidR="00A1399E">
        <w:rPr>
          <w:rFonts w:asciiTheme="majorBidi" w:hAnsiTheme="majorBidi" w:cstheme="majorBidi"/>
          <w:sz w:val="16"/>
          <w:szCs w:val="16"/>
          <w:lang w:val="en-GB" w:eastAsia="en-GB"/>
        </w:rPr>
        <w:t xml:space="preserve">per cent </w:t>
      </w:r>
      <w:r w:rsidRPr="00A1399E">
        <w:rPr>
          <w:rFonts w:asciiTheme="majorBidi" w:hAnsiTheme="majorBidi" w:cstheme="majorBidi"/>
          <w:sz w:val="16"/>
          <w:szCs w:val="16"/>
          <w:lang w:val="en-GB" w:eastAsia="en-GB"/>
        </w:rPr>
        <w:t xml:space="preserve">registered decreased revenue/sales: </w:t>
      </w:r>
      <w:r w:rsidRPr="00A1399E">
        <w:rPr>
          <w:rFonts w:asciiTheme="majorBidi" w:hAnsiTheme="majorBidi" w:cstheme="majorBidi"/>
          <w:sz w:val="16"/>
          <w:szCs w:val="16"/>
          <w:lang w:val="en-GB"/>
        </w:rPr>
        <w:t>RAAGSA, May 2020</w:t>
      </w:r>
      <w:r w:rsidRPr="00A1399E">
        <w:rPr>
          <w:rFonts w:asciiTheme="majorBidi" w:hAnsiTheme="majorBidi" w:cstheme="majorBidi"/>
          <w:sz w:val="16"/>
          <w:szCs w:val="16"/>
          <w:lang w:val="en-GB" w:eastAsia="en-GB"/>
        </w:rPr>
        <w:t>.</w:t>
      </w:r>
    </w:p>
  </w:footnote>
  <w:footnote w:id="18">
    <w:p w14:paraId="5E3C7683" w14:textId="2446C5AD" w:rsidR="00361292" w:rsidRPr="00A1399E" w:rsidRDefault="00361292" w:rsidP="00AB7D06">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RAAGSAN. May 2020. “Socioeconomic implication of COVID-19 on micro, small and medium women-owned enterprises: A case of Mogadishu”.</w:t>
      </w:r>
    </w:p>
  </w:footnote>
  <w:footnote w:id="19">
    <w:p w14:paraId="509B699D" w14:textId="3A044030" w:rsidR="00361292" w:rsidRPr="00A1399E" w:rsidRDefault="00361292" w:rsidP="00AB7D06">
      <w:pPr>
        <w:widowControl w:val="0"/>
        <w:autoSpaceDE w:val="0"/>
        <w:adjustRightInd w:val="0"/>
        <w:jc w:val="both"/>
        <w:rPr>
          <w:rFonts w:asciiTheme="majorBidi" w:hAnsiTheme="majorBidi" w:cstheme="majorBidi"/>
          <w:iCs/>
          <w:color w:val="000000"/>
          <w:sz w:val="16"/>
          <w:szCs w:val="16"/>
        </w:rPr>
      </w:pPr>
      <w:r w:rsidRPr="00A1399E">
        <w:rPr>
          <w:rStyle w:val="FootnoteReference"/>
          <w:rFonts w:asciiTheme="majorBidi" w:hAnsiTheme="majorBidi" w:cstheme="majorBidi"/>
          <w:iCs/>
          <w:sz w:val="16"/>
          <w:szCs w:val="16"/>
        </w:rPr>
        <w:footnoteRef/>
      </w:r>
      <w:r w:rsidRPr="00A1399E">
        <w:rPr>
          <w:rFonts w:asciiTheme="majorBidi" w:hAnsiTheme="majorBidi" w:cstheme="majorBidi"/>
          <w:iCs/>
          <w:sz w:val="16"/>
          <w:szCs w:val="16"/>
        </w:rPr>
        <w:t xml:space="preserve"> </w:t>
      </w:r>
      <w:r w:rsidRPr="00A1399E">
        <w:rPr>
          <w:rFonts w:asciiTheme="majorBidi" w:eastAsia="Times New Roman" w:hAnsiTheme="majorBidi" w:cstheme="majorBidi"/>
          <w:bCs/>
          <w:iCs/>
          <w:sz w:val="16"/>
          <w:szCs w:val="16"/>
        </w:rPr>
        <w:t xml:space="preserve">Somalia population is estimated at over 15 million, 49.9 per cent are male and 50.1 per cent, female. About 46 per cent of the population consists of children aged 0 to 14. </w:t>
      </w:r>
      <w:r w:rsidRPr="00A1399E">
        <w:rPr>
          <w:rFonts w:asciiTheme="majorBidi" w:hAnsiTheme="majorBidi" w:cstheme="majorBidi"/>
          <w:iCs/>
          <w:color w:val="000000"/>
          <w:sz w:val="16"/>
          <w:szCs w:val="16"/>
        </w:rPr>
        <w:t xml:space="preserve">UNFPA, Population estimation survey report, 2014; </w:t>
      </w:r>
      <w:r w:rsidRPr="00A1399E">
        <w:rPr>
          <w:rFonts w:asciiTheme="majorBidi" w:hAnsiTheme="majorBidi" w:cstheme="majorBidi"/>
          <w:iCs/>
          <w:sz w:val="16"/>
          <w:szCs w:val="16"/>
        </w:rPr>
        <w:t>common country assessment, 2020.</w:t>
      </w:r>
    </w:p>
  </w:footnote>
  <w:footnote w:id="20">
    <w:p w14:paraId="752F9DB3" w14:textId="3324C6F7" w:rsidR="00361292" w:rsidRPr="00A1399E" w:rsidRDefault="00361292" w:rsidP="00AB7D06">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USAID. 2020, Somalia Youth Assessment.</w:t>
      </w:r>
    </w:p>
  </w:footnote>
  <w:footnote w:id="21">
    <w:p w14:paraId="3EC1CAEC" w14:textId="2D296A11" w:rsidR="00361292" w:rsidRPr="00A1399E" w:rsidRDefault="00361292" w:rsidP="00AB7D06">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Ministry of Youth and Sport. June 2017. The National Youth Policy of the Federal Government of Somalia; Youth Strategy for Somalia, 2016-2020; United Nations-Somalia Youth Engagement and Empowerment. May 2019. </w:t>
      </w:r>
    </w:p>
  </w:footnote>
  <w:footnote w:id="22">
    <w:p w14:paraId="1164AE1D" w14:textId="28D6D1EA" w:rsidR="00361292" w:rsidRPr="00A1399E" w:rsidRDefault="00361292">
      <w:pPr>
        <w:pStyle w:val="FootnoteText"/>
        <w:rPr>
          <w:rFonts w:asciiTheme="majorBidi" w:hAnsiTheme="majorBidi" w:cstheme="majorBidi"/>
          <w:i/>
          <w:sz w:val="16"/>
          <w:szCs w:val="16"/>
          <w:lang w:val="en-GB"/>
        </w:rPr>
      </w:pPr>
      <w:r w:rsidRPr="00A1399E">
        <w:rPr>
          <w:rStyle w:val="FootnoteReference"/>
          <w:rFonts w:asciiTheme="majorBidi" w:hAnsiTheme="majorBidi" w:cstheme="majorBidi"/>
          <w:i/>
          <w:sz w:val="16"/>
          <w:szCs w:val="16"/>
          <w:lang w:val="en-GB"/>
        </w:rPr>
        <w:footnoteRef/>
      </w:r>
      <w:r w:rsidRPr="00A1399E">
        <w:rPr>
          <w:rFonts w:asciiTheme="majorBidi" w:hAnsiTheme="majorBidi" w:cstheme="majorBidi"/>
          <w:i/>
          <w:sz w:val="16"/>
          <w:szCs w:val="16"/>
          <w:lang w:val="en-GB"/>
        </w:rPr>
        <w:t xml:space="preserve"> </w:t>
      </w:r>
      <w:r w:rsidRPr="00A1399E">
        <w:rPr>
          <w:rFonts w:asciiTheme="majorBidi" w:hAnsiTheme="majorBidi" w:cstheme="majorBidi"/>
          <w:iCs/>
          <w:sz w:val="16"/>
          <w:szCs w:val="16"/>
          <w:lang w:val="en-GB"/>
        </w:rPr>
        <w:t>Federal Republic of Somalia: Somalia Health and Demographic Survey, 2020</w:t>
      </w:r>
      <w:r w:rsidRPr="00A1399E">
        <w:rPr>
          <w:rFonts w:asciiTheme="majorBidi" w:hAnsiTheme="majorBidi" w:cstheme="majorBidi"/>
          <w:i/>
          <w:sz w:val="16"/>
          <w:szCs w:val="16"/>
          <w:lang w:val="en-GB"/>
        </w:rPr>
        <w:t>.</w:t>
      </w:r>
    </w:p>
  </w:footnote>
  <w:footnote w:id="23">
    <w:p w14:paraId="2C3ED783" w14:textId="3FB8573B" w:rsidR="00361292" w:rsidRPr="008F17F2" w:rsidRDefault="00361292" w:rsidP="00F4641E">
      <w:pPr>
        <w:jc w:val="both"/>
        <w:rPr>
          <w:rFonts w:asciiTheme="majorBidi" w:hAnsiTheme="majorBidi" w:cstheme="majorBidi"/>
        </w:rPr>
      </w:pPr>
      <w:r w:rsidRPr="008F17F2">
        <w:rPr>
          <w:rStyle w:val="FootnoteReference"/>
          <w:rFonts w:asciiTheme="majorBidi" w:hAnsiTheme="majorBidi" w:cstheme="majorBidi"/>
          <w:sz w:val="16"/>
          <w:szCs w:val="16"/>
        </w:rPr>
        <w:footnoteRef/>
      </w:r>
      <w:r w:rsidRPr="008F17F2">
        <w:rPr>
          <w:rFonts w:asciiTheme="majorBidi" w:hAnsiTheme="majorBidi" w:cstheme="majorBidi"/>
          <w:sz w:val="16"/>
          <w:szCs w:val="16"/>
        </w:rPr>
        <w:t xml:space="preserve"> In terms of climate vulnerability, Somalia ranks </w:t>
      </w:r>
      <w:r w:rsidRPr="008F17F2">
        <w:rPr>
          <w:rFonts w:asciiTheme="majorBidi" w:hAnsiTheme="majorBidi" w:cstheme="majorBidi"/>
          <w:color w:val="222222"/>
          <w:sz w:val="16"/>
          <w:szCs w:val="16"/>
        </w:rPr>
        <w:t>highest among fragile states (</w:t>
      </w:r>
      <w:hyperlink r:id="rId2" w:history="1">
        <w:r w:rsidRPr="008F17F2">
          <w:rPr>
            <w:rStyle w:val="Hyperlink"/>
            <w:rFonts w:asciiTheme="majorBidi" w:hAnsiTheme="majorBidi" w:cstheme="majorBidi"/>
            <w:sz w:val="16"/>
            <w:szCs w:val="16"/>
          </w:rPr>
          <w:t>https://www.climate-diplomacy.org/publications/infographic-countries-receiving-unpbf-funding-and-their-climate-vulnerability</w:t>
        </w:r>
      </w:hyperlink>
      <w:r w:rsidRPr="008F17F2">
        <w:rPr>
          <w:rFonts w:asciiTheme="majorBidi" w:hAnsiTheme="majorBidi" w:cstheme="majorBidi"/>
          <w:sz w:val="16"/>
          <w:szCs w:val="16"/>
        </w:rPr>
        <w:t xml:space="preserve">) and </w:t>
      </w:r>
      <w:r w:rsidRPr="008F17F2">
        <w:rPr>
          <w:rFonts w:asciiTheme="majorBidi" w:hAnsiTheme="majorBidi" w:cstheme="majorBidi"/>
          <w:color w:val="222222"/>
          <w:sz w:val="16"/>
          <w:szCs w:val="16"/>
        </w:rPr>
        <w:t xml:space="preserve">second among 191 countries with limited risk management capacities in the </w:t>
      </w:r>
      <w:r w:rsidRPr="008F17F2">
        <w:rPr>
          <w:rFonts w:asciiTheme="majorBidi" w:hAnsiTheme="majorBidi" w:cstheme="majorBidi"/>
          <w:sz w:val="16"/>
          <w:szCs w:val="16"/>
        </w:rPr>
        <w:t xml:space="preserve">2019 Global Risk Index (ND-GAIN index: University of Notre </w:t>
      </w:r>
      <w:r w:rsidR="00A1399E" w:rsidRPr="008F17F2">
        <w:rPr>
          <w:rFonts w:asciiTheme="majorBidi" w:hAnsiTheme="majorBidi" w:cstheme="majorBidi"/>
          <w:sz w:val="16"/>
          <w:szCs w:val="16"/>
        </w:rPr>
        <w:t>Dame</w:t>
      </w:r>
      <w:r w:rsidRPr="008F17F2">
        <w:rPr>
          <w:rFonts w:asciiTheme="majorBidi" w:hAnsiTheme="majorBidi" w:cstheme="majorBidi"/>
          <w:sz w:val="16"/>
          <w:szCs w:val="16"/>
        </w:rPr>
        <w:t xml:space="preserve"> (</w:t>
      </w:r>
      <w:hyperlink r:id="rId3" w:history="1">
        <w:r w:rsidRPr="008F17F2">
          <w:rPr>
            <w:rStyle w:val="Hyperlink"/>
            <w:rFonts w:asciiTheme="majorBidi" w:hAnsiTheme="majorBidi" w:cstheme="majorBidi"/>
            <w:sz w:val="16"/>
            <w:szCs w:val="16"/>
          </w:rPr>
          <w:t>https://gain.nd.edu/our-work/country-index/</w:t>
        </w:r>
      </w:hyperlink>
      <w:r w:rsidRPr="008F17F2">
        <w:rPr>
          <w:rFonts w:asciiTheme="majorBidi" w:hAnsiTheme="majorBidi" w:cstheme="majorBidi"/>
          <w:sz w:val="16"/>
          <w:szCs w:val="16"/>
        </w:rPr>
        <w:t>).</w:t>
      </w:r>
    </w:p>
  </w:footnote>
  <w:footnote w:id="24">
    <w:p w14:paraId="2B9292FB" w14:textId="646F744B" w:rsidR="00361292" w:rsidRPr="00A1399E" w:rsidRDefault="00361292" w:rsidP="00AB7D06">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World Bank. 2018. Somalia Drought Impact and Needs Assessment, 2018, Vol.2.</w:t>
      </w:r>
    </w:p>
  </w:footnote>
  <w:footnote w:id="25">
    <w:p w14:paraId="1D41AABC" w14:textId="3A76DD97" w:rsidR="00361292" w:rsidRPr="00A1399E" w:rsidRDefault="00361292" w:rsidP="00501800">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Federal Republic of Somalia. 2018. Somalia Recovery and Resilience Framework Report, 2018.</w:t>
      </w:r>
    </w:p>
  </w:footnote>
  <w:footnote w:id="26">
    <w:p w14:paraId="311D7975" w14:textId="37810F7F" w:rsidR="00361292" w:rsidRPr="00A1399E" w:rsidRDefault="00361292" w:rsidP="00AB7D06">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Presentation on acute water diarrhoea to the humanitarian country team (4 August 20): Cholera cases in Somalia: regional and district analysis.</w:t>
      </w:r>
    </w:p>
  </w:footnote>
  <w:footnote w:id="27">
    <w:p w14:paraId="73AE17D0" w14:textId="55BDCA53" w:rsidR="00361292" w:rsidRPr="00A1399E" w:rsidRDefault="00361292">
      <w:pPr>
        <w:pStyle w:val="FootnoteText"/>
        <w:rPr>
          <w:rFonts w:asciiTheme="majorBidi" w:hAnsiTheme="majorBidi" w:cstheme="majorBidi"/>
          <w:lang w:val="en-GB"/>
        </w:rPr>
      </w:pPr>
      <w:r w:rsidRPr="00A1399E">
        <w:rPr>
          <w:rStyle w:val="FootnoteReference"/>
          <w:rFonts w:asciiTheme="majorBidi" w:hAnsiTheme="majorBidi" w:cstheme="majorBidi"/>
          <w:sz w:val="16"/>
          <w:szCs w:val="16"/>
          <w:lang w:val="en-GB"/>
        </w:rPr>
        <w:footnoteRef/>
      </w:r>
      <w:r w:rsidRPr="00A1399E">
        <w:rPr>
          <w:rFonts w:asciiTheme="majorBidi" w:hAnsiTheme="majorBidi" w:cstheme="majorBidi"/>
          <w:sz w:val="16"/>
          <w:szCs w:val="16"/>
          <w:lang w:val="en-GB"/>
        </w:rPr>
        <w:t xml:space="preserve"> Some of the international human rights conventions ratified by Somalia include </w:t>
      </w:r>
      <w:r w:rsidRPr="00A1399E">
        <w:rPr>
          <w:rFonts w:asciiTheme="majorBidi" w:hAnsiTheme="majorBidi" w:cstheme="majorBidi"/>
          <w:bCs/>
          <w:sz w:val="16"/>
          <w:szCs w:val="16"/>
          <w:lang w:val="en-GB"/>
        </w:rPr>
        <w:t>the International Convention on the Elimination of All Forms of Racial Discrimination; the International Covenant on Civil and Political Rights; the International Covenant on Economic, Social and Cultural Rights; the International Covenant on the Rights of the Child; and the International Covenant on the Rights of Persons with Disabilities amongst others.</w:t>
      </w:r>
    </w:p>
  </w:footnote>
  <w:footnote w:id="28">
    <w:p w14:paraId="311E5DA6" w14:textId="6D54FAD6" w:rsidR="00361292" w:rsidRPr="00A1399E" w:rsidRDefault="00361292">
      <w:pPr>
        <w:pStyle w:val="FootnoteText"/>
        <w:rPr>
          <w:rFonts w:asciiTheme="majorBidi" w:hAnsiTheme="majorBidi" w:cstheme="majorBidi"/>
          <w:sz w:val="16"/>
          <w:szCs w:val="16"/>
          <w:lang w:val="en-GB"/>
        </w:rPr>
      </w:pPr>
      <w:r w:rsidRPr="00A1399E">
        <w:rPr>
          <w:rStyle w:val="FootnoteReference"/>
          <w:rFonts w:asciiTheme="majorBidi" w:hAnsiTheme="majorBidi" w:cstheme="majorBidi"/>
          <w:sz w:val="16"/>
          <w:szCs w:val="16"/>
          <w:lang w:val="en-GB"/>
        </w:rPr>
        <w:footnoteRef/>
      </w:r>
      <w:r w:rsidRPr="00A1399E">
        <w:rPr>
          <w:rFonts w:asciiTheme="majorBidi" w:hAnsiTheme="majorBidi" w:cstheme="majorBidi"/>
          <w:sz w:val="16"/>
          <w:szCs w:val="16"/>
          <w:lang w:val="en-GB"/>
        </w:rPr>
        <w:t xml:space="preserve"> Legal and </w:t>
      </w:r>
      <w:r w:rsidRPr="00A1399E">
        <w:rPr>
          <w:rFonts w:asciiTheme="majorBidi" w:hAnsiTheme="majorBidi" w:cstheme="majorBidi"/>
          <w:bCs/>
          <w:sz w:val="16"/>
          <w:szCs w:val="16"/>
          <w:lang w:val="en-GB"/>
        </w:rPr>
        <w:t xml:space="preserve">policy frameworks include the New Policing Model (2016); the National Security Policy Somalia (2016); the National Reconciliation Framework (2019); the National Anti-corruption Strategy (2020-2023); the National Strategy for Preventing and Countering Violent Extremism (2017); the </w:t>
      </w:r>
      <w:r w:rsidRPr="00A1399E">
        <w:rPr>
          <w:rFonts w:asciiTheme="majorBidi" w:hAnsiTheme="majorBidi" w:cstheme="majorBidi"/>
          <w:sz w:val="16"/>
          <w:szCs w:val="16"/>
          <w:lang w:val="en-GB"/>
        </w:rPr>
        <w:t>National Youth Policy; the Somalia Recovery and Resilience Framework (2018); and the Somali Women’s Convention on the Role and Participation of Women in Peace and Security (2019) amongst others.</w:t>
      </w:r>
    </w:p>
  </w:footnote>
  <w:footnote w:id="29">
    <w:p w14:paraId="7A8FE36E" w14:textId="6C5124E5" w:rsidR="00361292" w:rsidRPr="00A1399E" w:rsidRDefault="00361292" w:rsidP="002364A8">
      <w:pPr>
        <w:jc w:val="both"/>
        <w:rPr>
          <w:rFonts w:asciiTheme="majorBidi" w:hAnsiTheme="majorBidi" w:cstheme="majorBidi"/>
          <w:iCs/>
          <w:sz w:val="16"/>
          <w:szCs w:val="16"/>
        </w:rPr>
      </w:pPr>
      <w:r w:rsidRPr="00A1399E">
        <w:rPr>
          <w:rStyle w:val="FootnoteReference"/>
          <w:rFonts w:asciiTheme="majorBidi" w:hAnsiTheme="majorBidi" w:cstheme="majorBidi"/>
          <w:iCs/>
          <w:sz w:val="16"/>
          <w:szCs w:val="16"/>
        </w:rPr>
        <w:footnoteRef/>
      </w:r>
      <w:r w:rsidRPr="00A1399E">
        <w:rPr>
          <w:rFonts w:asciiTheme="majorBidi" w:hAnsiTheme="majorBidi" w:cstheme="majorBidi"/>
          <w:iCs/>
          <w:sz w:val="16"/>
          <w:szCs w:val="16"/>
        </w:rPr>
        <w:t xml:space="preserve"> The UNSDCF theory of change is based on the logic that inclusive, democratic politics and reconciliation are preconditions for sustained security, rule of law and building strong institutions in the Federal Government of Somalia, the Federal Member States and local government in order to deliver services, which in turn is a driver for economic recovery, shared prosperity, social transformation and adaptation to climate change.</w:t>
      </w:r>
    </w:p>
  </w:footnote>
  <w:footnote w:id="30">
    <w:p w14:paraId="3A1CBE8B" w14:textId="1F1BD88D" w:rsidR="00361292" w:rsidRPr="00A1399E" w:rsidRDefault="00361292" w:rsidP="00B66BF3">
      <w:pPr>
        <w:pStyle w:val="FootnoteText"/>
        <w:rPr>
          <w:rFonts w:asciiTheme="majorBidi" w:hAnsiTheme="majorBidi" w:cstheme="majorBidi"/>
          <w:sz w:val="16"/>
          <w:szCs w:val="16"/>
          <w:lang w:val="en-GB"/>
        </w:rPr>
      </w:pPr>
      <w:r w:rsidRPr="00A1399E">
        <w:rPr>
          <w:rStyle w:val="FootnoteReference"/>
          <w:rFonts w:asciiTheme="majorBidi" w:hAnsiTheme="majorBidi" w:cstheme="majorBidi"/>
          <w:sz w:val="16"/>
          <w:szCs w:val="16"/>
          <w:lang w:val="en-GB"/>
        </w:rPr>
        <w:footnoteRef/>
      </w:r>
      <w:r w:rsidRPr="00A1399E">
        <w:rPr>
          <w:rFonts w:asciiTheme="majorBidi" w:hAnsiTheme="majorBidi" w:cstheme="majorBidi"/>
          <w:sz w:val="16"/>
          <w:szCs w:val="16"/>
          <w:lang w:val="en-GB"/>
        </w:rPr>
        <w:t xml:space="preserve"> As part of CPD development, the country office undertook a survey among stakeholders, including the Federal Government of Somalia, Federal Member States, local government, donors, CSOs, youth organizations, women organizations and the private sector, and internally among UNDP staff to identify CPD priorities and UNDP comparative advantages. In addition, the partners undertook an e-review of the draft CPD and participated in a series of virtual consultations jointly organized with the coordinating ministry (Ministry of Planning, Investment and Economic Development) to validate the draft.</w:t>
      </w:r>
    </w:p>
  </w:footnote>
  <w:footnote w:id="31">
    <w:p w14:paraId="55EAA3DB" w14:textId="57939E40" w:rsidR="00361292" w:rsidRPr="00A1399E" w:rsidRDefault="00361292" w:rsidP="00973E9A">
      <w:pPr>
        <w:pStyle w:val="FootnoteText"/>
        <w:rPr>
          <w:rFonts w:asciiTheme="majorBidi" w:hAnsiTheme="majorBidi" w:cstheme="majorBidi"/>
          <w:sz w:val="16"/>
          <w:szCs w:val="16"/>
          <w:lang w:val="en-GB"/>
        </w:rPr>
      </w:pPr>
      <w:r w:rsidRPr="00A1399E">
        <w:rPr>
          <w:rStyle w:val="FootnoteReference"/>
          <w:rFonts w:asciiTheme="majorBidi" w:hAnsiTheme="majorBidi" w:cstheme="majorBidi"/>
          <w:sz w:val="16"/>
          <w:szCs w:val="16"/>
          <w:lang w:val="en-GB"/>
        </w:rPr>
        <w:footnoteRef/>
      </w:r>
      <w:r w:rsidRPr="00A1399E">
        <w:rPr>
          <w:rFonts w:asciiTheme="majorBidi" w:hAnsiTheme="majorBidi" w:cstheme="majorBidi"/>
          <w:sz w:val="16"/>
          <w:szCs w:val="16"/>
          <w:lang w:val="en-GB"/>
        </w:rPr>
        <w:t xml:space="preserve"> UNDP Strategic Plan, 2018-2021 (Signature solutions: 1. Keep people out of poverty; 2. Strengthen effective, inclusive and accountable governance for peaceful, just and inclusive societies; 3. Enhance national prevention and recovery capacities for resilience societies; 4. Promote nature-based solutions for sustainable planet and development; 5. Close energy gap: clean, affordable energy; and 6. Strengthen gender equality and empowerment of women and girls</w:t>
      </w:r>
      <w:r w:rsidR="002E7229" w:rsidRPr="00A1399E">
        <w:rPr>
          <w:rFonts w:asciiTheme="majorBidi" w:hAnsiTheme="majorBidi" w:cstheme="majorBidi"/>
          <w:sz w:val="16"/>
          <w:szCs w:val="16"/>
          <w:lang w:val="en-GB"/>
        </w:rPr>
        <w:t>)</w:t>
      </w:r>
      <w:r w:rsidRPr="00A1399E">
        <w:rPr>
          <w:rFonts w:asciiTheme="majorBidi" w:hAnsiTheme="majorBidi" w:cstheme="majorBidi"/>
          <w:sz w:val="16"/>
          <w:szCs w:val="16"/>
          <w:lang w:val="en-GB"/>
        </w:rPr>
        <w:t>.</w:t>
      </w:r>
    </w:p>
  </w:footnote>
  <w:footnote w:id="32">
    <w:p w14:paraId="0BF14DAC" w14:textId="1B57EF98" w:rsidR="00361292" w:rsidRPr="00A1399E" w:rsidRDefault="00361292" w:rsidP="008A5FF9">
      <w:pPr>
        <w:pStyle w:val="FootnoteText"/>
        <w:rPr>
          <w:rFonts w:asciiTheme="majorBidi" w:hAnsiTheme="majorBidi" w:cstheme="majorBidi"/>
          <w:sz w:val="16"/>
          <w:szCs w:val="16"/>
          <w:lang w:val="en-GB"/>
        </w:rPr>
      </w:pPr>
      <w:r w:rsidRPr="00A1399E">
        <w:rPr>
          <w:rStyle w:val="FootnoteReference"/>
          <w:rFonts w:asciiTheme="majorBidi" w:hAnsiTheme="majorBidi" w:cstheme="majorBidi"/>
          <w:sz w:val="16"/>
          <w:szCs w:val="16"/>
          <w:lang w:val="en-GB"/>
        </w:rPr>
        <w:footnoteRef/>
      </w:r>
      <w:r w:rsidRPr="00A1399E">
        <w:rPr>
          <w:rFonts w:asciiTheme="majorBidi" w:hAnsiTheme="majorBidi" w:cstheme="majorBidi"/>
          <w:sz w:val="16"/>
          <w:szCs w:val="16"/>
          <w:lang w:val="en-GB"/>
        </w:rPr>
        <w:t xml:space="preserve"> UNDP Strategic Plan, 2018-2020 (Signature solutions: 2. </w:t>
      </w:r>
      <w:r w:rsidRPr="00A1399E">
        <w:rPr>
          <w:rFonts w:asciiTheme="majorBidi" w:hAnsiTheme="majorBidi" w:cstheme="majorBidi"/>
          <w:bCs/>
          <w:color w:val="0A0A0A"/>
          <w:sz w:val="16"/>
          <w:szCs w:val="16"/>
          <w:lang w:val="en-GB"/>
        </w:rPr>
        <w:t>Strengthen effective, inclusive and accountable governance for peaceful, just, and inclusive societies; 3. Enhance national prevention and recovery capacities for resilient societies; and 6. Strengthen gender equality and empowerment of women and girls).</w:t>
      </w:r>
    </w:p>
  </w:footnote>
  <w:footnote w:id="33">
    <w:p w14:paraId="10C94A70" w14:textId="4BA1DAE9" w:rsidR="00361292" w:rsidRPr="00A1399E" w:rsidRDefault="00361292" w:rsidP="00D949A1">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UNDP Strategic Plan 2018-2020 (Signature solutions: 2. </w:t>
      </w:r>
      <w:r w:rsidRPr="00A1399E">
        <w:rPr>
          <w:rFonts w:asciiTheme="majorBidi" w:hAnsiTheme="majorBidi" w:cstheme="majorBidi"/>
          <w:bCs/>
          <w:iCs/>
          <w:color w:val="0A0A0A"/>
          <w:sz w:val="16"/>
          <w:szCs w:val="16"/>
          <w:lang w:val="en-GB"/>
        </w:rPr>
        <w:t>Strengthen effective, inclusive and accountable governance for peaceful, just, and inclusive societies; 3. Enhance national prevention and recovery capacities for resilient societies; and 6. Strengthen gender equality and empowerment of women and girls).</w:t>
      </w:r>
    </w:p>
  </w:footnote>
  <w:footnote w:id="34">
    <w:p w14:paraId="4138776C" w14:textId="178F509F" w:rsidR="00361292" w:rsidRPr="00A1399E" w:rsidRDefault="00361292" w:rsidP="00182053">
      <w:pPr>
        <w:pStyle w:val="FootnoteText"/>
        <w:rPr>
          <w:rFonts w:asciiTheme="majorBidi" w:hAnsiTheme="majorBidi" w:cstheme="majorBidi"/>
          <w:iCs/>
          <w:sz w:val="16"/>
          <w:szCs w:val="16"/>
          <w:lang w:val="en-GB"/>
        </w:rPr>
      </w:pPr>
      <w:r w:rsidRPr="00A1399E">
        <w:rPr>
          <w:rStyle w:val="FootnoteReference"/>
          <w:rFonts w:asciiTheme="majorBidi" w:hAnsiTheme="majorBidi" w:cstheme="majorBidi"/>
          <w:iCs/>
          <w:sz w:val="16"/>
          <w:szCs w:val="16"/>
          <w:lang w:val="en-GB"/>
        </w:rPr>
        <w:footnoteRef/>
      </w:r>
      <w:r w:rsidRPr="00A1399E">
        <w:rPr>
          <w:rFonts w:asciiTheme="majorBidi" w:hAnsiTheme="majorBidi" w:cstheme="majorBidi"/>
          <w:iCs/>
          <w:sz w:val="16"/>
          <w:szCs w:val="16"/>
          <w:lang w:val="en-GB"/>
        </w:rPr>
        <w:t xml:space="preserve"> UNDP Strategic Plan, 2018-20 (Signature Solutions: </w:t>
      </w:r>
      <w:r w:rsidRPr="00A1399E">
        <w:rPr>
          <w:rFonts w:asciiTheme="majorBidi" w:hAnsiTheme="majorBidi" w:cstheme="majorBidi"/>
          <w:bCs/>
          <w:iCs/>
          <w:color w:val="0A0A0A"/>
          <w:sz w:val="16"/>
          <w:szCs w:val="16"/>
          <w:lang w:val="en-GB"/>
        </w:rPr>
        <w:t>1. Keep people out of poverty; 3. Enhance national prevention and recovery capacities for resilient societies;  4. Promote nature-based solutions for sustainable planet and development; 5. Close energy gap: clean, affordable energy; and 6. Strengthen gender equality and empowerment of women and girls).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61292" w:rsidRPr="00503084" w14:paraId="70949156" w14:textId="77777777" w:rsidTr="00F20093">
      <w:trPr>
        <w:trHeight w:hRule="exact" w:val="864"/>
      </w:trPr>
      <w:tc>
        <w:tcPr>
          <w:tcW w:w="4838" w:type="dxa"/>
          <w:tcBorders>
            <w:bottom w:val="single" w:sz="4" w:space="0" w:color="auto"/>
          </w:tcBorders>
          <w:vAlign w:val="bottom"/>
        </w:tcPr>
        <w:p w14:paraId="0FDA167A" w14:textId="77777777" w:rsidR="00361292" w:rsidRPr="00503084" w:rsidRDefault="00361292" w:rsidP="00503084">
          <w:pPr>
            <w:widowControl w:val="0"/>
            <w:tabs>
              <w:tab w:val="center" w:pos="4320"/>
              <w:tab w:val="right" w:pos="8640"/>
            </w:tabs>
            <w:spacing w:after="80"/>
            <w:rPr>
              <w:rFonts w:eastAsia="Times New Roman"/>
              <w:b/>
              <w:sz w:val="17"/>
              <w:szCs w:val="17"/>
              <w:lang w:val="en-US" w:eastAsia="en-US"/>
            </w:rPr>
          </w:pPr>
          <w:r w:rsidRPr="00503084">
            <w:rPr>
              <w:rFonts w:eastAsia="Times New Roman"/>
              <w:b/>
              <w:sz w:val="17"/>
              <w:szCs w:val="17"/>
              <w:lang w:val="en-US" w:eastAsia="en-US"/>
            </w:rPr>
            <w:t>DP/DCP/</w:t>
          </w:r>
          <w:r>
            <w:rPr>
              <w:rFonts w:eastAsia="Times New Roman"/>
              <w:b/>
              <w:sz w:val="17"/>
              <w:szCs w:val="17"/>
              <w:lang w:val="en-US" w:eastAsia="en-US"/>
            </w:rPr>
            <w:t>SOM</w:t>
          </w:r>
          <w:r w:rsidRPr="00503084">
            <w:rPr>
              <w:rFonts w:eastAsia="Times New Roman"/>
              <w:b/>
              <w:sz w:val="17"/>
              <w:szCs w:val="17"/>
              <w:lang w:val="en-US" w:eastAsia="en-US"/>
            </w:rPr>
            <w:t>/4</w:t>
          </w:r>
        </w:p>
      </w:tc>
      <w:tc>
        <w:tcPr>
          <w:tcW w:w="5047" w:type="dxa"/>
          <w:tcBorders>
            <w:bottom w:val="single" w:sz="4" w:space="0" w:color="auto"/>
          </w:tcBorders>
          <w:vAlign w:val="bottom"/>
        </w:tcPr>
        <w:p w14:paraId="3C9D10A6" w14:textId="77777777" w:rsidR="00361292" w:rsidRPr="00503084" w:rsidRDefault="00361292" w:rsidP="00503084">
          <w:pPr>
            <w:widowControl w:val="0"/>
            <w:tabs>
              <w:tab w:val="center" w:pos="4320"/>
              <w:tab w:val="right" w:pos="8640"/>
            </w:tabs>
            <w:rPr>
              <w:rFonts w:eastAsia="Times New Roman"/>
              <w:sz w:val="17"/>
              <w:szCs w:val="17"/>
              <w:lang w:val="en-US" w:eastAsia="en-US"/>
            </w:rPr>
          </w:pPr>
        </w:p>
      </w:tc>
    </w:tr>
  </w:tbl>
  <w:p w14:paraId="0956BB75" w14:textId="77777777" w:rsidR="00361292" w:rsidRPr="00021BF6" w:rsidRDefault="00361292">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3"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61292" w:rsidRPr="00BA1533" w14:paraId="4F19F4B0" w14:textId="77777777" w:rsidTr="00BA1533">
      <w:trPr>
        <w:trHeight w:hRule="exact" w:val="864"/>
      </w:trPr>
      <w:tc>
        <w:tcPr>
          <w:tcW w:w="1267" w:type="dxa"/>
          <w:tcBorders>
            <w:bottom w:val="single" w:sz="4" w:space="0" w:color="auto"/>
          </w:tcBorders>
          <w:shd w:val="clear" w:color="auto" w:fill="auto"/>
          <w:vAlign w:val="bottom"/>
        </w:tcPr>
        <w:p w14:paraId="6C1C043E" w14:textId="77777777" w:rsidR="00361292" w:rsidRPr="00BA1533" w:rsidRDefault="00361292" w:rsidP="00BA1533">
          <w:pPr>
            <w:tabs>
              <w:tab w:val="center" w:pos="4320"/>
              <w:tab w:val="right" w:pos="8640"/>
            </w:tabs>
            <w:spacing w:after="120"/>
            <w:rPr>
              <w:rFonts w:eastAsia="Calibri"/>
              <w:noProof/>
              <w:sz w:val="17"/>
              <w:szCs w:val="20"/>
              <w:lang w:val="en-US" w:eastAsia="en-US"/>
            </w:rPr>
          </w:pPr>
        </w:p>
      </w:tc>
      <w:tc>
        <w:tcPr>
          <w:tcW w:w="1872" w:type="dxa"/>
          <w:tcBorders>
            <w:bottom w:val="single" w:sz="4" w:space="0" w:color="auto"/>
          </w:tcBorders>
          <w:shd w:val="clear" w:color="auto" w:fill="auto"/>
          <w:vAlign w:val="bottom"/>
        </w:tcPr>
        <w:p w14:paraId="09DB9D50" w14:textId="77777777" w:rsidR="00361292" w:rsidRPr="00BA1533" w:rsidRDefault="00361292" w:rsidP="00BA15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szCs w:val="20"/>
              <w:lang w:eastAsia="en-US"/>
            </w:rPr>
          </w:pPr>
          <w:r w:rsidRPr="00BA1533">
            <w:rPr>
              <w:rFonts w:eastAsia="Calibri"/>
              <w:spacing w:val="2"/>
              <w:w w:val="96"/>
              <w:kern w:val="14"/>
              <w:sz w:val="28"/>
              <w:szCs w:val="20"/>
              <w:lang w:eastAsia="en-US"/>
            </w:rPr>
            <w:t>United Nations</w:t>
          </w:r>
        </w:p>
      </w:tc>
      <w:tc>
        <w:tcPr>
          <w:tcW w:w="245" w:type="dxa"/>
          <w:tcBorders>
            <w:bottom w:val="single" w:sz="4" w:space="0" w:color="auto"/>
          </w:tcBorders>
          <w:shd w:val="clear" w:color="auto" w:fill="auto"/>
          <w:vAlign w:val="bottom"/>
        </w:tcPr>
        <w:p w14:paraId="492EB0FF" w14:textId="77777777" w:rsidR="00361292" w:rsidRPr="00BA1533" w:rsidRDefault="00361292" w:rsidP="00BA1533">
          <w:pPr>
            <w:tabs>
              <w:tab w:val="center" w:pos="4320"/>
              <w:tab w:val="right" w:pos="8640"/>
            </w:tabs>
            <w:spacing w:after="120"/>
            <w:rPr>
              <w:rFonts w:eastAsia="Calibri"/>
              <w:noProof/>
              <w:sz w:val="17"/>
              <w:szCs w:val="20"/>
              <w:lang w:val="en-US" w:eastAsia="en-US"/>
            </w:rPr>
          </w:pPr>
        </w:p>
      </w:tc>
      <w:tc>
        <w:tcPr>
          <w:tcW w:w="6523" w:type="dxa"/>
          <w:gridSpan w:val="4"/>
          <w:tcBorders>
            <w:bottom w:val="single" w:sz="4" w:space="0" w:color="auto"/>
          </w:tcBorders>
          <w:shd w:val="clear" w:color="auto" w:fill="auto"/>
          <w:vAlign w:val="bottom"/>
        </w:tcPr>
        <w:p w14:paraId="1F49038D" w14:textId="0DBBC138" w:rsidR="00361292" w:rsidRPr="00BA1533" w:rsidRDefault="00361292" w:rsidP="00BA1533">
          <w:pPr>
            <w:suppressAutoHyphens/>
            <w:spacing w:after="80"/>
            <w:jc w:val="right"/>
            <w:rPr>
              <w:rFonts w:eastAsia="Calibri"/>
              <w:spacing w:val="4"/>
              <w:w w:val="103"/>
              <w:kern w:val="14"/>
              <w:position w:val="-4"/>
              <w:sz w:val="20"/>
              <w:szCs w:val="20"/>
              <w:lang w:eastAsia="en-US"/>
            </w:rPr>
          </w:pPr>
          <w:r w:rsidRPr="00BA1533">
            <w:rPr>
              <w:rFonts w:eastAsia="Calibri"/>
              <w:spacing w:val="4"/>
              <w:w w:val="103"/>
              <w:kern w:val="14"/>
              <w:position w:val="-4"/>
              <w:sz w:val="40"/>
              <w:szCs w:val="20"/>
              <w:lang w:eastAsia="en-US"/>
            </w:rPr>
            <w:t>DP</w:t>
          </w:r>
          <w:r w:rsidRPr="00BA1533">
            <w:rPr>
              <w:rFonts w:eastAsia="Calibri"/>
              <w:spacing w:val="4"/>
              <w:w w:val="103"/>
              <w:kern w:val="14"/>
              <w:position w:val="-4"/>
              <w:sz w:val="20"/>
              <w:szCs w:val="20"/>
              <w:lang w:eastAsia="en-US"/>
            </w:rPr>
            <w:t>/DCP/</w:t>
          </w:r>
          <w:r>
            <w:rPr>
              <w:rFonts w:eastAsia="Calibri"/>
              <w:spacing w:val="4"/>
              <w:w w:val="103"/>
              <w:kern w:val="14"/>
              <w:position w:val="-4"/>
              <w:sz w:val="20"/>
              <w:szCs w:val="20"/>
              <w:lang w:eastAsia="en-US"/>
            </w:rPr>
            <w:t>SOM</w:t>
          </w:r>
          <w:r w:rsidRPr="00BA1533">
            <w:rPr>
              <w:rFonts w:eastAsia="Calibri"/>
              <w:spacing w:val="4"/>
              <w:w w:val="103"/>
              <w:kern w:val="14"/>
              <w:position w:val="-4"/>
              <w:sz w:val="20"/>
              <w:szCs w:val="20"/>
              <w:lang w:eastAsia="en-US"/>
            </w:rPr>
            <w:t>/4</w:t>
          </w:r>
        </w:p>
      </w:tc>
    </w:tr>
    <w:tr w:rsidR="00361292" w:rsidRPr="00BA1533" w14:paraId="42B18C21" w14:textId="77777777" w:rsidTr="00BA1533">
      <w:trPr>
        <w:gridAfter w:val="1"/>
        <w:wAfter w:w="28" w:type="dxa"/>
        <w:trHeight w:hRule="exact" w:val="2880"/>
      </w:trPr>
      <w:tc>
        <w:tcPr>
          <w:tcW w:w="1267" w:type="dxa"/>
          <w:tcBorders>
            <w:top w:val="single" w:sz="4" w:space="0" w:color="auto"/>
            <w:bottom w:val="single" w:sz="12" w:space="0" w:color="auto"/>
          </w:tcBorders>
          <w:shd w:val="clear" w:color="auto" w:fill="auto"/>
        </w:tcPr>
        <w:p w14:paraId="31CCF42E" w14:textId="77777777" w:rsidR="00361292" w:rsidRPr="00BA1533" w:rsidRDefault="00361292" w:rsidP="00BA1533">
          <w:pPr>
            <w:tabs>
              <w:tab w:val="center" w:pos="4320"/>
              <w:tab w:val="right" w:pos="8640"/>
            </w:tabs>
            <w:spacing w:before="120"/>
            <w:jc w:val="center"/>
            <w:rPr>
              <w:rFonts w:eastAsia="Calibri"/>
              <w:noProof/>
              <w:sz w:val="17"/>
              <w:szCs w:val="20"/>
              <w:lang w:val="en-US" w:eastAsia="en-US"/>
            </w:rPr>
          </w:pPr>
          <w:r w:rsidRPr="00BA1533">
            <w:rPr>
              <w:rFonts w:eastAsia="Calibri"/>
              <w:noProof/>
              <w:sz w:val="17"/>
              <w:szCs w:val="20"/>
              <w:lang w:val="en-US" w:eastAsia="en-US"/>
            </w:rPr>
            <w:t xml:space="preserve"> </w:t>
          </w:r>
          <w:r w:rsidRPr="00BA1533">
            <w:rPr>
              <w:rFonts w:eastAsia="Calibri"/>
              <w:noProof/>
              <w:sz w:val="17"/>
              <w:szCs w:val="20"/>
              <w:lang w:val="en-US" w:eastAsia="en-US"/>
            </w:rPr>
            <w:drawing>
              <wp:inline distT="0" distB="0" distL="0" distR="0" wp14:anchorId="305998FE" wp14:editId="784F1B4A">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C0664C" w14:textId="77777777" w:rsidR="00361292" w:rsidRPr="00BA1533" w:rsidRDefault="00361292" w:rsidP="00BA15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szCs w:val="20"/>
              <w:lang w:eastAsia="en-US"/>
            </w:rPr>
          </w:pPr>
          <w:r w:rsidRPr="00BA1533">
            <w:rPr>
              <w:rFonts w:eastAsia="Calibri"/>
              <w:b/>
              <w:spacing w:val="-4"/>
              <w:w w:val="98"/>
              <w:kern w:val="14"/>
              <w:sz w:val="34"/>
              <w:szCs w:val="20"/>
              <w:lang w:eastAsia="en-US"/>
            </w:rPr>
            <w:t>Executive Board of the</w:t>
          </w:r>
          <w:r w:rsidRPr="00BA1533">
            <w:rPr>
              <w:rFonts w:eastAsia="Calibri"/>
              <w:b/>
              <w:spacing w:val="-4"/>
              <w:w w:val="98"/>
              <w:kern w:val="14"/>
              <w:sz w:val="34"/>
              <w:szCs w:val="20"/>
              <w:lang w:eastAsia="en-US"/>
            </w:rPr>
            <w:br/>
            <w:t>United Nations Development</w:t>
          </w:r>
          <w:r w:rsidRPr="00BA1533">
            <w:rPr>
              <w:rFonts w:eastAsia="Calibri"/>
              <w:b/>
              <w:spacing w:val="-4"/>
              <w:w w:val="98"/>
              <w:kern w:val="14"/>
              <w:sz w:val="34"/>
              <w:szCs w:val="20"/>
              <w:lang w:eastAsia="en-US"/>
            </w:rPr>
            <w:br/>
            <w:t>Programme, the United Nations</w:t>
          </w:r>
          <w:r w:rsidRPr="00BA1533">
            <w:rPr>
              <w:rFonts w:eastAsia="Calibri"/>
              <w:b/>
              <w:spacing w:val="-4"/>
              <w:w w:val="98"/>
              <w:kern w:val="14"/>
              <w:sz w:val="34"/>
              <w:szCs w:val="20"/>
              <w:lang w:eastAsia="en-US"/>
            </w:rPr>
            <w:br/>
            <w:t xml:space="preserve">Population Fund and the </w:t>
          </w:r>
          <w:r w:rsidRPr="00BA1533">
            <w:rPr>
              <w:rFonts w:eastAsia="Calibri"/>
              <w:b/>
              <w:spacing w:val="-4"/>
              <w:w w:val="98"/>
              <w:kern w:val="14"/>
              <w:sz w:val="34"/>
              <w:szCs w:val="20"/>
              <w:lang w:eastAsia="en-US"/>
            </w:rPr>
            <w:br/>
            <w:t>United Nations Office for</w:t>
          </w:r>
          <w:r w:rsidRPr="00BA1533">
            <w:rPr>
              <w:rFonts w:eastAsia="Calibri"/>
              <w:b/>
              <w:spacing w:val="-4"/>
              <w:w w:val="98"/>
              <w:kern w:val="14"/>
              <w:sz w:val="34"/>
              <w:szCs w:val="20"/>
              <w:lang w:eastAsia="en-US"/>
            </w:rPr>
            <w:br/>
            <w:t>Project Services</w:t>
          </w:r>
        </w:p>
      </w:tc>
      <w:tc>
        <w:tcPr>
          <w:tcW w:w="245" w:type="dxa"/>
          <w:tcBorders>
            <w:top w:val="single" w:sz="4" w:space="0" w:color="auto"/>
            <w:bottom w:val="single" w:sz="12" w:space="0" w:color="auto"/>
          </w:tcBorders>
          <w:shd w:val="clear" w:color="auto" w:fill="auto"/>
        </w:tcPr>
        <w:p w14:paraId="5621466D" w14:textId="77777777" w:rsidR="00361292" w:rsidRPr="00BA1533" w:rsidRDefault="00361292" w:rsidP="00BA1533">
          <w:pPr>
            <w:tabs>
              <w:tab w:val="center" w:pos="4320"/>
              <w:tab w:val="right" w:pos="8640"/>
            </w:tabs>
            <w:spacing w:before="109"/>
            <w:rPr>
              <w:rFonts w:eastAsia="Calibri"/>
              <w:noProof/>
              <w:sz w:val="17"/>
              <w:szCs w:val="20"/>
              <w:lang w:val="en-US" w:eastAsia="en-US"/>
            </w:rPr>
          </w:pPr>
        </w:p>
      </w:tc>
      <w:tc>
        <w:tcPr>
          <w:tcW w:w="3140" w:type="dxa"/>
          <w:tcBorders>
            <w:top w:val="single" w:sz="4" w:space="0" w:color="auto"/>
            <w:bottom w:val="single" w:sz="12" w:space="0" w:color="auto"/>
          </w:tcBorders>
          <w:shd w:val="clear" w:color="auto" w:fill="auto"/>
        </w:tcPr>
        <w:p w14:paraId="5597B51D" w14:textId="77777777" w:rsidR="00361292" w:rsidRPr="00BA1533" w:rsidRDefault="00361292" w:rsidP="00BA1533">
          <w:pPr>
            <w:spacing w:before="240"/>
            <w:rPr>
              <w:rFonts w:eastAsia="Calibri"/>
              <w:color w:val="010000"/>
              <w:spacing w:val="4"/>
              <w:w w:val="103"/>
              <w:kern w:val="14"/>
              <w:sz w:val="20"/>
              <w:szCs w:val="20"/>
              <w:lang w:eastAsia="en-US"/>
            </w:rPr>
          </w:pPr>
          <w:r w:rsidRPr="00BA1533">
            <w:rPr>
              <w:rFonts w:eastAsia="Calibri"/>
              <w:color w:val="010000"/>
              <w:spacing w:val="4"/>
              <w:w w:val="103"/>
              <w:kern w:val="14"/>
              <w:sz w:val="20"/>
              <w:szCs w:val="20"/>
              <w:lang w:eastAsia="en-US"/>
            </w:rPr>
            <w:t>Distr.: General</w:t>
          </w:r>
        </w:p>
        <w:p w14:paraId="380BFA7E" w14:textId="77777777" w:rsidR="00361292" w:rsidRPr="00BA1533" w:rsidRDefault="00361292" w:rsidP="00BA1533">
          <w:pPr>
            <w:rPr>
              <w:rFonts w:eastAsia="Calibri"/>
              <w:color w:val="010000"/>
              <w:spacing w:val="4"/>
              <w:w w:val="103"/>
              <w:kern w:val="14"/>
              <w:sz w:val="20"/>
              <w:szCs w:val="20"/>
              <w:lang w:eastAsia="en-US"/>
            </w:rPr>
          </w:pPr>
          <w:r w:rsidRPr="00BA1533">
            <w:rPr>
              <w:rFonts w:eastAsia="Calibri"/>
              <w:color w:val="010000"/>
              <w:spacing w:val="4"/>
              <w:w w:val="103"/>
              <w:kern w:val="14"/>
              <w:sz w:val="20"/>
              <w:szCs w:val="20"/>
              <w:lang w:eastAsia="en-US"/>
            </w:rPr>
            <w:t>October 2020</w:t>
          </w:r>
        </w:p>
        <w:p w14:paraId="3E958F43" w14:textId="77777777" w:rsidR="00361292" w:rsidRPr="00BA1533" w:rsidRDefault="00361292" w:rsidP="00BA1533">
          <w:pPr>
            <w:suppressAutoHyphens/>
            <w:spacing w:line="240" w:lineRule="exact"/>
            <w:rPr>
              <w:rFonts w:eastAsia="Calibri"/>
              <w:spacing w:val="4"/>
              <w:w w:val="103"/>
              <w:kern w:val="14"/>
              <w:sz w:val="20"/>
              <w:szCs w:val="20"/>
              <w:lang w:eastAsia="en-US"/>
            </w:rPr>
          </w:pPr>
        </w:p>
        <w:p w14:paraId="0AA5CEDE" w14:textId="77777777" w:rsidR="00361292" w:rsidRPr="00BA1533" w:rsidRDefault="00361292" w:rsidP="00BA1533">
          <w:pPr>
            <w:rPr>
              <w:rFonts w:eastAsia="Calibri"/>
              <w:color w:val="010000"/>
              <w:spacing w:val="4"/>
              <w:w w:val="103"/>
              <w:kern w:val="14"/>
              <w:sz w:val="20"/>
              <w:szCs w:val="20"/>
              <w:lang w:eastAsia="en-US"/>
            </w:rPr>
          </w:pPr>
          <w:r w:rsidRPr="00BA1533">
            <w:rPr>
              <w:rFonts w:eastAsia="Calibri"/>
              <w:color w:val="010000"/>
              <w:spacing w:val="4"/>
              <w:w w:val="103"/>
              <w:kern w:val="14"/>
              <w:sz w:val="20"/>
              <w:szCs w:val="20"/>
              <w:lang w:eastAsia="en-US"/>
            </w:rPr>
            <w:t>Original: English</w:t>
          </w:r>
        </w:p>
        <w:p w14:paraId="15FDBFBE" w14:textId="77777777" w:rsidR="00361292" w:rsidRPr="00BA1533" w:rsidRDefault="00361292" w:rsidP="00BA1533">
          <w:pPr>
            <w:suppressAutoHyphens/>
            <w:spacing w:line="240" w:lineRule="exact"/>
            <w:rPr>
              <w:rFonts w:eastAsia="Calibri"/>
              <w:spacing w:val="4"/>
              <w:w w:val="103"/>
              <w:kern w:val="14"/>
              <w:sz w:val="20"/>
              <w:szCs w:val="20"/>
              <w:lang w:eastAsia="en-US"/>
            </w:rPr>
          </w:pPr>
        </w:p>
      </w:tc>
    </w:tr>
  </w:tbl>
  <w:p w14:paraId="55F1FB84" w14:textId="77777777" w:rsidR="00361292" w:rsidRDefault="00361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3"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61292" w:rsidRPr="00BA1533" w14:paraId="542A9C52" w14:textId="77777777" w:rsidTr="00BA1533">
      <w:trPr>
        <w:trHeight w:hRule="exact" w:val="864"/>
      </w:trPr>
      <w:tc>
        <w:tcPr>
          <w:tcW w:w="1267" w:type="dxa"/>
          <w:tcBorders>
            <w:bottom w:val="single" w:sz="4" w:space="0" w:color="auto"/>
          </w:tcBorders>
          <w:shd w:val="clear" w:color="auto" w:fill="auto"/>
          <w:vAlign w:val="bottom"/>
        </w:tcPr>
        <w:p w14:paraId="25DAA70A" w14:textId="77777777" w:rsidR="00361292" w:rsidRPr="00BA1533" w:rsidRDefault="00361292" w:rsidP="00BA1533">
          <w:pPr>
            <w:tabs>
              <w:tab w:val="center" w:pos="4320"/>
              <w:tab w:val="right" w:pos="8640"/>
            </w:tabs>
            <w:spacing w:after="120"/>
            <w:rPr>
              <w:rFonts w:eastAsia="Calibri"/>
              <w:noProof/>
              <w:sz w:val="17"/>
              <w:szCs w:val="20"/>
              <w:lang w:val="en-US" w:eastAsia="en-US"/>
            </w:rPr>
          </w:pPr>
        </w:p>
      </w:tc>
      <w:tc>
        <w:tcPr>
          <w:tcW w:w="1872" w:type="dxa"/>
          <w:tcBorders>
            <w:bottom w:val="single" w:sz="4" w:space="0" w:color="auto"/>
          </w:tcBorders>
          <w:shd w:val="clear" w:color="auto" w:fill="auto"/>
          <w:vAlign w:val="bottom"/>
        </w:tcPr>
        <w:p w14:paraId="5046EDB1" w14:textId="77777777" w:rsidR="00361292" w:rsidRPr="00BA1533" w:rsidRDefault="00361292" w:rsidP="00BA15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szCs w:val="20"/>
              <w:lang w:eastAsia="en-US"/>
            </w:rPr>
          </w:pPr>
          <w:r w:rsidRPr="00BA1533">
            <w:rPr>
              <w:rFonts w:eastAsia="Calibri"/>
              <w:spacing w:val="2"/>
              <w:w w:val="96"/>
              <w:kern w:val="14"/>
              <w:sz w:val="28"/>
              <w:szCs w:val="20"/>
              <w:lang w:eastAsia="en-US"/>
            </w:rPr>
            <w:t>United Nations</w:t>
          </w:r>
        </w:p>
      </w:tc>
      <w:tc>
        <w:tcPr>
          <w:tcW w:w="245" w:type="dxa"/>
          <w:tcBorders>
            <w:bottom w:val="single" w:sz="4" w:space="0" w:color="auto"/>
          </w:tcBorders>
          <w:shd w:val="clear" w:color="auto" w:fill="auto"/>
          <w:vAlign w:val="bottom"/>
        </w:tcPr>
        <w:p w14:paraId="4C198EF2" w14:textId="77777777" w:rsidR="00361292" w:rsidRPr="00BA1533" w:rsidRDefault="00361292" w:rsidP="00BA1533">
          <w:pPr>
            <w:tabs>
              <w:tab w:val="center" w:pos="4320"/>
              <w:tab w:val="right" w:pos="8640"/>
            </w:tabs>
            <w:spacing w:after="120"/>
            <w:rPr>
              <w:rFonts w:eastAsia="Calibri"/>
              <w:noProof/>
              <w:sz w:val="17"/>
              <w:szCs w:val="20"/>
              <w:lang w:val="en-US" w:eastAsia="en-US"/>
            </w:rPr>
          </w:pPr>
        </w:p>
      </w:tc>
      <w:tc>
        <w:tcPr>
          <w:tcW w:w="6523" w:type="dxa"/>
          <w:gridSpan w:val="4"/>
          <w:tcBorders>
            <w:bottom w:val="single" w:sz="4" w:space="0" w:color="auto"/>
          </w:tcBorders>
          <w:shd w:val="clear" w:color="auto" w:fill="auto"/>
          <w:vAlign w:val="bottom"/>
        </w:tcPr>
        <w:p w14:paraId="0B8DA61F" w14:textId="74A16650" w:rsidR="00361292" w:rsidRPr="00BA1533" w:rsidRDefault="00361292" w:rsidP="00BA1533">
          <w:pPr>
            <w:suppressAutoHyphens/>
            <w:spacing w:after="80"/>
            <w:jc w:val="right"/>
            <w:rPr>
              <w:rFonts w:eastAsia="Calibri"/>
              <w:spacing w:val="4"/>
              <w:w w:val="103"/>
              <w:kern w:val="14"/>
              <w:position w:val="-4"/>
              <w:sz w:val="20"/>
              <w:szCs w:val="20"/>
              <w:lang w:eastAsia="en-US"/>
            </w:rPr>
          </w:pPr>
          <w:r w:rsidRPr="00BA1533">
            <w:rPr>
              <w:rFonts w:eastAsia="Calibri"/>
              <w:spacing w:val="4"/>
              <w:w w:val="103"/>
              <w:kern w:val="14"/>
              <w:position w:val="-4"/>
              <w:sz w:val="40"/>
              <w:szCs w:val="20"/>
              <w:lang w:eastAsia="en-US"/>
            </w:rPr>
            <w:t>DP</w:t>
          </w:r>
          <w:r w:rsidRPr="00BA1533">
            <w:rPr>
              <w:rFonts w:eastAsia="Calibri"/>
              <w:spacing w:val="4"/>
              <w:w w:val="103"/>
              <w:kern w:val="14"/>
              <w:position w:val="-4"/>
              <w:sz w:val="20"/>
              <w:szCs w:val="20"/>
              <w:lang w:eastAsia="en-US"/>
            </w:rPr>
            <w:t>/DCP/</w:t>
          </w:r>
          <w:r>
            <w:rPr>
              <w:rFonts w:eastAsia="Calibri"/>
              <w:spacing w:val="4"/>
              <w:w w:val="103"/>
              <w:kern w:val="14"/>
              <w:position w:val="-4"/>
              <w:sz w:val="20"/>
              <w:szCs w:val="20"/>
              <w:lang w:eastAsia="en-US"/>
            </w:rPr>
            <w:t>SOM</w:t>
          </w:r>
          <w:r w:rsidRPr="00BA1533">
            <w:rPr>
              <w:rFonts w:eastAsia="Calibri"/>
              <w:spacing w:val="4"/>
              <w:w w:val="103"/>
              <w:kern w:val="14"/>
              <w:position w:val="-4"/>
              <w:sz w:val="20"/>
              <w:szCs w:val="20"/>
              <w:lang w:eastAsia="en-US"/>
            </w:rPr>
            <w:t>/4</w:t>
          </w:r>
        </w:p>
      </w:tc>
    </w:tr>
    <w:tr w:rsidR="00361292" w:rsidRPr="00BA1533" w14:paraId="411B2D28" w14:textId="77777777" w:rsidTr="00BA1533">
      <w:trPr>
        <w:gridAfter w:val="1"/>
        <w:wAfter w:w="28" w:type="dxa"/>
        <w:trHeight w:hRule="exact" w:val="2880"/>
      </w:trPr>
      <w:tc>
        <w:tcPr>
          <w:tcW w:w="1267" w:type="dxa"/>
          <w:tcBorders>
            <w:top w:val="single" w:sz="4" w:space="0" w:color="auto"/>
            <w:bottom w:val="single" w:sz="12" w:space="0" w:color="auto"/>
          </w:tcBorders>
          <w:shd w:val="clear" w:color="auto" w:fill="auto"/>
        </w:tcPr>
        <w:p w14:paraId="01BBE450" w14:textId="77777777" w:rsidR="00361292" w:rsidRPr="00BA1533" w:rsidRDefault="00361292" w:rsidP="00BA1533">
          <w:pPr>
            <w:tabs>
              <w:tab w:val="center" w:pos="4320"/>
              <w:tab w:val="right" w:pos="8640"/>
            </w:tabs>
            <w:spacing w:before="120"/>
            <w:jc w:val="center"/>
            <w:rPr>
              <w:rFonts w:eastAsia="Calibri"/>
              <w:noProof/>
              <w:sz w:val="17"/>
              <w:szCs w:val="20"/>
              <w:lang w:val="en-US" w:eastAsia="en-US"/>
            </w:rPr>
          </w:pPr>
          <w:r w:rsidRPr="00BA1533">
            <w:rPr>
              <w:rFonts w:eastAsia="Calibri"/>
              <w:noProof/>
              <w:sz w:val="17"/>
              <w:szCs w:val="20"/>
              <w:lang w:val="en-US" w:eastAsia="en-US"/>
            </w:rPr>
            <w:t xml:space="preserve"> </w:t>
          </w:r>
          <w:r w:rsidRPr="00BA1533">
            <w:rPr>
              <w:rFonts w:eastAsia="Calibri"/>
              <w:noProof/>
              <w:sz w:val="17"/>
              <w:szCs w:val="20"/>
              <w:lang w:val="en-US" w:eastAsia="en-US"/>
            </w:rPr>
            <w:drawing>
              <wp:inline distT="0" distB="0" distL="0" distR="0" wp14:anchorId="4AA03112" wp14:editId="7E875BB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C15AD2" w14:textId="77777777" w:rsidR="00361292" w:rsidRPr="001544C3" w:rsidRDefault="00361292" w:rsidP="00F200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544C3">
            <w:rPr>
              <w:b/>
              <w:sz w:val="34"/>
            </w:rPr>
            <w:t>Executive Board of the</w:t>
          </w:r>
          <w:r w:rsidRPr="001544C3">
            <w:rPr>
              <w:b/>
              <w:sz w:val="34"/>
            </w:rPr>
            <w:br/>
            <w:t>United Nations Development</w:t>
          </w:r>
          <w:r w:rsidRPr="001544C3">
            <w:rPr>
              <w:b/>
              <w:sz w:val="34"/>
            </w:rPr>
            <w:br/>
            <w:t>Programme, the United Nations Population Fund and the United Nations Office for Project Services</w:t>
          </w:r>
        </w:p>
        <w:p w14:paraId="20328178" w14:textId="284F518B" w:rsidR="00361292" w:rsidRPr="00BA1533" w:rsidRDefault="00361292" w:rsidP="00BA15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szCs w:val="20"/>
              <w:lang w:eastAsia="en-US"/>
            </w:rPr>
          </w:pPr>
        </w:p>
      </w:tc>
      <w:tc>
        <w:tcPr>
          <w:tcW w:w="245" w:type="dxa"/>
          <w:tcBorders>
            <w:top w:val="single" w:sz="4" w:space="0" w:color="auto"/>
            <w:bottom w:val="single" w:sz="12" w:space="0" w:color="auto"/>
          </w:tcBorders>
          <w:shd w:val="clear" w:color="auto" w:fill="auto"/>
        </w:tcPr>
        <w:p w14:paraId="4C9D991C" w14:textId="77777777" w:rsidR="00361292" w:rsidRPr="00BA1533" w:rsidRDefault="00361292" w:rsidP="00BA1533">
          <w:pPr>
            <w:tabs>
              <w:tab w:val="center" w:pos="4320"/>
              <w:tab w:val="right" w:pos="8640"/>
            </w:tabs>
            <w:spacing w:before="109"/>
            <w:rPr>
              <w:rFonts w:eastAsia="Calibri"/>
              <w:noProof/>
              <w:sz w:val="17"/>
              <w:szCs w:val="20"/>
              <w:lang w:val="en-US" w:eastAsia="en-US"/>
            </w:rPr>
          </w:pPr>
        </w:p>
      </w:tc>
      <w:tc>
        <w:tcPr>
          <w:tcW w:w="3140" w:type="dxa"/>
          <w:tcBorders>
            <w:top w:val="single" w:sz="4" w:space="0" w:color="auto"/>
            <w:bottom w:val="single" w:sz="12" w:space="0" w:color="auto"/>
          </w:tcBorders>
          <w:shd w:val="clear" w:color="auto" w:fill="auto"/>
        </w:tcPr>
        <w:p w14:paraId="5507A0B6" w14:textId="77777777" w:rsidR="00361292" w:rsidRPr="00BA1533" w:rsidRDefault="00361292" w:rsidP="00BA1533">
          <w:pPr>
            <w:spacing w:before="240"/>
            <w:rPr>
              <w:rFonts w:eastAsia="Calibri"/>
              <w:color w:val="010000"/>
              <w:spacing w:val="4"/>
              <w:w w:val="103"/>
              <w:kern w:val="14"/>
              <w:sz w:val="20"/>
              <w:szCs w:val="20"/>
              <w:lang w:eastAsia="en-US"/>
            </w:rPr>
          </w:pPr>
          <w:r w:rsidRPr="00BA1533">
            <w:rPr>
              <w:rFonts w:eastAsia="Calibri"/>
              <w:color w:val="010000"/>
              <w:spacing w:val="4"/>
              <w:w w:val="103"/>
              <w:kern w:val="14"/>
              <w:sz w:val="20"/>
              <w:szCs w:val="20"/>
              <w:lang w:eastAsia="en-US"/>
            </w:rPr>
            <w:t>Distr.: General</w:t>
          </w:r>
        </w:p>
        <w:p w14:paraId="20AD4248" w14:textId="50D9CA1F" w:rsidR="00361292" w:rsidRPr="00BA1533" w:rsidRDefault="009541BB" w:rsidP="00BA1533">
          <w:pPr>
            <w:rPr>
              <w:rFonts w:eastAsia="Calibri"/>
              <w:color w:val="010000"/>
              <w:spacing w:val="4"/>
              <w:w w:val="103"/>
              <w:kern w:val="14"/>
              <w:sz w:val="20"/>
              <w:szCs w:val="20"/>
              <w:lang w:eastAsia="en-US"/>
            </w:rPr>
          </w:pPr>
          <w:r>
            <w:rPr>
              <w:rFonts w:eastAsia="Calibri"/>
              <w:color w:val="010000"/>
              <w:spacing w:val="4"/>
              <w:w w:val="103"/>
              <w:kern w:val="14"/>
              <w:sz w:val="20"/>
              <w:szCs w:val="20"/>
              <w:lang w:eastAsia="en-US"/>
            </w:rPr>
            <w:t>9</w:t>
          </w:r>
          <w:r w:rsidR="00361292">
            <w:rPr>
              <w:rFonts w:eastAsia="Calibri"/>
              <w:color w:val="010000"/>
              <w:spacing w:val="4"/>
              <w:w w:val="103"/>
              <w:kern w:val="14"/>
              <w:sz w:val="20"/>
              <w:szCs w:val="20"/>
              <w:lang w:eastAsia="en-US"/>
            </w:rPr>
            <w:t xml:space="preserve"> </w:t>
          </w:r>
          <w:r w:rsidR="00E87C1B">
            <w:rPr>
              <w:rFonts w:eastAsia="Calibri"/>
              <w:color w:val="010000"/>
              <w:spacing w:val="4"/>
              <w:w w:val="103"/>
              <w:kern w:val="14"/>
              <w:sz w:val="20"/>
              <w:szCs w:val="20"/>
              <w:lang w:eastAsia="en-US"/>
            </w:rPr>
            <w:t>November</w:t>
          </w:r>
          <w:r w:rsidR="00361292" w:rsidRPr="00BA1533">
            <w:rPr>
              <w:rFonts w:eastAsia="Calibri"/>
              <w:color w:val="010000"/>
              <w:spacing w:val="4"/>
              <w:w w:val="103"/>
              <w:kern w:val="14"/>
              <w:sz w:val="20"/>
              <w:szCs w:val="20"/>
              <w:lang w:eastAsia="en-US"/>
            </w:rPr>
            <w:t xml:space="preserve"> 2020</w:t>
          </w:r>
        </w:p>
        <w:p w14:paraId="31D487AB" w14:textId="77777777" w:rsidR="00361292" w:rsidRPr="00BA1533" w:rsidRDefault="00361292" w:rsidP="00BA1533">
          <w:pPr>
            <w:suppressAutoHyphens/>
            <w:spacing w:line="240" w:lineRule="exact"/>
            <w:rPr>
              <w:rFonts w:eastAsia="Calibri"/>
              <w:spacing w:val="4"/>
              <w:w w:val="103"/>
              <w:kern w:val="14"/>
              <w:sz w:val="20"/>
              <w:szCs w:val="20"/>
              <w:lang w:eastAsia="en-US"/>
            </w:rPr>
          </w:pPr>
        </w:p>
        <w:p w14:paraId="416577D9" w14:textId="77777777" w:rsidR="00361292" w:rsidRPr="00BA1533" w:rsidRDefault="00361292" w:rsidP="00BA1533">
          <w:pPr>
            <w:rPr>
              <w:rFonts w:eastAsia="Calibri"/>
              <w:color w:val="010000"/>
              <w:spacing w:val="4"/>
              <w:w w:val="103"/>
              <w:kern w:val="14"/>
              <w:sz w:val="20"/>
              <w:szCs w:val="20"/>
              <w:lang w:eastAsia="en-US"/>
            </w:rPr>
          </w:pPr>
          <w:r w:rsidRPr="00BA1533">
            <w:rPr>
              <w:rFonts w:eastAsia="Calibri"/>
              <w:color w:val="010000"/>
              <w:spacing w:val="4"/>
              <w:w w:val="103"/>
              <w:kern w:val="14"/>
              <w:sz w:val="20"/>
              <w:szCs w:val="20"/>
              <w:lang w:eastAsia="en-US"/>
            </w:rPr>
            <w:t>Original: English</w:t>
          </w:r>
        </w:p>
        <w:p w14:paraId="6CB399AB" w14:textId="77777777" w:rsidR="00361292" w:rsidRPr="00BA1533" w:rsidRDefault="00361292" w:rsidP="00BA1533">
          <w:pPr>
            <w:suppressAutoHyphens/>
            <w:spacing w:line="240" w:lineRule="exact"/>
            <w:rPr>
              <w:rFonts w:eastAsia="Calibri"/>
              <w:spacing w:val="4"/>
              <w:w w:val="103"/>
              <w:kern w:val="14"/>
              <w:sz w:val="20"/>
              <w:szCs w:val="20"/>
              <w:lang w:eastAsia="en-US"/>
            </w:rPr>
          </w:pPr>
        </w:p>
      </w:tc>
    </w:tr>
  </w:tbl>
  <w:p w14:paraId="35BCDBF6" w14:textId="77777777" w:rsidR="00361292" w:rsidRPr="00021BF6" w:rsidRDefault="00361292">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42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61292" w:rsidRPr="00503084" w14:paraId="54B3344D" w14:textId="77777777" w:rsidTr="00503084">
      <w:trPr>
        <w:trHeight w:hRule="exact" w:val="864"/>
      </w:trPr>
      <w:tc>
        <w:tcPr>
          <w:tcW w:w="4838" w:type="dxa"/>
          <w:tcBorders>
            <w:bottom w:val="single" w:sz="4" w:space="0" w:color="auto"/>
          </w:tcBorders>
          <w:vAlign w:val="bottom"/>
        </w:tcPr>
        <w:p w14:paraId="10350712" w14:textId="77777777" w:rsidR="00361292" w:rsidRPr="00503084" w:rsidRDefault="00361292" w:rsidP="00503084">
          <w:pPr>
            <w:widowControl w:val="0"/>
            <w:tabs>
              <w:tab w:val="center" w:pos="4320"/>
              <w:tab w:val="right" w:pos="8640"/>
            </w:tabs>
            <w:spacing w:after="80"/>
            <w:rPr>
              <w:rFonts w:eastAsia="Times New Roman"/>
              <w:b/>
              <w:sz w:val="17"/>
              <w:szCs w:val="17"/>
              <w:lang w:val="en-US" w:eastAsia="en-US"/>
            </w:rPr>
          </w:pPr>
        </w:p>
      </w:tc>
      <w:tc>
        <w:tcPr>
          <w:tcW w:w="5047" w:type="dxa"/>
          <w:tcBorders>
            <w:bottom w:val="single" w:sz="4" w:space="0" w:color="auto"/>
          </w:tcBorders>
          <w:vAlign w:val="bottom"/>
        </w:tcPr>
        <w:p w14:paraId="5D5D05C5" w14:textId="0B00E63A" w:rsidR="00361292" w:rsidRPr="00503084" w:rsidRDefault="00361292" w:rsidP="00503084">
          <w:pPr>
            <w:widowControl w:val="0"/>
            <w:tabs>
              <w:tab w:val="center" w:pos="4320"/>
              <w:tab w:val="right" w:pos="8640"/>
            </w:tabs>
            <w:spacing w:after="60"/>
            <w:jc w:val="right"/>
            <w:rPr>
              <w:rFonts w:eastAsia="Times New Roman"/>
              <w:sz w:val="17"/>
              <w:szCs w:val="17"/>
              <w:lang w:val="en-US" w:eastAsia="en-US"/>
            </w:rPr>
          </w:pPr>
          <w:r w:rsidRPr="00503084">
            <w:rPr>
              <w:rFonts w:eastAsia="Times New Roman"/>
              <w:b/>
              <w:sz w:val="17"/>
              <w:szCs w:val="17"/>
              <w:lang w:val="en-US" w:eastAsia="en-US"/>
            </w:rPr>
            <w:t>DP/DCP/</w:t>
          </w:r>
          <w:r>
            <w:rPr>
              <w:rFonts w:eastAsia="Times New Roman"/>
              <w:b/>
              <w:sz w:val="17"/>
              <w:szCs w:val="17"/>
              <w:lang w:val="en-US" w:eastAsia="en-US"/>
            </w:rPr>
            <w:t>SOM</w:t>
          </w:r>
          <w:r w:rsidRPr="00503084">
            <w:rPr>
              <w:rFonts w:eastAsia="Times New Roman"/>
              <w:b/>
              <w:sz w:val="17"/>
              <w:szCs w:val="17"/>
              <w:lang w:val="en-US" w:eastAsia="en-US"/>
            </w:rPr>
            <w:t>/4</w:t>
          </w:r>
        </w:p>
      </w:tc>
    </w:tr>
  </w:tbl>
  <w:p w14:paraId="6C209ED1" w14:textId="77777777" w:rsidR="00361292" w:rsidRPr="00021BF6" w:rsidRDefault="00361292">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61292" w:rsidRPr="00503084" w14:paraId="77652F81" w14:textId="77777777" w:rsidTr="00503084">
      <w:trPr>
        <w:trHeight w:hRule="exact" w:val="864"/>
      </w:trPr>
      <w:tc>
        <w:tcPr>
          <w:tcW w:w="4838" w:type="dxa"/>
          <w:tcBorders>
            <w:bottom w:val="single" w:sz="4" w:space="0" w:color="auto"/>
          </w:tcBorders>
          <w:vAlign w:val="bottom"/>
        </w:tcPr>
        <w:p w14:paraId="032350F2" w14:textId="79946528" w:rsidR="00361292" w:rsidRPr="00503084" w:rsidRDefault="00361292" w:rsidP="00503084">
          <w:pPr>
            <w:widowControl w:val="0"/>
            <w:tabs>
              <w:tab w:val="center" w:pos="4320"/>
              <w:tab w:val="right" w:pos="8640"/>
            </w:tabs>
            <w:spacing w:after="80"/>
            <w:rPr>
              <w:rFonts w:eastAsia="Times New Roman"/>
              <w:b/>
              <w:sz w:val="17"/>
              <w:szCs w:val="17"/>
              <w:lang w:val="en-US" w:eastAsia="en-US"/>
            </w:rPr>
          </w:pPr>
          <w:r w:rsidRPr="00503084">
            <w:rPr>
              <w:rFonts w:eastAsia="Times New Roman"/>
              <w:b/>
              <w:sz w:val="17"/>
              <w:szCs w:val="17"/>
              <w:lang w:val="en-US" w:eastAsia="en-US"/>
            </w:rPr>
            <w:t>DP/DCP/</w:t>
          </w:r>
          <w:r>
            <w:rPr>
              <w:rFonts w:eastAsia="Times New Roman"/>
              <w:b/>
              <w:sz w:val="17"/>
              <w:szCs w:val="17"/>
              <w:lang w:val="en-US" w:eastAsia="en-US"/>
            </w:rPr>
            <w:t>SOM</w:t>
          </w:r>
          <w:r w:rsidRPr="00503084">
            <w:rPr>
              <w:rFonts w:eastAsia="Times New Roman"/>
              <w:b/>
              <w:sz w:val="17"/>
              <w:szCs w:val="17"/>
              <w:lang w:val="en-US" w:eastAsia="en-US"/>
            </w:rPr>
            <w:t>/4</w:t>
          </w:r>
        </w:p>
      </w:tc>
      <w:tc>
        <w:tcPr>
          <w:tcW w:w="5047" w:type="dxa"/>
          <w:tcBorders>
            <w:bottom w:val="single" w:sz="4" w:space="0" w:color="auto"/>
          </w:tcBorders>
          <w:vAlign w:val="bottom"/>
        </w:tcPr>
        <w:p w14:paraId="7CE4FA59" w14:textId="77777777" w:rsidR="00361292" w:rsidRPr="00503084" w:rsidRDefault="00361292" w:rsidP="00503084">
          <w:pPr>
            <w:widowControl w:val="0"/>
            <w:tabs>
              <w:tab w:val="center" w:pos="4320"/>
              <w:tab w:val="right" w:pos="8640"/>
            </w:tabs>
            <w:rPr>
              <w:rFonts w:eastAsia="Times New Roman"/>
              <w:sz w:val="17"/>
              <w:szCs w:val="17"/>
              <w:lang w:val="en-US" w:eastAsia="en-US"/>
            </w:rPr>
          </w:pPr>
        </w:p>
      </w:tc>
    </w:tr>
  </w:tbl>
  <w:p w14:paraId="32DF5AD7" w14:textId="77777777" w:rsidR="00361292" w:rsidRPr="00021BF6" w:rsidRDefault="00361292">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3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472"/>
    </w:tblGrid>
    <w:tr w:rsidR="00361292" w:rsidRPr="00503084" w14:paraId="6B0BBAB6" w14:textId="77777777" w:rsidTr="00021BF6">
      <w:trPr>
        <w:trHeight w:hRule="exact" w:val="864"/>
      </w:trPr>
      <w:tc>
        <w:tcPr>
          <w:tcW w:w="4838" w:type="dxa"/>
          <w:tcBorders>
            <w:bottom w:val="single" w:sz="4" w:space="0" w:color="auto"/>
          </w:tcBorders>
          <w:vAlign w:val="bottom"/>
        </w:tcPr>
        <w:p w14:paraId="73F57622" w14:textId="77777777" w:rsidR="00361292" w:rsidRPr="00503084" w:rsidRDefault="00361292" w:rsidP="00503084">
          <w:pPr>
            <w:widowControl w:val="0"/>
            <w:tabs>
              <w:tab w:val="center" w:pos="4320"/>
              <w:tab w:val="right" w:pos="8640"/>
            </w:tabs>
            <w:spacing w:after="80"/>
            <w:rPr>
              <w:rFonts w:eastAsia="Times New Roman"/>
              <w:b/>
              <w:sz w:val="17"/>
              <w:szCs w:val="17"/>
              <w:lang w:val="en-US" w:eastAsia="en-US"/>
            </w:rPr>
          </w:pPr>
          <w:r w:rsidRPr="00503084">
            <w:rPr>
              <w:rFonts w:eastAsia="Times New Roman"/>
              <w:b/>
              <w:sz w:val="17"/>
              <w:szCs w:val="17"/>
              <w:lang w:val="en-US" w:eastAsia="en-US"/>
            </w:rPr>
            <w:t>DP/DCP/</w:t>
          </w:r>
          <w:r>
            <w:rPr>
              <w:rFonts w:eastAsia="Times New Roman"/>
              <w:b/>
              <w:sz w:val="17"/>
              <w:szCs w:val="17"/>
              <w:lang w:val="en-US" w:eastAsia="en-US"/>
            </w:rPr>
            <w:t>SOM</w:t>
          </w:r>
          <w:r w:rsidRPr="00503084">
            <w:rPr>
              <w:rFonts w:eastAsia="Times New Roman"/>
              <w:b/>
              <w:sz w:val="17"/>
              <w:szCs w:val="17"/>
              <w:lang w:val="en-US" w:eastAsia="en-US"/>
            </w:rPr>
            <w:t>/4</w:t>
          </w:r>
        </w:p>
      </w:tc>
      <w:tc>
        <w:tcPr>
          <w:tcW w:w="9472" w:type="dxa"/>
          <w:tcBorders>
            <w:bottom w:val="single" w:sz="4" w:space="0" w:color="auto"/>
          </w:tcBorders>
          <w:vAlign w:val="bottom"/>
        </w:tcPr>
        <w:p w14:paraId="2AC1E21A" w14:textId="77777777" w:rsidR="00361292" w:rsidRPr="00503084" w:rsidRDefault="00361292" w:rsidP="00503084">
          <w:pPr>
            <w:widowControl w:val="0"/>
            <w:tabs>
              <w:tab w:val="center" w:pos="4320"/>
              <w:tab w:val="right" w:pos="8640"/>
            </w:tabs>
            <w:rPr>
              <w:rFonts w:eastAsia="Times New Roman"/>
              <w:sz w:val="17"/>
              <w:szCs w:val="17"/>
              <w:lang w:val="en-US" w:eastAsia="en-US"/>
            </w:rPr>
          </w:pPr>
        </w:p>
      </w:tc>
    </w:tr>
  </w:tbl>
  <w:p w14:paraId="3C06CBF5" w14:textId="77777777" w:rsidR="00361292" w:rsidRPr="00AC56B5" w:rsidRDefault="00361292">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562"/>
    </w:tblGrid>
    <w:tr w:rsidR="00361292" w:rsidRPr="00503084" w14:paraId="6DEF75F3" w14:textId="77777777" w:rsidTr="00021BF6">
      <w:trPr>
        <w:trHeight w:hRule="exact" w:val="864"/>
      </w:trPr>
      <w:tc>
        <w:tcPr>
          <w:tcW w:w="4838" w:type="dxa"/>
          <w:tcBorders>
            <w:bottom w:val="single" w:sz="4" w:space="0" w:color="auto"/>
          </w:tcBorders>
          <w:vAlign w:val="bottom"/>
        </w:tcPr>
        <w:p w14:paraId="73D932DD" w14:textId="77777777" w:rsidR="00361292" w:rsidRPr="00503084" w:rsidRDefault="00361292" w:rsidP="00503084">
          <w:pPr>
            <w:widowControl w:val="0"/>
            <w:tabs>
              <w:tab w:val="center" w:pos="4320"/>
              <w:tab w:val="right" w:pos="8640"/>
            </w:tabs>
            <w:spacing w:after="80"/>
            <w:rPr>
              <w:rFonts w:eastAsia="Times New Roman"/>
              <w:b/>
              <w:sz w:val="17"/>
              <w:szCs w:val="17"/>
              <w:lang w:val="en-US" w:eastAsia="en-US"/>
            </w:rPr>
          </w:pPr>
        </w:p>
      </w:tc>
      <w:tc>
        <w:tcPr>
          <w:tcW w:w="9562" w:type="dxa"/>
          <w:tcBorders>
            <w:bottom w:val="single" w:sz="4" w:space="0" w:color="auto"/>
          </w:tcBorders>
          <w:vAlign w:val="bottom"/>
        </w:tcPr>
        <w:p w14:paraId="6E813587" w14:textId="77777777" w:rsidR="00361292" w:rsidRPr="00503084" w:rsidRDefault="00361292" w:rsidP="00503084">
          <w:pPr>
            <w:widowControl w:val="0"/>
            <w:tabs>
              <w:tab w:val="center" w:pos="4320"/>
              <w:tab w:val="right" w:pos="8640"/>
            </w:tabs>
            <w:spacing w:after="60"/>
            <w:jc w:val="right"/>
            <w:rPr>
              <w:rFonts w:eastAsia="Times New Roman"/>
              <w:sz w:val="17"/>
              <w:szCs w:val="17"/>
              <w:lang w:val="en-US" w:eastAsia="en-US"/>
            </w:rPr>
          </w:pPr>
          <w:r w:rsidRPr="00503084">
            <w:rPr>
              <w:rFonts w:eastAsia="Times New Roman"/>
              <w:b/>
              <w:sz w:val="17"/>
              <w:szCs w:val="17"/>
              <w:lang w:val="en-US" w:eastAsia="en-US"/>
            </w:rPr>
            <w:t>DP/DCP/</w:t>
          </w:r>
          <w:r>
            <w:rPr>
              <w:rFonts w:eastAsia="Times New Roman"/>
              <w:b/>
              <w:sz w:val="17"/>
              <w:szCs w:val="17"/>
              <w:lang w:val="en-US" w:eastAsia="en-US"/>
            </w:rPr>
            <w:t>SOM</w:t>
          </w:r>
          <w:r w:rsidRPr="00503084">
            <w:rPr>
              <w:rFonts w:eastAsia="Times New Roman"/>
              <w:b/>
              <w:sz w:val="17"/>
              <w:szCs w:val="17"/>
              <w:lang w:val="en-US" w:eastAsia="en-US"/>
            </w:rPr>
            <w:t>/4</w:t>
          </w:r>
        </w:p>
      </w:tc>
    </w:tr>
  </w:tbl>
  <w:p w14:paraId="168CD980" w14:textId="77777777" w:rsidR="00361292" w:rsidRPr="00AC56B5" w:rsidRDefault="00361292">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44EA2"/>
    <w:multiLevelType w:val="hybridMultilevel"/>
    <w:tmpl w:val="7A3A9968"/>
    <w:lvl w:ilvl="0" w:tplc="B790B0A0">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606ED"/>
    <w:multiLevelType w:val="hybridMultilevel"/>
    <w:tmpl w:val="A5A650DE"/>
    <w:lvl w:ilvl="0" w:tplc="AE5A247A">
      <w:start w:val="1"/>
      <w:numFmt w:val="decimal"/>
      <w:lvlText w:val="%1."/>
      <w:lvlJc w:val="left"/>
      <w:pPr>
        <w:tabs>
          <w:tab w:val="num" w:pos="720"/>
        </w:tabs>
        <w:ind w:left="720" w:hanging="360"/>
      </w:pPr>
    </w:lvl>
    <w:lvl w:ilvl="1" w:tplc="E1CA947A" w:tentative="1">
      <w:start w:val="1"/>
      <w:numFmt w:val="decimal"/>
      <w:lvlText w:val="%2."/>
      <w:lvlJc w:val="left"/>
      <w:pPr>
        <w:tabs>
          <w:tab w:val="num" w:pos="1440"/>
        </w:tabs>
        <w:ind w:left="1440" w:hanging="360"/>
      </w:pPr>
    </w:lvl>
    <w:lvl w:ilvl="2" w:tplc="9196BC84">
      <w:start w:val="1"/>
      <w:numFmt w:val="decimal"/>
      <w:lvlText w:val="%3."/>
      <w:lvlJc w:val="left"/>
      <w:pPr>
        <w:tabs>
          <w:tab w:val="num" w:pos="2160"/>
        </w:tabs>
        <w:ind w:left="2160" w:hanging="360"/>
      </w:pPr>
    </w:lvl>
    <w:lvl w:ilvl="3" w:tplc="BA96AB2C" w:tentative="1">
      <w:start w:val="1"/>
      <w:numFmt w:val="decimal"/>
      <w:lvlText w:val="%4."/>
      <w:lvlJc w:val="left"/>
      <w:pPr>
        <w:tabs>
          <w:tab w:val="num" w:pos="2880"/>
        </w:tabs>
        <w:ind w:left="2880" w:hanging="360"/>
      </w:pPr>
    </w:lvl>
    <w:lvl w:ilvl="4" w:tplc="4ECC73DC" w:tentative="1">
      <w:start w:val="1"/>
      <w:numFmt w:val="decimal"/>
      <w:lvlText w:val="%5."/>
      <w:lvlJc w:val="left"/>
      <w:pPr>
        <w:tabs>
          <w:tab w:val="num" w:pos="3600"/>
        </w:tabs>
        <w:ind w:left="3600" w:hanging="360"/>
      </w:pPr>
    </w:lvl>
    <w:lvl w:ilvl="5" w:tplc="27DCA650" w:tentative="1">
      <w:start w:val="1"/>
      <w:numFmt w:val="decimal"/>
      <w:lvlText w:val="%6."/>
      <w:lvlJc w:val="left"/>
      <w:pPr>
        <w:tabs>
          <w:tab w:val="num" w:pos="4320"/>
        </w:tabs>
        <w:ind w:left="4320" w:hanging="360"/>
      </w:pPr>
    </w:lvl>
    <w:lvl w:ilvl="6" w:tplc="F9CED6D2" w:tentative="1">
      <w:start w:val="1"/>
      <w:numFmt w:val="decimal"/>
      <w:lvlText w:val="%7."/>
      <w:lvlJc w:val="left"/>
      <w:pPr>
        <w:tabs>
          <w:tab w:val="num" w:pos="5040"/>
        </w:tabs>
        <w:ind w:left="5040" w:hanging="360"/>
      </w:pPr>
    </w:lvl>
    <w:lvl w:ilvl="7" w:tplc="E45661F8" w:tentative="1">
      <w:start w:val="1"/>
      <w:numFmt w:val="decimal"/>
      <w:lvlText w:val="%8."/>
      <w:lvlJc w:val="left"/>
      <w:pPr>
        <w:tabs>
          <w:tab w:val="num" w:pos="5760"/>
        </w:tabs>
        <w:ind w:left="5760" w:hanging="360"/>
      </w:pPr>
    </w:lvl>
    <w:lvl w:ilvl="8" w:tplc="D94CC352" w:tentative="1">
      <w:start w:val="1"/>
      <w:numFmt w:val="decimal"/>
      <w:lvlText w:val="%9."/>
      <w:lvlJc w:val="left"/>
      <w:pPr>
        <w:tabs>
          <w:tab w:val="num" w:pos="6480"/>
        </w:tabs>
        <w:ind w:left="6480" w:hanging="360"/>
      </w:pPr>
    </w:lvl>
  </w:abstractNum>
  <w:abstractNum w:abstractNumId="3" w15:restartNumberingAfterBreak="0">
    <w:nsid w:val="0F5F5EEE"/>
    <w:multiLevelType w:val="hybridMultilevel"/>
    <w:tmpl w:val="E7DED8DC"/>
    <w:lvl w:ilvl="0" w:tplc="4252C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F3606"/>
    <w:multiLevelType w:val="hybridMultilevel"/>
    <w:tmpl w:val="7DEAE636"/>
    <w:lvl w:ilvl="0" w:tplc="5AB0A1D8">
      <w:start w:val="1"/>
      <w:numFmt w:val="none"/>
      <w:lvlText w:val="(a)"/>
      <w:lvlJc w:val="left"/>
      <w:pPr>
        <w:ind w:left="720" w:hanging="360"/>
      </w:pPr>
      <w:rPr>
        <w:rFonts w:hint="default"/>
      </w:rPr>
    </w:lvl>
    <w:lvl w:ilvl="1" w:tplc="27CE5DAA" w:tentative="1">
      <w:start w:val="1"/>
      <w:numFmt w:val="bullet"/>
      <w:lvlText w:val="•"/>
      <w:lvlJc w:val="left"/>
      <w:pPr>
        <w:tabs>
          <w:tab w:val="num" w:pos="1440"/>
        </w:tabs>
        <w:ind w:left="1440" w:hanging="360"/>
      </w:pPr>
      <w:rPr>
        <w:rFonts w:ascii="Arial" w:hAnsi="Arial" w:hint="default"/>
      </w:rPr>
    </w:lvl>
    <w:lvl w:ilvl="2" w:tplc="CE5AE134" w:tentative="1">
      <w:start w:val="1"/>
      <w:numFmt w:val="bullet"/>
      <w:lvlText w:val="•"/>
      <w:lvlJc w:val="left"/>
      <w:pPr>
        <w:tabs>
          <w:tab w:val="num" w:pos="2160"/>
        </w:tabs>
        <w:ind w:left="2160" w:hanging="360"/>
      </w:pPr>
      <w:rPr>
        <w:rFonts w:ascii="Arial" w:hAnsi="Arial" w:hint="default"/>
      </w:rPr>
    </w:lvl>
    <w:lvl w:ilvl="3" w:tplc="0F1ADF1C" w:tentative="1">
      <w:start w:val="1"/>
      <w:numFmt w:val="bullet"/>
      <w:lvlText w:val="•"/>
      <w:lvlJc w:val="left"/>
      <w:pPr>
        <w:tabs>
          <w:tab w:val="num" w:pos="2880"/>
        </w:tabs>
        <w:ind w:left="2880" w:hanging="360"/>
      </w:pPr>
      <w:rPr>
        <w:rFonts w:ascii="Arial" w:hAnsi="Arial" w:hint="default"/>
      </w:rPr>
    </w:lvl>
    <w:lvl w:ilvl="4" w:tplc="CC80DD92" w:tentative="1">
      <w:start w:val="1"/>
      <w:numFmt w:val="bullet"/>
      <w:lvlText w:val="•"/>
      <w:lvlJc w:val="left"/>
      <w:pPr>
        <w:tabs>
          <w:tab w:val="num" w:pos="3600"/>
        </w:tabs>
        <w:ind w:left="3600" w:hanging="360"/>
      </w:pPr>
      <w:rPr>
        <w:rFonts w:ascii="Arial" w:hAnsi="Arial" w:hint="default"/>
      </w:rPr>
    </w:lvl>
    <w:lvl w:ilvl="5" w:tplc="CA5EF1AC" w:tentative="1">
      <w:start w:val="1"/>
      <w:numFmt w:val="bullet"/>
      <w:lvlText w:val="•"/>
      <w:lvlJc w:val="left"/>
      <w:pPr>
        <w:tabs>
          <w:tab w:val="num" w:pos="4320"/>
        </w:tabs>
        <w:ind w:left="4320" w:hanging="360"/>
      </w:pPr>
      <w:rPr>
        <w:rFonts w:ascii="Arial" w:hAnsi="Arial" w:hint="default"/>
      </w:rPr>
    </w:lvl>
    <w:lvl w:ilvl="6" w:tplc="F22C2510" w:tentative="1">
      <w:start w:val="1"/>
      <w:numFmt w:val="bullet"/>
      <w:lvlText w:val="•"/>
      <w:lvlJc w:val="left"/>
      <w:pPr>
        <w:tabs>
          <w:tab w:val="num" w:pos="5040"/>
        </w:tabs>
        <w:ind w:left="5040" w:hanging="360"/>
      </w:pPr>
      <w:rPr>
        <w:rFonts w:ascii="Arial" w:hAnsi="Arial" w:hint="default"/>
      </w:rPr>
    </w:lvl>
    <w:lvl w:ilvl="7" w:tplc="2AA6A7D8" w:tentative="1">
      <w:start w:val="1"/>
      <w:numFmt w:val="bullet"/>
      <w:lvlText w:val="•"/>
      <w:lvlJc w:val="left"/>
      <w:pPr>
        <w:tabs>
          <w:tab w:val="num" w:pos="5760"/>
        </w:tabs>
        <w:ind w:left="5760" w:hanging="360"/>
      </w:pPr>
      <w:rPr>
        <w:rFonts w:ascii="Arial" w:hAnsi="Arial" w:hint="default"/>
      </w:rPr>
    </w:lvl>
    <w:lvl w:ilvl="8" w:tplc="9AAE76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AB0E8B"/>
    <w:multiLevelType w:val="hybridMultilevel"/>
    <w:tmpl w:val="36F4BED0"/>
    <w:lvl w:ilvl="0" w:tplc="D8BA1940">
      <w:start w:val="1"/>
      <w:numFmt w:val="decimal"/>
      <w:lvlText w:val="%1."/>
      <w:lvlJc w:val="left"/>
      <w:pPr>
        <w:tabs>
          <w:tab w:val="num" w:pos="720"/>
        </w:tabs>
        <w:ind w:left="720" w:hanging="360"/>
      </w:pPr>
    </w:lvl>
    <w:lvl w:ilvl="1" w:tplc="F50C54CC" w:tentative="1">
      <w:start w:val="1"/>
      <w:numFmt w:val="decimal"/>
      <w:lvlText w:val="%2."/>
      <w:lvlJc w:val="left"/>
      <w:pPr>
        <w:tabs>
          <w:tab w:val="num" w:pos="1440"/>
        </w:tabs>
        <w:ind w:left="1440" w:hanging="360"/>
      </w:pPr>
    </w:lvl>
    <w:lvl w:ilvl="2" w:tplc="70C0FEA2">
      <w:start w:val="1"/>
      <w:numFmt w:val="decimal"/>
      <w:lvlText w:val="%3."/>
      <w:lvlJc w:val="left"/>
      <w:pPr>
        <w:tabs>
          <w:tab w:val="num" w:pos="2160"/>
        </w:tabs>
        <w:ind w:left="2160" w:hanging="360"/>
      </w:pPr>
    </w:lvl>
    <w:lvl w:ilvl="3" w:tplc="4AC61384" w:tentative="1">
      <w:start w:val="1"/>
      <w:numFmt w:val="decimal"/>
      <w:lvlText w:val="%4."/>
      <w:lvlJc w:val="left"/>
      <w:pPr>
        <w:tabs>
          <w:tab w:val="num" w:pos="2880"/>
        </w:tabs>
        <w:ind w:left="2880" w:hanging="360"/>
      </w:pPr>
    </w:lvl>
    <w:lvl w:ilvl="4" w:tplc="16A65EE2" w:tentative="1">
      <w:start w:val="1"/>
      <w:numFmt w:val="decimal"/>
      <w:lvlText w:val="%5."/>
      <w:lvlJc w:val="left"/>
      <w:pPr>
        <w:tabs>
          <w:tab w:val="num" w:pos="3600"/>
        </w:tabs>
        <w:ind w:left="3600" w:hanging="360"/>
      </w:pPr>
    </w:lvl>
    <w:lvl w:ilvl="5" w:tplc="6F743814" w:tentative="1">
      <w:start w:val="1"/>
      <w:numFmt w:val="decimal"/>
      <w:lvlText w:val="%6."/>
      <w:lvlJc w:val="left"/>
      <w:pPr>
        <w:tabs>
          <w:tab w:val="num" w:pos="4320"/>
        </w:tabs>
        <w:ind w:left="4320" w:hanging="360"/>
      </w:pPr>
    </w:lvl>
    <w:lvl w:ilvl="6" w:tplc="BD54F1E2" w:tentative="1">
      <w:start w:val="1"/>
      <w:numFmt w:val="decimal"/>
      <w:lvlText w:val="%7."/>
      <w:lvlJc w:val="left"/>
      <w:pPr>
        <w:tabs>
          <w:tab w:val="num" w:pos="5040"/>
        </w:tabs>
        <w:ind w:left="5040" w:hanging="360"/>
      </w:pPr>
    </w:lvl>
    <w:lvl w:ilvl="7" w:tplc="2BD62530" w:tentative="1">
      <w:start w:val="1"/>
      <w:numFmt w:val="decimal"/>
      <w:lvlText w:val="%8."/>
      <w:lvlJc w:val="left"/>
      <w:pPr>
        <w:tabs>
          <w:tab w:val="num" w:pos="5760"/>
        </w:tabs>
        <w:ind w:left="5760" w:hanging="360"/>
      </w:pPr>
    </w:lvl>
    <w:lvl w:ilvl="8" w:tplc="2904F682" w:tentative="1">
      <w:start w:val="1"/>
      <w:numFmt w:val="decimal"/>
      <w:lvlText w:val="%9."/>
      <w:lvlJc w:val="left"/>
      <w:pPr>
        <w:tabs>
          <w:tab w:val="num" w:pos="6480"/>
        </w:tabs>
        <w:ind w:left="6480" w:hanging="360"/>
      </w:pPr>
    </w:lvl>
  </w:abstractNum>
  <w:abstractNum w:abstractNumId="6" w15:restartNumberingAfterBreak="0">
    <w:nsid w:val="18397A68"/>
    <w:multiLevelType w:val="hybridMultilevel"/>
    <w:tmpl w:val="3FDEA4F0"/>
    <w:lvl w:ilvl="0" w:tplc="DE004108">
      <w:start w:val="28"/>
      <w:numFmt w:val="bullet"/>
      <w:lvlText w:val="-"/>
      <w:lvlJc w:val="left"/>
      <w:pPr>
        <w:ind w:left="2700" w:hanging="360"/>
      </w:pPr>
      <w:rPr>
        <w:rFonts w:ascii="Times New Roman" w:eastAsiaTheme="minorHAnsi"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7" w15:restartNumberingAfterBreak="0">
    <w:nsid w:val="1C800A7B"/>
    <w:multiLevelType w:val="hybridMultilevel"/>
    <w:tmpl w:val="5164F892"/>
    <w:lvl w:ilvl="0" w:tplc="6178A7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00E58"/>
    <w:multiLevelType w:val="hybridMultilevel"/>
    <w:tmpl w:val="E03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0D5E"/>
    <w:multiLevelType w:val="hybridMultilevel"/>
    <w:tmpl w:val="70307128"/>
    <w:lvl w:ilvl="0" w:tplc="5AB0A1D8">
      <w:start w:val="1"/>
      <w:numFmt w:val="none"/>
      <w:lvlText w:val="(a)"/>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C57CB"/>
    <w:multiLevelType w:val="hybridMultilevel"/>
    <w:tmpl w:val="E7DED8DC"/>
    <w:lvl w:ilvl="0" w:tplc="4252C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14436"/>
    <w:multiLevelType w:val="hybridMultilevel"/>
    <w:tmpl w:val="26D6478E"/>
    <w:lvl w:ilvl="0" w:tplc="69B0E06A">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D7358"/>
    <w:multiLevelType w:val="hybridMultilevel"/>
    <w:tmpl w:val="9916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75E0F"/>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72D4650"/>
    <w:multiLevelType w:val="hybridMultilevel"/>
    <w:tmpl w:val="44C2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3369B"/>
    <w:multiLevelType w:val="multilevel"/>
    <w:tmpl w:val="B8645462"/>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6D60D79"/>
    <w:multiLevelType w:val="hybridMultilevel"/>
    <w:tmpl w:val="3AE005C6"/>
    <w:lvl w:ilvl="0" w:tplc="E666552E">
      <w:start w:val="1"/>
      <w:numFmt w:val="bullet"/>
      <w:lvlText w:val="•"/>
      <w:lvlJc w:val="left"/>
      <w:pPr>
        <w:tabs>
          <w:tab w:val="num" w:pos="720"/>
        </w:tabs>
        <w:ind w:left="720" w:hanging="360"/>
      </w:pPr>
      <w:rPr>
        <w:rFonts w:ascii="Arial" w:hAnsi="Arial" w:hint="default"/>
      </w:rPr>
    </w:lvl>
    <w:lvl w:ilvl="1" w:tplc="27CE5DAA" w:tentative="1">
      <w:start w:val="1"/>
      <w:numFmt w:val="bullet"/>
      <w:lvlText w:val="•"/>
      <w:lvlJc w:val="left"/>
      <w:pPr>
        <w:tabs>
          <w:tab w:val="num" w:pos="1440"/>
        </w:tabs>
        <w:ind w:left="1440" w:hanging="360"/>
      </w:pPr>
      <w:rPr>
        <w:rFonts w:ascii="Arial" w:hAnsi="Arial" w:hint="default"/>
      </w:rPr>
    </w:lvl>
    <w:lvl w:ilvl="2" w:tplc="CE5AE134" w:tentative="1">
      <w:start w:val="1"/>
      <w:numFmt w:val="bullet"/>
      <w:lvlText w:val="•"/>
      <w:lvlJc w:val="left"/>
      <w:pPr>
        <w:tabs>
          <w:tab w:val="num" w:pos="2160"/>
        </w:tabs>
        <w:ind w:left="2160" w:hanging="360"/>
      </w:pPr>
      <w:rPr>
        <w:rFonts w:ascii="Arial" w:hAnsi="Arial" w:hint="default"/>
      </w:rPr>
    </w:lvl>
    <w:lvl w:ilvl="3" w:tplc="0F1ADF1C" w:tentative="1">
      <w:start w:val="1"/>
      <w:numFmt w:val="bullet"/>
      <w:lvlText w:val="•"/>
      <w:lvlJc w:val="left"/>
      <w:pPr>
        <w:tabs>
          <w:tab w:val="num" w:pos="2880"/>
        </w:tabs>
        <w:ind w:left="2880" w:hanging="360"/>
      </w:pPr>
      <w:rPr>
        <w:rFonts w:ascii="Arial" w:hAnsi="Arial" w:hint="default"/>
      </w:rPr>
    </w:lvl>
    <w:lvl w:ilvl="4" w:tplc="CC80DD92" w:tentative="1">
      <w:start w:val="1"/>
      <w:numFmt w:val="bullet"/>
      <w:lvlText w:val="•"/>
      <w:lvlJc w:val="left"/>
      <w:pPr>
        <w:tabs>
          <w:tab w:val="num" w:pos="3600"/>
        </w:tabs>
        <w:ind w:left="3600" w:hanging="360"/>
      </w:pPr>
      <w:rPr>
        <w:rFonts w:ascii="Arial" w:hAnsi="Arial" w:hint="default"/>
      </w:rPr>
    </w:lvl>
    <w:lvl w:ilvl="5" w:tplc="CA5EF1AC" w:tentative="1">
      <w:start w:val="1"/>
      <w:numFmt w:val="bullet"/>
      <w:lvlText w:val="•"/>
      <w:lvlJc w:val="left"/>
      <w:pPr>
        <w:tabs>
          <w:tab w:val="num" w:pos="4320"/>
        </w:tabs>
        <w:ind w:left="4320" w:hanging="360"/>
      </w:pPr>
      <w:rPr>
        <w:rFonts w:ascii="Arial" w:hAnsi="Arial" w:hint="default"/>
      </w:rPr>
    </w:lvl>
    <w:lvl w:ilvl="6" w:tplc="F22C2510" w:tentative="1">
      <w:start w:val="1"/>
      <w:numFmt w:val="bullet"/>
      <w:lvlText w:val="•"/>
      <w:lvlJc w:val="left"/>
      <w:pPr>
        <w:tabs>
          <w:tab w:val="num" w:pos="5040"/>
        </w:tabs>
        <w:ind w:left="5040" w:hanging="360"/>
      </w:pPr>
      <w:rPr>
        <w:rFonts w:ascii="Arial" w:hAnsi="Arial" w:hint="default"/>
      </w:rPr>
    </w:lvl>
    <w:lvl w:ilvl="7" w:tplc="2AA6A7D8" w:tentative="1">
      <w:start w:val="1"/>
      <w:numFmt w:val="bullet"/>
      <w:lvlText w:val="•"/>
      <w:lvlJc w:val="left"/>
      <w:pPr>
        <w:tabs>
          <w:tab w:val="num" w:pos="5760"/>
        </w:tabs>
        <w:ind w:left="5760" w:hanging="360"/>
      </w:pPr>
      <w:rPr>
        <w:rFonts w:ascii="Arial" w:hAnsi="Arial" w:hint="default"/>
      </w:rPr>
    </w:lvl>
    <w:lvl w:ilvl="8" w:tplc="9AAE76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780F57"/>
    <w:multiLevelType w:val="hybridMultilevel"/>
    <w:tmpl w:val="F1DC3634"/>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93175"/>
    <w:multiLevelType w:val="hybridMultilevel"/>
    <w:tmpl w:val="3A72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4F00D1"/>
    <w:multiLevelType w:val="hybridMultilevel"/>
    <w:tmpl w:val="6DBE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346E39"/>
    <w:multiLevelType w:val="hybridMultilevel"/>
    <w:tmpl w:val="23920A06"/>
    <w:lvl w:ilvl="0" w:tplc="08090003">
      <w:start w:val="1"/>
      <w:numFmt w:val="bullet"/>
      <w:lvlText w:val="o"/>
      <w:lvlJc w:val="left"/>
      <w:pPr>
        <w:ind w:left="810" w:hanging="360"/>
      </w:pPr>
      <w:rPr>
        <w:rFonts w:ascii="Courier New" w:hAnsi="Courier New" w:cs="Courier New" w:hint="default"/>
      </w:rPr>
    </w:lvl>
    <w:lvl w:ilvl="1" w:tplc="A9DC09B6" w:tentative="1">
      <w:start w:val="1"/>
      <w:numFmt w:val="bullet"/>
      <w:lvlText w:val="•"/>
      <w:lvlJc w:val="left"/>
      <w:pPr>
        <w:tabs>
          <w:tab w:val="num" w:pos="1800"/>
        </w:tabs>
        <w:ind w:left="1800" w:hanging="360"/>
      </w:pPr>
      <w:rPr>
        <w:rFonts w:ascii="Times New Roman" w:hAnsi="Times New Roman" w:hint="default"/>
      </w:rPr>
    </w:lvl>
    <w:lvl w:ilvl="2" w:tplc="ECD2F552" w:tentative="1">
      <w:start w:val="1"/>
      <w:numFmt w:val="bullet"/>
      <w:lvlText w:val="•"/>
      <w:lvlJc w:val="left"/>
      <w:pPr>
        <w:tabs>
          <w:tab w:val="num" w:pos="2520"/>
        </w:tabs>
        <w:ind w:left="2520" w:hanging="360"/>
      </w:pPr>
      <w:rPr>
        <w:rFonts w:ascii="Times New Roman" w:hAnsi="Times New Roman" w:hint="default"/>
      </w:rPr>
    </w:lvl>
    <w:lvl w:ilvl="3" w:tplc="0D7C9D22" w:tentative="1">
      <w:start w:val="1"/>
      <w:numFmt w:val="bullet"/>
      <w:lvlText w:val="•"/>
      <w:lvlJc w:val="left"/>
      <w:pPr>
        <w:tabs>
          <w:tab w:val="num" w:pos="3240"/>
        </w:tabs>
        <w:ind w:left="3240" w:hanging="360"/>
      </w:pPr>
      <w:rPr>
        <w:rFonts w:ascii="Times New Roman" w:hAnsi="Times New Roman" w:hint="default"/>
      </w:rPr>
    </w:lvl>
    <w:lvl w:ilvl="4" w:tplc="940281B6" w:tentative="1">
      <w:start w:val="1"/>
      <w:numFmt w:val="bullet"/>
      <w:lvlText w:val="•"/>
      <w:lvlJc w:val="left"/>
      <w:pPr>
        <w:tabs>
          <w:tab w:val="num" w:pos="3960"/>
        </w:tabs>
        <w:ind w:left="3960" w:hanging="360"/>
      </w:pPr>
      <w:rPr>
        <w:rFonts w:ascii="Times New Roman" w:hAnsi="Times New Roman" w:hint="default"/>
      </w:rPr>
    </w:lvl>
    <w:lvl w:ilvl="5" w:tplc="A3E63984" w:tentative="1">
      <w:start w:val="1"/>
      <w:numFmt w:val="bullet"/>
      <w:lvlText w:val="•"/>
      <w:lvlJc w:val="left"/>
      <w:pPr>
        <w:tabs>
          <w:tab w:val="num" w:pos="4680"/>
        </w:tabs>
        <w:ind w:left="4680" w:hanging="360"/>
      </w:pPr>
      <w:rPr>
        <w:rFonts w:ascii="Times New Roman" w:hAnsi="Times New Roman" w:hint="default"/>
      </w:rPr>
    </w:lvl>
    <w:lvl w:ilvl="6" w:tplc="DC72B7AC" w:tentative="1">
      <w:start w:val="1"/>
      <w:numFmt w:val="bullet"/>
      <w:lvlText w:val="•"/>
      <w:lvlJc w:val="left"/>
      <w:pPr>
        <w:tabs>
          <w:tab w:val="num" w:pos="5400"/>
        </w:tabs>
        <w:ind w:left="5400" w:hanging="360"/>
      </w:pPr>
      <w:rPr>
        <w:rFonts w:ascii="Times New Roman" w:hAnsi="Times New Roman" w:hint="default"/>
      </w:rPr>
    </w:lvl>
    <w:lvl w:ilvl="7" w:tplc="B38CADE0" w:tentative="1">
      <w:start w:val="1"/>
      <w:numFmt w:val="bullet"/>
      <w:lvlText w:val="•"/>
      <w:lvlJc w:val="left"/>
      <w:pPr>
        <w:tabs>
          <w:tab w:val="num" w:pos="6120"/>
        </w:tabs>
        <w:ind w:left="6120" w:hanging="360"/>
      </w:pPr>
      <w:rPr>
        <w:rFonts w:ascii="Times New Roman" w:hAnsi="Times New Roman" w:hint="default"/>
      </w:rPr>
    </w:lvl>
    <w:lvl w:ilvl="8" w:tplc="E91099B8" w:tentative="1">
      <w:start w:val="1"/>
      <w:numFmt w:val="bullet"/>
      <w:lvlText w:val="•"/>
      <w:lvlJc w:val="left"/>
      <w:pPr>
        <w:tabs>
          <w:tab w:val="num" w:pos="6840"/>
        </w:tabs>
        <w:ind w:left="6840" w:hanging="360"/>
      </w:pPr>
      <w:rPr>
        <w:rFonts w:ascii="Times New Roman" w:hAnsi="Times New Roman" w:hint="default"/>
      </w:rPr>
    </w:lvl>
  </w:abstractNum>
  <w:abstractNum w:abstractNumId="21"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F5595"/>
    <w:multiLevelType w:val="hybridMultilevel"/>
    <w:tmpl w:val="D516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14C4C"/>
    <w:multiLevelType w:val="hybridMultilevel"/>
    <w:tmpl w:val="AFBAE05E"/>
    <w:lvl w:ilvl="0" w:tplc="5AB0A1D8">
      <w:start w:val="1"/>
      <w:numFmt w:val="none"/>
      <w:lvlText w:val="(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295B6D"/>
    <w:multiLevelType w:val="hybridMultilevel"/>
    <w:tmpl w:val="1B96B754"/>
    <w:lvl w:ilvl="0" w:tplc="0409001B">
      <w:start w:val="1"/>
      <w:numFmt w:val="lowerRoman"/>
      <w:lvlText w:val="%1."/>
      <w:lvlJc w:val="right"/>
      <w:pPr>
        <w:tabs>
          <w:tab w:val="num" w:pos="720"/>
        </w:tabs>
        <w:ind w:left="720" w:hanging="360"/>
      </w:pPr>
      <w:rPr>
        <w:rFonts w:hint="default"/>
      </w:rPr>
    </w:lvl>
    <w:lvl w:ilvl="1" w:tplc="27CE5DAA" w:tentative="1">
      <w:start w:val="1"/>
      <w:numFmt w:val="bullet"/>
      <w:lvlText w:val="•"/>
      <w:lvlJc w:val="left"/>
      <w:pPr>
        <w:tabs>
          <w:tab w:val="num" w:pos="1440"/>
        </w:tabs>
        <w:ind w:left="1440" w:hanging="360"/>
      </w:pPr>
      <w:rPr>
        <w:rFonts w:ascii="Arial" w:hAnsi="Arial" w:hint="default"/>
      </w:rPr>
    </w:lvl>
    <w:lvl w:ilvl="2" w:tplc="CE5AE134" w:tentative="1">
      <w:start w:val="1"/>
      <w:numFmt w:val="bullet"/>
      <w:lvlText w:val="•"/>
      <w:lvlJc w:val="left"/>
      <w:pPr>
        <w:tabs>
          <w:tab w:val="num" w:pos="2160"/>
        </w:tabs>
        <w:ind w:left="2160" w:hanging="360"/>
      </w:pPr>
      <w:rPr>
        <w:rFonts w:ascii="Arial" w:hAnsi="Arial" w:hint="default"/>
      </w:rPr>
    </w:lvl>
    <w:lvl w:ilvl="3" w:tplc="0F1ADF1C" w:tentative="1">
      <w:start w:val="1"/>
      <w:numFmt w:val="bullet"/>
      <w:lvlText w:val="•"/>
      <w:lvlJc w:val="left"/>
      <w:pPr>
        <w:tabs>
          <w:tab w:val="num" w:pos="2880"/>
        </w:tabs>
        <w:ind w:left="2880" w:hanging="360"/>
      </w:pPr>
      <w:rPr>
        <w:rFonts w:ascii="Arial" w:hAnsi="Arial" w:hint="default"/>
      </w:rPr>
    </w:lvl>
    <w:lvl w:ilvl="4" w:tplc="CC80DD92" w:tentative="1">
      <w:start w:val="1"/>
      <w:numFmt w:val="bullet"/>
      <w:lvlText w:val="•"/>
      <w:lvlJc w:val="left"/>
      <w:pPr>
        <w:tabs>
          <w:tab w:val="num" w:pos="3600"/>
        </w:tabs>
        <w:ind w:left="3600" w:hanging="360"/>
      </w:pPr>
      <w:rPr>
        <w:rFonts w:ascii="Arial" w:hAnsi="Arial" w:hint="default"/>
      </w:rPr>
    </w:lvl>
    <w:lvl w:ilvl="5" w:tplc="CA5EF1AC" w:tentative="1">
      <w:start w:val="1"/>
      <w:numFmt w:val="bullet"/>
      <w:lvlText w:val="•"/>
      <w:lvlJc w:val="left"/>
      <w:pPr>
        <w:tabs>
          <w:tab w:val="num" w:pos="4320"/>
        </w:tabs>
        <w:ind w:left="4320" w:hanging="360"/>
      </w:pPr>
      <w:rPr>
        <w:rFonts w:ascii="Arial" w:hAnsi="Arial" w:hint="default"/>
      </w:rPr>
    </w:lvl>
    <w:lvl w:ilvl="6" w:tplc="F22C2510" w:tentative="1">
      <w:start w:val="1"/>
      <w:numFmt w:val="bullet"/>
      <w:lvlText w:val="•"/>
      <w:lvlJc w:val="left"/>
      <w:pPr>
        <w:tabs>
          <w:tab w:val="num" w:pos="5040"/>
        </w:tabs>
        <w:ind w:left="5040" w:hanging="360"/>
      </w:pPr>
      <w:rPr>
        <w:rFonts w:ascii="Arial" w:hAnsi="Arial" w:hint="default"/>
      </w:rPr>
    </w:lvl>
    <w:lvl w:ilvl="7" w:tplc="2AA6A7D8" w:tentative="1">
      <w:start w:val="1"/>
      <w:numFmt w:val="bullet"/>
      <w:lvlText w:val="•"/>
      <w:lvlJc w:val="left"/>
      <w:pPr>
        <w:tabs>
          <w:tab w:val="num" w:pos="5760"/>
        </w:tabs>
        <w:ind w:left="5760" w:hanging="360"/>
      </w:pPr>
      <w:rPr>
        <w:rFonts w:ascii="Arial" w:hAnsi="Arial" w:hint="default"/>
      </w:rPr>
    </w:lvl>
    <w:lvl w:ilvl="8" w:tplc="9AAE76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EF0225"/>
    <w:multiLevelType w:val="hybridMultilevel"/>
    <w:tmpl w:val="DA847B28"/>
    <w:lvl w:ilvl="0" w:tplc="0409001B">
      <w:start w:val="1"/>
      <w:numFmt w:val="lowerRoman"/>
      <w:lvlText w:val="%1."/>
      <w:lvlJc w:val="right"/>
      <w:pPr>
        <w:tabs>
          <w:tab w:val="num" w:pos="720"/>
        </w:tabs>
        <w:ind w:left="720" w:hanging="360"/>
      </w:pPr>
      <w:rPr>
        <w:rFonts w:hint="default"/>
      </w:rPr>
    </w:lvl>
    <w:lvl w:ilvl="1" w:tplc="27CE5DAA" w:tentative="1">
      <w:start w:val="1"/>
      <w:numFmt w:val="bullet"/>
      <w:lvlText w:val="•"/>
      <w:lvlJc w:val="left"/>
      <w:pPr>
        <w:tabs>
          <w:tab w:val="num" w:pos="1440"/>
        </w:tabs>
        <w:ind w:left="1440" w:hanging="360"/>
      </w:pPr>
      <w:rPr>
        <w:rFonts w:ascii="Arial" w:hAnsi="Arial" w:hint="default"/>
      </w:rPr>
    </w:lvl>
    <w:lvl w:ilvl="2" w:tplc="CE5AE134" w:tentative="1">
      <w:start w:val="1"/>
      <w:numFmt w:val="bullet"/>
      <w:lvlText w:val="•"/>
      <w:lvlJc w:val="left"/>
      <w:pPr>
        <w:tabs>
          <w:tab w:val="num" w:pos="2160"/>
        </w:tabs>
        <w:ind w:left="2160" w:hanging="360"/>
      </w:pPr>
      <w:rPr>
        <w:rFonts w:ascii="Arial" w:hAnsi="Arial" w:hint="default"/>
      </w:rPr>
    </w:lvl>
    <w:lvl w:ilvl="3" w:tplc="0F1ADF1C" w:tentative="1">
      <w:start w:val="1"/>
      <w:numFmt w:val="bullet"/>
      <w:lvlText w:val="•"/>
      <w:lvlJc w:val="left"/>
      <w:pPr>
        <w:tabs>
          <w:tab w:val="num" w:pos="2880"/>
        </w:tabs>
        <w:ind w:left="2880" w:hanging="360"/>
      </w:pPr>
      <w:rPr>
        <w:rFonts w:ascii="Arial" w:hAnsi="Arial" w:hint="default"/>
      </w:rPr>
    </w:lvl>
    <w:lvl w:ilvl="4" w:tplc="CC80DD92" w:tentative="1">
      <w:start w:val="1"/>
      <w:numFmt w:val="bullet"/>
      <w:lvlText w:val="•"/>
      <w:lvlJc w:val="left"/>
      <w:pPr>
        <w:tabs>
          <w:tab w:val="num" w:pos="3600"/>
        </w:tabs>
        <w:ind w:left="3600" w:hanging="360"/>
      </w:pPr>
      <w:rPr>
        <w:rFonts w:ascii="Arial" w:hAnsi="Arial" w:hint="default"/>
      </w:rPr>
    </w:lvl>
    <w:lvl w:ilvl="5" w:tplc="CA5EF1AC" w:tentative="1">
      <w:start w:val="1"/>
      <w:numFmt w:val="bullet"/>
      <w:lvlText w:val="•"/>
      <w:lvlJc w:val="left"/>
      <w:pPr>
        <w:tabs>
          <w:tab w:val="num" w:pos="4320"/>
        </w:tabs>
        <w:ind w:left="4320" w:hanging="360"/>
      </w:pPr>
      <w:rPr>
        <w:rFonts w:ascii="Arial" w:hAnsi="Arial" w:hint="default"/>
      </w:rPr>
    </w:lvl>
    <w:lvl w:ilvl="6" w:tplc="F22C2510" w:tentative="1">
      <w:start w:val="1"/>
      <w:numFmt w:val="bullet"/>
      <w:lvlText w:val="•"/>
      <w:lvlJc w:val="left"/>
      <w:pPr>
        <w:tabs>
          <w:tab w:val="num" w:pos="5040"/>
        </w:tabs>
        <w:ind w:left="5040" w:hanging="360"/>
      </w:pPr>
      <w:rPr>
        <w:rFonts w:ascii="Arial" w:hAnsi="Arial" w:hint="default"/>
      </w:rPr>
    </w:lvl>
    <w:lvl w:ilvl="7" w:tplc="2AA6A7D8" w:tentative="1">
      <w:start w:val="1"/>
      <w:numFmt w:val="bullet"/>
      <w:lvlText w:val="•"/>
      <w:lvlJc w:val="left"/>
      <w:pPr>
        <w:tabs>
          <w:tab w:val="num" w:pos="5760"/>
        </w:tabs>
        <w:ind w:left="5760" w:hanging="360"/>
      </w:pPr>
      <w:rPr>
        <w:rFonts w:ascii="Arial" w:hAnsi="Arial" w:hint="default"/>
      </w:rPr>
    </w:lvl>
    <w:lvl w:ilvl="8" w:tplc="9AAE76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D20260"/>
    <w:multiLevelType w:val="hybridMultilevel"/>
    <w:tmpl w:val="AC860D2A"/>
    <w:lvl w:ilvl="0" w:tplc="700C1C30">
      <w:start w:val="1"/>
      <w:numFmt w:val="decimal"/>
      <w:lvlText w:val="%1."/>
      <w:lvlJc w:val="left"/>
      <w:pPr>
        <w:tabs>
          <w:tab w:val="num" w:pos="720"/>
        </w:tabs>
        <w:ind w:left="720" w:hanging="360"/>
      </w:pPr>
    </w:lvl>
    <w:lvl w:ilvl="1" w:tplc="AC0E37DE" w:tentative="1">
      <w:start w:val="1"/>
      <w:numFmt w:val="decimal"/>
      <w:lvlText w:val="%2."/>
      <w:lvlJc w:val="left"/>
      <w:pPr>
        <w:tabs>
          <w:tab w:val="num" w:pos="1440"/>
        </w:tabs>
        <w:ind w:left="1440" w:hanging="360"/>
      </w:pPr>
    </w:lvl>
    <w:lvl w:ilvl="2" w:tplc="B8784662">
      <w:start w:val="1"/>
      <w:numFmt w:val="decimal"/>
      <w:lvlText w:val="%3."/>
      <w:lvlJc w:val="left"/>
      <w:pPr>
        <w:tabs>
          <w:tab w:val="num" w:pos="2160"/>
        </w:tabs>
        <w:ind w:left="2160" w:hanging="360"/>
      </w:pPr>
    </w:lvl>
    <w:lvl w:ilvl="3" w:tplc="96A4AD5A" w:tentative="1">
      <w:start w:val="1"/>
      <w:numFmt w:val="decimal"/>
      <w:lvlText w:val="%4."/>
      <w:lvlJc w:val="left"/>
      <w:pPr>
        <w:tabs>
          <w:tab w:val="num" w:pos="2880"/>
        </w:tabs>
        <w:ind w:left="2880" w:hanging="360"/>
      </w:pPr>
    </w:lvl>
    <w:lvl w:ilvl="4" w:tplc="F51A9A6C" w:tentative="1">
      <w:start w:val="1"/>
      <w:numFmt w:val="decimal"/>
      <w:lvlText w:val="%5."/>
      <w:lvlJc w:val="left"/>
      <w:pPr>
        <w:tabs>
          <w:tab w:val="num" w:pos="3600"/>
        </w:tabs>
        <w:ind w:left="3600" w:hanging="360"/>
      </w:pPr>
    </w:lvl>
    <w:lvl w:ilvl="5" w:tplc="B490A3BC" w:tentative="1">
      <w:start w:val="1"/>
      <w:numFmt w:val="decimal"/>
      <w:lvlText w:val="%6."/>
      <w:lvlJc w:val="left"/>
      <w:pPr>
        <w:tabs>
          <w:tab w:val="num" w:pos="4320"/>
        </w:tabs>
        <w:ind w:left="4320" w:hanging="360"/>
      </w:pPr>
    </w:lvl>
    <w:lvl w:ilvl="6" w:tplc="0674DA68" w:tentative="1">
      <w:start w:val="1"/>
      <w:numFmt w:val="decimal"/>
      <w:lvlText w:val="%7."/>
      <w:lvlJc w:val="left"/>
      <w:pPr>
        <w:tabs>
          <w:tab w:val="num" w:pos="5040"/>
        </w:tabs>
        <w:ind w:left="5040" w:hanging="360"/>
      </w:pPr>
    </w:lvl>
    <w:lvl w:ilvl="7" w:tplc="703A0066" w:tentative="1">
      <w:start w:val="1"/>
      <w:numFmt w:val="decimal"/>
      <w:lvlText w:val="%8."/>
      <w:lvlJc w:val="left"/>
      <w:pPr>
        <w:tabs>
          <w:tab w:val="num" w:pos="5760"/>
        </w:tabs>
        <w:ind w:left="5760" w:hanging="360"/>
      </w:pPr>
    </w:lvl>
    <w:lvl w:ilvl="8" w:tplc="C59695CA" w:tentative="1">
      <w:start w:val="1"/>
      <w:numFmt w:val="decimal"/>
      <w:lvlText w:val="%9."/>
      <w:lvlJc w:val="left"/>
      <w:pPr>
        <w:tabs>
          <w:tab w:val="num" w:pos="6480"/>
        </w:tabs>
        <w:ind w:left="6480" w:hanging="360"/>
      </w:pPr>
    </w:lvl>
  </w:abstractNum>
  <w:abstractNum w:abstractNumId="27" w15:restartNumberingAfterBreak="0">
    <w:nsid w:val="7FD01045"/>
    <w:multiLevelType w:val="hybridMultilevel"/>
    <w:tmpl w:val="AFD4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2"/>
  </w:num>
  <w:num w:numId="4">
    <w:abstractNumId w:val="14"/>
  </w:num>
  <w:num w:numId="5">
    <w:abstractNumId w:val="9"/>
  </w:num>
  <w:num w:numId="6">
    <w:abstractNumId w:val="16"/>
  </w:num>
  <w:num w:numId="7">
    <w:abstractNumId w:val="20"/>
  </w:num>
  <w:num w:numId="8">
    <w:abstractNumId w:val="17"/>
  </w:num>
  <w:num w:numId="9">
    <w:abstractNumId w:val="10"/>
  </w:num>
  <w:num w:numId="10">
    <w:abstractNumId w:val="1"/>
  </w:num>
  <w:num w:numId="11">
    <w:abstractNumId w:val="6"/>
  </w:num>
  <w:num w:numId="12">
    <w:abstractNumId w:val="0"/>
  </w:num>
  <w:num w:numId="13">
    <w:abstractNumId w:val="5"/>
  </w:num>
  <w:num w:numId="14">
    <w:abstractNumId w:val="2"/>
  </w:num>
  <w:num w:numId="15">
    <w:abstractNumId w:val="26"/>
  </w:num>
  <w:num w:numId="16">
    <w:abstractNumId w:val="24"/>
  </w:num>
  <w:num w:numId="17">
    <w:abstractNumId w:val="25"/>
  </w:num>
  <w:num w:numId="18">
    <w:abstractNumId w:val="18"/>
  </w:num>
  <w:num w:numId="19">
    <w:abstractNumId w:val="27"/>
  </w:num>
  <w:num w:numId="20">
    <w:abstractNumId w:val="22"/>
  </w:num>
  <w:num w:numId="21">
    <w:abstractNumId w:val="3"/>
  </w:num>
  <w:num w:numId="22">
    <w:abstractNumId w:val="8"/>
  </w:num>
  <w:num w:numId="23">
    <w:abstractNumId w:val="13"/>
  </w:num>
  <w:num w:numId="24">
    <w:abstractNumId w:val="15"/>
  </w:num>
  <w:num w:numId="25">
    <w:abstractNumId w:val="11"/>
  </w:num>
  <w:num w:numId="26">
    <w:abstractNumId w:val="23"/>
  </w:num>
  <w:num w:numId="27">
    <w:abstractNumId w:val="4"/>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23"/>
    <w:rsid w:val="00000DE3"/>
    <w:rsid w:val="00001FB8"/>
    <w:rsid w:val="000024EC"/>
    <w:rsid w:val="00002DE2"/>
    <w:rsid w:val="00003474"/>
    <w:rsid w:val="000039E8"/>
    <w:rsid w:val="00003F6F"/>
    <w:rsid w:val="00004D5A"/>
    <w:rsid w:val="000063B8"/>
    <w:rsid w:val="00006722"/>
    <w:rsid w:val="0000782D"/>
    <w:rsid w:val="0000796E"/>
    <w:rsid w:val="000101B7"/>
    <w:rsid w:val="000104E7"/>
    <w:rsid w:val="00010E04"/>
    <w:rsid w:val="000130B0"/>
    <w:rsid w:val="000138F0"/>
    <w:rsid w:val="0001403E"/>
    <w:rsid w:val="00014580"/>
    <w:rsid w:val="000147EB"/>
    <w:rsid w:val="00014977"/>
    <w:rsid w:val="00014E9C"/>
    <w:rsid w:val="000153A6"/>
    <w:rsid w:val="00015B55"/>
    <w:rsid w:val="00015D2D"/>
    <w:rsid w:val="000161F6"/>
    <w:rsid w:val="000162D1"/>
    <w:rsid w:val="000173CF"/>
    <w:rsid w:val="00021BD9"/>
    <w:rsid w:val="00021BF6"/>
    <w:rsid w:val="0002235D"/>
    <w:rsid w:val="00023129"/>
    <w:rsid w:val="000237D8"/>
    <w:rsid w:val="00024E1C"/>
    <w:rsid w:val="0002537E"/>
    <w:rsid w:val="000278C5"/>
    <w:rsid w:val="00027907"/>
    <w:rsid w:val="00031BF8"/>
    <w:rsid w:val="00032206"/>
    <w:rsid w:val="00032F96"/>
    <w:rsid w:val="0003404D"/>
    <w:rsid w:val="00036418"/>
    <w:rsid w:val="000371CF"/>
    <w:rsid w:val="000402A1"/>
    <w:rsid w:val="000404CA"/>
    <w:rsid w:val="000407B7"/>
    <w:rsid w:val="00041367"/>
    <w:rsid w:val="000429DE"/>
    <w:rsid w:val="00042C4B"/>
    <w:rsid w:val="00043F4B"/>
    <w:rsid w:val="00044B40"/>
    <w:rsid w:val="000451CA"/>
    <w:rsid w:val="00046479"/>
    <w:rsid w:val="00046777"/>
    <w:rsid w:val="000468EB"/>
    <w:rsid w:val="00047EA6"/>
    <w:rsid w:val="00050D3D"/>
    <w:rsid w:val="000519AC"/>
    <w:rsid w:val="000550F7"/>
    <w:rsid w:val="00055617"/>
    <w:rsid w:val="00055E2E"/>
    <w:rsid w:val="000561F8"/>
    <w:rsid w:val="00057063"/>
    <w:rsid w:val="000574A6"/>
    <w:rsid w:val="00062811"/>
    <w:rsid w:val="00062993"/>
    <w:rsid w:val="00064B41"/>
    <w:rsid w:val="00065766"/>
    <w:rsid w:val="0006713C"/>
    <w:rsid w:val="000703CF"/>
    <w:rsid w:val="00072EBD"/>
    <w:rsid w:val="00073348"/>
    <w:rsid w:val="00073AF5"/>
    <w:rsid w:val="00075AEB"/>
    <w:rsid w:val="000801B6"/>
    <w:rsid w:val="00080732"/>
    <w:rsid w:val="0008108C"/>
    <w:rsid w:val="000816FD"/>
    <w:rsid w:val="00082DC9"/>
    <w:rsid w:val="00082F2B"/>
    <w:rsid w:val="00082F55"/>
    <w:rsid w:val="000841E5"/>
    <w:rsid w:val="00084254"/>
    <w:rsid w:val="0008683D"/>
    <w:rsid w:val="00086A83"/>
    <w:rsid w:val="0008721D"/>
    <w:rsid w:val="00090AE0"/>
    <w:rsid w:val="00090BE6"/>
    <w:rsid w:val="00090D97"/>
    <w:rsid w:val="000917ED"/>
    <w:rsid w:val="00091AAB"/>
    <w:rsid w:val="0009206A"/>
    <w:rsid w:val="00092FBB"/>
    <w:rsid w:val="00093001"/>
    <w:rsid w:val="00094224"/>
    <w:rsid w:val="00094400"/>
    <w:rsid w:val="00095E60"/>
    <w:rsid w:val="00097985"/>
    <w:rsid w:val="00097C87"/>
    <w:rsid w:val="000A201B"/>
    <w:rsid w:val="000A24A1"/>
    <w:rsid w:val="000A31FC"/>
    <w:rsid w:val="000A3879"/>
    <w:rsid w:val="000A393B"/>
    <w:rsid w:val="000A7723"/>
    <w:rsid w:val="000B027E"/>
    <w:rsid w:val="000B32AC"/>
    <w:rsid w:val="000B36C2"/>
    <w:rsid w:val="000B37BD"/>
    <w:rsid w:val="000B3A45"/>
    <w:rsid w:val="000B55A0"/>
    <w:rsid w:val="000B5E3C"/>
    <w:rsid w:val="000B6D65"/>
    <w:rsid w:val="000B72DC"/>
    <w:rsid w:val="000B78BA"/>
    <w:rsid w:val="000C0187"/>
    <w:rsid w:val="000C03EF"/>
    <w:rsid w:val="000C334D"/>
    <w:rsid w:val="000C4209"/>
    <w:rsid w:val="000C6FCB"/>
    <w:rsid w:val="000D0348"/>
    <w:rsid w:val="000D36B5"/>
    <w:rsid w:val="000D3D58"/>
    <w:rsid w:val="000D5125"/>
    <w:rsid w:val="000D59FA"/>
    <w:rsid w:val="000D7F6A"/>
    <w:rsid w:val="000E0C79"/>
    <w:rsid w:val="000E2383"/>
    <w:rsid w:val="000E3178"/>
    <w:rsid w:val="000F0C19"/>
    <w:rsid w:val="000F2BD2"/>
    <w:rsid w:val="000F538D"/>
    <w:rsid w:val="000F63BD"/>
    <w:rsid w:val="000F6AD5"/>
    <w:rsid w:val="000F731A"/>
    <w:rsid w:val="001011E7"/>
    <w:rsid w:val="00101EE0"/>
    <w:rsid w:val="00102D37"/>
    <w:rsid w:val="0010364F"/>
    <w:rsid w:val="00104E11"/>
    <w:rsid w:val="00106449"/>
    <w:rsid w:val="001067D0"/>
    <w:rsid w:val="00107CF6"/>
    <w:rsid w:val="001110F9"/>
    <w:rsid w:val="00111D92"/>
    <w:rsid w:val="00114C9B"/>
    <w:rsid w:val="00122E2B"/>
    <w:rsid w:val="00122EF5"/>
    <w:rsid w:val="00122F7E"/>
    <w:rsid w:val="00123073"/>
    <w:rsid w:val="001232FB"/>
    <w:rsid w:val="0012434C"/>
    <w:rsid w:val="00124BD5"/>
    <w:rsid w:val="00125524"/>
    <w:rsid w:val="00125CEA"/>
    <w:rsid w:val="001274C4"/>
    <w:rsid w:val="00127700"/>
    <w:rsid w:val="00130674"/>
    <w:rsid w:val="00130D35"/>
    <w:rsid w:val="00131591"/>
    <w:rsid w:val="00132560"/>
    <w:rsid w:val="00132701"/>
    <w:rsid w:val="001334BB"/>
    <w:rsid w:val="001339AC"/>
    <w:rsid w:val="001339ED"/>
    <w:rsid w:val="001364C9"/>
    <w:rsid w:val="001375A0"/>
    <w:rsid w:val="00137E3C"/>
    <w:rsid w:val="00140510"/>
    <w:rsid w:val="00141844"/>
    <w:rsid w:val="00145C21"/>
    <w:rsid w:val="00147C1B"/>
    <w:rsid w:val="00151272"/>
    <w:rsid w:val="0015166E"/>
    <w:rsid w:val="00151ECA"/>
    <w:rsid w:val="0015244A"/>
    <w:rsid w:val="0015304A"/>
    <w:rsid w:val="00153414"/>
    <w:rsid w:val="0015502E"/>
    <w:rsid w:val="00155408"/>
    <w:rsid w:val="001602EC"/>
    <w:rsid w:val="001611DA"/>
    <w:rsid w:val="00161F14"/>
    <w:rsid w:val="00162AB8"/>
    <w:rsid w:val="001679A1"/>
    <w:rsid w:val="00170124"/>
    <w:rsid w:val="00170A38"/>
    <w:rsid w:val="001723C0"/>
    <w:rsid w:val="001737D2"/>
    <w:rsid w:val="00174138"/>
    <w:rsid w:val="001768D8"/>
    <w:rsid w:val="0017767F"/>
    <w:rsid w:val="00177FBE"/>
    <w:rsid w:val="0018007E"/>
    <w:rsid w:val="00180382"/>
    <w:rsid w:val="001808B2"/>
    <w:rsid w:val="001813BF"/>
    <w:rsid w:val="00181478"/>
    <w:rsid w:val="00181B60"/>
    <w:rsid w:val="00181FF8"/>
    <w:rsid w:val="00182053"/>
    <w:rsid w:val="0018290F"/>
    <w:rsid w:val="0018298A"/>
    <w:rsid w:val="00182AFD"/>
    <w:rsid w:val="001831F2"/>
    <w:rsid w:val="0018379C"/>
    <w:rsid w:val="00187642"/>
    <w:rsid w:val="0019025D"/>
    <w:rsid w:val="00192B31"/>
    <w:rsid w:val="00194389"/>
    <w:rsid w:val="00195719"/>
    <w:rsid w:val="00197209"/>
    <w:rsid w:val="001974DB"/>
    <w:rsid w:val="001A02F2"/>
    <w:rsid w:val="001A1ECA"/>
    <w:rsid w:val="001A1EE8"/>
    <w:rsid w:val="001A2A1A"/>
    <w:rsid w:val="001A3040"/>
    <w:rsid w:val="001A33F4"/>
    <w:rsid w:val="001A7549"/>
    <w:rsid w:val="001A7D47"/>
    <w:rsid w:val="001A7FC2"/>
    <w:rsid w:val="001B2B37"/>
    <w:rsid w:val="001B2CC3"/>
    <w:rsid w:val="001B303A"/>
    <w:rsid w:val="001B4101"/>
    <w:rsid w:val="001B430A"/>
    <w:rsid w:val="001B575C"/>
    <w:rsid w:val="001B6CBB"/>
    <w:rsid w:val="001C03D1"/>
    <w:rsid w:val="001C06CB"/>
    <w:rsid w:val="001C135F"/>
    <w:rsid w:val="001C3A68"/>
    <w:rsid w:val="001C413C"/>
    <w:rsid w:val="001C6E47"/>
    <w:rsid w:val="001C7316"/>
    <w:rsid w:val="001C7F7F"/>
    <w:rsid w:val="001D05F8"/>
    <w:rsid w:val="001D0D0D"/>
    <w:rsid w:val="001D0D63"/>
    <w:rsid w:val="001D0EFB"/>
    <w:rsid w:val="001D348A"/>
    <w:rsid w:val="001D5150"/>
    <w:rsid w:val="001D5FE1"/>
    <w:rsid w:val="001D6C78"/>
    <w:rsid w:val="001E047B"/>
    <w:rsid w:val="001E18B9"/>
    <w:rsid w:val="001E1E4F"/>
    <w:rsid w:val="001E29C4"/>
    <w:rsid w:val="001E2D76"/>
    <w:rsid w:val="001E390F"/>
    <w:rsid w:val="001E3C33"/>
    <w:rsid w:val="001E3D37"/>
    <w:rsid w:val="001E3D78"/>
    <w:rsid w:val="001E40A8"/>
    <w:rsid w:val="001E5752"/>
    <w:rsid w:val="001E69B5"/>
    <w:rsid w:val="001E6B31"/>
    <w:rsid w:val="001E6B6C"/>
    <w:rsid w:val="001E6CF1"/>
    <w:rsid w:val="001E754A"/>
    <w:rsid w:val="001F0968"/>
    <w:rsid w:val="001F11E3"/>
    <w:rsid w:val="001F1E3A"/>
    <w:rsid w:val="001F5DF9"/>
    <w:rsid w:val="001F6A35"/>
    <w:rsid w:val="001F7AFC"/>
    <w:rsid w:val="0020036B"/>
    <w:rsid w:val="002003CB"/>
    <w:rsid w:val="00201E38"/>
    <w:rsid w:val="00202F1D"/>
    <w:rsid w:val="0020434F"/>
    <w:rsid w:val="0020455B"/>
    <w:rsid w:val="0020484C"/>
    <w:rsid w:val="00204DCA"/>
    <w:rsid w:val="00204E50"/>
    <w:rsid w:val="0020553E"/>
    <w:rsid w:val="00205885"/>
    <w:rsid w:val="00205CBC"/>
    <w:rsid w:val="002076C8"/>
    <w:rsid w:val="00210946"/>
    <w:rsid w:val="002111F7"/>
    <w:rsid w:val="00212214"/>
    <w:rsid w:val="002123B4"/>
    <w:rsid w:val="00213FA1"/>
    <w:rsid w:val="00214273"/>
    <w:rsid w:val="00216A5F"/>
    <w:rsid w:val="0022005E"/>
    <w:rsid w:val="00222C8D"/>
    <w:rsid w:val="00222F00"/>
    <w:rsid w:val="00223506"/>
    <w:rsid w:val="0022471C"/>
    <w:rsid w:val="00225045"/>
    <w:rsid w:val="00226C30"/>
    <w:rsid w:val="00226CC2"/>
    <w:rsid w:val="002300E6"/>
    <w:rsid w:val="002301A2"/>
    <w:rsid w:val="002311B8"/>
    <w:rsid w:val="00231716"/>
    <w:rsid w:val="0023188B"/>
    <w:rsid w:val="002321D6"/>
    <w:rsid w:val="00234B4E"/>
    <w:rsid w:val="00235300"/>
    <w:rsid w:val="0023639B"/>
    <w:rsid w:val="0023646E"/>
    <w:rsid w:val="002364A8"/>
    <w:rsid w:val="00236ED7"/>
    <w:rsid w:val="00240C2B"/>
    <w:rsid w:val="00240DD8"/>
    <w:rsid w:val="00240ED2"/>
    <w:rsid w:val="00241C12"/>
    <w:rsid w:val="00241C32"/>
    <w:rsid w:val="00242F95"/>
    <w:rsid w:val="00243B8C"/>
    <w:rsid w:val="002448CC"/>
    <w:rsid w:val="00246C0D"/>
    <w:rsid w:val="00246CA1"/>
    <w:rsid w:val="002472D3"/>
    <w:rsid w:val="00247B35"/>
    <w:rsid w:val="00250623"/>
    <w:rsid w:val="00250789"/>
    <w:rsid w:val="0025117D"/>
    <w:rsid w:val="002512B7"/>
    <w:rsid w:val="0025188E"/>
    <w:rsid w:val="00252040"/>
    <w:rsid w:val="0025488A"/>
    <w:rsid w:val="00255314"/>
    <w:rsid w:val="00255F95"/>
    <w:rsid w:val="00256B22"/>
    <w:rsid w:val="00256E40"/>
    <w:rsid w:val="00256F76"/>
    <w:rsid w:val="00257B03"/>
    <w:rsid w:val="00257D5B"/>
    <w:rsid w:val="002603E1"/>
    <w:rsid w:val="00261A8A"/>
    <w:rsid w:val="00261FAF"/>
    <w:rsid w:val="00262744"/>
    <w:rsid w:val="00264A8E"/>
    <w:rsid w:val="00264F1A"/>
    <w:rsid w:val="00266DDD"/>
    <w:rsid w:val="00267A26"/>
    <w:rsid w:val="00267B73"/>
    <w:rsid w:val="00270152"/>
    <w:rsid w:val="00270959"/>
    <w:rsid w:val="002715C3"/>
    <w:rsid w:val="0027177B"/>
    <w:rsid w:val="00271F1B"/>
    <w:rsid w:val="00272619"/>
    <w:rsid w:val="00272D39"/>
    <w:rsid w:val="00274FB4"/>
    <w:rsid w:val="00275218"/>
    <w:rsid w:val="0027680F"/>
    <w:rsid w:val="00276CF4"/>
    <w:rsid w:val="00276D88"/>
    <w:rsid w:val="00277448"/>
    <w:rsid w:val="00277BB0"/>
    <w:rsid w:val="00280AC1"/>
    <w:rsid w:val="002821B9"/>
    <w:rsid w:val="0028246E"/>
    <w:rsid w:val="002836FA"/>
    <w:rsid w:val="00283939"/>
    <w:rsid w:val="00290092"/>
    <w:rsid w:val="002910B1"/>
    <w:rsid w:val="00291C4A"/>
    <w:rsid w:val="00292765"/>
    <w:rsid w:val="002932BB"/>
    <w:rsid w:val="00296B2E"/>
    <w:rsid w:val="00296F8D"/>
    <w:rsid w:val="002A23B3"/>
    <w:rsid w:val="002A663A"/>
    <w:rsid w:val="002A6684"/>
    <w:rsid w:val="002B30C2"/>
    <w:rsid w:val="002B3F06"/>
    <w:rsid w:val="002B4369"/>
    <w:rsid w:val="002B449F"/>
    <w:rsid w:val="002B4A52"/>
    <w:rsid w:val="002B4BA6"/>
    <w:rsid w:val="002B4C95"/>
    <w:rsid w:val="002B4EF9"/>
    <w:rsid w:val="002B5228"/>
    <w:rsid w:val="002B5731"/>
    <w:rsid w:val="002B7E55"/>
    <w:rsid w:val="002C059C"/>
    <w:rsid w:val="002C0A33"/>
    <w:rsid w:val="002C14B2"/>
    <w:rsid w:val="002C19F1"/>
    <w:rsid w:val="002C1B50"/>
    <w:rsid w:val="002C2D10"/>
    <w:rsid w:val="002C3D4D"/>
    <w:rsid w:val="002C4191"/>
    <w:rsid w:val="002C4FF2"/>
    <w:rsid w:val="002C5093"/>
    <w:rsid w:val="002C5677"/>
    <w:rsid w:val="002C5EC3"/>
    <w:rsid w:val="002D13F5"/>
    <w:rsid w:val="002D255A"/>
    <w:rsid w:val="002D2F34"/>
    <w:rsid w:val="002D3B8B"/>
    <w:rsid w:val="002D47DC"/>
    <w:rsid w:val="002D4BED"/>
    <w:rsid w:val="002D51F6"/>
    <w:rsid w:val="002D5CF9"/>
    <w:rsid w:val="002D69F3"/>
    <w:rsid w:val="002D6A2C"/>
    <w:rsid w:val="002D7797"/>
    <w:rsid w:val="002D7FDA"/>
    <w:rsid w:val="002E00A1"/>
    <w:rsid w:val="002E4567"/>
    <w:rsid w:val="002E6056"/>
    <w:rsid w:val="002E7229"/>
    <w:rsid w:val="002F0631"/>
    <w:rsid w:val="002F0813"/>
    <w:rsid w:val="002F3339"/>
    <w:rsid w:val="002F34A9"/>
    <w:rsid w:val="002F4AA2"/>
    <w:rsid w:val="002F4E9C"/>
    <w:rsid w:val="002F4F3C"/>
    <w:rsid w:val="002F7640"/>
    <w:rsid w:val="002F7713"/>
    <w:rsid w:val="00301F93"/>
    <w:rsid w:val="00303C70"/>
    <w:rsid w:val="003040FB"/>
    <w:rsid w:val="00304B69"/>
    <w:rsid w:val="00304FDA"/>
    <w:rsid w:val="003075B0"/>
    <w:rsid w:val="00307672"/>
    <w:rsid w:val="00310580"/>
    <w:rsid w:val="00310A11"/>
    <w:rsid w:val="00311FF7"/>
    <w:rsid w:val="00312090"/>
    <w:rsid w:val="00312475"/>
    <w:rsid w:val="0031258D"/>
    <w:rsid w:val="003158AD"/>
    <w:rsid w:val="003171CD"/>
    <w:rsid w:val="00317225"/>
    <w:rsid w:val="00322857"/>
    <w:rsid w:val="003234AA"/>
    <w:rsid w:val="00323DED"/>
    <w:rsid w:val="003247F0"/>
    <w:rsid w:val="0032554F"/>
    <w:rsid w:val="00327EF9"/>
    <w:rsid w:val="003306C7"/>
    <w:rsid w:val="00330730"/>
    <w:rsid w:val="00330CEE"/>
    <w:rsid w:val="00331444"/>
    <w:rsid w:val="003315E9"/>
    <w:rsid w:val="00334211"/>
    <w:rsid w:val="003373F1"/>
    <w:rsid w:val="00340A20"/>
    <w:rsid w:val="00340D76"/>
    <w:rsid w:val="00344C1A"/>
    <w:rsid w:val="00344ECE"/>
    <w:rsid w:val="00345913"/>
    <w:rsid w:val="00346533"/>
    <w:rsid w:val="00350364"/>
    <w:rsid w:val="00351C18"/>
    <w:rsid w:val="00352A8C"/>
    <w:rsid w:val="00352B48"/>
    <w:rsid w:val="0035322D"/>
    <w:rsid w:val="00353B67"/>
    <w:rsid w:val="003540B0"/>
    <w:rsid w:val="00355BA8"/>
    <w:rsid w:val="00355CF3"/>
    <w:rsid w:val="0035758A"/>
    <w:rsid w:val="0036048A"/>
    <w:rsid w:val="00360630"/>
    <w:rsid w:val="00361292"/>
    <w:rsid w:val="003614E6"/>
    <w:rsid w:val="00362BF7"/>
    <w:rsid w:val="003643F7"/>
    <w:rsid w:val="00366067"/>
    <w:rsid w:val="00366696"/>
    <w:rsid w:val="00367D90"/>
    <w:rsid w:val="0037028B"/>
    <w:rsid w:val="0037160E"/>
    <w:rsid w:val="00372224"/>
    <w:rsid w:val="0037248C"/>
    <w:rsid w:val="00372868"/>
    <w:rsid w:val="00373EF3"/>
    <w:rsid w:val="00375053"/>
    <w:rsid w:val="00376157"/>
    <w:rsid w:val="00376714"/>
    <w:rsid w:val="003776A0"/>
    <w:rsid w:val="0038047E"/>
    <w:rsid w:val="00381766"/>
    <w:rsid w:val="00381CF6"/>
    <w:rsid w:val="00383424"/>
    <w:rsid w:val="00383E43"/>
    <w:rsid w:val="003858DC"/>
    <w:rsid w:val="00385DE7"/>
    <w:rsid w:val="00386097"/>
    <w:rsid w:val="00386526"/>
    <w:rsid w:val="00387921"/>
    <w:rsid w:val="00387C0A"/>
    <w:rsid w:val="003905FF"/>
    <w:rsid w:val="0039171D"/>
    <w:rsid w:val="00392908"/>
    <w:rsid w:val="00394459"/>
    <w:rsid w:val="00394558"/>
    <w:rsid w:val="00394B01"/>
    <w:rsid w:val="00394D29"/>
    <w:rsid w:val="00397045"/>
    <w:rsid w:val="003974BF"/>
    <w:rsid w:val="003A044E"/>
    <w:rsid w:val="003A04E5"/>
    <w:rsid w:val="003A2EDE"/>
    <w:rsid w:val="003A307A"/>
    <w:rsid w:val="003A40FD"/>
    <w:rsid w:val="003A5219"/>
    <w:rsid w:val="003B0552"/>
    <w:rsid w:val="003B1814"/>
    <w:rsid w:val="003B2205"/>
    <w:rsid w:val="003B2B8B"/>
    <w:rsid w:val="003B523C"/>
    <w:rsid w:val="003B5C78"/>
    <w:rsid w:val="003B5D0E"/>
    <w:rsid w:val="003B5D97"/>
    <w:rsid w:val="003B652D"/>
    <w:rsid w:val="003B77C1"/>
    <w:rsid w:val="003C1F47"/>
    <w:rsid w:val="003C2811"/>
    <w:rsid w:val="003C3BEF"/>
    <w:rsid w:val="003C56AC"/>
    <w:rsid w:val="003C636F"/>
    <w:rsid w:val="003D230D"/>
    <w:rsid w:val="003D317C"/>
    <w:rsid w:val="003D3D89"/>
    <w:rsid w:val="003D58F3"/>
    <w:rsid w:val="003D5CA9"/>
    <w:rsid w:val="003D6FD9"/>
    <w:rsid w:val="003D7917"/>
    <w:rsid w:val="003D7B2B"/>
    <w:rsid w:val="003E07DC"/>
    <w:rsid w:val="003E1B6D"/>
    <w:rsid w:val="003E272D"/>
    <w:rsid w:val="003E2766"/>
    <w:rsid w:val="003E5C0C"/>
    <w:rsid w:val="003E64AE"/>
    <w:rsid w:val="003E6648"/>
    <w:rsid w:val="003E68ED"/>
    <w:rsid w:val="003E7BA1"/>
    <w:rsid w:val="003F0340"/>
    <w:rsid w:val="003F0D02"/>
    <w:rsid w:val="003F136B"/>
    <w:rsid w:val="003F38D3"/>
    <w:rsid w:val="003F4015"/>
    <w:rsid w:val="003F52B9"/>
    <w:rsid w:val="003F5901"/>
    <w:rsid w:val="003F5916"/>
    <w:rsid w:val="003F74B8"/>
    <w:rsid w:val="003F7944"/>
    <w:rsid w:val="003F7D5E"/>
    <w:rsid w:val="004001A1"/>
    <w:rsid w:val="00400EA6"/>
    <w:rsid w:val="00401B68"/>
    <w:rsid w:val="00402CEB"/>
    <w:rsid w:val="00403342"/>
    <w:rsid w:val="004036C8"/>
    <w:rsid w:val="00406457"/>
    <w:rsid w:val="00406CC0"/>
    <w:rsid w:val="004079D4"/>
    <w:rsid w:val="00410B6A"/>
    <w:rsid w:val="004111C5"/>
    <w:rsid w:val="00411F78"/>
    <w:rsid w:val="004124AD"/>
    <w:rsid w:val="00412A16"/>
    <w:rsid w:val="00415585"/>
    <w:rsid w:val="00417F88"/>
    <w:rsid w:val="00422A1C"/>
    <w:rsid w:val="00423331"/>
    <w:rsid w:val="0042344A"/>
    <w:rsid w:val="00423803"/>
    <w:rsid w:val="00423F73"/>
    <w:rsid w:val="00424E11"/>
    <w:rsid w:val="00425ED3"/>
    <w:rsid w:val="004279A3"/>
    <w:rsid w:val="00433E77"/>
    <w:rsid w:val="00434281"/>
    <w:rsid w:val="00434DCA"/>
    <w:rsid w:val="00437487"/>
    <w:rsid w:val="00437526"/>
    <w:rsid w:val="0043781B"/>
    <w:rsid w:val="00440ABF"/>
    <w:rsid w:val="00441C3A"/>
    <w:rsid w:val="00445414"/>
    <w:rsid w:val="00445699"/>
    <w:rsid w:val="004463BD"/>
    <w:rsid w:val="00446812"/>
    <w:rsid w:val="00447CC1"/>
    <w:rsid w:val="004502F7"/>
    <w:rsid w:val="004514F6"/>
    <w:rsid w:val="00452760"/>
    <w:rsid w:val="00454B87"/>
    <w:rsid w:val="00455B0A"/>
    <w:rsid w:val="0045662F"/>
    <w:rsid w:val="00460440"/>
    <w:rsid w:val="00460878"/>
    <w:rsid w:val="00460C5B"/>
    <w:rsid w:val="00460CE7"/>
    <w:rsid w:val="004612C4"/>
    <w:rsid w:val="0046144A"/>
    <w:rsid w:val="0046169B"/>
    <w:rsid w:val="00461A9E"/>
    <w:rsid w:val="0046586E"/>
    <w:rsid w:val="004671F1"/>
    <w:rsid w:val="00467867"/>
    <w:rsid w:val="00473691"/>
    <w:rsid w:val="0047404D"/>
    <w:rsid w:val="0047462E"/>
    <w:rsid w:val="00474A96"/>
    <w:rsid w:val="00474CC8"/>
    <w:rsid w:val="0047561E"/>
    <w:rsid w:val="00475635"/>
    <w:rsid w:val="00475CD2"/>
    <w:rsid w:val="0047605D"/>
    <w:rsid w:val="00476F48"/>
    <w:rsid w:val="00477D0B"/>
    <w:rsid w:val="00481E8B"/>
    <w:rsid w:val="00483D99"/>
    <w:rsid w:val="00485DEA"/>
    <w:rsid w:val="004869D0"/>
    <w:rsid w:val="00487BC4"/>
    <w:rsid w:val="00493035"/>
    <w:rsid w:val="0049436A"/>
    <w:rsid w:val="0049541B"/>
    <w:rsid w:val="00495B59"/>
    <w:rsid w:val="00496C1E"/>
    <w:rsid w:val="00497F68"/>
    <w:rsid w:val="004A034E"/>
    <w:rsid w:val="004A1015"/>
    <w:rsid w:val="004A1C35"/>
    <w:rsid w:val="004A2B68"/>
    <w:rsid w:val="004A2E1D"/>
    <w:rsid w:val="004A391E"/>
    <w:rsid w:val="004A48A8"/>
    <w:rsid w:val="004A4DEF"/>
    <w:rsid w:val="004A5182"/>
    <w:rsid w:val="004A530C"/>
    <w:rsid w:val="004A5DDD"/>
    <w:rsid w:val="004A67AB"/>
    <w:rsid w:val="004A6DF6"/>
    <w:rsid w:val="004B122B"/>
    <w:rsid w:val="004B2670"/>
    <w:rsid w:val="004B4E7D"/>
    <w:rsid w:val="004B55E9"/>
    <w:rsid w:val="004B60AE"/>
    <w:rsid w:val="004B6706"/>
    <w:rsid w:val="004B684D"/>
    <w:rsid w:val="004B79E0"/>
    <w:rsid w:val="004C10A8"/>
    <w:rsid w:val="004C1483"/>
    <w:rsid w:val="004C2076"/>
    <w:rsid w:val="004C2479"/>
    <w:rsid w:val="004C2911"/>
    <w:rsid w:val="004C306F"/>
    <w:rsid w:val="004C321E"/>
    <w:rsid w:val="004C41F6"/>
    <w:rsid w:val="004C4975"/>
    <w:rsid w:val="004C4A8D"/>
    <w:rsid w:val="004C502A"/>
    <w:rsid w:val="004C6D72"/>
    <w:rsid w:val="004C7659"/>
    <w:rsid w:val="004C7C31"/>
    <w:rsid w:val="004D0BD5"/>
    <w:rsid w:val="004D0F07"/>
    <w:rsid w:val="004D1418"/>
    <w:rsid w:val="004D2A42"/>
    <w:rsid w:val="004D2D8B"/>
    <w:rsid w:val="004D4AA7"/>
    <w:rsid w:val="004D5B01"/>
    <w:rsid w:val="004D6A08"/>
    <w:rsid w:val="004D7750"/>
    <w:rsid w:val="004E2DE1"/>
    <w:rsid w:val="004E2EE0"/>
    <w:rsid w:val="004E2EF8"/>
    <w:rsid w:val="004E3008"/>
    <w:rsid w:val="004E34F2"/>
    <w:rsid w:val="004E48CD"/>
    <w:rsid w:val="004E58A5"/>
    <w:rsid w:val="004E5E5E"/>
    <w:rsid w:val="004E5F16"/>
    <w:rsid w:val="004E68A5"/>
    <w:rsid w:val="004F5333"/>
    <w:rsid w:val="004F590A"/>
    <w:rsid w:val="004F5C8C"/>
    <w:rsid w:val="004F6A57"/>
    <w:rsid w:val="00500237"/>
    <w:rsid w:val="00501247"/>
    <w:rsid w:val="00501800"/>
    <w:rsid w:val="00502579"/>
    <w:rsid w:val="00503084"/>
    <w:rsid w:val="00504C84"/>
    <w:rsid w:val="0050502B"/>
    <w:rsid w:val="005067EB"/>
    <w:rsid w:val="00506BE3"/>
    <w:rsid w:val="0050743F"/>
    <w:rsid w:val="005105B1"/>
    <w:rsid w:val="00510E40"/>
    <w:rsid w:val="00510EFA"/>
    <w:rsid w:val="00510F27"/>
    <w:rsid w:val="005114CA"/>
    <w:rsid w:val="0051174B"/>
    <w:rsid w:val="0051287F"/>
    <w:rsid w:val="00513069"/>
    <w:rsid w:val="00513898"/>
    <w:rsid w:val="005143C0"/>
    <w:rsid w:val="00514A19"/>
    <w:rsid w:val="00515C0C"/>
    <w:rsid w:val="00516012"/>
    <w:rsid w:val="00517EE2"/>
    <w:rsid w:val="00520358"/>
    <w:rsid w:val="00520D5C"/>
    <w:rsid w:val="00521044"/>
    <w:rsid w:val="00521520"/>
    <w:rsid w:val="00522858"/>
    <w:rsid w:val="00523153"/>
    <w:rsid w:val="00523925"/>
    <w:rsid w:val="00524259"/>
    <w:rsid w:val="005245A9"/>
    <w:rsid w:val="005266E1"/>
    <w:rsid w:val="00526968"/>
    <w:rsid w:val="00530044"/>
    <w:rsid w:val="00531DD2"/>
    <w:rsid w:val="00532248"/>
    <w:rsid w:val="0053393B"/>
    <w:rsid w:val="00534997"/>
    <w:rsid w:val="00535551"/>
    <w:rsid w:val="00535EF4"/>
    <w:rsid w:val="005360AE"/>
    <w:rsid w:val="00540BDC"/>
    <w:rsid w:val="005418E9"/>
    <w:rsid w:val="0054401C"/>
    <w:rsid w:val="00544244"/>
    <w:rsid w:val="00545A86"/>
    <w:rsid w:val="0054663E"/>
    <w:rsid w:val="00546B75"/>
    <w:rsid w:val="0055132C"/>
    <w:rsid w:val="00552FDD"/>
    <w:rsid w:val="00553F1C"/>
    <w:rsid w:val="00556DAA"/>
    <w:rsid w:val="00556EC1"/>
    <w:rsid w:val="00557E61"/>
    <w:rsid w:val="00560547"/>
    <w:rsid w:val="005618D6"/>
    <w:rsid w:val="0056256D"/>
    <w:rsid w:val="00562E53"/>
    <w:rsid w:val="0056301C"/>
    <w:rsid w:val="005642E2"/>
    <w:rsid w:val="0056709A"/>
    <w:rsid w:val="00567E77"/>
    <w:rsid w:val="0057172E"/>
    <w:rsid w:val="005720FE"/>
    <w:rsid w:val="00572C22"/>
    <w:rsid w:val="0057318C"/>
    <w:rsid w:val="00573EA8"/>
    <w:rsid w:val="00577563"/>
    <w:rsid w:val="005815E5"/>
    <w:rsid w:val="00582049"/>
    <w:rsid w:val="0058370A"/>
    <w:rsid w:val="00584B92"/>
    <w:rsid w:val="00584FF4"/>
    <w:rsid w:val="00585A86"/>
    <w:rsid w:val="005900EB"/>
    <w:rsid w:val="00590A84"/>
    <w:rsid w:val="00591144"/>
    <w:rsid w:val="00592391"/>
    <w:rsid w:val="005968B7"/>
    <w:rsid w:val="00596AB4"/>
    <w:rsid w:val="0059777B"/>
    <w:rsid w:val="005A0278"/>
    <w:rsid w:val="005A09F8"/>
    <w:rsid w:val="005A4619"/>
    <w:rsid w:val="005A4EDC"/>
    <w:rsid w:val="005A5D9C"/>
    <w:rsid w:val="005A7016"/>
    <w:rsid w:val="005B096F"/>
    <w:rsid w:val="005B23C5"/>
    <w:rsid w:val="005B4BAA"/>
    <w:rsid w:val="005C0579"/>
    <w:rsid w:val="005C0D8C"/>
    <w:rsid w:val="005C1FE8"/>
    <w:rsid w:val="005C2CE0"/>
    <w:rsid w:val="005C3181"/>
    <w:rsid w:val="005C385C"/>
    <w:rsid w:val="005C3FE0"/>
    <w:rsid w:val="005C50C7"/>
    <w:rsid w:val="005C5552"/>
    <w:rsid w:val="005C5D60"/>
    <w:rsid w:val="005C7794"/>
    <w:rsid w:val="005D06C7"/>
    <w:rsid w:val="005D08F8"/>
    <w:rsid w:val="005D1594"/>
    <w:rsid w:val="005D267F"/>
    <w:rsid w:val="005D29BA"/>
    <w:rsid w:val="005D4648"/>
    <w:rsid w:val="005D4FBF"/>
    <w:rsid w:val="005D5D8F"/>
    <w:rsid w:val="005D5D90"/>
    <w:rsid w:val="005D7739"/>
    <w:rsid w:val="005D792C"/>
    <w:rsid w:val="005D7E49"/>
    <w:rsid w:val="005E0B55"/>
    <w:rsid w:val="005E253C"/>
    <w:rsid w:val="005E3290"/>
    <w:rsid w:val="005E32AC"/>
    <w:rsid w:val="005E36DF"/>
    <w:rsid w:val="005E45DB"/>
    <w:rsid w:val="005E5F48"/>
    <w:rsid w:val="005E60FA"/>
    <w:rsid w:val="005F2347"/>
    <w:rsid w:val="005F3564"/>
    <w:rsid w:val="005F49B8"/>
    <w:rsid w:val="005F576C"/>
    <w:rsid w:val="005F7351"/>
    <w:rsid w:val="0060203F"/>
    <w:rsid w:val="006032C8"/>
    <w:rsid w:val="00603D9E"/>
    <w:rsid w:val="00604419"/>
    <w:rsid w:val="00604993"/>
    <w:rsid w:val="00605373"/>
    <w:rsid w:val="00605AA1"/>
    <w:rsid w:val="006064C9"/>
    <w:rsid w:val="0060660C"/>
    <w:rsid w:val="006071E7"/>
    <w:rsid w:val="00610B31"/>
    <w:rsid w:val="00616562"/>
    <w:rsid w:val="00616D8D"/>
    <w:rsid w:val="006179C5"/>
    <w:rsid w:val="00621BEC"/>
    <w:rsid w:val="00624FD1"/>
    <w:rsid w:val="00630069"/>
    <w:rsid w:val="006325FB"/>
    <w:rsid w:val="006333B0"/>
    <w:rsid w:val="00633B37"/>
    <w:rsid w:val="00633BCD"/>
    <w:rsid w:val="00633FDA"/>
    <w:rsid w:val="00634892"/>
    <w:rsid w:val="00634ED0"/>
    <w:rsid w:val="0063550C"/>
    <w:rsid w:val="00636834"/>
    <w:rsid w:val="00636EF4"/>
    <w:rsid w:val="00637F6E"/>
    <w:rsid w:val="00640484"/>
    <w:rsid w:val="0064070E"/>
    <w:rsid w:val="00640BEB"/>
    <w:rsid w:val="0064368E"/>
    <w:rsid w:val="00643A32"/>
    <w:rsid w:val="00644967"/>
    <w:rsid w:val="006509E9"/>
    <w:rsid w:val="00650D4A"/>
    <w:rsid w:val="006561B8"/>
    <w:rsid w:val="00656C36"/>
    <w:rsid w:val="00661490"/>
    <w:rsid w:val="00662D9C"/>
    <w:rsid w:val="00663171"/>
    <w:rsid w:val="00663F77"/>
    <w:rsid w:val="0066435C"/>
    <w:rsid w:val="00664A15"/>
    <w:rsid w:val="00664F6D"/>
    <w:rsid w:val="00666469"/>
    <w:rsid w:val="006670AB"/>
    <w:rsid w:val="006670FD"/>
    <w:rsid w:val="00670B1C"/>
    <w:rsid w:val="006725FB"/>
    <w:rsid w:val="00672B65"/>
    <w:rsid w:val="00673E45"/>
    <w:rsid w:val="0067709B"/>
    <w:rsid w:val="0067763B"/>
    <w:rsid w:val="00680085"/>
    <w:rsid w:val="00680286"/>
    <w:rsid w:val="00681509"/>
    <w:rsid w:val="00681BD5"/>
    <w:rsid w:val="00682CF7"/>
    <w:rsid w:val="006846A1"/>
    <w:rsid w:val="00685258"/>
    <w:rsid w:val="00686F29"/>
    <w:rsid w:val="00687E7F"/>
    <w:rsid w:val="0069089D"/>
    <w:rsid w:val="006917A4"/>
    <w:rsid w:val="00691B1A"/>
    <w:rsid w:val="00691DC8"/>
    <w:rsid w:val="006931B0"/>
    <w:rsid w:val="006936AA"/>
    <w:rsid w:val="00694150"/>
    <w:rsid w:val="00694F5B"/>
    <w:rsid w:val="00695687"/>
    <w:rsid w:val="00696814"/>
    <w:rsid w:val="00697449"/>
    <w:rsid w:val="006976A4"/>
    <w:rsid w:val="00697AA4"/>
    <w:rsid w:val="006A07CA"/>
    <w:rsid w:val="006A1971"/>
    <w:rsid w:val="006A1DD3"/>
    <w:rsid w:val="006A3CED"/>
    <w:rsid w:val="006A406D"/>
    <w:rsid w:val="006A43E8"/>
    <w:rsid w:val="006A5F57"/>
    <w:rsid w:val="006B1D64"/>
    <w:rsid w:val="006B32F8"/>
    <w:rsid w:val="006B37AC"/>
    <w:rsid w:val="006B391B"/>
    <w:rsid w:val="006B5543"/>
    <w:rsid w:val="006B7404"/>
    <w:rsid w:val="006C1E91"/>
    <w:rsid w:val="006C2DF9"/>
    <w:rsid w:val="006C364C"/>
    <w:rsid w:val="006C4342"/>
    <w:rsid w:val="006C4CAD"/>
    <w:rsid w:val="006C4E16"/>
    <w:rsid w:val="006C5333"/>
    <w:rsid w:val="006C677E"/>
    <w:rsid w:val="006D0580"/>
    <w:rsid w:val="006D3C91"/>
    <w:rsid w:val="006D4116"/>
    <w:rsid w:val="006D48C2"/>
    <w:rsid w:val="006D5220"/>
    <w:rsid w:val="006D66D3"/>
    <w:rsid w:val="006E341B"/>
    <w:rsid w:val="006E3D8A"/>
    <w:rsid w:val="006E5E34"/>
    <w:rsid w:val="006E7261"/>
    <w:rsid w:val="006E72D6"/>
    <w:rsid w:val="006E79EB"/>
    <w:rsid w:val="006F04FC"/>
    <w:rsid w:val="006F167D"/>
    <w:rsid w:val="006F2C99"/>
    <w:rsid w:val="006F2D32"/>
    <w:rsid w:val="006F30FA"/>
    <w:rsid w:val="006F48C8"/>
    <w:rsid w:val="006F6935"/>
    <w:rsid w:val="0070197B"/>
    <w:rsid w:val="00701F7E"/>
    <w:rsid w:val="007027A5"/>
    <w:rsid w:val="007054FB"/>
    <w:rsid w:val="00706B4A"/>
    <w:rsid w:val="00706B7B"/>
    <w:rsid w:val="00707371"/>
    <w:rsid w:val="0071148E"/>
    <w:rsid w:val="0071356F"/>
    <w:rsid w:val="00715CEF"/>
    <w:rsid w:val="007164BB"/>
    <w:rsid w:val="007164DE"/>
    <w:rsid w:val="00721297"/>
    <w:rsid w:val="00723D32"/>
    <w:rsid w:val="00723D7D"/>
    <w:rsid w:val="007253CF"/>
    <w:rsid w:val="00726968"/>
    <w:rsid w:val="00730723"/>
    <w:rsid w:val="00732231"/>
    <w:rsid w:val="007349D9"/>
    <w:rsid w:val="00734A28"/>
    <w:rsid w:val="00736C0E"/>
    <w:rsid w:val="00736F2F"/>
    <w:rsid w:val="00737872"/>
    <w:rsid w:val="00737EED"/>
    <w:rsid w:val="007404E8"/>
    <w:rsid w:val="00740516"/>
    <w:rsid w:val="00740B1C"/>
    <w:rsid w:val="00741691"/>
    <w:rsid w:val="007423D5"/>
    <w:rsid w:val="007427EF"/>
    <w:rsid w:val="007430D6"/>
    <w:rsid w:val="00744444"/>
    <w:rsid w:val="00744E72"/>
    <w:rsid w:val="00747836"/>
    <w:rsid w:val="0075023A"/>
    <w:rsid w:val="00750C08"/>
    <w:rsid w:val="00751FC1"/>
    <w:rsid w:val="007521D7"/>
    <w:rsid w:val="00752D72"/>
    <w:rsid w:val="00753819"/>
    <w:rsid w:val="00753A42"/>
    <w:rsid w:val="00754B01"/>
    <w:rsid w:val="00754D48"/>
    <w:rsid w:val="00755E34"/>
    <w:rsid w:val="00756FEB"/>
    <w:rsid w:val="00762AC1"/>
    <w:rsid w:val="007654E9"/>
    <w:rsid w:val="00770973"/>
    <w:rsid w:val="0077384C"/>
    <w:rsid w:val="00773CE4"/>
    <w:rsid w:val="00776AD0"/>
    <w:rsid w:val="00777F9E"/>
    <w:rsid w:val="00780E34"/>
    <w:rsid w:val="0078107C"/>
    <w:rsid w:val="0078204A"/>
    <w:rsid w:val="00782C36"/>
    <w:rsid w:val="00782CDE"/>
    <w:rsid w:val="00783C82"/>
    <w:rsid w:val="00786E33"/>
    <w:rsid w:val="0078708F"/>
    <w:rsid w:val="00790243"/>
    <w:rsid w:val="007903CD"/>
    <w:rsid w:val="0079158E"/>
    <w:rsid w:val="00792B38"/>
    <w:rsid w:val="00794770"/>
    <w:rsid w:val="00794EF4"/>
    <w:rsid w:val="00795418"/>
    <w:rsid w:val="00797126"/>
    <w:rsid w:val="007A1478"/>
    <w:rsid w:val="007A217E"/>
    <w:rsid w:val="007A2E89"/>
    <w:rsid w:val="007A3A49"/>
    <w:rsid w:val="007A5200"/>
    <w:rsid w:val="007A58BE"/>
    <w:rsid w:val="007A6F7B"/>
    <w:rsid w:val="007A7653"/>
    <w:rsid w:val="007A7CAE"/>
    <w:rsid w:val="007A7D11"/>
    <w:rsid w:val="007B04FB"/>
    <w:rsid w:val="007B1705"/>
    <w:rsid w:val="007B2361"/>
    <w:rsid w:val="007B6DC6"/>
    <w:rsid w:val="007B6E1E"/>
    <w:rsid w:val="007C02BB"/>
    <w:rsid w:val="007C1322"/>
    <w:rsid w:val="007C2D94"/>
    <w:rsid w:val="007C5871"/>
    <w:rsid w:val="007C71CD"/>
    <w:rsid w:val="007C743D"/>
    <w:rsid w:val="007C7493"/>
    <w:rsid w:val="007C782A"/>
    <w:rsid w:val="007D480D"/>
    <w:rsid w:val="007D4DF3"/>
    <w:rsid w:val="007D50C2"/>
    <w:rsid w:val="007D579C"/>
    <w:rsid w:val="007D7706"/>
    <w:rsid w:val="007E0B06"/>
    <w:rsid w:val="007E2750"/>
    <w:rsid w:val="007E3E5F"/>
    <w:rsid w:val="007E3F01"/>
    <w:rsid w:val="007E55D1"/>
    <w:rsid w:val="007E5651"/>
    <w:rsid w:val="007E63DC"/>
    <w:rsid w:val="007E6994"/>
    <w:rsid w:val="007E707F"/>
    <w:rsid w:val="007F11CE"/>
    <w:rsid w:val="007F2C9C"/>
    <w:rsid w:val="007F41FF"/>
    <w:rsid w:val="007F6547"/>
    <w:rsid w:val="007F6DE1"/>
    <w:rsid w:val="007F7FFB"/>
    <w:rsid w:val="008002AE"/>
    <w:rsid w:val="00800E55"/>
    <w:rsid w:val="008010B6"/>
    <w:rsid w:val="008022A6"/>
    <w:rsid w:val="008043A1"/>
    <w:rsid w:val="00804411"/>
    <w:rsid w:val="0080475F"/>
    <w:rsid w:val="0080493E"/>
    <w:rsid w:val="00804E3B"/>
    <w:rsid w:val="008068E3"/>
    <w:rsid w:val="00806B38"/>
    <w:rsid w:val="00807718"/>
    <w:rsid w:val="00807FF7"/>
    <w:rsid w:val="008104B9"/>
    <w:rsid w:val="00810965"/>
    <w:rsid w:val="008115C5"/>
    <w:rsid w:val="00814BAA"/>
    <w:rsid w:val="00817DDE"/>
    <w:rsid w:val="00820A08"/>
    <w:rsid w:val="0082379B"/>
    <w:rsid w:val="00823ABF"/>
    <w:rsid w:val="0082437A"/>
    <w:rsid w:val="0082444A"/>
    <w:rsid w:val="00825916"/>
    <w:rsid w:val="008260D1"/>
    <w:rsid w:val="00826E17"/>
    <w:rsid w:val="008275EB"/>
    <w:rsid w:val="00827DB6"/>
    <w:rsid w:val="008300F7"/>
    <w:rsid w:val="0083064E"/>
    <w:rsid w:val="00831486"/>
    <w:rsid w:val="0083195B"/>
    <w:rsid w:val="00832CAC"/>
    <w:rsid w:val="00832DDA"/>
    <w:rsid w:val="0083426B"/>
    <w:rsid w:val="00835C1B"/>
    <w:rsid w:val="00835D07"/>
    <w:rsid w:val="0083643E"/>
    <w:rsid w:val="008369AB"/>
    <w:rsid w:val="00837080"/>
    <w:rsid w:val="00840D5C"/>
    <w:rsid w:val="008440E0"/>
    <w:rsid w:val="00844DC8"/>
    <w:rsid w:val="008450E3"/>
    <w:rsid w:val="00846802"/>
    <w:rsid w:val="0084733A"/>
    <w:rsid w:val="00850535"/>
    <w:rsid w:val="00851BD9"/>
    <w:rsid w:val="00852F14"/>
    <w:rsid w:val="0085327D"/>
    <w:rsid w:val="00857113"/>
    <w:rsid w:val="008576BB"/>
    <w:rsid w:val="0085774B"/>
    <w:rsid w:val="0085782A"/>
    <w:rsid w:val="00857A81"/>
    <w:rsid w:val="00860807"/>
    <w:rsid w:val="008614ED"/>
    <w:rsid w:val="0086190D"/>
    <w:rsid w:val="0086234F"/>
    <w:rsid w:val="00863EC8"/>
    <w:rsid w:val="0086403A"/>
    <w:rsid w:val="008650D2"/>
    <w:rsid w:val="00865C2E"/>
    <w:rsid w:val="00866E07"/>
    <w:rsid w:val="0086722F"/>
    <w:rsid w:val="0086743B"/>
    <w:rsid w:val="00867B78"/>
    <w:rsid w:val="00872AC0"/>
    <w:rsid w:val="00874625"/>
    <w:rsid w:val="008751CA"/>
    <w:rsid w:val="00877184"/>
    <w:rsid w:val="008811F5"/>
    <w:rsid w:val="008818C0"/>
    <w:rsid w:val="008819F8"/>
    <w:rsid w:val="00882079"/>
    <w:rsid w:val="008824DE"/>
    <w:rsid w:val="00882D6E"/>
    <w:rsid w:val="0088427B"/>
    <w:rsid w:val="0088631F"/>
    <w:rsid w:val="00886C3B"/>
    <w:rsid w:val="008870D2"/>
    <w:rsid w:val="008904A3"/>
    <w:rsid w:val="008918F8"/>
    <w:rsid w:val="00891E81"/>
    <w:rsid w:val="00893CEE"/>
    <w:rsid w:val="008946D5"/>
    <w:rsid w:val="008952F7"/>
    <w:rsid w:val="008953F5"/>
    <w:rsid w:val="00895F97"/>
    <w:rsid w:val="008970B2"/>
    <w:rsid w:val="008970E9"/>
    <w:rsid w:val="00897C00"/>
    <w:rsid w:val="00897CBB"/>
    <w:rsid w:val="008A0F50"/>
    <w:rsid w:val="008A0F92"/>
    <w:rsid w:val="008A1B30"/>
    <w:rsid w:val="008A1B74"/>
    <w:rsid w:val="008A1D07"/>
    <w:rsid w:val="008A5D91"/>
    <w:rsid w:val="008A5FF9"/>
    <w:rsid w:val="008B3D12"/>
    <w:rsid w:val="008B459A"/>
    <w:rsid w:val="008B6753"/>
    <w:rsid w:val="008B6B5A"/>
    <w:rsid w:val="008C4C31"/>
    <w:rsid w:val="008C542B"/>
    <w:rsid w:val="008C5AD3"/>
    <w:rsid w:val="008C7DED"/>
    <w:rsid w:val="008D02DE"/>
    <w:rsid w:val="008D1D5B"/>
    <w:rsid w:val="008D20FE"/>
    <w:rsid w:val="008D3912"/>
    <w:rsid w:val="008D444D"/>
    <w:rsid w:val="008D57F0"/>
    <w:rsid w:val="008D5C2C"/>
    <w:rsid w:val="008D6B2B"/>
    <w:rsid w:val="008E0AF2"/>
    <w:rsid w:val="008E1A20"/>
    <w:rsid w:val="008E3A80"/>
    <w:rsid w:val="008E40F0"/>
    <w:rsid w:val="008E587D"/>
    <w:rsid w:val="008E6DE7"/>
    <w:rsid w:val="008E79DF"/>
    <w:rsid w:val="008F17F2"/>
    <w:rsid w:val="008F2231"/>
    <w:rsid w:val="008F2C4A"/>
    <w:rsid w:val="008F3A11"/>
    <w:rsid w:val="008F44B5"/>
    <w:rsid w:val="008F4AAF"/>
    <w:rsid w:val="008F5050"/>
    <w:rsid w:val="008F5E92"/>
    <w:rsid w:val="008F72F3"/>
    <w:rsid w:val="0090034B"/>
    <w:rsid w:val="00901435"/>
    <w:rsid w:val="0090159B"/>
    <w:rsid w:val="00904EA6"/>
    <w:rsid w:val="00905BB3"/>
    <w:rsid w:val="009068B9"/>
    <w:rsid w:val="00910BD1"/>
    <w:rsid w:val="00911D1D"/>
    <w:rsid w:val="00912A22"/>
    <w:rsid w:val="00915568"/>
    <w:rsid w:val="00915931"/>
    <w:rsid w:val="00915A39"/>
    <w:rsid w:val="00915AF2"/>
    <w:rsid w:val="00916185"/>
    <w:rsid w:val="00920888"/>
    <w:rsid w:val="00921224"/>
    <w:rsid w:val="009218CD"/>
    <w:rsid w:val="00921EC3"/>
    <w:rsid w:val="009231BE"/>
    <w:rsid w:val="00923CB7"/>
    <w:rsid w:val="009267E5"/>
    <w:rsid w:val="0092755B"/>
    <w:rsid w:val="00930B6F"/>
    <w:rsid w:val="009312CC"/>
    <w:rsid w:val="00931FA4"/>
    <w:rsid w:val="00932AFE"/>
    <w:rsid w:val="009336E1"/>
    <w:rsid w:val="009340FD"/>
    <w:rsid w:val="0093524F"/>
    <w:rsid w:val="009356EB"/>
    <w:rsid w:val="009359FD"/>
    <w:rsid w:val="00940296"/>
    <w:rsid w:val="009402E7"/>
    <w:rsid w:val="0094083F"/>
    <w:rsid w:val="00940CEA"/>
    <w:rsid w:val="00941965"/>
    <w:rsid w:val="00941F06"/>
    <w:rsid w:val="00942008"/>
    <w:rsid w:val="009428DF"/>
    <w:rsid w:val="009436E4"/>
    <w:rsid w:val="009444E6"/>
    <w:rsid w:val="0094484F"/>
    <w:rsid w:val="00944B4E"/>
    <w:rsid w:val="00945158"/>
    <w:rsid w:val="00945972"/>
    <w:rsid w:val="0095026C"/>
    <w:rsid w:val="00950A05"/>
    <w:rsid w:val="00950BB3"/>
    <w:rsid w:val="00951ADB"/>
    <w:rsid w:val="00952F3F"/>
    <w:rsid w:val="009538B3"/>
    <w:rsid w:val="009541BB"/>
    <w:rsid w:val="009601D5"/>
    <w:rsid w:val="0096051A"/>
    <w:rsid w:val="009612CC"/>
    <w:rsid w:val="00961DF9"/>
    <w:rsid w:val="009655E9"/>
    <w:rsid w:val="00965C9C"/>
    <w:rsid w:val="0097166B"/>
    <w:rsid w:val="00973E9A"/>
    <w:rsid w:val="00974D14"/>
    <w:rsid w:val="00975800"/>
    <w:rsid w:val="00976ED7"/>
    <w:rsid w:val="00980BBF"/>
    <w:rsid w:val="00982511"/>
    <w:rsid w:val="00984DA3"/>
    <w:rsid w:val="00985A71"/>
    <w:rsid w:val="0099012A"/>
    <w:rsid w:val="009905E0"/>
    <w:rsid w:val="009953C7"/>
    <w:rsid w:val="00996346"/>
    <w:rsid w:val="00997607"/>
    <w:rsid w:val="0099776A"/>
    <w:rsid w:val="009A2A9C"/>
    <w:rsid w:val="009A2D5C"/>
    <w:rsid w:val="009A2DC8"/>
    <w:rsid w:val="009A3071"/>
    <w:rsid w:val="009A5E19"/>
    <w:rsid w:val="009A64B9"/>
    <w:rsid w:val="009A6A17"/>
    <w:rsid w:val="009A6F7B"/>
    <w:rsid w:val="009A7175"/>
    <w:rsid w:val="009B2555"/>
    <w:rsid w:val="009B2AE4"/>
    <w:rsid w:val="009B2DE5"/>
    <w:rsid w:val="009B2ED8"/>
    <w:rsid w:val="009B338C"/>
    <w:rsid w:val="009B3D12"/>
    <w:rsid w:val="009B40D2"/>
    <w:rsid w:val="009B422E"/>
    <w:rsid w:val="009B5D97"/>
    <w:rsid w:val="009B6036"/>
    <w:rsid w:val="009B6709"/>
    <w:rsid w:val="009B69BC"/>
    <w:rsid w:val="009B74E9"/>
    <w:rsid w:val="009C2632"/>
    <w:rsid w:val="009C2D84"/>
    <w:rsid w:val="009C3F34"/>
    <w:rsid w:val="009C5315"/>
    <w:rsid w:val="009C5A11"/>
    <w:rsid w:val="009C6C0D"/>
    <w:rsid w:val="009C76D8"/>
    <w:rsid w:val="009D2956"/>
    <w:rsid w:val="009D5003"/>
    <w:rsid w:val="009D5826"/>
    <w:rsid w:val="009D7A6B"/>
    <w:rsid w:val="009E17C1"/>
    <w:rsid w:val="009E19A7"/>
    <w:rsid w:val="009E1FD9"/>
    <w:rsid w:val="009E2394"/>
    <w:rsid w:val="009E2F83"/>
    <w:rsid w:val="009F0E71"/>
    <w:rsid w:val="009F13D9"/>
    <w:rsid w:val="009F50CE"/>
    <w:rsid w:val="00A00563"/>
    <w:rsid w:val="00A00AE3"/>
    <w:rsid w:val="00A00EAE"/>
    <w:rsid w:val="00A010E9"/>
    <w:rsid w:val="00A011EF"/>
    <w:rsid w:val="00A01CB2"/>
    <w:rsid w:val="00A01D44"/>
    <w:rsid w:val="00A020F7"/>
    <w:rsid w:val="00A02CC4"/>
    <w:rsid w:val="00A038C0"/>
    <w:rsid w:val="00A05ADC"/>
    <w:rsid w:val="00A068EF"/>
    <w:rsid w:val="00A07721"/>
    <w:rsid w:val="00A10347"/>
    <w:rsid w:val="00A119F1"/>
    <w:rsid w:val="00A12FDA"/>
    <w:rsid w:val="00A1399E"/>
    <w:rsid w:val="00A13AD7"/>
    <w:rsid w:val="00A13CE5"/>
    <w:rsid w:val="00A1475F"/>
    <w:rsid w:val="00A16129"/>
    <w:rsid w:val="00A1687D"/>
    <w:rsid w:val="00A17DCB"/>
    <w:rsid w:val="00A17FE6"/>
    <w:rsid w:val="00A20FBC"/>
    <w:rsid w:val="00A229AB"/>
    <w:rsid w:val="00A26425"/>
    <w:rsid w:val="00A26A1E"/>
    <w:rsid w:val="00A303C6"/>
    <w:rsid w:val="00A309DA"/>
    <w:rsid w:val="00A313EF"/>
    <w:rsid w:val="00A31A74"/>
    <w:rsid w:val="00A32A6E"/>
    <w:rsid w:val="00A32B36"/>
    <w:rsid w:val="00A333A5"/>
    <w:rsid w:val="00A33591"/>
    <w:rsid w:val="00A35091"/>
    <w:rsid w:val="00A355D2"/>
    <w:rsid w:val="00A359E4"/>
    <w:rsid w:val="00A36758"/>
    <w:rsid w:val="00A40D75"/>
    <w:rsid w:val="00A410E2"/>
    <w:rsid w:val="00A41617"/>
    <w:rsid w:val="00A41AF5"/>
    <w:rsid w:val="00A41C02"/>
    <w:rsid w:val="00A41E14"/>
    <w:rsid w:val="00A41ECD"/>
    <w:rsid w:val="00A42494"/>
    <w:rsid w:val="00A42C7E"/>
    <w:rsid w:val="00A43B32"/>
    <w:rsid w:val="00A43D87"/>
    <w:rsid w:val="00A44E3E"/>
    <w:rsid w:val="00A45743"/>
    <w:rsid w:val="00A45B3A"/>
    <w:rsid w:val="00A520DD"/>
    <w:rsid w:val="00A5301E"/>
    <w:rsid w:val="00A530F7"/>
    <w:rsid w:val="00A54277"/>
    <w:rsid w:val="00A55131"/>
    <w:rsid w:val="00A55495"/>
    <w:rsid w:val="00A56D36"/>
    <w:rsid w:val="00A5739E"/>
    <w:rsid w:val="00A60173"/>
    <w:rsid w:val="00A6119B"/>
    <w:rsid w:val="00A62F16"/>
    <w:rsid w:val="00A64056"/>
    <w:rsid w:val="00A64E1A"/>
    <w:rsid w:val="00A66259"/>
    <w:rsid w:val="00A669D0"/>
    <w:rsid w:val="00A66B4C"/>
    <w:rsid w:val="00A70E2E"/>
    <w:rsid w:val="00A714D4"/>
    <w:rsid w:val="00A732CE"/>
    <w:rsid w:val="00A73DB4"/>
    <w:rsid w:val="00A749E4"/>
    <w:rsid w:val="00A74D46"/>
    <w:rsid w:val="00A817EA"/>
    <w:rsid w:val="00A821B0"/>
    <w:rsid w:val="00A8247A"/>
    <w:rsid w:val="00A82599"/>
    <w:rsid w:val="00A82FBA"/>
    <w:rsid w:val="00A842E8"/>
    <w:rsid w:val="00A863E3"/>
    <w:rsid w:val="00A90407"/>
    <w:rsid w:val="00A905EA"/>
    <w:rsid w:val="00A921BC"/>
    <w:rsid w:val="00A94020"/>
    <w:rsid w:val="00A9466F"/>
    <w:rsid w:val="00A94BCD"/>
    <w:rsid w:val="00A94F6D"/>
    <w:rsid w:val="00A9547F"/>
    <w:rsid w:val="00A96448"/>
    <w:rsid w:val="00A979A4"/>
    <w:rsid w:val="00AA0D1D"/>
    <w:rsid w:val="00AA1491"/>
    <w:rsid w:val="00AA265F"/>
    <w:rsid w:val="00AA27E4"/>
    <w:rsid w:val="00AA522A"/>
    <w:rsid w:val="00AA5ED8"/>
    <w:rsid w:val="00AA6BE9"/>
    <w:rsid w:val="00AB1046"/>
    <w:rsid w:val="00AB129F"/>
    <w:rsid w:val="00AB2848"/>
    <w:rsid w:val="00AB4643"/>
    <w:rsid w:val="00AB7D06"/>
    <w:rsid w:val="00AC0620"/>
    <w:rsid w:val="00AC28E8"/>
    <w:rsid w:val="00AC55FA"/>
    <w:rsid w:val="00AC56B5"/>
    <w:rsid w:val="00AC5815"/>
    <w:rsid w:val="00AC6688"/>
    <w:rsid w:val="00AC72B0"/>
    <w:rsid w:val="00AD1136"/>
    <w:rsid w:val="00AD30ED"/>
    <w:rsid w:val="00AD354E"/>
    <w:rsid w:val="00AD3C61"/>
    <w:rsid w:val="00AD4D15"/>
    <w:rsid w:val="00AD7039"/>
    <w:rsid w:val="00AD77B6"/>
    <w:rsid w:val="00AE01F4"/>
    <w:rsid w:val="00AE1074"/>
    <w:rsid w:val="00AE1A88"/>
    <w:rsid w:val="00AE3068"/>
    <w:rsid w:val="00AE4B9F"/>
    <w:rsid w:val="00AE4DA9"/>
    <w:rsid w:val="00AE5BE6"/>
    <w:rsid w:val="00AE6235"/>
    <w:rsid w:val="00AF132D"/>
    <w:rsid w:val="00AF1D13"/>
    <w:rsid w:val="00AF31F5"/>
    <w:rsid w:val="00AF65A6"/>
    <w:rsid w:val="00B00185"/>
    <w:rsid w:val="00B00898"/>
    <w:rsid w:val="00B01340"/>
    <w:rsid w:val="00B01F2C"/>
    <w:rsid w:val="00B04D22"/>
    <w:rsid w:val="00B050EE"/>
    <w:rsid w:val="00B05553"/>
    <w:rsid w:val="00B0631D"/>
    <w:rsid w:val="00B06CFC"/>
    <w:rsid w:val="00B072F2"/>
    <w:rsid w:val="00B119E3"/>
    <w:rsid w:val="00B11CC9"/>
    <w:rsid w:val="00B14EFE"/>
    <w:rsid w:val="00B1734A"/>
    <w:rsid w:val="00B20141"/>
    <w:rsid w:val="00B20C52"/>
    <w:rsid w:val="00B20FBA"/>
    <w:rsid w:val="00B21FFF"/>
    <w:rsid w:val="00B221A1"/>
    <w:rsid w:val="00B22A04"/>
    <w:rsid w:val="00B23D9F"/>
    <w:rsid w:val="00B24CA4"/>
    <w:rsid w:val="00B24E08"/>
    <w:rsid w:val="00B2595F"/>
    <w:rsid w:val="00B263DD"/>
    <w:rsid w:val="00B27187"/>
    <w:rsid w:val="00B278BB"/>
    <w:rsid w:val="00B27CB3"/>
    <w:rsid w:val="00B322D0"/>
    <w:rsid w:val="00B33D55"/>
    <w:rsid w:val="00B34631"/>
    <w:rsid w:val="00B36BF9"/>
    <w:rsid w:val="00B3790C"/>
    <w:rsid w:val="00B37D92"/>
    <w:rsid w:val="00B40F67"/>
    <w:rsid w:val="00B41889"/>
    <w:rsid w:val="00B418B0"/>
    <w:rsid w:val="00B41C27"/>
    <w:rsid w:val="00B42BAD"/>
    <w:rsid w:val="00B4321B"/>
    <w:rsid w:val="00B4371A"/>
    <w:rsid w:val="00B43922"/>
    <w:rsid w:val="00B44AD6"/>
    <w:rsid w:val="00B4527D"/>
    <w:rsid w:val="00B47555"/>
    <w:rsid w:val="00B507B4"/>
    <w:rsid w:val="00B512D3"/>
    <w:rsid w:val="00B51A6A"/>
    <w:rsid w:val="00B52AEE"/>
    <w:rsid w:val="00B53C5F"/>
    <w:rsid w:val="00B53CB1"/>
    <w:rsid w:val="00B54F95"/>
    <w:rsid w:val="00B5658E"/>
    <w:rsid w:val="00B5782B"/>
    <w:rsid w:val="00B57D4B"/>
    <w:rsid w:val="00B60B03"/>
    <w:rsid w:val="00B6107A"/>
    <w:rsid w:val="00B6213E"/>
    <w:rsid w:val="00B62662"/>
    <w:rsid w:val="00B628F2"/>
    <w:rsid w:val="00B6431A"/>
    <w:rsid w:val="00B65732"/>
    <w:rsid w:val="00B66A65"/>
    <w:rsid w:val="00B66BF3"/>
    <w:rsid w:val="00B67297"/>
    <w:rsid w:val="00B67852"/>
    <w:rsid w:val="00B71EBB"/>
    <w:rsid w:val="00B72FBD"/>
    <w:rsid w:val="00B73B08"/>
    <w:rsid w:val="00B74293"/>
    <w:rsid w:val="00B751B1"/>
    <w:rsid w:val="00B75A8E"/>
    <w:rsid w:val="00B75B2B"/>
    <w:rsid w:val="00B75B55"/>
    <w:rsid w:val="00B76E96"/>
    <w:rsid w:val="00B773E7"/>
    <w:rsid w:val="00B7785C"/>
    <w:rsid w:val="00B80E11"/>
    <w:rsid w:val="00B8574D"/>
    <w:rsid w:val="00B87D89"/>
    <w:rsid w:val="00B9054E"/>
    <w:rsid w:val="00B90A76"/>
    <w:rsid w:val="00B926C9"/>
    <w:rsid w:val="00B9365A"/>
    <w:rsid w:val="00B94174"/>
    <w:rsid w:val="00B952BA"/>
    <w:rsid w:val="00B95A46"/>
    <w:rsid w:val="00B96024"/>
    <w:rsid w:val="00B960FC"/>
    <w:rsid w:val="00B96A76"/>
    <w:rsid w:val="00BA09AB"/>
    <w:rsid w:val="00BA1533"/>
    <w:rsid w:val="00BA201A"/>
    <w:rsid w:val="00BA3E96"/>
    <w:rsid w:val="00BA3EAD"/>
    <w:rsid w:val="00BA5A6F"/>
    <w:rsid w:val="00BA7554"/>
    <w:rsid w:val="00BB0387"/>
    <w:rsid w:val="00BB0F30"/>
    <w:rsid w:val="00BB12D8"/>
    <w:rsid w:val="00BB1C9E"/>
    <w:rsid w:val="00BB20CF"/>
    <w:rsid w:val="00BB2548"/>
    <w:rsid w:val="00BB2EAA"/>
    <w:rsid w:val="00BB48B4"/>
    <w:rsid w:val="00BB48C1"/>
    <w:rsid w:val="00BB4AC5"/>
    <w:rsid w:val="00BB4C9E"/>
    <w:rsid w:val="00BB5021"/>
    <w:rsid w:val="00BB5255"/>
    <w:rsid w:val="00BB6C6F"/>
    <w:rsid w:val="00BB7C00"/>
    <w:rsid w:val="00BC1F73"/>
    <w:rsid w:val="00BC44B2"/>
    <w:rsid w:val="00BC452D"/>
    <w:rsid w:val="00BC54ED"/>
    <w:rsid w:val="00BC56B7"/>
    <w:rsid w:val="00BC7FC5"/>
    <w:rsid w:val="00BD2ECB"/>
    <w:rsid w:val="00BD3A82"/>
    <w:rsid w:val="00BD3B83"/>
    <w:rsid w:val="00BD3E93"/>
    <w:rsid w:val="00BD4F0D"/>
    <w:rsid w:val="00BD57C0"/>
    <w:rsid w:val="00BD6101"/>
    <w:rsid w:val="00BD702D"/>
    <w:rsid w:val="00BE00B1"/>
    <w:rsid w:val="00BE08D6"/>
    <w:rsid w:val="00BE140E"/>
    <w:rsid w:val="00BE1445"/>
    <w:rsid w:val="00BE3560"/>
    <w:rsid w:val="00BE4664"/>
    <w:rsid w:val="00BE469E"/>
    <w:rsid w:val="00BE4B6D"/>
    <w:rsid w:val="00BE68AD"/>
    <w:rsid w:val="00BE7005"/>
    <w:rsid w:val="00BE72BD"/>
    <w:rsid w:val="00BE7589"/>
    <w:rsid w:val="00BF259C"/>
    <w:rsid w:val="00BF352E"/>
    <w:rsid w:val="00BF36F9"/>
    <w:rsid w:val="00BF388D"/>
    <w:rsid w:val="00BF4FB2"/>
    <w:rsid w:val="00BF5FD7"/>
    <w:rsid w:val="00BF6A7A"/>
    <w:rsid w:val="00BF7BBA"/>
    <w:rsid w:val="00BF7F09"/>
    <w:rsid w:val="00C0010A"/>
    <w:rsid w:val="00C00A10"/>
    <w:rsid w:val="00C01900"/>
    <w:rsid w:val="00C01A7B"/>
    <w:rsid w:val="00C02C3F"/>
    <w:rsid w:val="00C02EA1"/>
    <w:rsid w:val="00C03320"/>
    <w:rsid w:val="00C038B4"/>
    <w:rsid w:val="00C0417E"/>
    <w:rsid w:val="00C04DEE"/>
    <w:rsid w:val="00C06957"/>
    <w:rsid w:val="00C06C67"/>
    <w:rsid w:val="00C07BCF"/>
    <w:rsid w:val="00C07F47"/>
    <w:rsid w:val="00C102F7"/>
    <w:rsid w:val="00C10A2F"/>
    <w:rsid w:val="00C11483"/>
    <w:rsid w:val="00C14672"/>
    <w:rsid w:val="00C14B43"/>
    <w:rsid w:val="00C1617E"/>
    <w:rsid w:val="00C16A0D"/>
    <w:rsid w:val="00C16E29"/>
    <w:rsid w:val="00C16F29"/>
    <w:rsid w:val="00C16F55"/>
    <w:rsid w:val="00C171CC"/>
    <w:rsid w:val="00C17675"/>
    <w:rsid w:val="00C176AA"/>
    <w:rsid w:val="00C21005"/>
    <w:rsid w:val="00C214F0"/>
    <w:rsid w:val="00C21621"/>
    <w:rsid w:val="00C22921"/>
    <w:rsid w:val="00C23271"/>
    <w:rsid w:val="00C23AA4"/>
    <w:rsid w:val="00C2473F"/>
    <w:rsid w:val="00C31959"/>
    <w:rsid w:val="00C32D98"/>
    <w:rsid w:val="00C33547"/>
    <w:rsid w:val="00C336D0"/>
    <w:rsid w:val="00C37191"/>
    <w:rsid w:val="00C3783E"/>
    <w:rsid w:val="00C4003F"/>
    <w:rsid w:val="00C400B8"/>
    <w:rsid w:val="00C41193"/>
    <w:rsid w:val="00C423FB"/>
    <w:rsid w:val="00C43BE5"/>
    <w:rsid w:val="00C43C9F"/>
    <w:rsid w:val="00C4424D"/>
    <w:rsid w:val="00C457C0"/>
    <w:rsid w:val="00C45E11"/>
    <w:rsid w:val="00C462A2"/>
    <w:rsid w:val="00C47A49"/>
    <w:rsid w:val="00C51FA6"/>
    <w:rsid w:val="00C51FBD"/>
    <w:rsid w:val="00C52A4F"/>
    <w:rsid w:val="00C53485"/>
    <w:rsid w:val="00C53C6F"/>
    <w:rsid w:val="00C5414D"/>
    <w:rsid w:val="00C547A4"/>
    <w:rsid w:val="00C55FF8"/>
    <w:rsid w:val="00C575D1"/>
    <w:rsid w:val="00C6168D"/>
    <w:rsid w:val="00C626DF"/>
    <w:rsid w:val="00C63746"/>
    <w:rsid w:val="00C6378B"/>
    <w:rsid w:val="00C639F0"/>
    <w:rsid w:val="00C654F1"/>
    <w:rsid w:val="00C65836"/>
    <w:rsid w:val="00C6586D"/>
    <w:rsid w:val="00C66772"/>
    <w:rsid w:val="00C70836"/>
    <w:rsid w:val="00C7138D"/>
    <w:rsid w:val="00C71BBD"/>
    <w:rsid w:val="00C7252A"/>
    <w:rsid w:val="00C72763"/>
    <w:rsid w:val="00C73557"/>
    <w:rsid w:val="00C73C71"/>
    <w:rsid w:val="00C7617B"/>
    <w:rsid w:val="00C769B7"/>
    <w:rsid w:val="00C77C2A"/>
    <w:rsid w:val="00C81170"/>
    <w:rsid w:val="00C82DA8"/>
    <w:rsid w:val="00C8560F"/>
    <w:rsid w:val="00C86015"/>
    <w:rsid w:val="00C86B89"/>
    <w:rsid w:val="00C87BE7"/>
    <w:rsid w:val="00C87F02"/>
    <w:rsid w:val="00C916DB"/>
    <w:rsid w:val="00C92129"/>
    <w:rsid w:val="00C92C3B"/>
    <w:rsid w:val="00C93261"/>
    <w:rsid w:val="00C9328B"/>
    <w:rsid w:val="00C943D9"/>
    <w:rsid w:val="00C9443F"/>
    <w:rsid w:val="00C96970"/>
    <w:rsid w:val="00C976B7"/>
    <w:rsid w:val="00C97BBE"/>
    <w:rsid w:val="00CA046F"/>
    <w:rsid w:val="00CA1183"/>
    <w:rsid w:val="00CA2712"/>
    <w:rsid w:val="00CA28B6"/>
    <w:rsid w:val="00CA3DB9"/>
    <w:rsid w:val="00CA414A"/>
    <w:rsid w:val="00CA5447"/>
    <w:rsid w:val="00CA6C69"/>
    <w:rsid w:val="00CB0C4E"/>
    <w:rsid w:val="00CB160D"/>
    <w:rsid w:val="00CB18BC"/>
    <w:rsid w:val="00CB2CCE"/>
    <w:rsid w:val="00CB2D62"/>
    <w:rsid w:val="00CB3941"/>
    <w:rsid w:val="00CB5145"/>
    <w:rsid w:val="00CC0EFE"/>
    <w:rsid w:val="00CC25D1"/>
    <w:rsid w:val="00CC3F81"/>
    <w:rsid w:val="00CC4D77"/>
    <w:rsid w:val="00CC5AC0"/>
    <w:rsid w:val="00CC5B61"/>
    <w:rsid w:val="00CC78FE"/>
    <w:rsid w:val="00CD1CC6"/>
    <w:rsid w:val="00CD34F6"/>
    <w:rsid w:val="00CD440B"/>
    <w:rsid w:val="00CD5201"/>
    <w:rsid w:val="00CD5ADB"/>
    <w:rsid w:val="00CD62B8"/>
    <w:rsid w:val="00CD6F94"/>
    <w:rsid w:val="00CE0A82"/>
    <w:rsid w:val="00CE0D86"/>
    <w:rsid w:val="00CE132E"/>
    <w:rsid w:val="00CE1373"/>
    <w:rsid w:val="00CE1790"/>
    <w:rsid w:val="00CE19E1"/>
    <w:rsid w:val="00CE1B00"/>
    <w:rsid w:val="00CE1B2A"/>
    <w:rsid w:val="00CE2502"/>
    <w:rsid w:val="00CE3E40"/>
    <w:rsid w:val="00CE480A"/>
    <w:rsid w:val="00CE5975"/>
    <w:rsid w:val="00CE6AD5"/>
    <w:rsid w:val="00CE700A"/>
    <w:rsid w:val="00CE7A78"/>
    <w:rsid w:val="00CF1800"/>
    <w:rsid w:val="00CF1887"/>
    <w:rsid w:val="00CF1F16"/>
    <w:rsid w:val="00CF1F6E"/>
    <w:rsid w:val="00CF2E2E"/>
    <w:rsid w:val="00CF3504"/>
    <w:rsid w:val="00CF3805"/>
    <w:rsid w:val="00CF392F"/>
    <w:rsid w:val="00CF3C4D"/>
    <w:rsid w:val="00CF3F0A"/>
    <w:rsid w:val="00CF4AD0"/>
    <w:rsid w:val="00CF5A0E"/>
    <w:rsid w:val="00CF6154"/>
    <w:rsid w:val="00CF67BE"/>
    <w:rsid w:val="00CF685F"/>
    <w:rsid w:val="00CF78B7"/>
    <w:rsid w:val="00CF79BE"/>
    <w:rsid w:val="00CF7A92"/>
    <w:rsid w:val="00D00879"/>
    <w:rsid w:val="00D03DAC"/>
    <w:rsid w:val="00D04AF8"/>
    <w:rsid w:val="00D05567"/>
    <w:rsid w:val="00D0784E"/>
    <w:rsid w:val="00D100DF"/>
    <w:rsid w:val="00D104DE"/>
    <w:rsid w:val="00D1083B"/>
    <w:rsid w:val="00D12175"/>
    <w:rsid w:val="00D12763"/>
    <w:rsid w:val="00D128FA"/>
    <w:rsid w:val="00D12A23"/>
    <w:rsid w:val="00D13156"/>
    <w:rsid w:val="00D14D57"/>
    <w:rsid w:val="00D15FBF"/>
    <w:rsid w:val="00D16A71"/>
    <w:rsid w:val="00D16C0A"/>
    <w:rsid w:val="00D17312"/>
    <w:rsid w:val="00D23636"/>
    <w:rsid w:val="00D23729"/>
    <w:rsid w:val="00D24042"/>
    <w:rsid w:val="00D256BC"/>
    <w:rsid w:val="00D25855"/>
    <w:rsid w:val="00D267D2"/>
    <w:rsid w:val="00D26E03"/>
    <w:rsid w:val="00D273D4"/>
    <w:rsid w:val="00D30316"/>
    <w:rsid w:val="00D30443"/>
    <w:rsid w:val="00D3206F"/>
    <w:rsid w:val="00D33389"/>
    <w:rsid w:val="00D33575"/>
    <w:rsid w:val="00D3443A"/>
    <w:rsid w:val="00D366E6"/>
    <w:rsid w:val="00D37209"/>
    <w:rsid w:val="00D3743C"/>
    <w:rsid w:val="00D37A32"/>
    <w:rsid w:val="00D40520"/>
    <w:rsid w:val="00D415AE"/>
    <w:rsid w:val="00D438B0"/>
    <w:rsid w:val="00D44BE9"/>
    <w:rsid w:val="00D44DD8"/>
    <w:rsid w:val="00D47A06"/>
    <w:rsid w:val="00D50503"/>
    <w:rsid w:val="00D519E0"/>
    <w:rsid w:val="00D524B6"/>
    <w:rsid w:val="00D52E3B"/>
    <w:rsid w:val="00D5561A"/>
    <w:rsid w:val="00D557DE"/>
    <w:rsid w:val="00D57163"/>
    <w:rsid w:val="00D571B0"/>
    <w:rsid w:val="00D574A4"/>
    <w:rsid w:val="00D610B6"/>
    <w:rsid w:val="00D611D7"/>
    <w:rsid w:val="00D61326"/>
    <w:rsid w:val="00D61550"/>
    <w:rsid w:val="00D626A3"/>
    <w:rsid w:val="00D629D0"/>
    <w:rsid w:val="00D62F5C"/>
    <w:rsid w:val="00D66103"/>
    <w:rsid w:val="00D66E38"/>
    <w:rsid w:val="00D67750"/>
    <w:rsid w:val="00D67E7E"/>
    <w:rsid w:val="00D715F3"/>
    <w:rsid w:val="00D71DA3"/>
    <w:rsid w:val="00D744B0"/>
    <w:rsid w:val="00D752DC"/>
    <w:rsid w:val="00D75544"/>
    <w:rsid w:val="00D76688"/>
    <w:rsid w:val="00D80359"/>
    <w:rsid w:val="00D818E5"/>
    <w:rsid w:val="00D82033"/>
    <w:rsid w:val="00D82A02"/>
    <w:rsid w:val="00D843CB"/>
    <w:rsid w:val="00D844C0"/>
    <w:rsid w:val="00D848DB"/>
    <w:rsid w:val="00D85964"/>
    <w:rsid w:val="00D92ED4"/>
    <w:rsid w:val="00D949A1"/>
    <w:rsid w:val="00D94EAF"/>
    <w:rsid w:val="00D962E2"/>
    <w:rsid w:val="00D96969"/>
    <w:rsid w:val="00D977F4"/>
    <w:rsid w:val="00DA1058"/>
    <w:rsid w:val="00DA207B"/>
    <w:rsid w:val="00DA217F"/>
    <w:rsid w:val="00DA4832"/>
    <w:rsid w:val="00DA493C"/>
    <w:rsid w:val="00DA4A11"/>
    <w:rsid w:val="00DA5D92"/>
    <w:rsid w:val="00DA6C43"/>
    <w:rsid w:val="00DB0DEC"/>
    <w:rsid w:val="00DB1096"/>
    <w:rsid w:val="00DB37C3"/>
    <w:rsid w:val="00DB3931"/>
    <w:rsid w:val="00DB4BE4"/>
    <w:rsid w:val="00DB5C11"/>
    <w:rsid w:val="00DB6860"/>
    <w:rsid w:val="00DB6DD0"/>
    <w:rsid w:val="00DB713C"/>
    <w:rsid w:val="00DB7624"/>
    <w:rsid w:val="00DC052A"/>
    <w:rsid w:val="00DC36D0"/>
    <w:rsid w:val="00DC444A"/>
    <w:rsid w:val="00DC65AE"/>
    <w:rsid w:val="00DC6AD0"/>
    <w:rsid w:val="00DD2841"/>
    <w:rsid w:val="00DD289D"/>
    <w:rsid w:val="00DD3193"/>
    <w:rsid w:val="00DD3560"/>
    <w:rsid w:val="00DD368E"/>
    <w:rsid w:val="00DD3B72"/>
    <w:rsid w:val="00DD3E7E"/>
    <w:rsid w:val="00DD47E4"/>
    <w:rsid w:val="00DD4F18"/>
    <w:rsid w:val="00DD5685"/>
    <w:rsid w:val="00DD5D62"/>
    <w:rsid w:val="00DD731C"/>
    <w:rsid w:val="00DD7D1F"/>
    <w:rsid w:val="00DE06BC"/>
    <w:rsid w:val="00DE0951"/>
    <w:rsid w:val="00DE3845"/>
    <w:rsid w:val="00DE3F5C"/>
    <w:rsid w:val="00DE3F9F"/>
    <w:rsid w:val="00DE4E55"/>
    <w:rsid w:val="00DF03B4"/>
    <w:rsid w:val="00DF076A"/>
    <w:rsid w:val="00DF146A"/>
    <w:rsid w:val="00DF3494"/>
    <w:rsid w:val="00DF3624"/>
    <w:rsid w:val="00DF4E4B"/>
    <w:rsid w:val="00DF50BA"/>
    <w:rsid w:val="00DF511C"/>
    <w:rsid w:val="00DF5396"/>
    <w:rsid w:val="00DF62C4"/>
    <w:rsid w:val="00DF685D"/>
    <w:rsid w:val="00DF6F79"/>
    <w:rsid w:val="00DF7042"/>
    <w:rsid w:val="00DF7226"/>
    <w:rsid w:val="00DF7F03"/>
    <w:rsid w:val="00E0020F"/>
    <w:rsid w:val="00E0101E"/>
    <w:rsid w:val="00E013A1"/>
    <w:rsid w:val="00E017B6"/>
    <w:rsid w:val="00E01FA9"/>
    <w:rsid w:val="00E02ED8"/>
    <w:rsid w:val="00E02FAA"/>
    <w:rsid w:val="00E03B24"/>
    <w:rsid w:val="00E0420E"/>
    <w:rsid w:val="00E1162F"/>
    <w:rsid w:val="00E127E9"/>
    <w:rsid w:val="00E1294F"/>
    <w:rsid w:val="00E1782E"/>
    <w:rsid w:val="00E179D1"/>
    <w:rsid w:val="00E21228"/>
    <w:rsid w:val="00E2124C"/>
    <w:rsid w:val="00E21735"/>
    <w:rsid w:val="00E217E4"/>
    <w:rsid w:val="00E2218D"/>
    <w:rsid w:val="00E2226A"/>
    <w:rsid w:val="00E227D4"/>
    <w:rsid w:val="00E235DC"/>
    <w:rsid w:val="00E25EB0"/>
    <w:rsid w:val="00E2636B"/>
    <w:rsid w:val="00E26E8A"/>
    <w:rsid w:val="00E27128"/>
    <w:rsid w:val="00E27700"/>
    <w:rsid w:val="00E3017B"/>
    <w:rsid w:val="00E31233"/>
    <w:rsid w:val="00E338BE"/>
    <w:rsid w:val="00E33CCA"/>
    <w:rsid w:val="00E33D2C"/>
    <w:rsid w:val="00E33E67"/>
    <w:rsid w:val="00E34EB7"/>
    <w:rsid w:val="00E35519"/>
    <w:rsid w:val="00E35D93"/>
    <w:rsid w:val="00E36AB2"/>
    <w:rsid w:val="00E40BFA"/>
    <w:rsid w:val="00E40E11"/>
    <w:rsid w:val="00E4109F"/>
    <w:rsid w:val="00E4124A"/>
    <w:rsid w:val="00E42114"/>
    <w:rsid w:val="00E42571"/>
    <w:rsid w:val="00E4364D"/>
    <w:rsid w:val="00E43C94"/>
    <w:rsid w:val="00E44086"/>
    <w:rsid w:val="00E44372"/>
    <w:rsid w:val="00E44C68"/>
    <w:rsid w:val="00E5029E"/>
    <w:rsid w:val="00E53440"/>
    <w:rsid w:val="00E54A91"/>
    <w:rsid w:val="00E55853"/>
    <w:rsid w:val="00E55F7C"/>
    <w:rsid w:val="00E5623F"/>
    <w:rsid w:val="00E56445"/>
    <w:rsid w:val="00E574F9"/>
    <w:rsid w:val="00E60176"/>
    <w:rsid w:val="00E60279"/>
    <w:rsid w:val="00E61969"/>
    <w:rsid w:val="00E61F87"/>
    <w:rsid w:val="00E62D68"/>
    <w:rsid w:val="00E6306F"/>
    <w:rsid w:val="00E630EA"/>
    <w:rsid w:val="00E64A47"/>
    <w:rsid w:val="00E66715"/>
    <w:rsid w:val="00E66899"/>
    <w:rsid w:val="00E668E9"/>
    <w:rsid w:val="00E66910"/>
    <w:rsid w:val="00E669DA"/>
    <w:rsid w:val="00E675B4"/>
    <w:rsid w:val="00E70538"/>
    <w:rsid w:val="00E7064D"/>
    <w:rsid w:val="00E72495"/>
    <w:rsid w:val="00E75263"/>
    <w:rsid w:val="00E7691A"/>
    <w:rsid w:val="00E769EF"/>
    <w:rsid w:val="00E77247"/>
    <w:rsid w:val="00E77502"/>
    <w:rsid w:val="00E77E12"/>
    <w:rsid w:val="00E81BF2"/>
    <w:rsid w:val="00E835B8"/>
    <w:rsid w:val="00E83E7B"/>
    <w:rsid w:val="00E85875"/>
    <w:rsid w:val="00E8785D"/>
    <w:rsid w:val="00E87C1B"/>
    <w:rsid w:val="00E90313"/>
    <w:rsid w:val="00E90A03"/>
    <w:rsid w:val="00E90DEB"/>
    <w:rsid w:val="00E918BA"/>
    <w:rsid w:val="00E92A97"/>
    <w:rsid w:val="00E9314E"/>
    <w:rsid w:val="00E9379A"/>
    <w:rsid w:val="00E93A40"/>
    <w:rsid w:val="00E94467"/>
    <w:rsid w:val="00E94DA3"/>
    <w:rsid w:val="00EA04F1"/>
    <w:rsid w:val="00EA077D"/>
    <w:rsid w:val="00EA08EF"/>
    <w:rsid w:val="00EA140F"/>
    <w:rsid w:val="00EA2A38"/>
    <w:rsid w:val="00EA2D72"/>
    <w:rsid w:val="00EA3B33"/>
    <w:rsid w:val="00EA3B8F"/>
    <w:rsid w:val="00EA50B5"/>
    <w:rsid w:val="00EA60DF"/>
    <w:rsid w:val="00EA68BD"/>
    <w:rsid w:val="00EB15A1"/>
    <w:rsid w:val="00EB188B"/>
    <w:rsid w:val="00EB20FC"/>
    <w:rsid w:val="00EB2CE2"/>
    <w:rsid w:val="00EB4840"/>
    <w:rsid w:val="00EB530C"/>
    <w:rsid w:val="00EB5A5C"/>
    <w:rsid w:val="00EB61C3"/>
    <w:rsid w:val="00EC0C69"/>
    <w:rsid w:val="00EC0DA4"/>
    <w:rsid w:val="00EC15E5"/>
    <w:rsid w:val="00EC1AE4"/>
    <w:rsid w:val="00EC2300"/>
    <w:rsid w:val="00EC3F69"/>
    <w:rsid w:val="00EC4296"/>
    <w:rsid w:val="00EC6368"/>
    <w:rsid w:val="00ED1951"/>
    <w:rsid w:val="00ED1BD4"/>
    <w:rsid w:val="00ED200E"/>
    <w:rsid w:val="00ED2EEF"/>
    <w:rsid w:val="00ED3B60"/>
    <w:rsid w:val="00ED53B7"/>
    <w:rsid w:val="00ED5568"/>
    <w:rsid w:val="00ED5D2C"/>
    <w:rsid w:val="00ED61B2"/>
    <w:rsid w:val="00ED6DCA"/>
    <w:rsid w:val="00EE0E51"/>
    <w:rsid w:val="00EE4839"/>
    <w:rsid w:val="00EE5687"/>
    <w:rsid w:val="00EE5EB0"/>
    <w:rsid w:val="00EE7D88"/>
    <w:rsid w:val="00EF0EE3"/>
    <w:rsid w:val="00EF19D2"/>
    <w:rsid w:val="00EF1EAB"/>
    <w:rsid w:val="00EF3B78"/>
    <w:rsid w:val="00EF60C4"/>
    <w:rsid w:val="00EF6705"/>
    <w:rsid w:val="00F03CA1"/>
    <w:rsid w:val="00F04D79"/>
    <w:rsid w:val="00F051C6"/>
    <w:rsid w:val="00F05266"/>
    <w:rsid w:val="00F053F5"/>
    <w:rsid w:val="00F06F32"/>
    <w:rsid w:val="00F07103"/>
    <w:rsid w:val="00F0781B"/>
    <w:rsid w:val="00F10330"/>
    <w:rsid w:val="00F10B0F"/>
    <w:rsid w:val="00F11231"/>
    <w:rsid w:val="00F12106"/>
    <w:rsid w:val="00F140B6"/>
    <w:rsid w:val="00F20093"/>
    <w:rsid w:val="00F20990"/>
    <w:rsid w:val="00F209CB"/>
    <w:rsid w:val="00F213A0"/>
    <w:rsid w:val="00F21F2D"/>
    <w:rsid w:val="00F2362F"/>
    <w:rsid w:val="00F23C54"/>
    <w:rsid w:val="00F24219"/>
    <w:rsid w:val="00F24656"/>
    <w:rsid w:val="00F247AA"/>
    <w:rsid w:val="00F25D12"/>
    <w:rsid w:val="00F25EED"/>
    <w:rsid w:val="00F27D8B"/>
    <w:rsid w:val="00F317CA"/>
    <w:rsid w:val="00F31BBC"/>
    <w:rsid w:val="00F338F8"/>
    <w:rsid w:val="00F34595"/>
    <w:rsid w:val="00F34C33"/>
    <w:rsid w:val="00F3655C"/>
    <w:rsid w:val="00F36C85"/>
    <w:rsid w:val="00F374BC"/>
    <w:rsid w:val="00F44D39"/>
    <w:rsid w:val="00F4641E"/>
    <w:rsid w:val="00F466BE"/>
    <w:rsid w:val="00F470B7"/>
    <w:rsid w:val="00F47EED"/>
    <w:rsid w:val="00F500B6"/>
    <w:rsid w:val="00F50BF6"/>
    <w:rsid w:val="00F52919"/>
    <w:rsid w:val="00F52B10"/>
    <w:rsid w:val="00F53027"/>
    <w:rsid w:val="00F5496D"/>
    <w:rsid w:val="00F54DF9"/>
    <w:rsid w:val="00F57E09"/>
    <w:rsid w:val="00F60F8A"/>
    <w:rsid w:val="00F62236"/>
    <w:rsid w:val="00F62367"/>
    <w:rsid w:val="00F6495A"/>
    <w:rsid w:val="00F66053"/>
    <w:rsid w:val="00F66224"/>
    <w:rsid w:val="00F662C0"/>
    <w:rsid w:val="00F666B0"/>
    <w:rsid w:val="00F67EF3"/>
    <w:rsid w:val="00F704ED"/>
    <w:rsid w:val="00F71052"/>
    <w:rsid w:val="00F71897"/>
    <w:rsid w:val="00F75A5C"/>
    <w:rsid w:val="00F804E0"/>
    <w:rsid w:val="00F813B1"/>
    <w:rsid w:val="00F82585"/>
    <w:rsid w:val="00F83C53"/>
    <w:rsid w:val="00F84F0F"/>
    <w:rsid w:val="00F86299"/>
    <w:rsid w:val="00F8787B"/>
    <w:rsid w:val="00F87966"/>
    <w:rsid w:val="00F91106"/>
    <w:rsid w:val="00F92772"/>
    <w:rsid w:val="00F92794"/>
    <w:rsid w:val="00F94003"/>
    <w:rsid w:val="00F95D87"/>
    <w:rsid w:val="00F961AE"/>
    <w:rsid w:val="00FA136A"/>
    <w:rsid w:val="00FA2402"/>
    <w:rsid w:val="00FA39BB"/>
    <w:rsid w:val="00FA3A50"/>
    <w:rsid w:val="00FA49A5"/>
    <w:rsid w:val="00FA556B"/>
    <w:rsid w:val="00FA5A2B"/>
    <w:rsid w:val="00FA5BC5"/>
    <w:rsid w:val="00FA6345"/>
    <w:rsid w:val="00FA7DF2"/>
    <w:rsid w:val="00FB1DBD"/>
    <w:rsid w:val="00FB289D"/>
    <w:rsid w:val="00FB31A6"/>
    <w:rsid w:val="00FB585D"/>
    <w:rsid w:val="00FB5B1B"/>
    <w:rsid w:val="00FB6AB1"/>
    <w:rsid w:val="00FB7360"/>
    <w:rsid w:val="00FB7C5B"/>
    <w:rsid w:val="00FC061F"/>
    <w:rsid w:val="00FC090B"/>
    <w:rsid w:val="00FC2A2E"/>
    <w:rsid w:val="00FC33EE"/>
    <w:rsid w:val="00FC3466"/>
    <w:rsid w:val="00FC3A14"/>
    <w:rsid w:val="00FC4740"/>
    <w:rsid w:val="00FC5139"/>
    <w:rsid w:val="00FC6507"/>
    <w:rsid w:val="00FD0FC3"/>
    <w:rsid w:val="00FD15D0"/>
    <w:rsid w:val="00FD3D0F"/>
    <w:rsid w:val="00FD4298"/>
    <w:rsid w:val="00FD429C"/>
    <w:rsid w:val="00FD43BF"/>
    <w:rsid w:val="00FD534F"/>
    <w:rsid w:val="00FD5C58"/>
    <w:rsid w:val="00FD6763"/>
    <w:rsid w:val="00FE016E"/>
    <w:rsid w:val="00FE182D"/>
    <w:rsid w:val="00FE3540"/>
    <w:rsid w:val="00FE4DF8"/>
    <w:rsid w:val="00FE5270"/>
    <w:rsid w:val="00FE66FB"/>
    <w:rsid w:val="00FF093E"/>
    <w:rsid w:val="00FF2388"/>
    <w:rsid w:val="00FF2D99"/>
    <w:rsid w:val="00FF4221"/>
    <w:rsid w:val="00FF4D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9EC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C5"/>
    <w:rPr>
      <w:rFonts w:ascii="Times New Roman" w:hAnsi="Times New Roman" w:cs="Times New Roman"/>
      <w:lang w:eastAsia="en-GB"/>
    </w:rPr>
  </w:style>
  <w:style w:type="paragraph" w:styleId="Heading1">
    <w:name w:val="heading 1"/>
    <w:basedOn w:val="Normal"/>
    <w:next w:val="Normal"/>
    <w:link w:val="Heading1Char"/>
    <w:uiPriority w:val="9"/>
    <w:qFormat/>
    <w:rsid w:val="00041367"/>
    <w:pPr>
      <w:keepNext/>
      <w:keepLines/>
      <w:tabs>
        <w:tab w:val="left" w:pos="1800"/>
      </w:tabs>
      <w:ind w:right="1267"/>
      <w:jc w:val="both"/>
      <w:outlineLvl w:val="0"/>
    </w:pPr>
    <w:rPr>
      <w:rFonts w:eastAsiaTheme="majorEastAsia"/>
      <w:b/>
      <w:color w:val="000000"/>
      <w:sz w:val="22"/>
      <w:szCs w:val="22"/>
      <w:lang w:eastAsia="en-US"/>
    </w:rPr>
  </w:style>
  <w:style w:type="paragraph" w:styleId="Heading2">
    <w:name w:val="heading 2"/>
    <w:basedOn w:val="Normal"/>
    <w:next w:val="Normal"/>
    <w:link w:val="Heading2Char"/>
    <w:autoRedefine/>
    <w:qFormat/>
    <w:rsid w:val="00E02FAA"/>
    <w:pPr>
      <w:keepNext/>
      <w:ind w:right="1267"/>
      <w:jc w:val="both"/>
      <w:outlineLvl w:val="1"/>
    </w:pPr>
    <w:rPr>
      <w:rFonts w:eastAsia="Times New Roman"/>
      <w:b/>
      <w:bCs/>
      <w:color w:val="000000"/>
      <w:sz w:val="20"/>
      <w:szCs w:val="20"/>
    </w:rPr>
  </w:style>
  <w:style w:type="paragraph" w:styleId="Heading4">
    <w:name w:val="heading 4"/>
    <w:basedOn w:val="Normal"/>
    <w:next w:val="Normal"/>
    <w:link w:val="Heading4Char"/>
    <w:uiPriority w:val="9"/>
    <w:semiHidden/>
    <w:unhideWhenUsed/>
    <w:qFormat/>
    <w:rsid w:val="000237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2A23"/>
    <w:pPr>
      <w:widowControl w:val="0"/>
      <w:tabs>
        <w:tab w:val="center" w:pos="4320"/>
        <w:tab w:val="right" w:pos="8640"/>
      </w:tabs>
    </w:pPr>
    <w:rPr>
      <w:rFonts w:ascii="Courier" w:eastAsia="Times New Roman" w:hAnsi="Courier"/>
      <w:sz w:val="22"/>
      <w:szCs w:val="20"/>
      <w:lang w:val="x-none" w:eastAsia="x-none"/>
    </w:rPr>
  </w:style>
  <w:style w:type="character" w:customStyle="1" w:styleId="HeaderChar">
    <w:name w:val="Header Char"/>
    <w:basedOn w:val="DefaultParagraphFont"/>
    <w:link w:val="Header"/>
    <w:uiPriority w:val="99"/>
    <w:rsid w:val="00D12A23"/>
    <w:rPr>
      <w:rFonts w:ascii="Courier" w:eastAsia="Times New Roman" w:hAnsi="Courier" w:cs="Times New Roman"/>
      <w:sz w:val="22"/>
      <w:szCs w:val="20"/>
      <w:lang w:val="x-none" w:eastAsia="x-none"/>
    </w:rPr>
  </w:style>
  <w:style w:type="paragraph" w:customStyle="1" w:styleId="HCh">
    <w:name w:val="_ H _Ch"/>
    <w:basedOn w:val="Normal"/>
    <w:next w:val="Normal"/>
    <w:rsid w:val="00D12A23"/>
    <w:pPr>
      <w:keepNext/>
      <w:keepLines/>
      <w:suppressAutoHyphens/>
      <w:spacing w:line="300" w:lineRule="exact"/>
      <w:outlineLvl w:val="0"/>
    </w:pPr>
    <w:rPr>
      <w:rFonts w:eastAsia="Times New Roman"/>
      <w:b/>
      <w:spacing w:val="-2"/>
      <w:w w:val="103"/>
      <w:kern w:val="14"/>
      <w:sz w:val="28"/>
      <w:szCs w:val="20"/>
      <w:lang w:eastAsia="en-US"/>
    </w:rPr>
  </w:style>
  <w:style w:type="paragraph" w:customStyle="1" w:styleId="XLarge">
    <w:name w:val="XLarge"/>
    <w:basedOn w:val="Normal"/>
    <w:rsid w:val="00D12A23"/>
    <w:pPr>
      <w:keepNext/>
      <w:keepLines/>
      <w:tabs>
        <w:tab w:val="right" w:leader="dot" w:pos="360"/>
      </w:tabs>
      <w:suppressAutoHyphens/>
      <w:spacing w:line="390" w:lineRule="exact"/>
      <w:outlineLvl w:val="0"/>
    </w:pPr>
    <w:rPr>
      <w:rFonts w:eastAsia="Times New Roman"/>
      <w:b/>
      <w:spacing w:val="-4"/>
      <w:w w:val="98"/>
      <w:kern w:val="14"/>
      <w:sz w:val="40"/>
      <w:szCs w:val="20"/>
      <w:lang w:eastAsia="en-US"/>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D12A23"/>
    <w:pPr>
      <w:ind w:left="720"/>
    </w:pPr>
    <w:rPr>
      <w:rFonts w:eastAsia="Times New Roman"/>
      <w:sz w:val="20"/>
      <w:szCs w:val="20"/>
      <w:lang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D12A23"/>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02FAA"/>
    <w:rPr>
      <w:rFonts w:ascii="Times New Roman" w:eastAsia="Times New Roman" w:hAnsi="Times New Roman" w:cs="Times New Roman"/>
      <w:b/>
      <w:bCs/>
      <w:color w:val="000000"/>
      <w:sz w:val="20"/>
      <w:szCs w:val="20"/>
      <w:lang w:eastAsia="en-GB"/>
    </w:rPr>
  </w:style>
  <w:style w:type="character" w:customStyle="1" w:styleId="Heading1Char">
    <w:name w:val="Heading 1 Char"/>
    <w:basedOn w:val="DefaultParagraphFont"/>
    <w:link w:val="Heading1"/>
    <w:uiPriority w:val="9"/>
    <w:rsid w:val="00041367"/>
    <w:rPr>
      <w:rFonts w:ascii="Times New Roman" w:eastAsiaTheme="majorEastAsia" w:hAnsi="Times New Roman" w:cs="Times New Roman"/>
      <w:b/>
      <w:color w:val="000000"/>
      <w:sz w:val="22"/>
      <w:szCs w:val="22"/>
    </w:rPr>
  </w:style>
  <w:style w:type="paragraph" w:styleId="FootnoteText">
    <w:name w:val="footnote text"/>
    <w:aliases w:val="single space,ft,ALTS FOOTNOTE,ADB,FOOTNOTES,fn,Footnote Text Char Char Char,Footnote Text1 Char,Footnote Text2,Footnote Text Char Char Char1 Char,Footnote Text Char Char Char1,Footnote Text Char1 Char,footnote text,Footnote Text Char2,AD,f"/>
    <w:basedOn w:val="Normal"/>
    <w:link w:val="FootnoteTextChar"/>
    <w:uiPriority w:val="99"/>
    <w:unhideWhenUsed/>
    <w:qFormat/>
    <w:rsid w:val="005E253C"/>
    <w:pPr>
      <w:autoSpaceDE w:val="0"/>
      <w:autoSpaceDN w:val="0"/>
      <w:adjustRightInd w:val="0"/>
      <w:jc w:val="both"/>
    </w:pPr>
    <w:rPr>
      <w:rFonts w:asciiTheme="minorHAnsi" w:hAnsiTheme="minorHAnsi" w:cstheme="minorHAnsi"/>
      <w:sz w:val="20"/>
      <w:szCs w:val="20"/>
      <w:lang w:val="en-IE" w:eastAsia="en-US"/>
    </w:rPr>
  </w:style>
  <w:style w:type="character" w:customStyle="1" w:styleId="FootnoteTextChar">
    <w:name w:val="Footnote Text Char"/>
    <w:aliases w:val="single space Char,ft Char,ALTS FOOTNOTE Char,ADB Char,FOOTNOTES Char,fn Char,Footnote Text Char Char Char Char,Footnote Text1 Char Char,Footnote Text2 Char,Footnote Text Char Char Char1 Char Char,Footnote Text Char Char Char1 Char1"/>
    <w:basedOn w:val="DefaultParagraphFont"/>
    <w:link w:val="FootnoteText"/>
    <w:uiPriority w:val="99"/>
    <w:qFormat/>
    <w:rsid w:val="005E253C"/>
    <w:rPr>
      <w:rFonts w:cstheme="minorHAnsi"/>
      <w:sz w:val="20"/>
      <w:szCs w:val="20"/>
      <w:lang w:val="en-IE"/>
    </w:rPr>
  </w:style>
  <w:style w:type="character" w:styleId="FootnoteReference">
    <w:name w:val="footnote reference"/>
    <w:aliases w:val="ftref,Footnote Reference Char Char Char,Carattere Char Carattere Carattere Char Carattere Char Carattere Char Char Char1 Char,Carattere Carattere Char Char Char Carattere Char,fr,R,16 Poin,Char Char,16 Point,Superscript 6 Point,4_G,FZ"/>
    <w:basedOn w:val="DefaultParagraphFont"/>
    <w:link w:val="FootnoteReferencePara"/>
    <w:uiPriority w:val="99"/>
    <w:unhideWhenUsed/>
    <w:qFormat/>
    <w:rsid w:val="005E253C"/>
    <w:rPr>
      <w:rFonts w:cstheme="minorHAnsi"/>
      <w:vertAlign w:val="superscript"/>
    </w:rPr>
  </w:style>
  <w:style w:type="paragraph" w:customStyle="1" w:styleId="FootnoteReferencePara">
    <w:name w:val="Footnote Reference Para"/>
    <w:aliases w:val="ftref Para,Footnote Reference1 Para"/>
    <w:basedOn w:val="Normal"/>
    <w:link w:val="FootnoteReference"/>
    <w:uiPriority w:val="99"/>
    <w:rsid w:val="005E253C"/>
    <w:pPr>
      <w:autoSpaceDE w:val="0"/>
      <w:autoSpaceDN w:val="0"/>
      <w:adjustRightInd w:val="0"/>
      <w:spacing w:before="80" w:after="240" w:line="276" w:lineRule="auto"/>
      <w:jc w:val="both"/>
    </w:pPr>
    <w:rPr>
      <w:rFonts w:asciiTheme="minorHAnsi" w:hAnsiTheme="minorHAnsi" w:cstheme="minorHAnsi"/>
      <w:vertAlign w:val="superscript"/>
      <w:lang w:eastAsia="en-US"/>
    </w:rPr>
  </w:style>
  <w:style w:type="paragraph" w:styleId="CommentText">
    <w:name w:val="annotation text"/>
    <w:basedOn w:val="Normal"/>
    <w:link w:val="CommentTextChar"/>
    <w:uiPriority w:val="99"/>
    <w:unhideWhenUsed/>
    <w:rsid w:val="000B55A0"/>
    <w:pPr>
      <w:suppressAutoHyphens/>
      <w:autoSpaceDN w:val="0"/>
      <w:spacing w:after="160"/>
      <w:textAlignment w:val="baseline"/>
    </w:pPr>
    <w:rPr>
      <w:rFonts w:ascii="Calibri" w:eastAsia="Calibri" w:hAnsi="Calibri" w:cs="Arial"/>
      <w:sz w:val="20"/>
      <w:szCs w:val="20"/>
      <w:lang w:eastAsia="en-US"/>
    </w:rPr>
  </w:style>
  <w:style w:type="character" w:customStyle="1" w:styleId="CommentTextChar">
    <w:name w:val="Comment Text Char"/>
    <w:basedOn w:val="DefaultParagraphFont"/>
    <w:link w:val="CommentText"/>
    <w:uiPriority w:val="99"/>
    <w:rsid w:val="000B55A0"/>
    <w:rPr>
      <w:rFonts w:ascii="Calibri" w:eastAsia="Calibri" w:hAnsi="Calibri" w:cs="Arial"/>
      <w:sz w:val="20"/>
      <w:szCs w:val="20"/>
    </w:rPr>
  </w:style>
  <w:style w:type="character" w:styleId="Hyperlink">
    <w:name w:val="Hyperlink"/>
    <w:uiPriority w:val="99"/>
    <w:rsid w:val="00827DB6"/>
    <w:rPr>
      <w:rFonts w:cs="Times New Roman"/>
      <w:color w:val="336699"/>
      <w:u w:val="none"/>
      <w:effect w:val="none"/>
    </w:rPr>
  </w:style>
  <w:style w:type="paragraph" w:styleId="Footer">
    <w:name w:val="footer"/>
    <w:basedOn w:val="Normal"/>
    <w:link w:val="FooterChar"/>
    <w:uiPriority w:val="99"/>
    <w:unhideWhenUsed/>
    <w:rsid w:val="00EA2A38"/>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EA2A38"/>
  </w:style>
  <w:style w:type="character" w:styleId="PageNumber">
    <w:name w:val="page number"/>
    <w:basedOn w:val="DefaultParagraphFont"/>
    <w:uiPriority w:val="99"/>
    <w:semiHidden/>
    <w:unhideWhenUsed/>
    <w:rsid w:val="00EA2A38"/>
  </w:style>
  <w:style w:type="paragraph" w:styleId="TOCHeading">
    <w:name w:val="TOC Heading"/>
    <w:basedOn w:val="Heading1"/>
    <w:next w:val="Normal"/>
    <w:uiPriority w:val="39"/>
    <w:unhideWhenUsed/>
    <w:qFormat/>
    <w:rsid w:val="00041367"/>
    <w:pPr>
      <w:tabs>
        <w:tab w:val="clear" w:pos="1800"/>
      </w:tabs>
      <w:spacing w:before="480" w:line="276" w:lineRule="auto"/>
      <w:ind w:right="0"/>
      <w:jc w:val="left"/>
      <w:outlineLvl w:val="9"/>
    </w:pPr>
    <w:rPr>
      <w:rFonts w:asciiTheme="majorHAnsi"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041367"/>
    <w:pPr>
      <w:spacing w:before="120"/>
    </w:pPr>
    <w:rPr>
      <w:rFonts w:asciiTheme="minorHAnsi" w:hAnsiTheme="minorHAnsi" w:cstheme="minorBidi"/>
      <w:b/>
      <w:bCs/>
      <w:lang w:eastAsia="en-US"/>
    </w:rPr>
  </w:style>
  <w:style w:type="paragraph" w:styleId="TOC2">
    <w:name w:val="toc 2"/>
    <w:basedOn w:val="Normal"/>
    <w:next w:val="Normal"/>
    <w:autoRedefine/>
    <w:uiPriority w:val="39"/>
    <w:unhideWhenUsed/>
    <w:rsid w:val="00041367"/>
    <w:pPr>
      <w:ind w:left="240"/>
    </w:pPr>
    <w:rPr>
      <w:rFonts w:asciiTheme="minorHAnsi" w:hAnsiTheme="minorHAnsi" w:cstheme="minorBidi"/>
      <w:b/>
      <w:bCs/>
      <w:sz w:val="22"/>
      <w:szCs w:val="22"/>
      <w:lang w:eastAsia="en-US"/>
    </w:rPr>
  </w:style>
  <w:style w:type="paragraph" w:styleId="TOC3">
    <w:name w:val="toc 3"/>
    <w:basedOn w:val="Normal"/>
    <w:next w:val="Normal"/>
    <w:autoRedefine/>
    <w:uiPriority w:val="39"/>
    <w:unhideWhenUsed/>
    <w:rsid w:val="00041367"/>
    <w:pPr>
      <w:ind w:left="480"/>
    </w:pPr>
    <w:rPr>
      <w:rFonts w:asciiTheme="minorHAnsi" w:hAnsiTheme="minorHAnsi" w:cstheme="minorBidi"/>
      <w:sz w:val="22"/>
      <w:szCs w:val="22"/>
      <w:lang w:eastAsia="en-US"/>
    </w:rPr>
  </w:style>
  <w:style w:type="paragraph" w:styleId="TOC4">
    <w:name w:val="toc 4"/>
    <w:basedOn w:val="Normal"/>
    <w:next w:val="Normal"/>
    <w:autoRedefine/>
    <w:uiPriority w:val="39"/>
    <w:semiHidden/>
    <w:unhideWhenUsed/>
    <w:rsid w:val="00041367"/>
    <w:pPr>
      <w:ind w:left="720"/>
    </w:pPr>
    <w:rPr>
      <w:sz w:val="20"/>
      <w:szCs w:val="20"/>
    </w:rPr>
  </w:style>
  <w:style w:type="paragraph" w:styleId="TOC5">
    <w:name w:val="toc 5"/>
    <w:basedOn w:val="Normal"/>
    <w:next w:val="Normal"/>
    <w:autoRedefine/>
    <w:uiPriority w:val="39"/>
    <w:semiHidden/>
    <w:unhideWhenUsed/>
    <w:rsid w:val="00041367"/>
    <w:pPr>
      <w:ind w:left="960"/>
    </w:pPr>
    <w:rPr>
      <w:sz w:val="20"/>
      <w:szCs w:val="20"/>
    </w:rPr>
  </w:style>
  <w:style w:type="paragraph" w:styleId="TOC6">
    <w:name w:val="toc 6"/>
    <w:basedOn w:val="Normal"/>
    <w:next w:val="Normal"/>
    <w:autoRedefine/>
    <w:uiPriority w:val="39"/>
    <w:semiHidden/>
    <w:unhideWhenUsed/>
    <w:rsid w:val="00041367"/>
    <w:pPr>
      <w:ind w:left="1200"/>
    </w:pPr>
    <w:rPr>
      <w:sz w:val="20"/>
      <w:szCs w:val="20"/>
    </w:rPr>
  </w:style>
  <w:style w:type="paragraph" w:styleId="TOC7">
    <w:name w:val="toc 7"/>
    <w:basedOn w:val="Normal"/>
    <w:next w:val="Normal"/>
    <w:autoRedefine/>
    <w:uiPriority w:val="39"/>
    <w:semiHidden/>
    <w:unhideWhenUsed/>
    <w:rsid w:val="00041367"/>
    <w:pPr>
      <w:ind w:left="1440"/>
    </w:pPr>
    <w:rPr>
      <w:sz w:val="20"/>
      <w:szCs w:val="20"/>
    </w:rPr>
  </w:style>
  <w:style w:type="paragraph" w:styleId="TOC8">
    <w:name w:val="toc 8"/>
    <w:basedOn w:val="Normal"/>
    <w:next w:val="Normal"/>
    <w:autoRedefine/>
    <w:uiPriority w:val="39"/>
    <w:semiHidden/>
    <w:unhideWhenUsed/>
    <w:rsid w:val="00041367"/>
    <w:pPr>
      <w:ind w:left="1680"/>
    </w:pPr>
    <w:rPr>
      <w:sz w:val="20"/>
      <w:szCs w:val="20"/>
    </w:rPr>
  </w:style>
  <w:style w:type="paragraph" w:styleId="TOC9">
    <w:name w:val="toc 9"/>
    <w:basedOn w:val="Normal"/>
    <w:next w:val="Normal"/>
    <w:autoRedefine/>
    <w:uiPriority w:val="39"/>
    <w:semiHidden/>
    <w:unhideWhenUsed/>
    <w:rsid w:val="00041367"/>
    <w:pPr>
      <w:ind w:left="1920"/>
    </w:pPr>
    <w:rPr>
      <w:sz w:val="20"/>
      <w:szCs w:val="20"/>
    </w:rPr>
  </w:style>
  <w:style w:type="paragraph" w:styleId="BalloonText">
    <w:name w:val="Balloon Text"/>
    <w:basedOn w:val="Normal"/>
    <w:link w:val="BalloonTextChar"/>
    <w:uiPriority w:val="99"/>
    <w:semiHidden/>
    <w:unhideWhenUsed/>
    <w:rsid w:val="00181478"/>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181478"/>
    <w:rPr>
      <w:rFonts w:ascii="Segoe UI" w:hAnsi="Segoe UI" w:cs="Segoe UI"/>
      <w:sz w:val="18"/>
      <w:szCs w:val="18"/>
    </w:rPr>
  </w:style>
  <w:style w:type="character" w:styleId="CommentReference">
    <w:name w:val="annotation reference"/>
    <w:basedOn w:val="DefaultParagraphFont"/>
    <w:uiPriority w:val="99"/>
    <w:semiHidden/>
    <w:unhideWhenUsed/>
    <w:rsid w:val="00181478"/>
    <w:rPr>
      <w:sz w:val="16"/>
      <w:szCs w:val="16"/>
    </w:rPr>
  </w:style>
  <w:style w:type="paragraph" w:styleId="CommentSubject">
    <w:name w:val="annotation subject"/>
    <w:basedOn w:val="CommentText"/>
    <w:next w:val="CommentText"/>
    <w:link w:val="CommentSubjectChar"/>
    <w:uiPriority w:val="99"/>
    <w:semiHidden/>
    <w:unhideWhenUsed/>
    <w:rsid w:val="00181478"/>
    <w:pPr>
      <w:suppressAutoHyphens w:val="0"/>
      <w:autoSpaceDN/>
      <w:spacing w:after="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1478"/>
    <w:rPr>
      <w:rFonts w:ascii="Calibri" w:eastAsia="Calibri" w:hAnsi="Calibri" w:cs="Arial"/>
      <w:b/>
      <w:bCs/>
      <w:sz w:val="20"/>
      <w:szCs w:val="20"/>
    </w:rPr>
  </w:style>
  <w:style w:type="paragraph" w:styleId="Revision">
    <w:name w:val="Revision"/>
    <w:hidden/>
    <w:uiPriority w:val="99"/>
    <w:semiHidden/>
    <w:rsid w:val="006D4116"/>
  </w:style>
  <w:style w:type="character" w:customStyle="1" w:styleId="apple-converted-space">
    <w:name w:val="apple-converted-space"/>
    <w:basedOn w:val="DefaultParagraphFont"/>
    <w:rsid w:val="00C0010A"/>
  </w:style>
  <w:style w:type="character" w:styleId="FollowedHyperlink">
    <w:name w:val="FollowedHyperlink"/>
    <w:basedOn w:val="DefaultParagraphFont"/>
    <w:uiPriority w:val="99"/>
    <w:semiHidden/>
    <w:unhideWhenUsed/>
    <w:rsid w:val="007164DE"/>
    <w:rPr>
      <w:color w:val="954F72" w:themeColor="followedHyperlink"/>
      <w:u w:val="single"/>
    </w:rPr>
  </w:style>
  <w:style w:type="paragraph" w:styleId="NormalWeb">
    <w:name w:val="Normal (Web)"/>
    <w:basedOn w:val="Normal"/>
    <w:uiPriority w:val="99"/>
    <w:unhideWhenUsed/>
    <w:rsid w:val="00F12106"/>
    <w:pPr>
      <w:spacing w:before="100" w:beforeAutospacing="1" w:after="100" w:afterAutospacing="1"/>
    </w:pPr>
  </w:style>
  <w:style w:type="table" w:styleId="TableGrid">
    <w:name w:val="Table Grid"/>
    <w:basedOn w:val="TableNormal"/>
    <w:uiPriority w:val="39"/>
    <w:rsid w:val="000A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31FC"/>
    <w:rPr>
      <w:lang w:val="en-US"/>
    </w:rPr>
  </w:style>
  <w:style w:type="paragraph" w:customStyle="1" w:styleId="Default">
    <w:name w:val="Default"/>
    <w:rsid w:val="00BB4C9E"/>
    <w:pPr>
      <w:autoSpaceDE w:val="0"/>
      <w:autoSpaceDN w:val="0"/>
      <w:adjustRightInd w:val="0"/>
    </w:pPr>
    <w:rPr>
      <w:rFonts w:ascii="Times New Roman" w:hAnsi="Times New Roman" w:cs="Times New Roman"/>
      <w:color w:val="000000"/>
      <w:lang w:val="en-CA"/>
    </w:rPr>
  </w:style>
  <w:style w:type="paragraph" w:customStyle="1" w:styleId="Char2">
    <w:name w:val="Char2"/>
    <w:basedOn w:val="Normal"/>
    <w:rsid w:val="00577563"/>
    <w:pPr>
      <w:spacing w:line="240" w:lineRule="exact"/>
    </w:pPr>
    <w:rPr>
      <w:vertAlign w:val="superscript"/>
    </w:rPr>
  </w:style>
  <w:style w:type="character" w:customStyle="1" w:styleId="UnresolvedMention1">
    <w:name w:val="Unresolved Mention1"/>
    <w:basedOn w:val="DefaultParagraphFont"/>
    <w:uiPriority w:val="99"/>
    <w:semiHidden/>
    <w:unhideWhenUsed/>
    <w:rsid w:val="006333B0"/>
    <w:rPr>
      <w:color w:val="605E5C"/>
      <w:shd w:val="clear" w:color="auto" w:fill="E1DFDD"/>
    </w:rPr>
  </w:style>
  <w:style w:type="paragraph" w:customStyle="1" w:styleId="Heading11">
    <w:name w:val="Heading 11"/>
    <w:basedOn w:val="Normal"/>
    <w:next w:val="Normal"/>
    <w:uiPriority w:val="9"/>
    <w:qFormat/>
    <w:rsid w:val="0051174B"/>
    <w:pPr>
      <w:keepNext/>
      <w:keepLines/>
      <w:tabs>
        <w:tab w:val="left" w:pos="1800"/>
      </w:tabs>
      <w:ind w:right="1267"/>
      <w:jc w:val="both"/>
      <w:outlineLvl w:val="0"/>
    </w:pPr>
    <w:rPr>
      <w:rFonts w:eastAsia="Times New Roman"/>
      <w:b/>
      <w:color w:val="000000"/>
      <w:sz w:val="22"/>
      <w:szCs w:val="22"/>
      <w:lang w:eastAsia="en-US"/>
    </w:rPr>
  </w:style>
  <w:style w:type="numbering" w:customStyle="1" w:styleId="NoList1">
    <w:name w:val="No List1"/>
    <w:next w:val="NoList"/>
    <w:uiPriority w:val="99"/>
    <w:semiHidden/>
    <w:unhideWhenUsed/>
    <w:rsid w:val="0051174B"/>
  </w:style>
  <w:style w:type="paragraph" w:customStyle="1" w:styleId="f1">
    <w:name w:val="f1"/>
    <w:basedOn w:val="Normal"/>
    <w:next w:val="FootnoteText"/>
    <w:uiPriority w:val="99"/>
    <w:unhideWhenUsed/>
    <w:qFormat/>
    <w:rsid w:val="0051174B"/>
    <w:pPr>
      <w:autoSpaceDE w:val="0"/>
      <w:autoSpaceDN w:val="0"/>
      <w:adjustRightInd w:val="0"/>
      <w:jc w:val="both"/>
    </w:pPr>
    <w:rPr>
      <w:rFonts w:asciiTheme="minorHAnsi" w:hAnsiTheme="minorHAnsi" w:cs="Calibri"/>
      <w:sz w:val="20"/>
      <w:szCs w:val="20"/>
      <w:lang w:val="en-IE" w:eastAsia="en-US"/>
    </w:rPr>
  </w:style>
  <w:style w:type="character" w:customStyle="1" w:styleId="FZ1">
    <w:name w:val="FZ1"/>
    <w:basedOn w:val="DefaultParagraphFont"/>
    <w:uiPriority w:val="99"/>
    <w:unhideWhenUsed/>
    <w:qFormat/>
    <w:rsid w:val="0051174B"/>
    <w:rPr>
      <w:rFonts w:cs="Calibri"/>
      <w:vertAlign w:val="superscript"/>
    </w:rPr>
  </w:style>
  <w:style w:type="paragraph" w:customStyle="1" w:styleId="Footer1">
    <w:name w:val="Footer1"/>
    <w:basedOn w:val="Normal"/>
    <w:next w:val="Footer"/>
    <w:uiPriority w:val="99"/>
    <w:unhideWhenUsed/>
    <w:rsid w:val="0051174B"/>
    <w:pPr>
      <w:tabs>
        <w:tab w:val="center" w:pos="4513"/>
        <w:tab w:val="right" w:pos="9026"/>
      </w:tabs>
    </w:pPr>
    <w:rPr>
      <w:rFonts w:asciiTheme="minorHAnsi" w:hAnsiTheme="minorHAnsi" w:cstheme="minorBidi"/>
      <w:sz w:val="22"/>
      <w:szCs w:val="22"/>
      <w:lang w:val="en-US" w:eastAsia="en-US"/>
    </w:rPr>
  </w:style>
  <w:style w:type="paragraph" w:customStyle="1" w:styleId="TOCHeading1">
    <w:name w:val="TOC Heading1"/>
    <w:basedOn w:val="Heading1"/>
    <w:next w:val="Normal"/>
    <w:uiPriority w:val="39"/>
    <w:unhideWhenUsed/>
    <w:qFormat/>
    <w:rsid w:val="0051174B"/>
    <w:pPr>
      <w:tabs>
        <w:tab w:val="clear" w:pos="1800"/>
      </w:tabs>
      <w:spacing w:before="240" w:line="259" w:lineRule="auto"/>
      <w:ind w:right="0"/>
      <w:jc w:val="left"/>
    </w:pPr>
    <w:rPr>
      <w:rFonts w:eastAsia="Times New Roman"/>
      <w:lang w:val="en-US"/>
    </w:rPr>
  </w:style>
  <w:style w:type="paragraph" w:customStyle="1" w:styleId="TOC11">
    <w:name w:val="TOC 11"/>
    <w:basedOn w:val="Normal"/>
    <w:next w:val="Normal"/>
    <w:autoRedefine/>
    <w:uiPriority w:val="39"/>
    <w:unhideWhenUsed/>
    <w:rsid w:val="0051174B"/>
    <w:pPr>
      <w:spacing w:before="120"/>
    </w:pPr>
    <w:rPr>
      <w:rFonts w:asciiTheme="minorHAnsi" w:hAnsiTheme="minorHAnsi" w:cstheme="minorBidi"/>
      <w:b/>
      <w:bCs/>
      <w:lang w:eastAsia="en-US"/>
    </w:rPr>
  </w:style>
  <w:style w:type="paragraph" w:customStyle="1" w:styleId="TOC21">
    <w:name w:val="TOC 21"/>
    <w:basedOn w:val="Normal"/>
    <w:next w:val="Normal"/>
    <w:autoRedefine/>
    <w:uiPriority w:val="39"/>
    <w:unhideWhenUsed/>
    <w:rsid w:val="0051174B"/>
    <w:pPr>
      <w:ind w:left="240"/>
    </w:pPr>
    <w:rPr>
      <w:rFonts w:asciiTheme="minorHAnsi" w:hAnsiTheme="minorHAnsi" w:cstheme="minorBidi"/>
      <w:b/>
      <w:bCs/>
      <w:sz w:val="22"/>
      <w:szCs w:val="22"/>
      <w:lang w:eastAsia="en-US"/>
    </w:rPr>
  </w:style>
  <w:style w:type="paragraph" w:customStyle="1" w:styleId="TOC31">
    <w:name w:val="TOC 31"/>
    <w:basedOn w:val="Normal"/>
    <w:next w:val="Normal"/>
    <w:autoRedefine/>
    <w:uiPriority w:val="39"/>
    <w:unhideWhenUsed/>
    <w:rsid w:val="0051174B"/>
    <w:pPr>
      <w:ind w:left="480"/>
    </w:pPr>
    <w:rPr>
      <w:rFonts w:asciiTheme="minorHAnsi" w:hAnsiTheme="minorHAnsi" w:cstheme="minorBidi"/>
      <w:sz w:val="22"/>
      <w:szCs w:val="22"/>
      <w:lang w:eastAsia="en-US"/>
    </w:rPr>
  </w:style>
  <w:style w:type="paragraph" w:customStyle="1" w:styleId="CommentSubject1">
    <w:name w:val="Comment Subject1"/>
    <w:basedOn w:val="CommentText"/>
    <w:next w:val="CommentText"/>
    <w:uiPriority w:val="99"/>
    <w:semiHidden/>
    <w:unhideWhenUsed/>
    <w:rsid w:val="0051174B"/>
    <w:pPr>
      <w:suppressAutoHyphens w:val="0"/>
      <w:autoSpaceDN/>
      <w:spacing w:after="0"/>
      <w:textAlignment w:val="auto"/>
    </w:pPr>
    <w:rPr>
      <w:rFonts w:cs="Times New Roman"/>
      <w:b/>
      <w:bCs/>
    </w:rPr>
  </w:style>
  <w:style w:type="character" w:customStyle="1" w:styleId="FollowedHyperlink1">
    <w:name w:val="FollowedHyperlink1"/>
    <w:basedOn w:val="DefaultParagraphFont"/>
    <w:uiPriority w:val="99"/>
    <w:semiHidden/>
    <w:unhideWhenUsed/>
    <w:rsid w:val="0051174B"/>
    <w:rPr>
      <w:color w:val="954F72"/>
      <w:u w:val="single"/>
    </w:rPr>
  </w:style>
  <w:style w:type="character" w:customStyle="1" w:styleId="Heading1Char1">
    <w:name w:val="Heading 1 Char1"/>
    <w:basedOn w:val="DefaultParagraphFont"/>
    <w:uiPriority w:val="9"/>
    <w:rsid w:val="0051174B"/>
    <w:rPr>
      <w:rFonts w:asciiTheme="majorHAnsi" w:eastAsiaTheme="majorEastAsia" w:hAnsiTheme="majorHAnsi" w:cstheme="majorBidi"/>
      <w:color w:val="2F5496" w:themeColor="accent1" w:themeShade="BF"/>
      <w:sz w:val="32"/>
      <w:szCs w:val="32"/>
    </w:rPr>
  </w:style>
  <w:style w:type="character" w:customStyle="1" w:styleId="FootnoteTextChar1">
    <w:name w:val="Footnote Text Char1"/>
    <w:basedOn w:val="DefaultParagraphFont"/>
    <w:uiPriority w:val="99"/>
    <w:semiHidden/>
    <w:rsid w:val="0051174B"/>
    <w:rPr>
      <w:sz w:val="20"/>
      <w:szCs w:val="20"/>
    </w:rPr>
  </w:style>
  <w:style w:type="character" w:customStyle="1" w:styleId="FooterChar1">
    <w:name w:val="Footer Char1"/>
    <w:basedOn w:val="DefaultParagraphFont"/>
    <w:uiPriority w:val="99"/>
    <w:semiHidden/>
    <w:rsid w:val="0051174B"/>
  </w:style>
  <w:style w:type="character" w:customStyle="1" w:styleId="CommentSubjectChar1">
    <w:name w:val="Comment Subject Char1"/>
    <w:basedOn w:val="CommentTextChar"/>
    <w:uiPriority w:val="99"/>
    <w:semiHidden/>
    <w:rsid w:val="0051174B"/>
    <w:rPr>
      <w:rFonts w:ascii="Calibri" w:eastAsia="Calibri" w:hAnsi="Calibri" w:cs="Arial"/>
      <w:b/>
      <w:bCs/>
      <w:sz w:val="20"/>
      <w:szCs w:val="20"/>
      <w:lang w:val="en-GB"/>
    </w:rPr>
  </w:style>
  <w:style w:type="character" w:customStyle="1" w:styleId="Heading4Char">
    <w:name w:val="Heading 4 Char"/>
    <w:basedOn w:val="DefaultParagraphFont"/>
    <w:link w:val="Heading4"/>
    <w:uiPriority w:val="9"/>
    <w:semiHidden/>
    <w:rsid w:val="000237D8"/>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8840">
      <w:bodyDiv w:val="1"/>
      <w:marLeft w:val="0"/>
      <w:marRight w:val="0"/>
      <w:marTop w:val="0"/>
      <w:marBottom w:val="0"/>
      <w:divBdr>
        <w:top w:val="none" w:sz="0" w:space="0" w:color="auto"/>
        <w:left w:val="none" w:sz="0" w:space="0" w:color="auto"/>
        <w:bottom w:val="none" w:sz="0" w:space="0" w:color="auto"/>
        <w:right w:val="none" w:sz="0" w:space="0" w:color="auto"/>
      </w:divBdr>
    </w:div>
    <w:div w:id="10423828">
      <w:bodyDiv w:val="1"/>
      <w:marLeft w:val="0"/>
      <w:marRight w:val="0"/>
      <w:marTop w:val="0"/>
      <w:marBottom w:val="0"/>
      <w:divBdr>
        <w:top w:val="none" w:sz="0" w:space="0" w:color="auto"/>
        <w:left w:val="none" w:sz="0" w:space="0" w:color="auto"/>
        <w:bottom w:val="none" w:sz="0" w:space="0" w:color="auto"/>
        <w:right w:val="none" w:sz="0" w:space="0" w:color="auto"/>
      </w:divBdr>
    </w:div>
    <w:div w:id="12849503">
      <w:bodyDiv w:val="1"/>
      <w:marLeft w:val="0"/>
      <w:marRight w:val="0"/>
      <w:marTop w:val="0"/>
      <w:marBottom w:val="0"/>
      <w:divBdr>
        <w:top w:val="none" w:sz="0" w:space="0" w:color="auto"/>
        <w:left w:val="none" w:sz="0" w:space="0" w:color="auto"/>
        <w:bottom w:val="none" w:sz="0" w:space="0" w:color="auto"/>
        <w:right w:val="none" w:sz="0" w:space="0" w:color="auto"/>
      </w:divBdr>
    </w:div>
    <w:div w:id="15356158">
      <w:bodyDiv w:val="1"/>
      <w:marLeft w:val="0"/>
      <w:marRight w:val="0"/>
      <w:marTop w:val="0"/>
      <w:marBottom w:val="0"/>
      <w:divBdr>
        <w:top w:val="none" w:sz="0" w:space="0" w:color="auto"/>
        <w:left w:val="none" w:sz="0" w:space="0" w:color="auto"/>
        <w:bottom w:val="none" w:sz="0" w:space="0" w:color="auto"/>
        <w:right w:val="none" w:sz="0" w:space="0" w:color="auto"/>
      </w:divBdr>
    </w:div>
    <w:div w:id="18362157">
      <w:bodyDiv w:val="1"/>
      <w:marLeft w:val="0"/>
      <w:marRight w:val="0"/>
      <w:marTop w:val="0"/>
      <w:marBottom w:val="0"/>
      <w:divBdr>
        <w:top w:val="none" w:sz="0" w:space="0" w:color="auto"/>
        <w:left w:val="none" w:sz="0" w:space="0" w:color="auto"/>
        <w:bottom w:val="none" w:sz="0" w:space="0" w:color="auto"/>
        <w:right w:val="none" w:sz="0" w:space="0" w:color="auto"/>
      </w:divBdr>
      <w:divsChild>
        <w:div w:id="1950312111">
          <w:marLeft w:val="1440"/>
          <w:marRight w:val="0"/>
          <w:marTop w:val="0"/>
          <w:marBottom w:val="0"/>
          <w:divBdr>
            <w:top w:val="none" w:sz="0" w:space="0" w:color="auto"/>
            <w:left w:val="none" w:sz="0" w:space="0" w:color="auto"/>
            <w:bottom w:val="none" w:sz="0" w:space="0" w:color="auto"/>
            <w:right w:val="none" w:sz="0" w:space="0" w:color="auto"/>
          </w:divBdr>
        </w:div>
      </w:divsChild>
    </w:div>
    <w:div w:id="43526096">
      <w:bodyDiv w:val="1"/>
      <w:marLeft w:val="0"/>
      <w:marRight w:val="0"/>
      <w:marTop w:val="0"/>
      <w:marBottom w:val="0"/>
      <w:divBdr>
        <w:top w:val="none" w:sz="0" w:space="0" w:color="auto"/>
        <w:left w:val="none" w:sz="0" w:space="0" w:color="auto"/>
        <w:bottom w:val="none" w:sz="0" w:space="0" w:color="auto"/>
        <w:right w:val="none" w:sz="0" w:space="0" w:color="auto"/>
      </w:divBdr>
    </w:div>
    <w:div w:id="64686327">
      <w:bodyDiv w:val="1"/>
      <w:marLeft w:val="0"/>
      <w:marRight w:val="0"/>
      <w:marTop w:val="0"/>
      <w:marBottom w:val="0"/>
      <w:divBdr>
        <w:top w:val="none" w:sz="0" w:space="0" w:color="auto"/>
        <w:left w:val="none" w:sz="0" w:space="0" w:color="auto"/>
        <w:bottom w:val="none" w:sz="0" w:space="0" w:color="auto"/>
        <w:right w:val="none" w:sz="0" w:space="0" w:color="auto"/>
      </w:divBdr>
    </w:div>
    <w:div w:id="225576627">
      <w:bodyDiv w:val="1"/>
      <w:marLeft w:val="0"/>
      <w:marRight w:val="0"/>
      <w:marTop w:val="0"/>
      <w:marBottom w:val="0"/>
      <w:divBdr>
        <w:top w:val="none" w:sz="0" w:space="0" w:color="auto"/>
        <w:left w:val="none" w:sz="0" w:space="0" w:color="auto"/>
        <w:bottom w:val="none" w:sz="0" w:space="0" w:color="auto"/>
        <w:right w:val="none" w:sz="0" w:space="0" w:color="auto"/>
      </w:divBdr>
      <w:divsChild>
        <w:div w:id="1365592784">
          <w:marLeft w:val="547"/>
          <w:marRight w:val="0"/>
          <w:marTop w:val="134"/>
          <w:marBottom w:val="0"/>
          <w:divBdr>
            <w:top w:val="none" w:sz="0" w:space="0" w:color="auto"/>
            <w:left w:val="none" w:sz="0" w:space="0" w:color="auto"/>
            <w:bottom w:val="none" w:sz="0" w:space="0" w:color="auto"/>
            <w:right w:val="none" w:sz="0" w:space="0" w:color="auto"/>
          </w:divBdr>
        </w:div>
        <w:div w:id="638732461">
          <w:marLeft w:val="1166"/>
          <w:marRight w:val="0"/>
          <w:marTop w:val="134"/>
          <w:marBottom w:val="0"/>
          <w:divBdr>
            <w:top w:val="none" w:sz="0" w:space="0" w:color="auto"/>
            <w:left w:val="none" w:sz="0" w:space="0" w:color="auto"/>
            <w:bottom w:val="none" w:sz="0" w:space="0" w:color="auto"/>
            <w:right w:val="none" w:sz="0" w:space="0" w:color="auto"/>
          </w:divBdr>
        </w:div>
        <w:div w:id="1965505519">
          <w:marLeft w:val="1166"/>
          <w:marRight w:val="0"/>
          <w:marTop w:val="134"/>
          <w:marBottom w:val="0"/>
          <w:divBdr>
            <w:top w:val="none" w:sz="0" w:space="0" w:color="auto"/>
            <w:left w:val="none" w:sz="0" w:space="0" w:color="auto"/>
            <w:bottom w:val="none" w:sz="0" w:space="0" w:color="auto"/>
            <w:right w:val="none" w:sz="0" w:space="0" w:color="auto"/>
          </w:divBdr>
        </w:div>
        <w:div w:id="1999769865">
          <w:marLeft w:val="1166"/>
          <w:marRight w:val="0"/>
          <w:marTop w:val="134"/>
          <w:marBottom w:val="0"/>
          <w:divBdr>
            <w:top w:val="none" w:sz="0" w:space="0" w:color="auto"/>
            <w:left w:val="none" w:sz="0" w:space="0" w:color="auto"/>
            <w:bottom w:val="none" w:sz="0" w:space="0" w:color="auto"/>
            <w:right w:val="none" w:sz="0" w:space="0" w:color="auto"/>
          </w:divBdr>
        </w:div>
        <w:div w:id="870611789">
          <w:marLeft w:val="1166"/>
          <w:marRight w:val="0"/>
          <w:marTop w:val="134"/>
          <w:marBottom w:val="0"/>
          <w:divBdr>
            <w:top w:val="none" w:sz="0" w:space="0" w:color="auto"/>
            <w:left w:val="none" w:sz="0" w:space="0" w:color="auto"/>
            <w:bottom w:val="none" w:sz="0" w:space="0" w:color="auto"/>
            <w:right w:val="none" w:sz="0" w:space="0" w:color="auto"/>
          </w:divBdr>
        </w:div>
        <w:div w:id="948706988">
          <w:marLeft w:val="1166"/>
          <w:marRight w:val="0"/>
          <w:marTop w:val="134"/>
          <w:marBottom w:val="0"/>
          <w:divBdr>
            <w:top w:val="none" w:sz="0" w:space="0" w:color="auto"/>
            <w:left w:val="none" w:sz="0" w:space="0" w:color="auto"/>
            <w:bottom w:val="none" w:sz="0" w:space="0" w:color="auto"/>
            <w:right w:val="none" w:sz="0" w:space="0" w:color="auto"/>
          </w:divBdr>
        </w:div>
        <w:div w:id="1272006975">
          <w:marLeft w:val="547"/>
          <w:marRight w:val="0"/>
          <w:marTop w:val="134"/>
          <w:marBottom w:val="0"/>
          <w:divBdr>
            <w:top w:val="none" w:sz="0" w:space="0" w:color="auto"/>
            <w:left w:val="none" w:sz="0" w:space="0" w:color="auto"/>
            <w:bottom w:val="none" w:sz="0" w:space="0" w:color="auto"/>
            <w:right w:val="none" w:sz="0" w:space="0" w:color="auto"/>
          </w:divBdr>
        </w:div>
      </w:divsChild>
    </w:div>
    <w:div w:id="251934302">
      <w:bodyDiv w:val="1"/>
      <w:marLeft w:val="0"/>
      <w:marRight w:val="0"/>
      <w:marTop w:val="0"/>
      <w:marBottom w:val="0"/>
      <w:divBdr>
        <w:top w:val="none" w:sz="0" w:space="0" w:color="auto"/>
        <w:left w:val="none" w:sz="0" w:space="0" w:color="auto"/>
        <w:bottom w:val="none" w:sz="0" w:space="0" w:color="auto"/>
        <w:right w:val="none" w:sz="0" w:space="0" w:color="auto"/>
      </w:divBdr>
    </w:div>
    <w:div w:id="265424232">
      <w:bodyDiv w:val="1"/>
      <w:marLeft w:val="0"/>
      <w:marRight w:val="0"/>
      <w:marTop w:val="0"/>
      <w:marBottom w:val="0"/>
      <w:divBdr>
        <w:top w:val="none" w:sz="0" w:space="0" w:color="auto"/>
        <w:left w:val="none" w:sz="0" w:space="0" w:color="auto"/>
        <w:bottom w:val="none" w:sz="0" w:space="0" w:color="auto"/>
        <w:right w:val="none" w:sz="0" w:space="0" w:color="auto"/>
      </w:divBdr>
    </w:div>
    <w:div w:id="325942929">
      <w:bodyDiv w:val="1"/>
      <w:marLeft w:val="0"/>
      <w:marRight w:val="0"/>
      <w:marTop w:val="0"/>
      <w:marBottom w:val="0"/>
      <w:divBdr>
        <w:top w:val="none" w:sz="0" w:space="0" w:color="auto"/>
        <w:left w:val="none" w:sz="0" w:space="0" w:color="auto"/>
        <w:bottom w:val="none" w:sz="0" w:space="0" w:color="auto"/>
        <w:right w:val="none" w:sz="0" w:space="0" w:color="auto"/>
      </w:divBdr>
    </w:div>
    <w:div w:id="339508594">
      <w:bodyDiv w:val="1"/>
      <w:marLeft w:val="0"/>
      <w:marRight w:val="0"/>
      <w:marTop w:val="0"/>
      <w:marBottom w:val="0"/>
      <w:divBdr>
        <w:top w:val="none" w:sz="0" w:space="0" w:color="auto"/>
        <w:left w:val="none" w:sz="0" w:space="0" w:color="auto"/>
        <w:bottom w:val="none" w:sz="0" w:space="0" w:color="auto"/>
        <w:right w:val="none" w:sz="0" w:space="0" w:color="auto"/>
      </w:divBdr>
    </w:div>
    <w:div w:id="367804482">
      <w:bodyDiv w:val="1"/>
      <w:marLeft w:val="0"/>
      <w:marRight w:val="0"/>
      <w:marTop w:val="0"/>
      <w:marBottom w:val="0"/>
      <w:divBdr>
        <w:top w:val="none" w:sz="0" w:space="0" w:color="auto"/>
        <w:left w:val="none" w:sz="0" w:space="0" w:color="auto"/>
        <w:bottom w:val="none" w:sz="0" w:space="0" w:color="auto"/>
        <w:right w:val="none" w:sz="0" w:space="0" w:color="auto"/>
      </w:divBdr>
    </w:div>
    <w:div w:id="409348755">
      <w:bodyDiv w:val="1"/>
      <w:marLeft w:val="0"/>
      <w:marRight w:val="0"/>
      <w:marTop w:val="0"/>
      <w:marBottom w:val="0"/>
      <w:divBdr>
        <w:top w:val="none" w:sz="0" w:space="0" w:color="auto"/>
        <w:left w:val="none" w:sz="0" w:space="0" w:color="auto"/>
        <w:bottom w:val="none" w:sz="0" w:space="0" w:color="auto"/>
        <w:right w:val="none" w:sz="0" w:space="0" w:color="auto"/>
      </w:divBdr>
    </w:div>
    <w:div w:id="413666425">
      <w:bodyDiv w:val="1"/>
      <w:marLeft w:val="0"/>
      <w:marRight w:val="0"/>
      <w:marTop w:val="0"/>
      <w:marBottom w:val="0"/>
      <w:divBdr>
        <w:top w:val="none" w:sz="0" w:space="0" w:color="auto"/>
        <w:left w:val="none" w:sz="0" w:space="0" w:color="auto"/>
        <w:bottom w:val="none" w:sz="0" w:space="0" w:color="auto"/>
        <w:right w:val="none" w:sz="0" w:space="0" w:color="auto"/>
      </w:divBdr>
    </w:div>
    <w:div w:id="417606259">
      <w:bodyDiv w:val="1"/>
      <w:marLeft w:val="0"/>
      <w:marRight w:val="0"/>
      <w:marTop w:val="0"/>
      <w:marBottom w:val="0"/>
      <w:divBdr>
        <w:top w:val="none" w:sz="0" w:space="0" w:color="auto"/>
        <w:left w:val="none" w:sz="0" w:space="0" w:color="auto"/>
        <w:bottom w:val="none" w:sz="0" w:space="0" w:color="auto"/>
        <w:right w:val="none" w:sz="0" w:space="0" w:color="auto"/>
      </w:divBdr>
      <w:divsChild>
        <w:div w:id="1256474713">
          <w:marLeft w:val="0"/>
          <w:marRight w:val="0"/>
          <w:marTop w:val="0"/>
          <w:marBottom w:val="0"/>
          <w:divBdr>
            <w:top w:val="none" w:sz="0" w:space="0" w:color="auto"/>
            <w:left w:val="none" w:sz="0" w:space="0" w:color="auto"/>
            <w:bottom w:val="none" w:sz="0" w:space="0" w:color="auto"/>
            <w:right w:val="none" w:sz="0" w:space="0" w:color="auto"/>
          </w:divBdr>
          <w:divsChild>
            <w:div w:id="1450587515">
              <w:marLeft w:val="0"/>
              <w:marRight w:val="0"/>
              <w:marTop w:val="0"/>
              <w:marBottom w:val="0"/>
              <w:divBdr>
                <w:top w:val="none" w:sz="0" w:space="0" w:color="auto"/>
                <w:left w:val="none" w:sz="0" w:space="0" w:color="auto"/>
                <w:bottom w:val="none" w:sz="0" w:space="0" w:color="auto"/>
                <w:right w:val="none" w:sz="0" w:space="0" w:color="auto"/>
              </w:divBdr>
              <w:divsChild>
                <w:div w:id="17510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5260">
      <w:bodyDiv w:val="1"/>
      <w:marLeft w:val="0"/>
      <w:marRight w:val="0"/>
      <w:marTop w:val="0"/>
      <w:marBottom w:val="0"/>
      <w:divBdr>
        <w:top w:val="none" w:sz="0" w:space="0" w:color="auto"/>
        <w:left w:val="none" w:sz="0" w:space="0" w:color="auto"/>
        <w:bottom w:val="none" w:sz="0" w:space="0" w:color="auto"/>
        <w:right w:val="none" w:sz="0" w:space="0" w:color="auto"/>
      </w:divBdr>
    </w:div>
    <w:div w:id="469980570">
      <w:bodyDiv w:val="1"/>
      <w:marLeft w:val="0"/>
      <w:marRight w:val="0"/>
      <w:marTop w:val="0"/>
      <w:marBottom w:val="0"/>
      <w:divBdr>
        <w:top w:val="none" w:sz="0" w:space="0" w:color="auto"/>
        <w:left w:val="none" w:sz="0" w:space="0" w:color="auto"/>
        <w:bottom w:val="none" w:sz="0" w:space="0" w:color="auto"/>
        <w:right w:val="none" w:sz="0" w:space="0" w:color="auto"/>
      </w:divBdr>
    </w:div>
    <w:div w:id="504368650">
      <w:bodyDiv w:val="1"/>
      <w:marLeft w:val="0"/>
      <w:marRight w:val="0"/>
      <w:marTop w:val="0"/>
      <w:marBottom w:val="0"/>
      <w:divBdr>
        <w:top w:val="none" w:sz="0" w:space="0" w:color="auto"/>
        <w:left w:val="none" w:sz="0" w:space="0" w:color="auto"/>
        <w:bottom w:val="none" w:sz="0" w:space="0" w:color="auto"/>
        <w:right w:val="none" w:sz="0" w:space="0" w:color="auto"/>
      </w:divBdr>
    </w:div>
    <w:div w:id="531503647">
      <w:bodyDiv w:val="1"/>
      <w:marLeft w:val="0"/>
      <w:marRight w:val="0"/>
      <w:marTop w:val="0"/>
      <w:marBottom w:val="0"/>
      <w:divBdr>
        <w:top w:val="none" w:sz="0" w:space="0" w:color="auto"/>
        <w:left w:val="none" w:sz="0" w:space="0" w:color="auto"/>
        <w:bottom w:val="none" w:sz="0" w:space="0" w:color="auto"/>
        <w:right w:val="none" w:sz="0" w:space="0" w:color="auto"/>
      </w:divBdr>
    </w:div>
    <w:div w:id="540828185">
      <w:bodyDiv w:val="1"/>
      <w:marLeft w:val="0"/>
      <w:marRight w:val="0"/>
      <w:marTop w:val="0"/>
      <w:marBottom w:val="0"/>
      <w:divBdr>
        <w:top w:val="none" w:sz="0" w:space="0" w:color="auto"/>
        <w:left w:val="none" w:sz="0" w:space="0" w:color="auto"/>
        <w:bottom w:val="none" w:sz="0" w:space="0" w:color="auto"/>
        <w:right w:val="none" w:sz="0" w:space="0" w:color="auto"/>
      </w:divBdr>
    </w:div>
    <w:div w:id="573928670">
      <w:bodyDiv w:val="1"/>
      <w:marLeft w:val="0"/>
      <w:marRight w:val="0"/>
      <w:marTop w:val="0"/>
      <w:marBottom w:val="0"/>
      <w:divBdr>
        <w:top w:val="none" w:sz="0" w:space="0" w:color="auto"/>
        <w:left w:val="none" w:sz="0" w:space="0" w:color="auto"/>
        <w:bottom w:val="none" w:sz="0" w:space="0" w:color="auto"/>
        <w:right w:val="none" w:sz="0" w:space="0" w:color="auto"/>
      </w:divBdr>
      <w:divsChild>
        <w:div w:id="2059934259">
          <w:marLeft w:val="1440"/>
          <w:marRight w:val="0"/>
          <w:marTop w:val="120"/>
          <w:marBottom w:val="0"/>
          <w:divBdr>
            <w:top w:val="none" w:sz="0" w:space="0" w:color="auto"/>
            <w:left w:val="none" w:sz="0" w:space="0" w:color="auto"/>
            <w:bottom w:val="none" w:sz="0" w:space="0" w:color="auto"/>
            <w:right w:val="none" w:sz="0" w:space="0" w:color="auto"/>
          </w:divBdr>
        </w:div>
      </w:divsChild>
    </w:div>
    <w:div w:id="576131983">
      <w:bodyDiv w:val="1"/>
      <w:marLeft w:val="0"/>
      <w:marRight w:val="0"/>
      <w:marTop w:val="0"/>
      <w:marBottom w:val="0"/>
      <w:divBdr>
        <w:top w:val="none" w:sz="0" w:space="0" w:color="auto"/>
        <w:left w:val="none" w:sz="0" w:space="0" w:color="auto"/>
        <w:bottom w:val="none" w:sz="0" w:space="0" w:color="auto"/>
        <w:right w:val="none" w:sz="0" w:space="0" w:color="auto"/>
      </w:divBdr>
    </w:div>
    <w:div w:id="590742706">
      <w:bodyDiv w:val="1"/>
      <w:marLeft w:val="0"/>
      <w:marRight w:val="0"/>
      <w:marTop w:val="0"/>
      <w:marBottom w:val="0"/>
      <w:divBdr>
        <w:top w:val="none" w:sz="0" w:space="0" w:color="auto"/>
        <w:left w:val="none" w:sz="0" w:space="0" w:color="auto"/>
        <w:bottom w:val="none" w:sz="0" w:space="0" w:color="auto"/>
        <w:right w:val="none" w:sz="0" w:space="0" w:color="auto"/>
      </w:divBdr>
    </w:div>
    <w:div w:id="595358227">
      <w:bodyDiv w:val="1"/>
      <w:marLeft w:val="0"/>
      <w:marRight w:val="0"/>
      <w:marTop w:val="0"/>
      <w:marBottom w:val="0"/>
      <w:divBdr>
        <w:top w:val="none" w:sz="0" w:space="0" w:color="auto"/>
        <w:left w:val="none" w:sz="0" w:space="0" w:color="auto"/>
        <w:bottom w:val="none" w:sz="0" w:space="0" w:color="auto"/>
        <w:right w:val="none" w:sz="0" w:space="0" w:color="auto"/>
      </w:divBdr>
    </w:div>
    <w:div w:id="600141969">
      <w:bodyDiv w:val="1"/>
      <w:marLeft w:val="0"/>
      <w:marRight w:val="0"/>
      <w:marTop w:val="0"/>
      <w:marBottom w:val="0"/>
      <w:divBdr>
        <w:top w:val="none" w:sz="0" w:space="0" w:color="auto"/>
        <w:left w:val="none" w:sz="0" w:space="0" w:color="auto"/>
        <w:bottom w:val="none" w:sz="0" w:space="0" w:color="auto"/>
        <w:right w:val="none" w:sz="0" w:space="0" w:color="auto"/>
      </w:divBdr>
    </w:div>
    <w:div w:id="607737881">
      <w:bodyDiv w:val="1"/>
      <w:marLeft w:val="0"/>
      <w:marRight w:val="0"/>
      <w:marTop w:val="0"/>
      <w:marBottom w:val="0"/>
      <w:divBdr>
        <w:top w:val="none" w:sz="0" w:space="0" w:color="auto"/>
        <w:left w:val="none" w:sz="0" w:space="0" w:color="auto"/>
        <w:bottom w:val="none" w:sz="0" w:space="0" w:color="auto"/>
        <w:right w:val="none" w:sz="0" w:space="0" w:color="auto"/>
      </w:divBdr>
    </w:div>
    <w:div w:id="630016074">
      <w:bodyDiv w:val="1"/>
      <w:marLeft w:val="0"/>
      <w:marRight w:val="0"/>
      <w:marTop w:val="0"/>
      <w:marBottom w:val="0"/>
      <w:divBdr>
        <w:top w:val="none" w:sz="0" w:space="0" w:color="auto"/>
        <w:left w:val="none" w:sz="0" w:space="0" w:color="auto"/>
        <w:bottom w:val="none" w:sz="0" w:space="0" w:color="auto"/>
        <w:right w:val="none" w:sz="0" w:space="0" w:color="auto"/>
      </w:divBdr>
    </w:div>
    <w:div w:id="654191042">
      <w:bodyDiv w:val="1"/>
      <w:marLeft w:val="0"/>
      <w:marRight w:val="0"/>
      <w:marTop w:val="0"/>
      <w:marBottom w:val="0"/>
      <w:divBdr>
        <w:top w:val="none" w:sz="0" w:space="0" w:color="auto"/>
        <w:left w:val="none" w:sz="0" w:space="0" w:color="auto"/>
        <w:bottom w:val="none" w:sz="0" w:space="0" w:color="auto"/>
        <w:right w:val="none" w:sz="0" w:space="0" w:color="auto"/>
      </w:divBdr>
    </w:div>
    <w:div w:id="664864456">
      <w:bodyDiv w:val="1"/>
      <w:marLeft w:val="0"/>
      <w:marRight w:val="0"/>
      <w:marTop w:val="0"/>
      <w:marBottom w:val="0"/>
      <w:divBdr>
        <w:top w:val="none" w:sz="0" w:space="0" w:color="auto"/>
        <w:left w:val="none" w:sz="0" w:space="0" w:color="auto"/>
        <w:bottom w:val="none" w:sz="0" w:space="0" w:color="auto"/>
        <w:right w:val="none" w:sz="0" w:space="0" w:color="auto"/>
      </w:divBdr>
    </w:div>
    <w:div w:id="665982719">
      <w:bodyDiv w:val="1"/>
      <w:marLeft w:val="0"/>
      <w:marRight w:val="0"/>
      <w:marTop w:val="0"/>
      <w:marBottom w:val="0"/>
      <w:divBdr>
        <w:top w:val="none" w:sz="0" w:space="0" w:color="auto"/>
        <w:left w:val="none" w:sz="0" w:space="0" w:color="auto"/>
        <w:bottom w:val="none" w:sz="0" w:space="0" w:color="auto"/>
        <w:right w:val="none" w:sz="0" w:space="0" w:color="auto"/>
      </w:divBdr>
    </w:div>
    <w:div w:id="705183199">
      <w:bodyDiv w:val="1"/>
      <w:marLeft w:val="0"/>
      <w:marRight w:val="0"/>
      <w:marTop w:val="0"/>
      <w:marBottom w:val="0"/>
      <w:divBdr>
        <w:top w:val="none" w:sz="0" w:space="0" w:color="auto"/>
        <w:left w:val="none" w:sz="0" w:space="0" w:color="auto"/>
        <w:bottom w:val="none" w:sz="0" w:space="0" w:color="auto"/>
        <w:right w:val="none" w:sz="0" w:space="0" w:color="auto"/>
      </w:divBdr>
    </w:div>
    <w:div w:id="718940357">
      <w:bodyDiv w:val="1"/>
      <w:marLeft w:val="0"/>
      <w:marRight w:val="0"/>
      <w:marTop w:val="0"/>
      <w:marBottom w:val="0"/>
      <w:divBdr>
        <w:top w:val="none" w:sz="0" w:space="0" w:color="auto"/>
        <w:left w:val="none" w:sz="0" w:space="0" w:color="auto"/>
        <w:bottom w:val="none" w:sz="0" w:space="0" w:color="auto"/>
        <w:right w:val="none" w:sz="0" w:space="0" w:color="auto"/>
      </w:divBdr>
      <w:divsChild>
        <w:div w:id="383212752">
          <w:marLeft w:val="446"/>
          <w:marRight w:val="0"/>
          <w:marTop w:val="0"/>
          <w:marBottom w:val="0"/>
          <w:divBdr>
            <w:top w:val="none" w:sz="0" w:space="0" w:color="auto"/>
            <w:left w:val="none" w:sz="0" w:space="0" w:color="auto"/>
            <w:bottom w:val="none" w:sz="0" w:space="0" w:color="auto"/>
            <w:right w:val="none" w:sz="0" w:space="0" w:color="auto"/>
          </w:divBdr>
        </w:div>
        <w:div w:id="1270507044">
          <w:marLeft w:val="446"/>
          <w:marRight w:val="0"/>
          <w:marTop w:val="0"/>
          <w:marBottom w:val="0"/>
          <w:divBdr>
            <w:top w:val="none" w:sz="0" w:space="0" w:color="auto"/>
            <w:left w:val="none" w:sz="0" w:space="0" w:color="auto"/>
            <w:bottom w:val="none" w:sz="0" w:space="0" w:color="auto"/>
            <w:right w:val="none" w:sz="0" w:space="0" w:color="auto"/>
          </w:divBdr>
        </w:div>
        <w:div w:id="664748049">
          <w:marLeft w:val="446"/>
          <w:marRight w:val="0"/>
          <w:marTop w:val="0"/>
          <w:marBottom w:val="0"/>
          <w:divBdr>
            <w:top w:val="none" w:sz="0" w:space="0" w:color="auto"/>
            <w:left w:val="none" w:sz="0" w:space="0" w:color="auto"/>
            <w:bottom w:val="none" w:sz="0" w:space="0" w:color="auto"/>
            <w:right w:val="none" w:sz="0" w:space="0" w:color="auto"/>
          </w:divBdr>
        </w:div>
        <w:div w:id="1863859803">
          <w:marLeft w:val="446"/>
          <w:marRight w:val="0"/>
          <w:marTop w:val="0"/>
          <w:marBottom w:val="0"/>
          <w:divBdr>
            <w:top w:val="none" w:sz="0" w:space="0" w:color="auto"/>
            <w:left w:val="none" w:sz="0" w:space="0" w:color="auto"/>
            <w:bottom w:val="none" w:sz="0" w:space="0" w:color="auto"/>
            <w:right w:val="none" w:sz="0" w:space="0" w:color="auto"/>
          </w:divBdr>
        </w:div>
        <w:div w:id="1419906594">
          <w:marLeft w:val="446"/>
          <w:marRight w:val="0"/>
          <w:marTop w:val="0"/>
          <w:marBottom w:val="0"/>
          <w:divBdr>
            <w:top w:val="none" w:sz="0" w:space="0" w:color="auto"/>
            <w:left w:val="none" w:sz="0" w:space="0" w:color="auto"/>
            <w:bottom w:val="none" w:sz="0" w:space="0" w:color="auto"/>
            <w:right w:val="none" w:sz="0" w:space="0" w:color="auto"/>
          </w:divBdr>
        </w:div>
        <w:div w:id="1081679268">
          <w:marLeft w:val="446"/>
          <w:marRight w:val="0"/>
          <w:marTop w:val="0"/>
          <w:marBottom w:val="0"/>
          <w:divBdr>
            <w:top w:val="none" w:sz="0" w:space="0" w:color="auto"/>
            <w:left w:val="none" w:sz="0" w:space="0" w:color="auto"/>
            <w:bottom w:val="none" w:sz="0" w:space="0" w:color="auto"/>
            <w:right w:val="none" w:sz="0" w:space="0" w:color="auto"/>
          </w:divBdr>
        </w:div>
      </w:divsChild>
    </w:div>
    <w:div w:id="733628638">
      <w:bodyDiv w:val="1"/>
      <w:marLeft w:val="0"/>
      <w:marRight w:val="0"/>
      <w:marTop w:val="0"/>
      <w:marBottom w:val="0"/>
      <w:divBdr>
        <w:top w:val="none" w:sz="0" w:space="0" w:color="auto"/>
        <w:left w:val="none" w:sz="0" w:space="0" w:color="auto"/>
        <w:bottom w:val="none" w:sz="0" w:space="0" w:color="auto"/>
        <w:right w:val="none" w:sz="0" w:space="0" w:color="auto"/>
      </w:divBdr>
    </w:div>
    <w:div w:id="740056427">
      <w:bodyDiv w:val="1"/>
      <w:marLeft w:val="0"/>
      <w:marRight w:val="0"/>
      <w:marTop w:val="0"/>
      <w:marBottom w:val="0"/>
      <w:divBdr>
        <w:top w:val="none" w:sz="0" w:space="0" w:color="auto"/>
        <w:left w:val="none" w:sz="0" w:space="0" w:color="auto"/>
        <w:bottom w:val="none" w:sz="0" w:space="0" w:color="auto"/>
        <w:right w:val="none" w:sz="0" w:space="0" w:color="auto"/>
      </w:divBdr>
    </w:div>
    <w:div w:id="774786022">
      <w:bodyDiv w:val="1"/>
      <w:marLeft w:val="0"/>
      <w:marRight w:val="0"/>
      <w:marTop w:val="0"/>
      <w:marBottom w:val="0"/>
      <w:divBdr>
        <w:top w:val="none" w:sz="0" w:space="0" w:color="auto"/>
        <w:left w:val="none" w:sz="0" w:space="0" w:color="auto"/>
        <w:bottom w:val="none" w:sz="0" w:space="0" w:color="auto"/>
        <w:right w:val="none" w:sz="0" w:space="0" w:color="auto"/>
      </w:divBdr>
    </w:div>
    <w:div w:id="802384709">
      <w:bodyDiv w:val="1"/>
      <w:marLeft w:val="0"/>
      <w:marRight w:val="0"/>
      <w:marTop w:val="0"/>
      <w:marBottom w:val="0"/>
      <w:divBdr>
        <w:top w:val="none" w:sz="0" w:space="0" w:color="auto"/>
        <w:left w:val="none" w:sz="0" w:space="0" w:color="auto"/>
        <w:bottom w:val="none" w:sz="0" w:space="0" w:color="auto"/>
        <w:right w:val="none" w:sz="0" w:space="0" w:color="auto"/>
      </w:divBdr>
    </w:div>
    <w:div w:id="802892078">
      <w:bodyDiv w:val="1"/>
      <w:marLeft w:val="0"/>
      <w:marRight w:val="0"/>
      <w:marTop w:val="0"/>
      <w:marBottom w:val="0"/>
      <w:divBdr>
        <w:top w:val="none" w:sz="0" w:space="0" w:color="auto"/>
        <w:left w:val="none" w:sz="0" w:space="0" w:color="auto"/>
        <w:bottom w:val="none" w:sz="0" w:space="0" w:color="auto"/>
        <w:right w:val="none" w:sz="0" w:space="0" w:color="auto"/>
      </w:divBdr>
    </w:div>
    <w:div w:id="819268286">
      <w:bodyDiv w:val="1"/>
      <w:marLeft w:val="0"/>
      <w:marRight w:val="0"/>
      <w:marTop w:val="0"/>
      <w:marBottom w:val="0"/>
      <w:divBdr>
        <w:top w:val="none" w:sz="0" w:space="0" w:color="auto"/>
        <w:left w:val="none" w:sz="0" w:space="0" w:color="auto"/>
        <w:bottom w:val="none" w:sz="0" w:space="0" w:color="auto"/>
        <w:right w:val="none" w:sz="0" w:space="0" w:color="auto"/>
      </w:divBdr>
    </w:div>
    <w:div w:id="894509270">
      <w:bodyDiv w:val="1"/>
      <w:marLeft w:val="0"/>
      <w:marRight w:val="0"/>
      <w:marTop w:val="0"/>
      <w:marBottom w:val="0"/>
      <w:divBdr>
        <w:top w:val="none" w:sz="0" w:space="0" w:color="auto"/>
        <w:left w:val="none" w:sz="0" w:space="0" w:color="auto"/>
        <w:bottom w:val="none" w:sz="0" w:space="0" w:color="auto"/>
        <w:right w:val="none" w:sz="0" w:space="0" w:color="auto"/>
      </w:divBdr>
    </w:div>
    <w:div w:id="926770532">
      <w:bodyDiv w:val="1"/>
      <w:marLeft w:val="0"/>
      <w:marRight w:val="0"/>
      <w:marTop w:val="0"/>
      <w:marBottom w:val="0"/>
      <w:divBdr>
        <w:top w:val="none" w:sz="0" w:space="0" w:color="auto"/>
        <w:left w:val="none" w:sz="0" w:space="0" w:color="auto"/>
        <w:bottom w:val="none" w:sz="0" w:space="0" w:color="auto"/>
        <w:right w:val="none" w:sz="0" w:space="0" w:color="auto"/>
      </w:divBdr>
    </w:div>
    <w:div w:id="951398750">
      <w:bodyDiv w:val="1"/>
      <w:marLeft w:val="0"/>
      <w:marRight w:val="0"/>
      <w:marTop w:val="0"/>
      <w:marBottom w:val="0"/>
      <w:divBdr>
        <w:top w:val="none" w:sz="0" w:space="0" w:color="auto"/>
        <w:left w:val="none" w:sz="0" w:space="0" w:color="auto"/>
        <w:bottom w:val="none" w:sz="0" w:space="0" w:color="auto"/>
        <w:right w:val="none" w:sz="0" w:space="0" w:color="auto"/>
      </w:divBdr>
    </w:div>
    <w:div w:id="953024670">
      <w:bodyDiv w:val="1"/>
      <w:marLeft w:val="0"/>
      <w:marRight w:val="0"/>
      <w:marTop w:val="0"/>
      <w:marBottom w:val="0"/>
      <w:divBdr>
        <w:top w:val="none" w:sz="0" w:space="0" w:color="auto"/>
        <w:left w:val="none" w:sz="0" w:space="0" w:color="auto"/>
        <w:bottom w:val="none" w:sz="0" w:space="0" w:color="auto"/>
        <w:right w:val="none" w:sz="0" w:space="0" w:color="auto"/>
      </w:divBdr>
    </w:div>
    <w:div w:id="1005013514">
      <w:bodyDiv w:val="1"/>
      <w:marLeft w:val="0"/>
      <w:marRight w:val="0"/>
      <w:marTop w:val="0"/>
      <w:marBottom w:val="0"/>
      <w:divBdr>
        <w:top w:val="none" w:sz="0" w:space="0" w:color="auto"/>
        <w:left w:val="none" w:sz="0" w:space="0" w:color="auto"/>
        <w:bottom w:val="none" w:sz="0" w:space="0" w:color="auto"/>
        <w:right w:val="none" w:sz="0" w:space="0" w:color="auto"/>
      </w:divBdr>
    </w:div>
    <w:div w:id="1008024586">
      <w:bodyDiv w:val="1"/>
      <w:marLeft w:val="0"/>
      <w:marRight w:val="0"/>
      <w:marTop w:val="0"/>
      <w:marBottom w:val="0"/>
      <w:divBdr>
        <w:top w:val="none" w:sz="0" w:space="0" w:color="auto"/>
        <w:left w:val="none" w:sz="0" w:space="0" w:color="auto"/>
        <w:bottom w:val="none" w:sz="0" w:space="0" w:color="auto"/>
        <w:right w:val="none" w:sz="0" w:space="0" w:color="auto"/>
      </w:divBdr>
    </w:div>
    <w:div w:id="1018237213">
      <w:bodyDiv w:val="1"/>
      <w:marLeft w:val="0"/>
      <w:marRight w:val="0"/>
      <w:marTop w:val="0"/>
      <w:marBottom w:val="0"/>
      <w:divBdr>
        <w:top w:val="none" w:sz="0" w:space="0" w:color="auto"/>
        <w:left w:val="none" w:sz="0" w:space="0" w:color="auto"/>
        <w:bottom w:val="none" w:sz="0" w:space="0" w:color="auto"/>
        <w:right w:val="none" w:sz="0" w:space="0" w:color="auto"/>
      </w:divBdr>
    </w:div>
    <w:div w:id="1047417017">
      <w:bodyDiv w:val="1"/>
      <w:marLeft w:val="0"/>
      <w:marRight w:val="0"/>
      <w:marTop w:val="0"/>
      <w:marBottom w:val="0"/>
      <w:divBdr>
        <w:top w:val="none" w:sz="0" w:space="0" w:color="auto"/>
        <w:left w:val="none" w:sz="0" w:space="0" w:color="auto"/>
        <w:bottom w:val="none" w:sz="0" w:space="0" w:color="auto"/>
        <w:right w:val="none" w:sz="0" w:space="0" w:color="auto"/>
      </w:divBdr>
    </w:div>
    <w:div w:id="1077826353">
      <w:bodyDiv w:val="1"/>
      <w:marLeft w:val="0"/>
      <w:marRight w:val="0"/>
      <w:marTop w:val="0"/>
      <w:marBottom w:val="0"/>
      <w:divBdr>
        <w:top w:val="none" w:sz="0" w:space="0" w:color="auto"/>
        <w:left w:val="none" w:sz="0" w:space="0" w:color="auto"/>
        <w:bottom w:val="none" w:sz="0" w:space="0" w:color="auto"/>
        <w:right w:val="none" w:sz="0" w:space="0" w:color="auto"/>
      </w:divBdr>
      <w:divsChild>
        <w:div w:id="1409183280">
          <w:marLeft w:val="1440"/>
          <w:marRight w:val="0"/>
          <w:marTop w:val="120"/>
          <w:marBottom w:val="0"/>
          <w:divBdr>
            <w:top w:val="none" w:sz="0" w:space="0" w:color="auto"/>
            <w:left w:val="none" w:sz="0" w:space="0" w:color="auto"/>
            <w:bottom w:val="none" w:sz="0" w:space="0" w:color="auto"/>
            <w:right w:val="none" w:sz="0" w:space="0" w:color="auto"/>
          </w:divBdr>
        </w:div>
      </w:divsChild>
    </w:div>
    <w:div w:id="1141071779">
      <w:bodyDiv w:val="1"/>
      <w:marLeft w:val="0"/>
      <w:marRight w:val="0"/>
      <w:marTop w:val="0"/>
      <w:marBottom w:val="0"/>
      <w:divBdr>
        <w:top w:val="none" w:sz="0" w:space="0" w:color="auto"/>
        <w:left w:val="none" w:sz="0" w:space="0" w:color="auto"/>
        <w:bottom w:val="none" w:sz="0" w:space="0" w:color="auto"/>
        <w:right w:val="none" w:sz="0" w:space="0" w:color="auto"/>
      </w:divBdr>
    </w:div>
    <w:div w:id="1156335124">
      <w:bodyDiv w:val="1"/>
      <w:marLeft w:val="0"/>
      <w:marRight w:val="0"/>
      <w:marTop w:val="0"/>
      <w:marBottom w:val="0"/>
      <w:divBdr>
        <w:top w:val="none" w:sz="0" w:space="0" w:color="auto"/>
        <w:left w:val="none" w:sz="0" w:space="0" w:color="auto"/>
        <w:bottom w:val="none" w:sz="0" w:space="0" w:color="auto"/>
        <w:right w:val="none" w:sz="0" w:space="0" w:color="auto"/>
      </w:divBdr>
    </w:div>
    <w:div w:id="1167210905">
      <w:bodyDiv w:val="1"/>
      <w:marLeft w:val="0"/>
      <w:marRight w:val="0"/>
      <w:marTop w:val="0"/>
      <w:marBottom w:val="0"/>
      <w:divBdr>
        <w:top w:val="none" w:sz="0" w:space="0" w:color="auto"/>
        <w:left w:val="none" w:sz="0" w:space="0" w:color="auto"/>
        <w:bottom w:val="none" w:sz="0" w:space="0" w:color="auto"/>
        <w:right w:val="none" w:sz="0" w:space="0" w:color="auto"/>
      </w:divBdr>
    </w:div>
    <w:div w:id="1176264227">
      <w:bodyDiv w:val="1"/>
      <w:marLeft w:val="0"/>
      <w:marRight w:val="0"/>
      <w:marTop w:val="0"/>
      <w:marBottom w:val="0"/>
      <w:divBdr>
        <w:top w:val="none" w:sz="0" w:space="0" w:color="auto"/>
        <w:left w:val="none" w:sz="0" w:space="0" w:color="auto"/>
        <w:bottom w:val="none" w:sz="0" w:space="0" w:color="auto"/>
        <w:right w:val="none" w:sz="0" w:space="0" w:color="auto"/>
      </w:divBdr>
    </w:div>
    <w:div w:id="1178690211">
      <w:bodyDiv w:val="1"/>
      <w:marLeft w:val="0"/>
      <w:marRight w:val="0"/>
      <w:marTop w:val="0"/>
      <w:marBottom w:val="0"/>
      <w:divBdr>
        <w:top w:val="none" w:sz="0" w:space="0" w:color="auto"/>
        <w:left w:val="none" w:sz="0" w:space="0" w:color="auto"/>
        <w:bottom w:val="none" w:sz="0" w:space="0" w:color="auto"/>
        <w:right w:val="none" w:sz="0" w:space="0" w:color="auto"/>
      </w:divBdr>
    </w:div>
    <w:div w:id="1238520091">
      <w:bodyDiv w:val="1"/>
      <w:marLeft w:val="0"/>
      <w:marRight w:val="0"/>
      <w:marTop w:val="0"/>
      <w:marBottom w:val="0"/>
      <w:divBdr>
        <w:top w:val="none" w:sz="0" w:space="0" w:color="auto"/>
        <w:left w:val="none" w:sz="0" w:space="0" w:color="auto"/>
        <w:bottom w:val="none" w:sz="0" w:space="0" w:color="auto"/>
        <w:right w:val="none" w:sz="0" w:space="0" w:color="auto"/>
      </w:divBdr>
    </w:div>
    <w:div w:id="1254900182">
      <w:bodyDiv w:val="1"/>
      <w:marLeft w:val="0"/>
      <w:marRight w:val="0"/>
      <w:marTop w:val="0"/>
      <w:marBottom w:val="0"/>
      <w:divBdr>
        <w:top w:val="none" w:sz="0" w:space="0" w:color="auto"/>
        <w:left w:val="none" w:sz="0" w:space="0" w:color="auto"/>
        <w:bottom w:val="none" w:sz="0" w:space="0" w:color="auto"/>
        <w:right w:val="none" w:sz="0" w:space="0" w:color="auto"/>
      </w:divBdr>
    </w:div>
    <w:div w:id="1276445809">
      <w:bodyDiv w:val="1"/>
      <w:marLeft w:val="0"/>
      <w:marRight w:val="0"/>
      <w:marTop w:val="0"/>
      <w:marBottom w:val="0"/>
      <w:divBdr>
        <w:top w:val="none" w:sz="0" w:space="0" w:color="auto"/>
        <w:left w:val="none" w:sz="0" w:space="0" w:color="auto"/>
        <w:bottom w:val="none" w:sz="0" w:space="0" w:color="auto"/>
        <w:right w:val="none" w:sz="0" w:space="0" w:color="auto"/>
      </w:divBdr>
      <w:divsChild>
        <w:div w:id="1593516109">
          <w:marLeft w:val="446"/>
          <w:marRight w:val="0"/>
          <w:marTop w:val="0"/>
          <w:marBottom w:val="0"/>
          <w:divBdr>
            <w:top w:val="none" w:sz="0" w:space="0" w:color="auto"/>
            <w:left w:val="none" w:sz="0" w:space="0" w:color="auto"/>
            <w:bottom w:val="none" w:sz="0" w:space="0" w:color="auto"/>
            <w:right w:val="none" w:sz="0" w:space="0" w:color="auto"/>
          </w:divBdr>
        </w:div>
      </w:divsChild>
    </w:div>
    <w:div w:id="1298024497">
      <w:bodyDiv w:val="1"/>
      <w:marLeft w:val="0"/>
      <w:marRight w:val="0"/>
      <w:marTop w:val="0"/>
      <w:marBottom w:val="0"/>
      <w:divBdr>
        <w:top w:val="none" w:sz="0" w:space="0" w:color="auto"/>
        <w:left w:val="none" w:sz="0" w:space="0" w:color="auto"/>
        <w:bottom w:val="none" w:sz="0" w:space="0" w:color="auto"/>
        <w:right w:val="none" w:sz="0" w:space="0" w:color="auto"/>
      </w:divBdr>
    </w:div>
    <w:div w:id="1366253497">
      <w:bodyDiv w:val="1"/>
      <w:marLeft w:val="0"/>
      <w:marRight w:val="0"/>
      <w:marTop w:val="0"/>
      <w:marBottom w:val="0"/>
      <w:divBdr>
        <w:top w:val="none" w:sz="0" w:space="0" w:color="auto"/>
        <w:left w:val="none" w:sz="0" w:space="0" w:color="auto"/>
        <w:bottom w:val="none" w:sz="0" w:space="0" w:color="auto"/>
        <w:right w:val="none" w:sz="0" w:space="0" w:color="auto"/>
      </w:divBdr>
    </w:div>
    <w:div w:id="1367633419">
      <w:bodyDiv w:val="1"/>
      <w:marLeft w:val="0"/>
      <w:marRight w:val="0"/>
      <w:marTop w:val="0"/>
      <w:marBottom w:val="0"/>
      <w:divBdr>
        <w:top w:val="none" w:sz="0" w:space="0" w:color="auto"/>
        <w:left w:val="none" w:sz="0" w:space="0" w:color="auto"/>
        <w:bottom w:val="none" w:sz="0" w:space="0" w:color="auto"/>
        <w:right w:val="none" w:sz="0" w:space="0" w:color="auto"/>
      </w:divBdr>
    </w:div>
    <w:div w:id="1378578997">
      <w:bodyDiv w:val="1"/>
      <w:marLeft w:val="0"/>
      <w:marRight w:val="0"/>
      <w:marTop w:val="0"/>
      <w:marBottom w:val="0"/>
      <w:divBdr>
        <w:top w:val="none" w:sz="0" w:space="0" w:color="auto"/>
        <w:left w:val="none" w:sz="0" w:space="0" w:color="auto"/>
        <w:bottom w:val="none" w:sz="0" w:space="0" w:color="auto"/>
        <w:right w:val="none" w:sz="0" w:space="0" w:color="auto"/>
      </w:divBdr>
    </w:div>
    <w:div w:id="1450585475">
      <w:bodyDiv w:val="1"/>
      <w:marLeft w:val="0"/>
      <w:marRight w:val="0"/>
      <w:marTop w:val="0"/>
      <w:marBottom w:val="0"/>
      <w:divBdr>
        <w:top w:val="none" w:sz="0" w:space="0" w:color="auto"/>
        <w:left w:val="none" w:sz="0" w:space="0" w:color="auto"/>
        <w:bottom w:val="none" w:sz="0" w:space="0" w:color="auto"/>
        <w:right w:val="none" w:sz="0" w:space="0" w:color="auto"/>
      </w:divBdr>
      <w:divsChild>
        <w:div w:id="644168166">
          <w:marLeft w:val="1440"/>
          <w:marRight w:val="0"/>
          <w:marTop w:val="120"/>
          <w:marBottom w:val="0"/>
          <w:divBdr>
            <w:top w:val="none" w:sz="0" w:space="0" w:color="auto"/>
            <w:left w:val="none" w:sz="0" w:space="0" w:color="auto"/>
            <w:bottom w:val="none" w:sz="0" w:space="0" w:color="auto"/>
            <w:right w:val="none" w:sz="0" w:space="0" w:color="auto"/>
          </w:divBdr>
        </w:div>
        <w:div w:id="1902595518">
          <w:marLeft w:val="1440"/>
          <w:marRight w:val="0"/>
          <w:marTop w:val="120"/>
          <w:marBottom w:val="0"/>
          <w:divBdr>
            <w:top w:val="none" w:sz="0" w:space="0" w:color="auto"/>
            <w:left w:val="none" w:sz="0" w:space="0" w:color="auto"/>
            <w:bottom w:val="none" w:sz="0" w:space="0" w:color="auto"/>
            <w:right w:val="none" w:sz="0" w:space="0" w:color="auto"/>
          </w:divBdr>
        </w:div>
        <w:div w:id="1896424723">
          <w:marLeft w:val="1440"/>
          <w:marRight w:val="0"/>
          <w:marTop w:val="120"/>
          <w:marBottom w:val="0"/>
          <w:divBdr>
            <w:top w:val="none" w:sz="0" w:space="0" w:color="auto"/>
            <w:left w:val="none" w:sz="0" w:space="0" w:color="auto"/>
            <w:bottom w:val="none" w:sz="0" w:space="0" w:color="auto"/>
            <w:right w:val="none" w:sz="0" w:space="0" w:color="auto"/>
          </w:divBdr>
        </w:div>
      </w:divsChild>
    </w:div>
    <w:div w:id="1468665232">
      <w:bodyDiv w:val="1"/>
      <w:marLeft w:val="0"/>
      <w:marRight w:val="0"/>
      <w:marTop w:val="0"/>
      <w:marBottom w:val="0"/>
      <w:divBdr>
        <w:top w:val="none" w:sz="0" w:space="0" w:color="auto"/>
        <w:left w:val="none" w:sz="0" w:space="0" w:color="auto"/>
        <w:bottom w:val="none" w:sz="0" w:space="0" w:color="auto"/>
        <w:right w:val="none" w:sz="0" w:space="0" w:color="auto"/>
      </w:divBdr>
    </w:div>
    <w:div w:id="1501431497">
      <w:bodyDiv w:val="1"/>
      <w:marLeft w:val="0"/>
      <w:marRight w:val="0"/>
      <w:marTop w:val="0"/>
      <w:marBottom w:val="0"/>
      <w:divBdr>
        <w:top w:val="none" w:sz="0" w:space="0" w:color="auto"/>
        <w:left w:val="none" w:sz="0" w:space="0" w:color="auto"/>
        <w:bottom w:val="none" w:sz="0" w:space="0" w:color="auto"/>
        <w:right w:val="none" w:sz="0" w:space="0" w:color="auto"/>
      </w:divBdr>
      <w:divsChild>
        <w:div w:id="1168711744">
          <w:marLeft w:val="0"/>
          <w:marRight w:val="0"/>
          <w:marTop w:val="0"/>
          <w:marBottom w:val="0"/>
          <w:divBdr>
            <w:top w:val="none" w:sz="0" w:space="0" w:color="auto"/>
            <w:left w:val="none" w:sz="0" w:space="0" w:color="auto"/>
            <w:bottom w:val="none" w:sz="0" w:space="0" w:color="auto"/>
            <w:right w:val="none" w:sz="0" w:space="0" w:color="auto"/>
          </w:divBdr>
          <w:divsChild>
            <w:div w:id="1110928517">
              <w:marLeft w:val="0"/>
              <w:marRight w:val="0"/>
              <w:marTop w:val="0"/>
              <w:marBottom w:val="0"/>
              <w:divBdr>
                <w:top w:val="none" w:sz="0" w:space="0" w:color="auto"/>
                <w:left w:val="none" w:sz="0" w:space="0" w:color="auto"/>
                <w:bottom w:val="none" w:sz="0" w:space="0" w:color="auto"/>
                <w:right w:val="none" w:sz="0" w:space="0" w:color="auto"/>
              </w:divBdr>
              <w:divsChild>
                <w:div w:id="2558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9978">
      <w:bodyDiv w:val="1"/>
      <w:marLeft w:val="0"/>
      <w:marRight w:val="0"/>
      <w:marTop w:val="0"/>
      <w:marBottom w:val="0"/>
      <w:divBdr>
        <w:top w:val="none" w:sz="0" w:space="0" w:color="auto"/>
        <w:left w:val="none" w:sz="0" w:space="0" w:color="auto"/>
        <w:bottom w:val="none" w:sz="0" w:space="0" w:color="auto"/>
        <w:right w:val="none" w:sz="0" w:space="0" w:color="auto"/>
      </w:divBdr>
    </w:div>
    <w:div w:id="1528056324">
      <w:bodyDiv w:val="1"/>
      <w:marLeft w:val="0"/>
      <w:marRight w:val="0"/>
      <w:marTop w:val="0"/>
      <w:marBottom w:val="0"/>
      <w:divBdr>
        <w:top w:val="none" w:sz="0" w:space="0" w:color="auto"/>
        <w:left w:val="none" w:sz="0" w:space="0" w:color="auto"/>
        <w:bottom w:val="none" w:sz="0" w:space="0" w:color="auto"/>
        <w:right w:val="none" w:sz="0" w:space="0" w:color="auto"/>
      </w:divBdr>
    </w:div>
    <w:div w:id="1561744481">
      <w:bodyDiv w:val="1"/>
      <w:marLeft w:val="0"/>
      <w:marRight w:val="0"/>
      <w:marTop w:val="0"/>
      <w:marBottom w:val="0"/>
      <w:divBdr>
        <w:top w:val="none" w:sz="0" w:space="0" w:color="auto"/>
        <w:left w:val="none" w:sz="0" w:space="0" w:color="auto"/>
        <w:bottom w:val="none" w:sz="0" w:space="0" w:color="auto"/>
        <w:right w:val="none" w:sz="0" w:space="0" w:color="auto"/>
      </w:divBdr>
    </w:div>
    <w:div w:id="1591694006">
      <w:bodyDiv w:val="1"/>
      <w:marLeft w:val="0"/>
      <w:marRight w:val="0"/>
      <w:marTop w:val="0"/>
      <w:marBottom w:val="0"/>
      <w:divBdr>
        <w:top w:val="none" w:sz="0" w:space="0" w:color="auto"/>
        <w:left w:val="none" w:sz="0" w:space="0" w:color="auto"/>
        <w:bottom w:val="none" w:sz="0" w:space="0" w:color="auto"/>
        <w:right w:val="none" w:sz="0" w:space="0" w:color="auto"/>
      </w:divBdr>
    </w:div>
    <w:div w:id="1626735995">
      <w:bodyDiv w:val="1"/>
      <w:marLeft w:val="0"/>
      <w:marRight w:val="0"/>
      <w:marTop w:val="0"/>
      <w:marBottom w:val="0"/>
      <w:divBdr>
        <w:top w:val="none" w:sz="0" w:space="0" w:color="auto"/>
        <w:left w:val="none" w:sz="0" w:space="0" w:color="auto"/>
        <w:bottom w:val="none" w:sz="0" w:space="0" w:color="auto"/>
        <w:right w:val="none" w:sz="0" w:space="0" w:color="auto"/>
      </w:divBdr>
    </w:div>
    <w:div w:id="1652758552">
      <w:bodyDiv w:val="1"/>
      <w:marLeft w:val="0"/>
      <w:marRight w:val="0"/>
      <w:marTop w:val="0"/>
      <w:marBottom w:val="0"/>
      <w:divBdr>
        <w:top w:val="none" w:sz="0" w:space="0" w:color="auto"/>
        <w:left w:val="none" w:sz="0" w:space="0" w:color="auto"/>
        <w:bottom w:val="none" w:sz="0" w:space="0" w:color="auto"/>
        <w:right w:val="none" w:sz="0" w:space="0" w:color="auto"/>
      </w:divBdr>
    </w:div>
    <w:div w:id="1659840322">
      <w:bodyDiv w:val="1"/>
      <w:marLeft w:val="0"/>
      <w:marRight w:val="0"/>
      <w:marTop w:val="0"/>
      <w:marBottom w:val="0"/>
      <w:divBdr>
        <w:top w:val="none" w:sz="0" w:space="0" w:color="auto"/>
        <w:left w:val="none" w:sz="0" w:space="0" w:color="auto"/>
        <w:bottom w:val="none" w:sz="0" w:space="0" w:color="auto"/>
        <w:right w:val="none" w:sz="0" w:space="0" w:color="auto"/>
      </w:divBdr>
    </w:div>
    <w:div w:id="1691760901">
      <w:bodyDiv w:val="1"/>
      <w:marLeft w:val="0"/>
      <w:marRight w:val="0"/>
      <w:marTop w:val="0"/>
      <w:marBottom w:val="0"/>
      <w:divBdr>
        <w:top w:val="none" w:sz="0" w:space="0" w:color="auto"/>
        <w:left w:val="none" w:sz="0" w:space="0" w:color="auto"/>
        <w:bottom w:val="none" w:sz="0" w:space="0" w:color="auto"/>
        <w:right w:val="none" w:sz="0" w:space="0" w:color="auto"/>
      </w:divBdr>
      <w:divsChild>
        <w:div w:id="402069428">
          <w:marLeft w:val="547"/>
          <w:marRight w:val="0"/>
          <w:marTop w:val="134"/>
          <w:marBottom w:val="0"/>
          <w:divBdr>
            <w:top w:val="none" w:sz="0" w:space="0" w:color="auto"/>
            <w:left w:val="none" w:sz="0" w:space="0" w:color="auto"/>
            <w:bottom w:val="none" w:sz="0" w:space="0" w:color="auto"/>
            <w:right w:val="none" w:sz="0" w:space="0" w:color="auto"/>
          </w:divBdr>
        </w:div>
      </w:divsChild>
    </w:div>
    <w:div w:id="1700811000">
      <w:bodyDiv w:val="1"/>
      <w:marLeft w:val="0"/>
      <w:marRight w:val="0"/>
      <w:marTop w:val="0"/>
      <w:marBottom w:val="0"/>
      <w:divBdr>
        <w:top w:val="none" w:sz="0" w:space="0" w:color="auto"/>
        <w:left w:val="none" w:sz="0" w:space="0" w:color="auto"/>
        <w:bottom w:val="none" w:sz="0" w:space="0" w:color="auto"/>
        <w:right w:val="none" w:sz="0" w:space="0" w:color="auto"/>
      </w:divBdr>
    </w:div>
    <w:div w:id="1705213179">
      <w:bodyDiv w:val="1"/>
      <w:marLeft w:val="0"/>
      <w:marRight w:val="0"/>
      <w:marTop w:val="0"/>
      <w:marBottom w:val="0"/>
      <w:divBdr>
        <w:top w:val="none" w:sz="0" w:space="0" w:color="auto"/>
        <w:left w:val="none" w:sz="0" w:space="0" w:color="auto"/>
        <w:bottom w:val="none" w:sz="0" w:space="0" w:color="auto"/>
        <w:right w:val="none" w:sz="0" w:space="0" w:color="auto"/>
      </w:divBdr>
    </w:div>
    <w:div w:id="1712923657">
      <w:bodyDiv w:val="1"/>
      <w:marLeft w:val="0"/>
      <w:marRight w:val="0"/>
      <w:marTop w:val="0"/>
      <w:marBottom w:val="0"/>
      <w:divBdr>
        <w:top w:val="none" w:sz="0" w:space="0" w:color="auto"/>
        <w:left w:val="none" w:sz="0" w:space="0" w:color="auto"/>
        <w:bottom w:val="none" w:sz="0" w:space="0" w:color="auto"/>
        <w:right w:val="none" w:sz="0" w:space="0" w:color="auto"/>
      </w:divBdr>
    </w:div>
    <w:div w:id="1784419489">
      <w:bodyDiv w:val="1"/>
      <w:marLeft w:val="0"/>
      <w:marRight w:val="0"/>
      <w:marTop w:val="0"/>
      <w:marBottom w:val="0"/>
      <w:divBdr>
        <w:top w:val="none" w:sz="0" w:space="0" w:color="auto"/>
        <w:left w:val="none" w:sz="0" w:space="0" w:color="auto"/>
        <w:bottom w:val="none" w:sz="0" w:space="0" w:color="auto"/>
        <w:right w:val="none" w:sz="0" w:space="0" w:color="auto"/>
      </w:divBdr>
    </w:div>
    <w:div w:id="1801797976">
      <w:bodyDiv w:val="1"/>
      <w:marLeft w:val="0"/>
      <w:marRight w:val="0"/>
      <w:marTop w:val="0"/>
      <w:marBottom w:val="0"/>
      <w:divBdr>
        <w:top w:val="none" w:sz="0" w:space="0" w:color="auto"/>
        <w:left w:val="none" w:sz="0" w:space="0" w:color="auto"/>
        <w:bottom w:val="none" w:sz="0" w:space="0" w:color="auto"/>
        <w:right w:val="none" w:sz="0" w:space="0" w:color="auto"/>
      </w:divBdr>
    </w:div>
    <w:div w:id="1818300301">
      <w:bodyDiv w:val="1"/>
      <w:marLeft w:val="0"/>
      <w:marRight w:val="0"/>
      <w:marTop w:val="0"/>
      <w:marBottom w:val="0"/>
      <w:divBdr>
        <w:top w:val="none" w:sz="0" w:space="0" w:color="auto"/>
        <w:left w:val="none" w:sz="0" w:space="0" w:color="auto"/>
        <w:bottom w:val="none" w:sz="0" w:space="0" w:color="auto"/>
        <w:right w:val="none" w:sz="0" w:space="0" w:color="auto"/>
      </w:divBdr>
    </w:div>
    <w:div w:id="1845895989">
      <w:bodyDiv w:val="1"/>
      <w:marLeft w:val="0"/>
      <w:marRight w:val="0"/>
      <w:marTop w:val="0"/>
      <w:marBottom w:val="0"/>
      <w:divBdr>
        <w:top w:val="none" w:sz="0" w:space="0" w:color="auto"/>
        <w:left w:val="none" w:sz="0" w:space="0" w:color="auto"/>
        <w:bottom w:val="none" w:sz="0" w:space="0" w:color="auto"/>
        <w:right w:val="none" w:sz="0" w:space="0" w:color="auto"/>
      </w:divBdr>
    </w:div>
    <w:div w:id="1856380986">
      <w:bodyDiv w:val="1"/>
      <w:marLeft w:val="0"/>
      <w:marRight w:val="0"/>
      <w:marTop w:val="0"/>
      <w:marBottom w:val="0"/>
      <w:divBdr>
        <w:top w:val="none" w:sz="0" w:space="0" w:color="auto"/>
        <w:left w:val="none" w:sz="0" w:space="0" w:color="auto"/>
        <w:bottom w:val="none" w:sz="0" w:space="0" w:color="auto"/>
        <w:right w:val="none" w:sz="0" w:space="0" w:color="auto"/>
      </w:divBdr>
    </w:div>
    <w:div w:id="1861581039">
      <w:bodyDiv w:val="1"/>
      <w:marLeft w:val="0"/>
      <w:marRight w:val="0"/>
      <w:marTop w:val="0"/>
      <w:marBottom w:val="0"/>
      <w:divBdr>
        <w:top w:val="none" w:sz="0" w:space="0" w:color="auto"/>
        <w:left w:val="none" w:sz="0" w:space="0" w:color="auto"/>
        <w:bottom w:val="none" w:sz="0" w:space="0" w:color="auto"/>
        <w:right w:val="none" w:sz="0" w:space="0" w:color="auto"/>
      </w:divBdr>
    </w:div>
    <w:div w:id="1873691068">
      <w:bodyDiv w:val="1"/>
      <w:marLeft w:val="0"/>
      <w:marRight w:val="0"/>
      <w:marTop w:val="0"/>
      <w:marBottom w:val="0"/>
      <w:divBdr>
        <w:top w:val="none" w:sz="0" w:space="0" w:color="auto"/>
        <w:left w:val="none" w:sz="0" w:space="0" w:color="auto"/>
        <w:bottom w:val="none" w:sz="0" w:space="0" w:color="auto"/>
        <w:right w:val="none" w:sz="0" w:space="0" w:color="auto"/>
      </w:divBdr>
    </w:div>
    <w:div w:id="1873810563">
      <w:bodyDiv w:val="1"/>
      <w:marLeft w:val="0"/>
      <w:marRight w:val="0"/>
      <w:marTop w:val="0"/>
      <w:marBottom w:val="0"/>
      <w:divBdr>
        <w:top w:val="none" w:sz="0" w:space="0" w:color="auto"/>
        <w:left w:val="none" w:sz="0" w:space="0" w:color="auto"/>
        <w:bottom w:val="none" w:sz="0" w:space="0" w:color="auto"/>
        <w:right w:val="none" w:sz="0" w:space="0" w:color="auto"/>
      </w:divBdr>
    </w:div>
    <w:div w:id="1921403383">
      <w:bodyDiv w:val="1"/>
      <w:marLeft w:val="0"/>
      <w:marRight w:val="0"/>
      <w:marTop w:val="0"/>
      <w:marBottom w:val="0"/>
      <w:divBdr>
        <w:top w:val="none" w:sz="0" w:space="0" w:color="auto"/>
        <w:left w:val="none" w:sz="0" w:space="0" w:color="auto"/>
        <w:bottom w:val="none" w:sz="0" w:space="0" w:color="auto"/>
        <w:right w:val="none" w:sz="0" w:space="0" w:color="auto"/>
      </w:divBdr>
    </w:div>
    <w:div w:id="1963882952">
      <w:bodyDiv w:val="1"/>
      <w:marLeft w:val="0"/>
      <w:marRight w:val="0"/>
      <w:marTop w:val="0"/>
      <w:marBottom w:val="0"/>
      <w:divBdr>
        <w:top w:val="none" w:sz="0" w:space="0" w:color="auto"/>
        <w:left w:val="none" w:sz="0" w:space="0" w:color="auto"/>
        <w:bottom w:val="none" w:sz="0" w:space="0" w:color="auto"/>
        <w:right w:val="none" w:sz="0" w:space="0" w:color="auto"/>
      </w:divBdr>
      <w:divsChild>
        <w:div w:id="869877321">
          <w:marLeft w:val="0"/>
          <w:marRight w:val="0"/>
          <w:marTop w:val="0"/>
          <w:marBottom w:val="0"/>
          <w:divBdr>
            <w:top w:val="none" w:sz="0" w:space="0" w:color="auto"/>
            <w:left w:val="none" w:sz="0" w:space="0" w:color="auto"/>
            <w:bottom w:val="none" w:sz="0" w:space="0" w:color="auto"/>
            <w:right w:val="none" w:sz="0" w:space="0" w:color="auto"/>
          </w:divBdr>
          <w:divsChild>
            <w:div w:id="885070948">
              <w:marLeft w:val="0"/>
              <w:marRight w:val="0"/>
              <w:marTop w:val="0"/>
              <w:marBottom w:val="0"/>
              <w:divBdr>
                <w:top w:val="none" w:sz="0" w:space="0" w:color="auto"/>
                <w:left w:val="none" w:sz="0" w:space="0" w:color="auto"/>
                <w:bottom w:val="none" w:sz="0" w:space="0" w:color="auto"/>
                <w:right w:val="none" w:sz="0" w:space="0" w:color="auto"/>
              </w:divBdr>
              <w:divsChild>
                <w:div w:id="875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7741">
      <w:bodyDiv w:val="1"/>
      <w:marLeft w:val="0"/>
      <w:marRight w:val="0"/>
      <w:marTop w:val="0"/>
      <w:marBottom w:val="0"/>
      <w:divBdr>
        <w:top w:val="none" w:sz="0" w:space="0" w:color="auto"/>
        <w:left w:val="none" w:sz="0" w:space="0" w:color="auto"/>
        <w:bottom w:val="none" w:sz="0" w:space="0" w:color="auto"/>
        <w:right w:val="none" w:sz="0" w:space="0" w:color="auto"/>
      </w:divBdr>
    </w:div>
    <w:div w:id="1988241139">
      <w:bodyDiv w:val="1"/>
      <w:marLeft w:val="0"/>
      <w:marRight w:val="0"/>
      <w:marTop w:val="0"/>
      <w:marBottom w:val="0"/>
      <w:divBdr>
        <w:top w:val="none" w:sz="0" w:space="0" w:color="auto"/>
        <w:left w:val="none" w:sz="0" w:space="0" w:color="auto"/>
        <w:bottom w:val="none" w:sz="0" w:space="0" w:color="auto"/>
        <w:right w:val="none" w:sz="0" w:space="0" w:color="auto"/>
      </w:divBdr>
    </w:div>
    <w:div w:id="2004812703">
      <w:bodyDiv w:val="1"/>
      <w:marLeft w:val="0"/>
      <w:marRight w:val="0"/>
      <w:marTop w:val="0"/>
      <w:marBottom w:val="0"/>
      <w:divBdr>
        <w:top w:val="none" w:sz="0" w:space="0" w:color="auto"/>
        <w:left w:val="none" w:sz="0" w:space="0" w:color="auto"/>
        <w:bottom w:val="none" w:sz="0" w:space="0" w:color="auto"/>
        <w:right w:val="none" w:sz="0" w:space="0" w:color="auto"/>
      </w:divBdr>
    </w:div>
    <w:div w:id="2017464801">
      <w:bodyDiv w:val="1"/>
      <w:marLeft w:val="0"/>
      <w:marRight w:val="0"/>
      <w:marTop w:val="0"/>
      <w:marBottom w:val="0"/>
      <w:divBdr>
        <w:top w:val="none" w:sz="0" w:space="0" w:color="auto"/>
        <w:left w:val="none" w:sz="0" w:space="0" w:color="auto"/>
        <w:bottom w:val="none" w:sz="0" w:space="0" w:color="auto"/>
        <w:right w:val="none" w:sz="0" w:space="0" w:color="auto"/>
      </w:divBdr>
    </w:div>
    <w:div w:id="2046059629">
      <w:bodyDiv w:val="1"/>
      <w:marLeft w:val="0"/>
      <w:marRight w:val="0"/>
      <w:marTop w:val="0"/>
      <w:marBottom w:val="0"/>
      <w:divBdr>
        <w:top w:val="none" w:sz="0" w:space="0" w:color="auto"/>
        <w:left w:val="none" w:sz="0" w:space="0" w:color="auto"/>
        <w:bottom w:val="none" w:sz="0" w:space="0" w:color="auto"/>
        <w:right w:val="none" w:sz="0" w:space="0" w:color="auto"/>
      </w:divBdr>
    </w:div>
    <w:div w:id="2067145638">
      <w:bodyDiv w:val="1"/>
      <w:marLeft w:val="0"/>
      <w:marRight w:val="0"/>
      <w:marTop w:val="0"/>
      <w:marBottom w:val="0"/>
      <w:divBdr>
        <w:top w:val="none" w:sz="0" w:space="0" w:color="auto"/>
        <w:left w:val="none" w:sz="0" w:space="0" w:color="auto"/>
        <w:bottom w:val="none" w:sz="0" w:space="0" w:color="auto"/>
        <w:right w:val="none" w:sz="0" w:space="0" w:color="auto"/>
      </w:divBdr>
      <w:divsChild>
        <w:div w:id="961501747">
          <w:marLeft w:val="0"/>
          <w:marRight w:val="0"/>
          <w:marTop w:val="0"/>
          <w:marBottom w:val="0"/>
          <w:divBdr>
            <w:top w:val="none" w:sz="0" w:space="0" w:color="auto"/>
            <w:left w:val="none" w:sz="0" w:space="0" w:color="auto"/>
            <w:bottom w:val="none" w:sz="0" w:space="0" w:color="auto"/>
            <w:right w:val="none" w:sz="0" w:space="0" w:color="auto"/>
          </w:divBdr>
          <w:divsChild>
            <w:div w:id="2132943225">
              <w:marLeft w:val="0"/>
              <w:marRight w:val="0"/>
              <w:marTop w:val="0"/>
              <w:marBottom w:val="0"/>
              <w:divBdr>
                <w:top w:val="none" w:sz="0" w:space="0" w:color="auto"/>
                <w:left w:val="none" w:sz="0" w:space="0" w:color="auto"/>
                <w:bottom w:val="none" w:sz="0" w:space="0" w:color="auto"/>
                <w:right w:val="none" w:sz="0" w:space="0" w:color="auto"/>
              </w:divBdr>
              <w:divsChild>
                <w:div w:id="13693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42310">
      <w:bodyDiv w:val="1"/>
      <w:marLeft w:val="0"/>
      <w:marRight w:val="0"/>
      <w:marTop w:val="0"/>
      <w:marBottom w:val="0"/>
      <w:divBdr>
        <w:top w:val="none" w:sz="0" w:space="0" w:color="auto"/>
        <w:left w:val="none" w:sz="0" w:space="0" w:color="auto"/>
        <w:bottom w:val="none" w:sz="0" w:space="0" w:color="auto"/>
        <w:right w:val="none" w:sz="0" w:space="0" w:color="auto"/>
      </w:divBdr>
    </w:div>
    <w:div w:id="2125926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opp.undp.org/SitePages/POPPSubject.aspx?SBJID=7&amp;Menu=BusinessUn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gain.nd.edu/our-work/country-index/" TargetMode="External"/><Relationship Id="rId2" Type="http://schemas.openxmlformats.org/officeDocument/2006/relationships/hyperlink" Target="https://www.climate-diplomacy.org/publications/infographic-countries-receiving-unpbf-funding-and-their-climate-vulnerability" TargetMode="External"/><Relationship Id="rId1" Type="http://schemas.openxmlformats.org/officeDocument/2006/relationships/hyperlink" Target="https://eur03.safelinks.protection.outlook.com/?url=https%3A%2F%2Fophi.org.uk%2Fwp-content%2Fuploads%2FCB_SOM_2018.pdf&amp;data=02%7C01%7Cfekadu.terefe%40undp.org%7C01a8f74cf1d34adaae5008d85d09fda5%7Cb3e5db5e2944483799f57488ace54319%7C0%7C0%7C637361644779573819&amp;sdata=N5ewOdlJnMGyl%2F9dPggpAku%2BV5URwuJBg3re0%2FhCoTs%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B81A9253AD764782288B3E67F11148" ma:contentTypeVersion="13" ma:contentTypeDescription="Create a new document." ma:contentTypeScope="" ma:versionID="dcdf5373edbb1ca6fb471033f63edcd0">
  <xsd:schema xmlns:xsd="http://www.w3.org/2001/XMLSchema" xmlns:xs="http://www.w3.org/2001/XMLSchema" xmlns:p="http://schemas.microsoft.com/office/2006/metadata/properties" xmlns:ns3="277677d1-089f-4e05-816d-da4f0782e0af" xmlns:ns4="e23fcb4d-e8e3-4a91-b8ff-3f175f453018" targetNamespace="http://schemas.microsoft.com/office/2006/metadata/properties" ma:root="true" ma:fieldsID="3c1ccef35c82c62367b74a66ec8f65ee" ns3:_="" ns4:_="">
    <xsd:import namespace="277677d1-089f-4e05-816d-da4f0782e0af"/>
    <xsd:import namespace="e23fcb4d-e8e3-4a91-b8ff-3f175f4530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77d1-089f-4e05-816d-da4f0782e0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cb4d-e8e3-4a91-b8ff-3f175f4530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83300-BC8C-4F4E-A81C-4F9BCD1F0A16}">
  <ds:schemaRefs>
    <ds:schemaRef ds:uri="http://schemas.microsoft.com/sharepoint/v3/contenttype/forms"/>
  </ds:schemaRefs>
</ds:datastoreItem>
</file>

<file path=customXml/itemProps2.xml><?xml version="1.0" encoding="utf-8"?>
<ds:datastoreItem xmlns:ds="http://schemas.openxmlformats.org/officeDocument/2006/customXml" ds:itemID="{0344F12C-CF1A-4E7A-B8E7-571904E476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7AC9F-77AF-4C4E-9352-9339B2EAF03C}">
  <ds:schemaRefs>
    <ds:schemaRef ds:uri="http://schemas.openxmlformats.org/officeDocument/2006/bibliography"/>
  </ds:schemaRefs>
</ds:datastoreItem>
</file>

<file path=customXml/itemProps4.xml><?xml version="1.0" encoding="utf-8"?>
<ds:datastoreItem xmlns:ds="http://schemas.openxmlformats.org/officeDocument/2006/customXml" ds:itemID="{4419344C-DB29-46F7-93F5-5AFE9F1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77d1-089f-4e05-816d-da4f0782e0af"/>
    <ds:schemaRef ds:uri="e23fcb4d-e8e3-4a91-b8ff-3f175f453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5046</Words>
  <Characters>32401</Characters>
  <Application>Microsoft Office Word</Application>
  <DocSecurity>0</DocSecurity>
  <Lines>925</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Svetlana Iazykova</cp:lastModifiedBy>
  <cp:revision>4</cp:revision>
  <dcterms:created xsi:type="dcterms:W3CDTF">2020-11-02T11:38:00Z</dcterms:created>
  <dcterms:modified xsi:type="dcterms:W3CDTF">2020-11-02T11:46:00Z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0x010100C8B81A9253AD764782288B3E67F11148</vt:lpwstr>
  </property>
</Properties>
</file>